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122933" w14:textId="77777777" w:rsidR="003A14CC" w:rsidRDefault="00145077">
      <w:pPr>
        <w:spacing w:after="40"/>
        <w:jc w:val="center"/>
      </w:pPr>
      <w:r>
        <w:rPr>
          <w:noProof/>
          <w:lang w:bidi="bn-IN"/>
        </w:rPr>
        <w:drawing>
          <wp:inline distT="0" distB="0" distL="0" distR="0" wp14:anchorId="64A19D6E" wp14:editId="2721640C">
            <wp:extent cx="5943600" cy="3056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_diabetes_prevention.png"/>
                    <pic:cNvPicPr/>
                  </pic:nvPicPr>
                  <pic:blipFill>
                    <a:blip r:embed="rId8"/>
                    <a:stretch>
                      <a:fillRect/>
                    </a:stretch>
                  </pic:blipFill>
                  <pic:spPr>
                    <a:xfrm>
                      <a:off x="0" y="0"/>
                      <a:ext cx="5943600" cy="3056709"/>
                    </a:xfrm>
                    <a:prstGeom prst="rect">
                      <a:avLst/>
                    </a:prstGeom>
                  </pic:spPr>
                </pic:pic>
              </a:graphicData>
            </a:graphic>
          </wp:inline>
        </w:drawing>
      </w:r>
    </w:p>
    <w:p w14:paraId="21C34180" w14:textId="77777777" w:rsidR="003A14CC" w:rsidRDefault="00145077">
      <w:pPr>
        <w:jc w:val="center"/>
      </w:pPr>
      <w:r>
        <w:rPr>
          <w:b/>
          <w:color w:val="0D566A"/>
          <w:sz w:val="48"/>
        </w:rPr>
        <w:t>Component 1: Two Blogs</w:t>
      </w:r>
    </w:p>
    <w:tbl>
      <w:tblPr>
        <w:tblStyle w:val="TableGrid"/>
        <w:tblW w:w="0" w:type="auto"/>
        <w:jc w:val="center"/>
        <w:tblLook w:val="04A0" w:firstRow="1" w:lastRow="0" w:firstColumn="1" w:lastColumn="0" w:noHBand="0" w:noVBand="1"/>
      </w:tblPr>
      <w:tblGrid>
        <w:gridCol w:w="5179"/>
        <w:gridCol w:w="5179"/>
      </w:tblGrid>
      <w:tr w:rsidR="003A14CC" w:rsidRPr="00583CF6" w14:paraId="205C00CA" w14:textId="77777777" w:rsidTr="00C51C90">
        <w:trPr>
          <w:jc w:val="center"/>
        </w:trPr>
        <w:tc>
          <w:tcPr>
            <w:tcW w:w="5179" w:type="dxa"/>
            <w:shd w:val="clear" w:color="auto" w:fill="11344A"/>
            <w:vAlign w:val="center"/>
          </w:tcPr>
          <w:p w14:paraId="5AB49946" w14:textId="77777777" w:rsidR="003A14CC" w:rsidRPr="00583CF6" w:rsidRDefault="00145077" w:rsidP="00583CF6">
            <w:pPr>
              <w:spacing w:after="40" w:line="360" w:lineRule="auto"/>
              <w:rPr>
                <w:sz w:val="22"/>
              </w:rPr>
            </w:pPr>
            <w:r w:rsidRPr="00583CF6">
              <w:rPr>
                <w:b/>
                <w:color w:val="FFFFFF"/>
                <w:sz w:val="22"/>
              </w:rPr>
              <w:t>Student name</w:t>
            </w:r>
          </w:p>
        </w:tc>
        <w:tc>
          <w:tcPr>
            <w:tcW w:w="5179" w:type="dxa"/>
            <w:vAlign w:val="center"/>
          </w:tcPr>
          <w:p w14:paraId="5D690119" w14:textId="77777777" w:rsidR="003A14CC" w:rsidRPr="00583CF6" w:rsidRDefault="00145077" w:rsidP="00583CF6">
            <w:pPr>
              <w:spacing w:after="40" w:line="360" w:lineRule="auto"/>
              <w:rPr>
                <w:sz w:val="22"/>
              </w:rPr>
            </w:pPr>
            <w:r w:rsidRPr="00583CF6">
              <w:rPr>
                <w:sz w:val="22"/>
              </w:rPr>
              <w:t xml:space="preserve">Syed </w:t>
            </w:r>
            <w:proofErr w:type="spellStart"/>
            <w:r w:rsidRPr="00583CF6">
              <w:rPr>
                <w:sz w:val="22"/>
              </w:rPr>
              <w:t>Md</w:t>
            </w:r>
            <w:proofErr w:type="spellEnd"/>
            <w:r w:rsidRPr="00583CF6">
              <w:rPr>
                <w:sz w:val="22"/>
              </w:rPr>
              <w:t xml:space="preserve"> </w:t>
            </w:r>
            <w:proofErr w:type="spellStart"/>
            <w:r w:rsidRPr="00583CF6">
              <w:rPr>
                <w:sz w:val="22"/>
              </w:rPr>
              <w:t>Raihanul</w:t>
            </w:r>
            <w:proofErr w:type="spellEnd"/>
            <w:r w:rsidRPr="00583CF6">
              <w:rPr>
                <w:sz w:val="22"/>
              </w:rPr>
              <w:t xml:space="preserve"> </w:t>
            </w:r>
            <w:proofErr w:type="spellStart"/>
            <w:r w:rsidRPr="00583CF6">
              <w:rPr>
                <w:sz w:val="22"/>
              </w:rPr>
              <w:t>Hoque</w:t>
            </w:r>
            <w:proofErr w:type="spellEnd"/>
          </w:p>
        </w:tc>
      </w:tr>
      <w:tr w:rsidR="003A14CC" w:rsidRPr="00583CF6" w14:paraId="6FD6D69C" w14:textId="77777777" w:rsidTr="00C51C90">
        <w:trPr>
          <w:jc w:val="center"/>
        </w:trPr>
        <w:tc>
          <w:tcPr>
            <w:tcW w:w="5179" w:type="dxa"/>
            <w:shd w:val="clear" w:color="auto" w:fill="11344A"/>
            <w:vAlign w:val="center"/>
          </w:tcPr>
          <w:p w14:paraId="0496FDA8" w14:textId="77777777" w:rsidR="003A14CC" w:rsidRPr="00583CF6" w:rsidRDefault="00145077" w:rsidP="00583CF6">
            <w:pPr>
              <w:spacing w:after="40" w:line="360" w:lineRule="auto"/>
              <w:rPr>
                <w:sz w:val="22"/>
              </w:rPr>
            </w:pPr>
            <w:r w:rsidRPr="00583CF6">
              <w:rPr>
                <w:b/>
                <w:color w:val="FFFFFF"/>
                <w:sz w:val="22"/>
              </w:rPr>
              <w:t>Student ID</w:t>
            </w:r>
          </w:p>
        </w:tc>
        <w:tc>
          <w:tcPr>
            <w:tcW w:w="5179" w:type="dxa"/>
            <w:vAlign w:val="center"/>
          </w:tcPr>
          <w:p w14:paraId="2F8DD951" w14:textId="77777777" w:rsidR="003A14CC" w:rsidRPr="00583CF6" w:rsidRDefault="00145077" w:rsidP="00583CF6">
            <w:pPr>
              <w:spacing w:after="40" w:line="360" w:lineRule="auto"/>
              <w:rPr>
                <w:sz w:val="22"/>
              </w:rPr>
            </w:pPr>
            <w:r w:rsidRPr="00583CF6">
              <w:rPr>
                <w:sz w:val="22"/>
              </w:rPr>
              <w:t>2521856</w:t>
            </w:r>
          </w:p>
        </w:tc>
      </w:tr>
      <w:tr w:rsidR="003A14CC" w:rsidRPr="00583CF6" w14:paraId="16FAA2B1" w14:textId="77777777" w:rsidTr="00C51C90">
        <w:trPr>
          <w:jc w:val="center"/>
        </w:trPr>
        <w:tc>
          <w:tcPr>
            <w:tcW w:w="5179" w:type="dxa"/>
            <w:shd w:val="clear" w:color="auto" w:fill="11344A"/>
            <w:vAlign w:val="center"/>
          </w:tcPr>
          <w:p w14:paraId="1FF404E0" w14:textId="77777777" w:rsidR="003A14CC" w:rsidRPr="00583CF6" w:rsidRDefault="00145077" w:rsidP="00583CF6">
            <w:pPr>
              <w:spacing w:after="40" w:line="360" w:lineRule="auto"/>
              <w:rPr>
                <w:sz w:val="22"/>
              </w:rPr>
            </w:pPr>
            <w:proofErr w:type="spellStart"/>
            <w:r w:rsidRPr="00583CF6">
              <w:rPr>
                <w:b/>
                <w:color w:val="FFFFFF"/>
                <w:sz w:val="22"/>
              </w:rPr>
              <w:t>Programme</w:t>
            </w:r>
            <w:proofErr w:type="spellEnd"/>
          </w:p>
        </w:tc>
        <w:tc>
          <w:tcPr>
            <w:tcW w:w="5179" w:type="dxa"/>
            <w:vAlign w:val="center"/>
          </w:tcPr>
          <w:p w14:paraId="6F6BD5EC" w14:textId="77777777" w:rsidR="003A14CC" w:rsidRPr="00583CF6" w:rsidRDefault="00145077" w:rsidP="00583CF6">
            <w:pPr>
              <w:spacing w:after="40" w:line="360" w:lineRule="auto"/>
              <w:rPr>
                <w:sz w:val="22"/>
              </w:rPr>
            </w:pPr>
            <w:r w:rsidRPr="00583CF6">
              <w:rPr>
                <w:sz w:val="22"/>
              </w:rPr>
              <w:t>MSc Public Health and Social Care in Practice</w:t>
            </w:r>
          </w:p>
        </w:tc>
      </w:tr>
      <w:tr w:rsidR="003A14CC" w:rsidRPr="00583CF6" w14:paraId="4F392DA0" w14:textId="77777777" w:rsidTr="00C51C90">
        <w:trPr>
          <w:jc w:val="center"/>
        </w:trPr>
        <w:tc>
          <w:tcPr>
            <w:tcW w:w="5179" w:type="dxa"/>
            <w:shd w:val="clear" w:color="auto" w:fill="11344A"/>
            <w:vAlign w:val="center"/>
          </w:tcPr>
          <w:p w14:paraId="28401FC4" w14:textId="77777777" w:rsidR="003A14CC" w:rsidRPr="00583CF6" w:rsidRDefault="00145077" w:rsidP="00583CF6">
            <w:pPr>
              <w:spacing w:after="40" w:line="360" w:lineRule="auto"/>
              <w:rPr>
                <w:sz w:val="22"/>
              </w:rPr>
            </w:pPr>
            <w:r w:rsidRPr="00583CF6">
              <w:rPr>
                <w:b/>
                <w:color w:val="FFFFFF"/>
                <w:sz w:val="22"/>
              </w:rPr>
              <w:t>Module code and title</w:t>
            </w:r>
          </w:p>
        </w:tc>
        <w:tc>
          <w:tcPr>
            <w:tcW w:w="5179" w:type="dxa"/>
            <w:vAlign w:val="center"/>
          </w:tcPr>
          <w:p w14:paraId="3F0F7646" w14:textId="77777777" w:rsidR="003A14CC" w:rsidRPr="00583CF6" w:rsidRDefault="00145077" w:rsidP="00583CF6">
            <w:pPr>
              <w:spacing w:after="40" w:line="360" w:lineRule="auto"/>
              <w:rPr>
                <w:sz w:val="22"/>
              </w:rPr>
            </w:pPr>
            <w:r w:rsidRPr="00583CF6">
              <w:rPr>
                <w:sz w:val="22"/>
              </w:rPr>
              <w:t>LCHS7009: Population Health and Digital Health Promotion</w:t>
            </w:r>
          </w:p>
        </w:tc>
      </w:tr>
      <w:tr w:rsidR="003A14CC" w:rsidRPr="00583CF6" w14:paraId="67603943" w14:textId="77777777" w:rsidTr="00C51C90">
        <w:trPr>
          <w:jc w:val="center"/>
        </w:trPr>
        <w:tc>
          <w:tcPr>
            <w:tcW w:w="5179" w:type="dxa"/>
            <w:shd w:val="clear" w:color="auto" w:fill="11344A"/>
            <w:vAlign w:val="center"/>
          </w:tcPr>
          <w:p w14:paraId="5F9836EE" w14:textId="77777777" w:rsidR="003A14CC" w:rsidRPr="00583CF6" w:rsidRDefault="00145077" w:rsidP="00583CF6">
            <w:pPr>
              <w:spacing w:after="40" w:line="360" w:lineRule="auto"/>
              <w:rPr>
                <w:sz w:val="22"/>
              </w:rPr>
            </w:pPr>
            <w:r w:rsidRPr="00583CF6">
              <w:rPr>
                <w:b/>
                <w:color w:val="FFFFFF"/>
                <w:sz w:val="22"/>
              </w:rPr>
              <w:t>Lecturer</w:t>
            </w:r>
          </w:p>
        </w:tc>
        <w:tc>
          <w:tcPr>
            <w:tcW w:w="5179" w:type="dxa"/>
            <w:vAlign w:val="center"/>
          </w:tcPr>
          <w:p w14:paraId="6D802033" w14:textId="67468E35" w:rsidR="003A14CC" w:rsidRPr="00583CF6" w:rsidRDefault="005D004A" w:rsidP="00583CF6">
            <w:pPr>
              <w:spacing w:after="40" w:line="360" w:lineRule="auto"/>
              <w:rPr>
                <w:sz w:val="22"/>
              </w:rPr>
            </w:pPr>
            <w:r w:rsidRPr="00583CF6">
              <w:rPr>
                <w:sz w:val="22"/>
              </w:rPr>
              <w:t xml:space="preserve">Dr. </w:t>
            </w:r>
            <w:proofErr w:type="spellStart"/>
            <w:r w:rsidRPr="00583CF6">
              <w:rPr>
                <w:sz w:val="22"/>
              </w:rPr>
              <w:t>Raheela</w:t>
            </w:r>
            <w:proofErr w:type="spellEnd"/>
            <w:r w:rsidRPr="00583CF6">
              <w:rPr>
                <w:sz w:val="22"/>
              </w:rPr>
              <w:t xml:space="preserve"> Shaikh</w:t>
            </w:r>
          </w:p>
        </w:tc>
      </w:tr>
      <w:tr w:rsidR="003A14CC" w:rsidRPr="00583CF6" w14:paraId="5ED29029" w14:textId="77777777" w:rsidTr="00C51C90">
        <w:trPr>
          <w:jc w:val="center"/>
        </w:trPr>
        <w:tc>
          <w:tcPr>
            <w:tcW w:w="5179" w:type="dxa"/>
            <w:shd w:val="clear" w:color="auto" w:fill="11344A"/>
            <w:vAlign w:val="center"/>
          </w:tcPr>
          <w:p w14:paraId="7181BF8A" w14:textId="77777777" w:rsidR="003A14CC" w:rsidRPr="00583CF6" w:rsidRDefault="00145077" w:rsidP="00583CF6">
            <w:pPr>
              <w:spacing w:after="40" w:line="360" w:lineRule="auto"/>
              <w:rPr>
                <w:sz w:val="22"/>
              </w:rPr>
            </w:pPr>
            <w:r w:rsidRPr="00583CF6">
              <w:rPr>
                <w:b/>
                <w:color w:val="FFFFFF"/>
                <w:sz w:val="22"/>
              </w:rPr>
              <w:t>Assignment title</w:t>
            </w:r>
          </w:p>
        </w:tc>
        <w:tc>
          <w:tcPr>
            <w:tcW w:w="5179" w:type="dxa"/>
            <w:vAlign w:val="center"/>
          </w:tcPr>
          <w:p w14:paraId="199E092C" w14:textId="77777777" w:rsidR="003A14CC" w:rsidRPr="00583CF6" w:rsidRDefault="00145077" w:rsidP="00583CF6">
            <w:pPr>
              <w:spacing w:after="40" w:line="360" w:lineRule="auto"/>
              <w:rPr>
                <w:sz w:val="22"/>
              </w:rPr>
            </w:pPr>
            <w:r w:rsidRPr="00583CF6">
              <w:rPr>
                <w:sz w:val="22"/>
              </w:rPr>
              <w:t>Component 1: Two Blogs</w:t>
            </w:r>
          </w:p>
        </w:tc>
      </w:tr>
      <w:tr w:rsidR="003A14CC" w:rsidRPr="00583CF6" w14:paraId="3D36FD18" w14:textId="77777777" w:rsidTr="00C51C90">
        <w:trPr>
          <w:jc w:val="center"/>
        </w:trPr>
        <w:tc>
          <w:tcPr>
            <w:tcW w:w="5179" w:type="dxa"/>
            <w:shd w:val="clear" w:color="auto" w:fill="11344A"/>
            <w:vAlign w:val="center"/>
          </w:tcPr>
          <w:p w14:paraId="4EF1510E" w14:textId="77777777" w:rsidR="003A14CC" w:rsidRPr="00583CF6" w:rsidRDefault="00145077" w:rsidP="00583CF6">
            <w:pPr>
              <w:spacing w:after="40" w:line="360" w:lineRule="auto"/>
              <w:rPr>
                <w:sz w:val="22"/>
              </w:rPr>
            </w:pPr>
            <w:r w:rsidRPr="00583CF6">
              <w:rPr>
                <w:b/>
                <w:color w:val="FFFFFF"/>
                <w:sz w:val="22"/>
              </w:rPr>
              <w:t>Submission deadline</w:t>
            </w:r>
          </w:p>
        </w:tc>
        <w:tc>
          <w:tcPr>
            <w:tcW w:w="5179" w:type="dxa"/>
            <w:vAlign w:val="center"/>
          </w:tcPr>
          <w:p w14:paraId="1ABF6FF6" w14:textId="3F013073" w:rsidR="003A14CC" w:rsidRPr="00583CF6" w:rsidRDefault="000058ED" w:rsidP="00583CF6">
            <w:pPr>
              <w:spacing w:after="40" w:line="360" w:lineRule="auto"/>
              <w:rPr>
                <w:sz w:val="22"/>
              </w:rPr>
            </w:pPr>
            <w:r>
              <w:rPr>
                <w:sz w:val="22"/>
              </w:rPr>
              <w:t>30 June</w:t>
            </w:r>
            <w:r w:rsidR="003E2A1A" w:rsidRPr="00583CF6">
              <w:rPr>
                <w:sz w:val="22"/>
              </w:rPr>
              <w:t xml:space="preserve"> 2026</w:t>
            </w:r>
          </w:p>
        </w:tc>
      </w:tr>
    </w:tbl>
    <w:p w14:paraId="108BC8DC" w14:textId="77777777" w:rsidR="003A14CC" w:rsidRDefault="00145077">
      <w:r>
        <w:br w:type="page"/>
      </w:r>
    </w:p>
    <w:p w14:paraId="78053FD1" w14:textId="77777777" w:rsidR="00B927FA" w:rsidRDefault="00145077" w:rsidP="00B927FA">
      <w:pPr>
        <w:pStyle w:val="Heading1"/>
      </w:pPr>
      <w:r>
        <w:lastRenderedPageBreak/>
        <w:t xml:space="preserve">Blog 1: </w:t>
      </w:r>
      <w:r w:rsidR="00B927FA">
        <w:rPr>
          <w:color w:val="13737A"/>
        </w:rPr>
        <w:t>Role of Digital Technology in Managing Type 2 Diabetes and Reducing Health Inequalities</w:t>
      </w:r>
    </w:p>
    <w:p w14:paraId="4E689E9E" w14:textId="40384A75" w:rsidR="00ED710D" w:rsidRDefault="00ED710D" w:rsidP="00A3016C">
      <w:pPr>
        <w:spacing w:after="140" w:line="360" w:lineRule="auto"/>
        <w:jc w:val="both"/>
      </w:pPr>
      <w:r w:rsidRPr="00ED710D">
        <w:t>Diabetes is a chronic disorder in which there is excessive glucose in the blood. Type 1 diabetes is typically autoimmune and needs insulin, whereas type 2 diabetes occurs when the body is unable to utilize insulin effectively. The focus is on type 2 diabetes since over 95</w:t>
      </w:r>
      <w:r>
        <w:t>%</w:t>
      </w:r>
      <w:r w:rsidRPr="00ED710D">
        <w:t xml:space="preserve"> of the human population with diabetes has this form, and it can be prevented or at least delayed with the change in the lifestyle (World Health Organization, 2024). </w:t>
      </w:r>
    </w:p>
    <w:p w14:paraId="261C9151" w14:textId="32064703" w:rsidR="00C7009D" w:rsidRDefault="00C7009D" w:rsidP="00C7009D">
      <w:pPr>
        <w:spacing w:after="140" w:line="360" w:lineRule="auto"/>
        <w:jc w:val="center"/>
      </w:pPr>
      <w:r>
        <w:rPr>
          <w:noProof/>
          <w:lang w:bidi="bn-IN"/>
        </w:rPr>
        <w:drawing>
          <wp:inline distT="0" distB="0" distL="0" distR="0" wp14:anchorId="451EF12F" wp14:editId="531C28A5">
            <wp:extent cx="2497455" cy="1665803"/>
            <wp:effectExtent l="0" t="0" r="0" b="0"/>
            <wp:docPr id="362366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8315" cy="1673047"/>
                    </a:xfrm>
                    <a:prstGeom prst="rect">
                      <a:avLst/>
                    </a:prstGeom>
                    <a:noFill/>
                  </pic:spPr>
                </pic:pic>
              </a:graphicData>
            </a:graphic>
          </wp:inline>
        </w:drawing>
      </w:r>
    </w:p>
    <w:p w14:paraId="26DFA622" w14:textId="12C6A574" w:rsidR="00C7009D" w:rsidRDefault="00C7009D" w:rsidP="00C7009D">
      <w:pPr>
        <w:spacing w:after="140" w:line="360" w:lineRule="auto"/>
        <w:jc w:val="center"/>
      </w:pPr>
      <w:r w:rsidRPr="00C87433">
        <w:rPr>
          <w:i/>
          <w:color w:val="000000" w:themeColor="text1"/>
          <w:sz w:val="18"/>
        </w:rPr>
        <w:t xml:space="preserve">Figure 1: </w:t>
      </w:r>
      <w:r>
        <w:rPr>
          <w:i/>
          <w:color w:val="000000" w:themeColor="text1"/>
          <w:sz w:val="18"/>
        </w:rPr>
        <w:t xml:space="preserve">Diabetic </w:t>
      </w:r>
      <w:r w:rsidR="00602566">
        <w:rPr>
          <w:i/>
          <w:color w:val="000000" w:themeColor="text1"/>
          <w:sz w:val="18"/>
        </w:rPr>
        <w:t>awareness</w:t>
      </w:r>
    </w:p>
    <w:p w14:paraId="52F13656" w14:textId="3D9AFBED" w:rsidR="00ED710D" w:rsidRDefault="00ED710D" w:rsidP="00A3016C">
      <w:pPr>
        <w:spacing w:after="140" w:line="360" w:lineRule="auto"/>
        <w:jc w:val="both"/>
      </w:pPr>
      <w:r w:rsidRPr="00ED710D">
        <w:t xml:space="preserve">Type 2 diabetes is becoming a significant population health concern in England. In its report, the Office for Health Improvement and Disparities (2025) stated that the prevalence of type 2 diabetes recorded in the GPs rose to 7.0% in March 2024, compared to 6.8% in March 2023. In 2021, it was estimated that the prevalence of diagnosed and undiagnosed type 2 diabetes was 7.8% in adults, which is equivalent to approximately 3.6 million people in England (Office for Health Improvement and Disparities, 2025). </w:t>
      </w:r>
    </w:p>
    <w:p w14:paraId="230DBFD0" w14:textId="4A2138CE" w:rsidR="00B927FA" w:rsidRDefault="00B927FA" w:rsidP="00C7009D">
      <w:pPr>
        <w:spacing w:after="140" w:line="360" w:lineRule="auto"/>
        <w:jc w:val="center"/>
      </w:pPr>
      <w:r>
        <w:rPr>
          <w:noProof/>
          <w:lang w:bidi="bn-IN"/>
        </w:rPr>
        <w:drawing>
          <wp:inline distT="0" distB="0" distL="0" distR="0" wp14:anchorId="5ED660DB" wp14:editId="25557FAE">
            <wp:extent cx="3101340" cy="2115867"/>
            <wp:effectExtent l="0" t="0" r="3810" b="0"/>
            <wp:docPr id="6708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6294"/>
                    <a:stretch>
                      <a:fillRect/>
                    </a:stretch>
                  </pic:blipFill>
                  <pic:spPr bwMode="auto">
                    <a:xfrm>
                      <a:off x="0" y="0"/>
                      <a:ext cx="3112766" cy="2123662"/>
                    </a:xfrm>
                    <a:prstGeom prst="rect">
                      <a:avLst/>
                    </a:prstGeom>
                    <a:noFill/>
                    <a:ln>
                      <a:noFill/>
                    </a:ln>
                    <a:extLst>
                      <a:ext uri="{53640926-AAD7-44D8-BBD7-CCE9431645EC}">
                        <a14:shadowObscured xmlns:a14="http://schemas.microsoft.com/office/drawing/2010/main"/>
                      </a:ext>
                    </a:extLst>
                  </pic:spPr>
                </pic:pic>
              </a:graphicData>
            </a:graphic>
          </wp:inline>
        </w:drawing>
      </w:r>
    </w:p>
    <w:p w14:paraId="180494EC" w14:textId="1ECA0725" w:rsidR="00B927FA" w:rsidRPr="00C87433" w:rsidRDefault="00B927FA" w:rsidP="00F16BB4">
      <w:pPr>
        <w:spacing w:after="160" w:line="360" w:lineRule="auto"/>
        <w:jc w:val="center"/>
        <w:rPr>
          <w:color w:val="000000" w:themeColor="text1"/>
        </w:rPr>
      </w:pPr>
      <w:r w:rsidRPr="00C87433">
        <w:rPr>
          <w:i/>
          <w:color w:val="000000" w:themeColor="text1"/>
          <w:sz w:val="18"/>
        </w:rPr>
        <w:t xml:space="preserve">Figure </w:t>
      </w:r>
      <w:r w:rsidR="00C7009D">
        <w:rPr>
          <w:i/>
          <w:color w:val="000000" w:themeColor="text1"/>
          <w:sz w:val="18"/>
        </w:rPr>
        <w:t>2</w:t>
      </w:r>
      <w:r w:rsidRPr="00C87433">
        <w:rPr>
          <w:i/>
          <w:color w:val="000000" w:themeColor="text1"/>
          <w:sz w:val="18"/>
        </w:rPr>
        <w:t>: England type 2 diabetes prevalence has continued to rise. Data adapted from Office for Health Improvement and Disparities (2025).</w:t>
      </w:r>
    </w:p>
    <w:p w14:paraId="2D1FE25A" w14:textId="77777777" w:rsidR="00ED710D" w:rsidRDefault="00ED710D" w:rsidP="00A3016C">
      <w:pPr>
        <w:spacing w:after="140" w:line="360" w:lineRule="auto"/>
        <w:jc w:val="both"/>
      </w:pPr>
      <w:r w:rsidRPr="00ED710D">
        <w:t>Diabetes type 2 exhibits inequalities in health. At a younger age and lower body mass index, South Asians, including communities of Bangladesh, tend to develop type 2 diabetes (</w:t>
      </w:r>
      <w:proofErr w:type="spellStart"/>
      <w:r w:rsidRPr="00ED710D">
        <w:t>Misra</w:t>
      </w:r>
      <w:proofErr w:type="spellEnd"/>
      <w:r w:rsidRPr="00ED710D">
        <w:t xml:space="preserve"> et al., 2025). It implies that the usual risk communication can overlook individuals who require previous guidance. Language, food culture, income, health literacy as well as trust in services may also influence the receipt and utilization of prevention support among people.</w:t>
      </w:r>
    </w:p>
    <w:p w14:paraId="7E9DF200" w14:textId="3C4A811D" w:rsidR="00B927FA" w:rsidRDefault="00B927FA" w:rsidP="00A3016C">
      <w:pPr>
        <w:spacing w:after="140" w:line="360" w:lineRule="auto"/>
        <w:jc w:val="center"/>
      </w:pPr>
      <w:r>
        <w:rPr>
          <w:noProof/>
          <w:lang w:bidi="bn-IN"/>
        </w:rPr>
        <w:lastRenderedPageBreak/>
        <w:drawing>
          <wp:inline distT="0" distB="0" distL="0" distR="0" wp14:anchorId="6F4FAC16" wp14:editId="43593BD3">
            <wp:extent cx="3196190" cy="2614930"/>
            <wp:effectExtent l="0" t="0" r="4445" b="0"/>
            <wp:docPr id="987090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0984" cy="2627034"/>
                    </a:xfrm>
                    <a:prstGeom prst="rect">
                      <a:avLst/>
                    </a:prstGeom>
                    <a:noFill/>
                  </pic:spPr>
                </pic:pic>
              </a:graphicData>
            </a:graphic>
          </wp:inline>
        </w:drawing>
      </w:r>
    </w:p>
    <w:p w14:paraId="67C0D259" w14:textId="6697CD3F" w:rsidR="00B927FA" w:rsidRPr="00C87433" w:rsidRDefault="00B927FA" w:rsidP="00A3016C">
      <w:pPr>
        <w:spacing w:after="160" w:line="360" w:lineRule="auto"/>
        <w:jc w:val="center"/>
        <w:rPr>
          <w:color w:val="000000" w:themeColor="text1"/>
        </w:rPr>
      </w:pPr>
      <w:r w:rsidRPr="00C87433">
        <w:rPr>
          <w:i/>
          <w:color w:val="000000" w:themeColor="text1"/>
          <w:sz w:val="18"/>
        </w:rPr>
        <w:t xml:space="preserve">Figure 2: Type 2 diabetes among South Asian people </w:t>
      </w:r>
    </w:p>
    <w:p w14:paraId="2E02987B" w14:textId="77777777" w:rsidR="00C7009D" w:rsidRDefault="00ED710D" w:rsidP="00C7009D">
      <w:pPr>
        <w:spacing w:after="140" w:line="360" w:lineRule="auto"/>
        <w:jc w:val="both"/>
      </w:pPr>
      <w:r w:rsidRPr="00ED710D">
        <w:t xml:space="preserve">Digital technology can assist in transforming the infrequent advice into consistent health promotion. The National Health Service (NHS) Healthier You Diabetes Prevention </w:t>
      </w:r>
      <w:proofErr w:type="spellStart"/>
      <w:r w:rsidRPr="00ED710D">
        <w:t>Programme</w:t>
      </w:r>
      <w:proofErr w:type="spellEnd"/>
      <w:r w:rsidRPr="00ED710D">
        <w:t xml:space="preserve"> is a </w:t>
      </w:r>
      <w:proofErr w:type="spellStart"/>
      <w:r w:rsidRPr="00ED710D">
        <w:t>programme</w:t>
      </w:r>
      <w:proofErr w:type="spellEnd"/>
      <w:r w:rsidRPr="00ED710D">
        <w:t xml:space="preserve"> that includes high-risk adults through identifying them and provides a 9 months lifestyle </w:t>
      </w:r>
      <w:proofErr w:type="spellStart"/>
      <w:r w:rsidRPr="00ED710D">
        <w:t>programme</w:t>
      </w:r>
      <w:proofErr w:type="spellEnd"/>
      <w:r w:rsidRPr="00ED710D">
        <w:t xml:space="preserve">, including a digital service including apps, wearable activity monitoring, health coaches, online peer support and electronic goal tracking (NHS England, 2026). </w:t>
      </w:r>
    </w:p>
    <w:p w14:paraId="15B7C510" w14:textId="7C665245" w:rsidR="00C7009D" w:rsidRDefault="00C7009D" w:rsidP="00C7009D">
      <w:pPr>
        <w:spacing w:after="140" w:line="360" w:lineRule="auto"/>
        <w:jc w:val="center"/>
      </w:pPr>
      <w:r>
        <w:rPr>
          <w:noProof/>
          <w:lang w:bidi="bn-IN"/>
        </w:rPr>
        <w:drawing>
          <wp:inline distT="0" distB="0" distL="0" distR="0" wp14:anchorId="614F92B3" wp14:editId="24D78DC4">
            <wp:extent cx="3298190" cy="2023745"/>
            <wp:effectExtent l="0" t="0" r="0" b="0"/>
            <wp:docPr id="614786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98190" cy="2023745"/>
                    </a:xfrm>
                    <a:prstGeom prst="rect">
                      <a:avLst/>
                    </a:prstGeom>
                    <a:noFill/>
                  </pic:spPr>
                </pic:pic>
              </a:graphicData>
            </a:graphic>
          </wp:inline>
        </w:drawing>
      </w:r>
    </w:p>
    <w:p w14:paraId="18E4D5E1" w14:textId="4863D8C5" w:rsidR="00C7009D" w:rsidRPr="00C7009D" w:rsidRDefault="00C7009D" w:rsidP="00C7009D">
      <w:pPr>
        <w:spacing w:after="140" w:line="360" w:lineRule="auto"/>
        <w:jc w:val="center"/>
        <w:rPr>
          <w:i/>
          <w:iCs/>
        </w:rPr>
      </w:pPr>
      <w:r w:rsidRPr="00A3016C">
        <w:rPr>
          <w:i/>
          <w:iCs/>
        </w:rPr>
        <w:t xml:space="preserve">Figure 3: NHS "Healthier You" </w:t>
      </w:r>
      <w:proofErr w:type="spellStart"/>
      <w:r w:rsidRPr="00A3016C">
        <w:rPr>
          <w:i/>
          <w:iCs/>
        </w:rPr>
        <w:t>programme</w:t>
      </w:r>
      <w:proofErr w:type="spellEnd"/>
      <w:r w:rsidRPr="00A3016C">
        <w:rPr>
          <w:i/>
          <w:iCs/>
        </w:rPr>
        <w:t xml:space="preserve"> guide cover for African, Caribbean, and South Asian culinary adaptations.</w:t>
      </w:r>
    </w:p>
    <w:p w14:paraId="20793AAA" w14:textId="3D38257A" w:rsidR="00C7009D" w:rsidRDefault="00ED710D" w:rsidP="00C7009D">
      <w:pPr>
        <w:spacing w:after="140" w:line="360" w:lineRule="auto"/>
        <w:jc w:val="both"/>
      </w:pPr>
      <w:r w:rsidRPr="00ED710D">
        <w:t>With ability to establish capability by means of training, ability by outreach and encouragement by feed-back, these instruments can be used to construct ability using the COM-B model (</w:t>
      </w:r>
      <w:proofErr w:type="spellStart"/>
      <w:r w:rsidRPr="00ED710D">
        <w:t>Michie</w:t>
      </w:r>
      <w:proofErr w:type="spellEnd"/>
      <w:r w:rsidRPr="00ED710D">
        <w:t xml:space="preserve">, van </w:t>
      </w:r>
      <w:proofErr w:type="spellStart"/>
      <w:r w:rsidRPr="00ED710D">
        <w:t>Stralen</w:t>
      </w:r>
      <w:proofErr w:type="spellEnd"/>
      <w:r w:rsidRPr="00ED710D">
        <w:t xml:space="preserve"> and West, 2011There is some promising evidence: the digital </w:t>
      </w:r>
      <w:proofErr w:type="spellStart"/>
      <w:r w:rsidRPr="00ED710D">
        <w:t>programme</w:t>
      </w:r>
      <w:proofErr w:type="spellEnd"/>
      <w:r w:rsidRPr="00ED710D">
        <w:t xml:space="preserve"> has been linked to a decrease in weight and HbA1c (Ross et al., 2022) and the broader NHS Diabetes Prevention </w:t>
      </w:r>
      <w:proofErr w:type="spellStart"/>
      <w:r w:rsidRPr="00ED710D">
        <w:t>Programme</w:t>
      </w:r>
      <w:proofErr w:type="spellEnd"/>
      <w:r w:rsidRPr="00ED710D">
        <w:t xml:space="preserve"> has been reported to lower the type 2 diabetes incidence and cost-effectiveness (Bower et al., 2025)</w:t>
      </w:r>
      <w:r w:rsidR="00C7009D">
        <w:t>.</w:t>
      </w:r>
    </w:p>
    <w:p w14:paraId="6C642009" w14:textId="674C3272" w:rsidR="00C7009D" w:rsidRPr="00C7009D" w:rsidRDefault="00C7009D" w:rsidP="00C7009D">
      <w:pPr>
        <w:spacing w:after="140" w:line="360" w:lineRule="auto"/>
        <w:jc w:val="center"/>
        <w:rPr>
          <w:i/>
          <w:iCs/>
        </w:rPr>
      </w:pPr>
      <w:r w:rsidRPr="00C7009D">
        <w:rPr>
          <w:i/>
          <w:iCs/>
          <w:noProof/>
          <w:lang w:bidi="bn-IN"/>
        </w:rPr>
        <w:lastRenderedPageBreak/>
        <w:drawing>
          <wp:inline distT="0" distB="0" distL="0" distR="0" wp14:anchorId="754CF9C6" wp14:editId="42E88CD9">
            <wp:extent cx="2737485" cy="1887671"/>
            <wp:effectExtent l="0" t="0" r="5715" b="0"/>
            <wp:docPr id="17016239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4272" cy="1892351"/>
                    </a:xfrm>
                    <a:prstGeom prst="rect">
                      <a:avLst/>
                    </a:prstGeom>
                    <a:noFill/>
                  </pic:spPr>
                </pic:pic>
              </a:graphicData>
            </a:graphic>
          </wp:inline>
        </w:drawing>
      </w:r>
    </w:p>
    <w:p w14:paraId="58BA4865" w14:textId="62442202" w:rsidR="00A3016C" w:rsidRPr="00C7009D" w:rsidRDefault="00C7009D" w:rsidP="00C7009D">
      <w:pPr>
        <w:spacing w:after="140" w:line="360" w:lineRule="auto"/>
        <w:jc w:val="center"/>
        <w:rPr>
          <w:i/>
          <w:iCs/>
        </w:rPr>
      </w:pPr>
      <w:r w:rsidRPr="00C7009D">
        <w:rPr>
          <w:i/>
          <w:iCs/>
        </w:rPr>
        <w:t xml:space="preserve">Figure </w:t>
      </w:r>
      <w:r w:rsidR="00FC6D8E">
        <w:rPr>
          <w:i/>
          <w:iCs/>
        </w:rPr>
        <w:t>4</w:t>
      </w:r>
      <w:r w:rsidRPr="00C7009D">
        <w:rPr>
          <w:i/>
          <w:iCs/>
        </w:rPr>
        <w:t>: COM-B model</w:t>
      </w:r>
    </w:p>
    <w:p w14:paraId="7C9CAF01" w14:textId="4636FEE9" w:rsidR="00A3016C" w:rsidRDefault="00ED710D" w:rsidP="00A3016C">
      <w:pPr>
        <w:spacing w:after="140" w:line="360" w:lineRule="auto"/>
        <w:jc w:val="both"/>
      </w:pPr>
      <w:r w:rsidRPr="00ED710D">
        <w:t>But digital assistance may increase inequality as well when individuals do not have devices, data, confidence, English-language proficiency or belief in privacy. The shortcomings need to be met with the hybrid delivery, translation, community referral, telephone coaching and simple consent explanations. Type 2 diabetes inequality can be minimized by the digital technology only when it is provided as an inclusive support but not as a substitute to human care (NHS England, 2023).</w:t>
      </w:r>
    </w:p>
    <w:p w14:paraId="4971E8FF" w14:textId="292D0439" w:rsidR="00A3016C" w:rsidRDefault="00A3016C" w:rsidP="00C7009D">
      <w:pPr>
        <w:spacing w:after="140" w:line="360" w:lineRule="auto"/>
        <w:jc w:val="center"/>
        <w:rPr>
          <w:noProof/>
        </w:rPr>
      </w:pPr>
      <w:r>
        <w:rPr>
          <w:noProof/>
          <w:lang w:bidi="bn-IN"/>
        </w:rPr>
        <w:drawing>
          <wp:inline distT="0" distB="0" distL="0" distR="0" wp14:anchorId="612D5880" wp14:editId="55D4225C">
            <wp:extent cx="3899134" cy="2714924"/>
            <wp:effectExtent l="0" t="0" r="6350" b="9525"/>
            <wp:docPr id="14566619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13309" cy="2724794"/>
                    </a:xfrm>
                    <a:prstGeom prst="rect">
                      <a:avLst/>
                    </a:prstGeom>
                    <a:noFill/>
                  </pic:spPr>
                </pic:pic>
              </a:graphicData>
            </a:graphic>
          </wp:inline>
        </w:drawing>
      </w:r>
    </w:p>
    <w:p w14:paraId="4D9145D4" w14:textId="385F073B" w:rsidR="00A3016C" w:rsidRPr="00C7009D" w:rsidRDefault="00A3016C" w:rsidP="00C7009D">
      <w:pPr>
        <w:spacing w:after="140" w:line="360" w:lineRule="auto"/>
        <w:jc w:val="center"/>
        <w:rPr>
          <w:i/>
          <w:color w:val="000000" w:themeColor="text1"/>
          <w:sz w:val="22"/>
          <w:szCs w:val="28"/>
        </w:rPr>
      </w:pPr>
      <w:r w:rsidRPr="00ED710D">
        <w:rPr>
          <w:i/>
          <w:color w:val="000000" w:themeColor="text1"/>
          <w:sz w:val="22"/>
          <w:szCs w:val="28"/>
        </w:rPr>
        <w:t xml:space="preserve">Figure </w:t>
      </w:r>
      <w:r w:rsidR="00FC6D8E">
        <w:rPr>
          <w:i/>
          <w:color w:val="000000" w:themeColor="text1"/>
          <w:sz w:val="22"/>
          <w:szCs w:val="28"/>
        </w:rPr>
        <w:t>5</w:t>
      </w:r>
      <w:r w:rsidRPr="00ED710D">
        <w:rPr>
          <w:i/>
          <w:color w:val="000000" w:themeColor="text1"/>
          <w:sz w:val="22"/>
          <w:szCs w:val="28"/>
        </w:rPr>
        <w:t xml:space="preserve">: Existing digital support should be connected to </w:t>
      </w:r>
      <w:proofErr w:type="spellStart"/>
      <w:r w:rsidRPr="00ED710D">
        <w:rPr>
          <w:i/>
          <w:color w:val="000000" w:themeColor="text1"/>
          <w:sz w:val="22"/>
          <w:szCs w:val="28"/>
        </w:rPr>
        <w:t>behaviour</w:t>
      </w:r>
      <w:proofErr w:type="spellEnd"/>
      <w:r w:rsidRPr="00ED710D">
        <w:rPr>
          <w:i/>
          <w:color w:val="000000" w:themeColor="text1"/>
          <w:sz w:val="22"/>
          <w:szCs w:val="28"/>
        </w:rPr>
        <w:t xml:space="preserve"> change theory and an equity check</w:t>
      </w:r>
    </w:p>
    <w:p w14:paraId="106B5639" w14:textId="77777777" w:rsidR="00B927FA" w:rsidRPr="00B927FA" w:rsidRDefault="00B927FA" w:rsidP="00A3016C">
      <w:pPr>
        <w:pStyle w:val="Heading2"/>
        <w:spacing w:line="360" w:lineRule="auto"/>
        <w:rPr>
          <w:color w:val="000000" w:themeColor="text1"/>
        </w:rPr>
      </w:pPr>
      <w:r w:rsidRPr="00B927FA">
        <w:rPr>
          <w:color w:val="000000" w:themeColor="text1"/>
        </w:rPr>
        <w:t>Useful reader resources</w:t>
      </w:r>
    </w:p>
    <w:p w14:paraId="00D771FF" w14:textId="77777777" w:rsidR="00B927FA" w:rsidRDefault="00B927FA" w:rsidP="00A3016C">
      <w:pPr>
        <w:spacing w:line="360" w:lineRule="auto"/>
      </w:pPr>
      <w:r>
        <w:t xml:space="preserve">• </w:t>
      </w:r>
      <w:hyperlink r:id="rId15">
        <w:r>
          <w:rPr>
            <w:color w:val="0B5CAD"/>
            <w:u w:val="single"/>
          </w:rPr>
          <w:t xml:space="preserve">NHS Healthier You Diabetes Prevention </w:t>
        </w:r>
        <w:proofErr w:type="spellStart"/>
        <w:r>
          <w:rPr>
            <w:color w:val="0B5CAD"/>
            <w:u w:val="single"/>
          </w:rPr>
          <w:t>Programme</w:t>
        </w:r>
        <w:proofErr w:type="spellEnd"/>
      </w:hyperlink>
    </w:p>
    <w:p w14:paraId="643CFA55" w14:textId="77777777" w:rsidR="00B927FA" w:rsidRDefault="00B927FA" w:rsidP="00A3016C">
      <w:pPr>
        <w:spacing w:line="360" w:lineRule="auto"/>
      </w:pPr>
      <w:r>
        <w:t xml:space="preserve">• </w:t>
      </w:r>
      <w:hyperlink r:id="rId16">
        <w:r>
          <w:rPr>
            <w:color w:val="0B5CAD"/>
            <w:u w:val="single"/>
          </w:rPr>
          <w:t>NHS inclusive digital healthcare framework</w:t>
        </w:r>
      </w:hyperlink>
    </w:p>
    <w:p w14:paraId="5AB7A705" w14:textId="77777777" w:rsidR="00B927FA" w:rsidRDefault="00B927FA" w:rsidP="00A3016C">
      <w:pPr>
        <w:spacing w:after="140" w:line="360" w:lineRule="auto"/>
        <w:jc w:val="both"/>
      </w:pPr>
    </w:p>
    <w:p w14:paraId="5E4B2490" w14:textId="35EF5D14" w:rsidR="00501DF0" w:rsidRPr="00C61BBA" w:rsidRDefault="00C4289F" w:rsidP="00C7009D">
      <w:pPr>
        <w:spacing w:line="360" w:lineRule="auto"/>
        <w:rPr>
          <w:rFonts w:ascii="Calibri" w:eastAsiaTheme="majorEastAsia" w:hAnsi="Calibri" w:cs="Calibri"/>
          <w:b/>
          <w:bCs/>
          <w:color w:val="11344A"/>
          <w:sz w:val="36"/>
          <w:szCs w:val="36"/>
        </w:rPr>
      </w:pPr>
      <w:r>
        <w:br w:type="page"/>
      </w:r>
      <w:r w:rsidRPr="00C61BBA">
        <w:rPr>
          <w:rFonts w:ascii="Calibri" w:hAnsi="Calibri" w:cs="Calibri"/>
          <w:b/>
          <w:bCs/>
          <w:color w:val="002060"/>
          <w:sz w:val="36"/>
          <w:szCs w:val="36"/>
        </w:rPr>
        <w:lastRenderedPageBreak/>
        <w:t xml:space="preserve">Blog 2: </w:t>
      </w:r>
      <w:r w:rsidR="00501DF0" w:rsidRPr="00C61BBA">
        <w:rPr>
          <w:rFonts w:ascii="Calibri" w:hAnsi="Calibri" w:cs="Calibri"/>
          <w:b/>
          <w:bCs/>
          <w:color w:val="002060"/>
          <w:sz w:val="36"/>
          <w:szCs w:val="36"/>
        </w:rPr>
        <w:t xml:space="preserve">Designing a Culturally Tailored Diabetes Prevention App: </w:t>
      </w:r>
      <w:proofErr w:type="spellStart"/>
      <w:r w:rsidR="00501DF0" w:rsidRPr="00C61BBA">
        <w:rPr>
          <w:rFonts w:ascii="Calibri" w:hAnsi="Calibri" w:cs="Calibri"/>
          <w:b/>
          <w:bCs/>
          <w:color w:val="002060"/>
          <w:sz w:val="36"/>
          <w:szCs w:val="36"/>
        </w:rPr>
        <w:t>GlucoMove</w:t>
      </w:r>
      <w:proofErr w:type="spellEnd"/>
    </w:p>
    <w:p w14:paraId="760ED73A" w14:textId="77777777" w:rsidR="00B067AB" w:rsidRDefault="00ED710D" w:rsidP="00A365D5">
      <w:pPr>
        <w:spacing w:after="140" w:line="360" w:lineRule="auto"/>
        <w:jc w:val="both"/>
      </w:pPr>
      <w:r w:rsidRPr="00ED710D">
        <w:t xml:space="preserve">Although South Asian communities have a higher risk of type 2 diabetes overall, this blog focuses specifically on Bangladeshi adults in the UK. An app with a culturally specific design is required since the general information on diabetes might not be relevant to Bangladeshi food consumption patterns, family dinners, linguistic requirements or confidence in healthcare services. </w:t>
      </w:r>
    </w:p>
    <w:p w14:paraId="5E5B3DFE" w14:textId="6DFDD841" w:rsidR="00ED710D" w:rsidRDefault="00ED710D" w:rsidP="00A365D5">
      <w:pPr>
        <w:spacing w:after="140" w:line="360" w:lineRule="auto"/>
        <w:jc w:val="both"/>
      </w:pPr>
      <w:r w:rsidRPr="00ED710D">
        <w:t>The South Asian population is prone to type 2 diabetes earlier and at a lower body mass index than the White European population</w:t>
      </w:r>
      <w:r w:rsidR="00B067AB">
        <w:t xml:space="preserve"> </w:t>
      </w:r>
      <w:r w:rsidRPr="00ED710D">
        <w:t>(</w:t>
      </w:r>
      <w:proofErr w:type="spellStart"/>
      <w:r w:rsidRPr="00ED710D">
        <w:t>Misra</w:t>
      </w:r>
      <w:proofErr w:type="spellEnd"/>
      <w:r w:rsidRPr="00ED710D">
        <w:t xml:space="preserve"> et al., 2025). </w:t>
      </w:r>
      <w:proofErr w:type="spellStart"/>
      <w:r w:rsidRPr="00ED710D">
        <w:t>Farhat</w:t>
      </w:r>
      <w:proofErr w:type="spellEnd"/>
      <w:r w:rsidRPr="00ED710D">
        <w:t xml:space="preserve"> et al. (2024) discovered that culturally tailored lifestyle interventions to the South Asian populations tend to yield relatively small impacts</w:t>
      </w:r>
      <w:r w:rsidR="00B067AB">
        <w:t xml:space="preserve">. </w:t>
      </w:r>
      <w:r w:rsidRPr="00ED710D">
        <w:t xml:space="preserve">Although digital health interventions are known to be more effective in minority ethnic groups, </w:t>
      </w:r>
      <w:proofErr w:type="spellStart"/>
      <w:r w:rsidRPr="00ED710D">
        <w:t>Goswami</w:t>
      </w:r>
      <w:proofErr w:type="spellEnd"/>
      <w:r w:rsidRPr="00ED710D">
        <w:t xml:space="preserve"> et al. (2023) also made the argument that these interventions are more effective when designed by incorporating culture</w:t>
      </w:r>
      <w:r>
        <w:t>.</w:t>
      </w:r>
    </w:p>
    <w:p w14:paraId="64C0DABF" w14:textId="3D8F11BF" w:rsidR="00501DF0" w:rsidRDefault="00501DF0" w:rsidP="00A365D5">
      <w:pPr>
        <w:spacing w:after="140" w:line="360" w:lineRule="auto"/>
        <w:jc w:val="center"/>
      </w:pPr>
      <w:r>
        <w:rPr>
          <w:noProof/>
          <w:lang w:bidi="bn-IN"/>
        </w:rPr>
        <w:drawing>
          <wp:inline distT="0" distB="0" distL="0" distR="0" wp14:anchorId="45B5A802" wp14:editId="63325615">
            <wp:extent cx="3340100" cy="2670757"/>
            <wp:effectExtent l="0" t="0" r="0" b="0"/>
            <wp:docPr id="19406136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6014" cy="2699474"/>
                    </a:xfrm>
                    <a:prstGeom prst="rect">
                      <a:avLst/>
                    </a:prstGeom>
                    <a:noFill/>
                  </pic:spPr>
                </pic:pic>
              </a:graphicData>
            </a:graphic>
          </wp:inline>
        </w:drawing>
      </w:r>
    </w:p>
    <w:p w14:paraId="2E35AF63" w14:textId="0C554093" w:rsidR="003124AB" w:rsidRDefault="003124AB" w:rsidP="00A365D5">
      <w:pPr>
        <w:spacing w:after="140" w:line="360" w:lineRule="auto"/>
        <w:jc w:val="center"/>
      </w:pPr>
      <w:r w:rsidRPr="003124AB">
        <w:rPr>
          <w:i/>
        </w:rPr>
        <w:t>Figure 5: Bangladeshi adult receiving diabetes monitoring support</w:t>
      </w:r>
    </w:p>
    <w:p w14:paraId="2064B113" w14:textId="7B58F7DB" w:rsidR="00ED710D" w:rsidRDefault="00ED710D" w:rsidP="00A365D5">
      <w:pPr>
        <w:spacing w:after="140" w:line="360" w:lineRule="auto"/>
        <w:jc w:val="both"/>
      </w:pPr>
      <w:r w:rsidRPr="00ED710D">
        <w:t xml:space="preserve">This blog presents </w:t>
      </w:r>
      <w:proofErr w:type="spellStart"/>
      <w:r w:rsidRPr="00ED710D">
        <w:t>GlucoMove</w:t>
      </w:r>
      <w:proofErr w:type="spellEnd"/>
      <w:r w:rsidRPr="00ED710D">
        <w:t xml:space="preserve"> which is a culturally sensitive diabetes prevention application among the Bangladeshi adults who are at risk of developing type 2 diabetes. The </w:t>
      </w:r>
      <w:proofErr w:type="spellStart"/>
      <w:r w:rsidRPr="00ED710D">
        <w:t>GlucoMove</w:t>
      </w:r>
      <w:proofErr w:type="spellEnd"/>
      <w:r w:rsidRPr="00ED710D">
        <w:t xml:space="preserve"> would have a type 2 diabetes risk checker, Bengali and English audio-guided, culturally recognizable food-substitute tools, walking schedules, family issues, appointment upkeep and alternative sharing with a GP or a diabetes prevention coach. </w:t>
      </w:r>
    </w:p>
    <w:p w14:paraId="72567AC5" w14:textId="175DF015" w:rsidR="00501DF0" w:rsidRDefault="00501DF0" w:rsidP="00A365D5">
      <w:pPr>
        <w:spacing w:after="140" w:line="360" w:lineRule="auto"/>
        <w:jc w:val="center"/>
      </w:pPr>
      <w:bookmarkStart w:id="0" w:name="_GoBack"/>
      <w:bookmarkEnd w:id="0"/>
      <w:r>
        <w:rPr>
          <w:noProof/>
          <w:lang w:bidi="bn-IN"/>
        </w:rPr>
        <w:lastRenderedPageBreak/>
        <w:drawing>
          <wp:inline distT="0" distB="0" distL="0" distR="0" wp14:anchorId="6E3B47C3" wp14:editId="374544E9">
            <wp:extent cx="2801200" cy="2912110"/>
            <wp:effectExtent l="0" t="0" r="0" b="2540"/>
            <wp:docPr id="13421036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16047" cy="2927545"/>
                    </a:xfrm>
                    <a:prstGeom prst="rect">
                      <a:avLst/>
                    </a:prstGeom>
                    <a:noFill/>
                  </pic:spPr>
                </pic:pic>
              </a:graphicData>
            </a:graphic>
          </wp:inline>
        </w:drawing>
      </w:r>
    </w:p>
    <w:p w14:paraId="610A92C5" w14:textId="77716CB7" w:rsidR="003124AB" w:rsidRPr="003124AB" w:rsidRDefault="003124AB" w:rsidP="00B067AB">
      <w:pPr>
        <w:spacing w:after="140" w:line="360" w:lineRule="auto"/>
        <w:jc w:val="center"/>
        <w:rPr>
          <w:i/>
        </w:rPr>
      </w:pPr>
      <w:r w:rsidRPr="003124AB">
        <w:rPr>
          <w:i/>
        </w:rPr>
        <w:t xml:space="preserve">Figure 6: Mobile health monitoring </w:t>
      </w:r>
    </w:p>
    <w:p w14:paraId="3CDC4111" w14:textId="77777777" w:rsidR="00ED710D" w:rsidRDefault="00ED710D" w:rsidP="00A365D5">
      <w:pPr>
        <w:spacing w:after="140" w:line="360" w:lineRule="auto"/>
        <w:jc w:val="both"/>
      </w:pPr>
      <w:proofErr w:type="spellStart"/>
      <w:r w:rsidRPr="00ED710D">
        <w:t>GlucoMove</w:t>
      </w:r>
      <w:proofErr w:type="spellEnd"/>
      <w:r w:rsidRPr="00ED710D">
        <w:t xml:space="preserve"> would apply the COM-B model, to relate the use of the app features and the </w:t>
      </w:r>
      <w:proofErr w:type="spellStart"/>
      <w:r w:rsidRPr="00ED710D">
        <w:t>behaviour</w:t>
      </w:r>
      <w:proofErr w:type="spellEnd"/>
      <w:r w:rsidRPr="00ED710D">
        <w:t xml:space="preserve"> change. </w:t>
      </w:r>
      <w:proofErr w:type="spellStart"/>
      <w:proofErr w:type="gramStart"/>
      <w:r w:rsidRPr="00ED710D">
        <w:t>ficiency</w:t>
      </w:r>
      <w:proofErr w:type="spellEnd"/>
      <w:proofErr w:type="gramEnd"/>
      <w:r w:rsidRPr="00ED710D">
        <w:t xml:space="preserve"> would be complemented by brief visual instruction and Bengali sound. Opportunity would be facilitated by family walking objectives, signposting and offline SMS alerts within mosques, or community-</w:t>
      </w:r>
      <w:proofErr w:type="spellStart"/>
      <w:r w:rsidRPr="00ED710D">
        <w:t>centres</w:t>
      </w:r>
      <w:proofErr w:type="spellEnd"/>
      <w:r w:rsidRPr="00ED710D">
        <w:t xml:space="preserve">. Risk feedback via </w:t>
      </w:r>
      <w:proofErr w:type="spellStart"/>
      <w:r w:rsidRPr="00ED710D">
        <w:t>personalised</w:t>
      </w:r>
      <w:proofErr w:type="spellEnd"/>
      <w:r w:rsidRPr="00ED710D">
        <w:t xml:space="preserve"> feedback, progress badges and coach messages would be used to motivate (</w:t>
      </w:r>
      <w:proofErr w:type="spellStart"/>
      <w:r w:rsidRPr="00ED710D">
        <w:t>Michie</w:t>
      </w:r>
      <w:proofErr w:type="spellEnd"/>
      <w:r w:rsidRPr="00ED710D">
        <w:t xml:space="preserve">, van </w:t>
      </w:r>
      <w:proofErr w:type="spellStart"/>
      <w:r w:rsidRPr="00ED710D">
        <w:t>Stralen</w:t>
      </w:r>
      <w:proofErr w:type="spellEnd"/>
      <w:r w:rsidRPr="00ED710D">
        <w:t xml:space="preserve"> and West, 2011).</w:t>
      </w:r>
    </w:p>
    <w:p w14:paraId="1E57BD01" w14:textId="72F64CEE" w:rsidR="00A365D5" w:rsidRDefault="00A365D5" w:rsidP="00A365D5">
      <w:pPr>
        <w:spacing w:after="140" w:line="360" w:lineRule="auto"/>
        <w:jc w:val="center"/>
      </w:pPr>
      <w:r>
        <w:rPr>
          <w:noProof/>
          <w:lang w:bidi="bn-IN"/>
        </w:rPr>
        <w:drawing>
          <wp:inline distT="0" distB="0" distL="0" distR="0" wp14:anchorId="4619218B" wp14:editId="344FFAE5">
            <wp:extent cx="2598657" cy="3187700"/>
            <wp:effectExtent l="0" t="0" r="0" b="0"/>
            <wp:docPr id="4519308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07151" cy="3198119"/>
                    </a:xfrm>
                    <a:prstGeom prst="rect">
                      <a:avLst/>
                    </a:prstGeom>
                    <a:noFill/>
                  </pic:spPr>
                </pic:pic>
              </a:graphicData>
            </a:graphic>
          </wp:inline>
        </w:drawing>
      </w:r>
    </w:p>
    <w:p w14:paraId="3499DF73" w14:textId="0B446C9E" w:rsidR="003124AB" w:rsidRPr="003124AB" w:rsidRDefault="003124AB" w:rsidP="003124AB">
      <w:pPr>
        <w:spacing w:after="140" w:line="360" w:lineRule="auto"/>
        <w:jc w:val="center"/>
        <w:rPr>
          <w:i/>
        </w:rPr>
      </w:pPr>
      <w:r w:rsidRPr="003124AB">
        <w:rPr>
          <w:i/>
        </w:rPr>
        <w:t xml:space="preserve">Figure 7: </w:t>
      </w:r>
      <w:proofErr w:type="spellStart"/>
      <w:r w:rsidRPr="003124AB">
        <w:rPr>
          <w:i/>
        </w:rPr>
        <w:t>GlucoMove</w:t>
      </w:r>
      <w:proofErr w:type="spellEnd"/>
      <w:r w:rsidRPr="003124AB">
        <w:rPr>
          <w:i/>
        </w:rPr>
        <w:t xml:space="preserve"> app concept showing risk checking, Bengali audio guidance, food swaps, walking goals and GP or coach sharing.</w:t>
      </w:r>
    </w:p>
    <w:p w14:paraId="7700DB2A" w14:textId="77777777" w:rsidR="00A365D5" w:rsidRDefault="00A365D5" w:rsidP="00A365D5">
      <w:pPr>
        <w:spacing w:after="140" w:line="360" w:lineRule="auto"/>
        <w:jc w:val="both"/>
      </w:pPr>
    </w:p>
    <w:p w14:paraId="4E35C912" w14:textId="77777777" w:rsidR="00B067AB" w:rsidRDefault="00ED710D" w:rsidP="00A365D5">
      <w:pPr>
        <w:spacing w:after="140" w:line="360" w:lineRule="auto"/>
        <w:jc w:val="both"/>
      </w:pPr>
      <w:r w:rsidRPr="00ED710D">
        <w:lastRenderedPageBreak/>
        <w:t xml:space="preserve">The key benefit of </w:t>
      </w:r>
      <w:proofErr w:type="spellStart"/>
      <w:r w:rsidRPr="00ED710D">
        <w:t>GlucoMove</w:t>
      </w:r>
      <w:proofErr w:type="spellEnd"/>
      <w:r w:rsidRPr="00ED710D">
        <w:t xml:space="preserve"> is that it would enable making prevention culturally relevant rather than translating generic recommendations. This is believed to be important as the increased use of the mobile app has been associated with weight loss and an improvement in the HbA1c levels of adults diagnosed with type 2 diabetes or </w:t>
      </w:r>
      <w:proofErr w:type="spellStart"/>
      <w:r w:rsidRPr="00ED710D">
        <w:t>prediabetes</w:t>
      </w:r>
      <w:proofErr w:type="spellEnd"/>
      <w:r w:rsidRPr="00ED710D">
        <w:t xml:space="preserve"> (Lim et al., 2022). </w:t>
      </w:r>
    </w:p>
    <w:p w14:paraId="4A0EE249" w14:textId="2388B288" w:rsidR="00ED710D" w:rsidRDefault="00ED710D" w:rsidP="00A365D5">
      <w:pPr>
        <w:spacing w:after="140" w:line="360" w:lineRule="auto"/>
        <w:jc w:val="both"/>
      </w:pPr>
      <w:r w:rsidRPr="00ED710D">
        <w:t xml:space="preserve">But there are also potential weaknesses in </w:t>
      </w:r>
      <w:proofErr w:type="spellStart"/>
      <w:r w:rsidRPr="00ED710D">
        <w:t>GlucoMove</w:t>
      </w:r>
      <w:proofErr w:type="spellEnd"/>
      <w:r w:rsidRPr="00ED710D">
        <w:t>. Not all elderly people use smartphones, some patrons might be worried about sharing data and just having one app might mislead and assume the whole population of Bangladeshi people follow a similar diet, income, level of literacy and beliefs.</w:t>
      </w:r>
    </w:p>
    <w:p w14:paraId="06FAE910" w14:textId="0839E8DA" w:rsidR="00A365D5" w:rsidRDefault="00A365D5" w:rsidP="00B067AB">
      <w:pPr>
        <w:spacing w:after="140" w:line="360" w:lineRule="auto"/>
        <w:jc w:val="center"/>
      </w:pPr>
      <w:r>
        <w:rPr>
          <w:noProof/>
          <w:lang w:bidi="bn-IN"/>
        </w:rPr>
        <w:drawing>
          <wp:inline distT="0" distB="0" distL="0" distR="0" wp14:anchorId="2606080C" wp14:editId="3269E526">
            <wp:extent cx="3029358" cy="2106911"/>
            <wp:effectExtent l="0" t="0" r="0" b="8255"/>
            <wp:docPr id="11134374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5054" cy="2117827"/>
                    </a:xfrm>
                    <a:prstGeom prst="rect">
                      <a:avLst/>
                    </a:prstGeom>
                    <a:noFill/>
                  </pic:spPr>
                </pic:pic>
              </a:graphicData>
            </a:graphic>
          </wp:inline>
        </w:drawing>
      </w:r>
    </w:p>
    <w:p w14:paraId="1BCF6D91" w14:textId="547089D1" w:rsidR="00A365D5" w:rsidRPr="003124AB" w:rsidRDefault="003124AB" w:rsidP="003124AB">
      <w:pPr>
        <w:spacing w:after="140" w:line="360" w:lineRule="auto"/>
        <w:jc w:val="center"/>
        <w:rPr>
          <w:i/>
        </w:rPr>
      </w:pPr>
      <w:r w:rsidRPr="003124AB">
        <w:rPr>
          <w:i/>
        </w:rPr>
        <w:t xml:space="preserve">Figure 8: </w:t>
      </w:r>
      <w:proofErr w:type="spellStart"/>
      <w:r w:rsidRPr="003124AB">
        <w:rPr>
          <w:i/>
        </w:rPr>
        <w:t>GlucoMove</w:t>
      </w:r>
      <w:proofErr w:type="spellEnd"/>
      <w:r w:rsidRPr="003124AB">
        <w:rPr>
          <w:i/>
        </w:rPr>
        <w:t xml:space="preserve"> turns diabetes prevention advice into culturally relevant daily actions </w:t>
      </w:r>
    </w:p>
    <w:p w14:paraId="46ED2346" w14:textId="77777777" w:rsidR="00ED710D" w:rsidRDefault="00ED710D" w:rsidP="00A365D5">
      <w:pPr>
        <w:spacing w:after="140" w:line="360" w:lineRule="auto"/>
        <w:jc w:val="both"/>
      </w:pPr>
      <w:r w:rsidRPr="00ED710D">
        <w:t xml:space="preserve">The risks may be </w:t>
      </w:r>
      <w:proofErr w:type="spellStart"/>
      <w:r w:rsidRPr="00ED710D">
        <w:t>minimised</w:t>
      </w:r>
      <w:proofErr w:type="spellEnd"/>
      <w:r w:rsidRPr="00ED710D">
        <w:t xml:space="preserve"> through co-designing </w:t>
      </w:r>
      <w:proofErr w:type="spellStart"/>
      <w:r w:rsidRPr="00ED710D">
        <w:t>GlucoMove</w:t>
      </w:r>
      <w:proofErr w:type="spellEnd"/>
      <w:r w:rsidRPr="00ED710D">
        <w:t xml:space="preserve"> with Bangladeshi users or community workers, dietitians/NHS staff. Low-literacy audio, easy privacy settings, SMS capabilities, telephone coaching and testing with other age and income groups should be included in the app. The metric to assess its success must be fair uptake, rather than downloads, and the weight change alongside an HbA1c improvement and user trust should be evaluated as well as whether it reaches people who do not take advantage of digital health support (NHS England, 2023).</w:t>
      </w:r>
    </w:p>
    <w:p w14:paraId="26E6236D" w14:textId="77777777" w:rsidR="00A365D5" w:rsidRPr="00A365D5" w:rsidRDefault="00A365D5" w:rsidP="00A365D5">
      <w:pPr>
        <w:pStyle w:val="Heading2"/>
        <w:spacing w:line="360" w:lineRule="auto"/>
        <w:rPr>
          <w:rFonts w:ascii="Arial" w:hAnsi="Arial" w:cs="Arial"/>
          <w:color w:val="000000" w:themeColor="text1"/>
        </w:rPr>
      </w:pPr>
      <w:r w:rsidRPr="00A365D5">
        <w:rPr>
          <w:rFonts w:ascii="Arial" w:hAnsi="Arial" w:cs="Arial"/>
          <w:color w:val="000000" w:themeColor="text1"/>
        </w:rPr>
        <w:t>Prototype reader resources</w:t>
      </w:r>
    </w:p>
    <w:p w14:paraId="65E9DF2B" w14:textId="77777777" w:rsidR="00A365D5" w:rsidRDefault="00A365D5" w:rsidP="00A365D5">
      <w:pPr>
        <w:spacing w:line="360" w:lineRule="auto"/>
      </w:pPr>
      <w:r>
        <w:t xml:space="preserve">• </w:t>
      </w:r>
      <w:hyperlink r:id="rId21">
        <w:proofErr w:type="spellStart"/>
        <w:r>
          <w:rPr>
            <w:color w:val="0B5CAD"/>
            <w:u w:val="single"/>
          </w:rPr>
          <w:t>GlucoMove</w:t>
        </w:r>
        <w:proofErr w:type="spellEnd"/>
        <w:r>
          <w:rPr>
            <w:color w:val="0B5CAD"/>
            <w:u w:val="single"/>
          </w:rPr>
          <w:t xml:space="preserve"> demo video mock link</w:t>
        </w:r>
      </w:hyperlink>
    </w:p>
    <w:p w14:paraId="582354E7" w14:textId="77777777" w:rsidR="00A365D5" w:rsidRDefault="00A365D5" w:rsidP="00A365D5">
      <w:pPr>
        <w:spacing w:line="360" w:lineRule="auto"/>
      </w:pPr>
      <w:r>
        <w:t xml:space="preserve">• </w:t>
      </w:r>
      <w:hyperlink r:id="rId22">
        <w:proofErr w:type="spellStart"/>
        <w:r>
          <w:rPr>
            <w:color w:val="0B5CAD"/>
            <w:u w:val="single"/>
          </w:rPr>
          <w:t>GlucoMove</w:t>
        </w:r>
        <w:proofErr w:type="spellEnd"/>
        <w:r>
          <w:rPr>
            <w:color w:val="0B5CAD"/>
            <w:u w:val="single"/>
          </w:rPr>
          <w:t xml:space="preserve"> Bengali audio guide mock link</w:t>
        </w:r>
      </w:hyperlink>
    </w:p>
    <w:p w14:paraId="0CCB4C8C" w14:textId="049AF898" w:rsidR="00A365D5" w:rsidRPr="003124AB" w:rsidRDefault="00A365D5" w:rsidP="00A365D5">
      <w:pPr>
        <w:spacing w:line="360" w:lineRule="auto"/>
      </w:pPr>
      <w:r>
        <w:t xml:space="preserve">• </w:t>
      </w:r>
      <w:hyperlink r:id="rId23">
        <w:r>
          <w:rPr>
            <w:color w:val="0B5CAD"/>
            <w:u w:val="single"/>
          </w:rPr>
          <w:t>Diabetes UK ethnicity and type 2 diabetes information</w:t>
        </w:r>
      </w:hyperlink>
    </w:p>
    <w:p w14:paraId="70924C40" w14:textId="77777777" w:rsidR="00C7009D" w:rsidRDefault="00C7009D">
      <w:pPr>
        <w:rPr>
          <w:rFonts w:eastAsiaTheme="majorEastAsia" w:cs="Arial"/>
          <w:b/>
          <w:bCs/>
          <w:color w:val="000000" w:themeColor="text1"/>
          <w:sz w:val="28"/>
          <w:szCs w:val="26"/>
        </w:rPr>
      </w:pPr>
      <w:r>
        <w:rPr>
          <w:rFonts w:cs="Arial"/>
          <w:color w:val="000000" w:themeColor="text1"/>
        </w:rPr>
        <w:br w:type="page"/>
      </w:r>
    </w:p>
    <w:p w14:paraId="77B461F6" w14:textId="77777777" w:rsidR="00C7009D" w:rsidRPr="00C87433" w:rsidRDefault="00C7009D" w:rsidP="00C7009D">
      <w:pPr>
        <w:pStyle w:val="Heading2"/>
        <w:spacing w:line="360" w:lineRule="auto"/>
        <w:rPr>
          <w:rFonts w:ascii="Arial" w:hAnsi="Arial" w:cs="Arial"/>
          <w:color w:val="000000" w:themeColor="text1"/>
        </w:rPr>
      </w:pPr>
      <w:r w:rsidRPr="00C87433">
        <w:rPr>
          <w:rFonts w:ascii="Arial" w:hAnsi="Arial" w:cs="Arial"/>
          <w:color w:val="000000" w:themeColor="text1"/>
        </w:rPr>
        <w:lastRenderedPageBreak/>
        <w:t>Blog 1 references</w:t>
      </w:r>
    </w:p>
    <w:p w14:paraId="5E1F1E2A" w14:textId="77777777" w:rsidR="00C7009D" w:rsidRPr="00C87433" w:rsidRDefault="00C7009D" w:rsidP="00C7009D">
      <w:pPr>
        <w:spacing w:line="360" w:lineRule="auto"/>
      </w:pPr>
      <w:r w:rsidRPr="00C87433">
        <w:t xml:space="preserve">Bower, P., </w:t>
      </w:r>
      <w:proofErr w:type="spellStart"/>
      <w:r w:rsidRPr="00C87433">
        <w:t>Grigoroglou</w:t>
      </w:r>
      <w:proofErr w:type="spellEnd"/>
      <w:r w:rsidRPr="00C87433">
        <w:t xml:space="preserve">, C., </w:t>
      </w:r>
      <w:proofErr w:type="spellStart"/>
      <w:r w:rsidRPr="00C87433">
        <w:t>Valabhji</w:t>
      </w:r>
      <w:proofErr w:type="spellEnd"/>
      <w:r w:rsidRPr="00C87433">
        <w:t xml:space="preserve">, J., Bennett, C., </w:t>
      </w:r>
      <w:proofErr w:type="spellStart"/>
      <w:r w:rsidRPr="00C87433">
        <w:t>Brunton</w:t>
      </w:r>
      <w:proofErr w:type="spellEnd"/>
      <w:r w:rsidRPr="00C87433">
        <w:t xml:space="preserve">, L. and Burch, P. </w:t>
      </w:r>
      <w:r w:rsidRPr="00C87433">
        <w:rPr>
          <w:i/>
          <w:iCs/>
        </w:rPr>
        <w:t>et al.</w:t>
      </w:r>
      <w:r w:rsidRPr="00C87433">
        <w:t xml:space="preserve"> (2025) </w:t>
      </w:r>
      <w:proofErr w:type="gramStart"/>
      <w:r w:rsidRPr="00C87433">
        <w:rPr>
          <w:i/>
          <w:iCs/>
        </w:rPr>
        <w:t>The</w:t>
      </w:r>
      <w:proofErr w:type="gramEnd"/>
      <w:r w:rsidRPr="00C87433">
        <w:rPr>
          <w:i/>
          <w:iCs/>
        </w:rPr>
        <w:t xml:space="preserve"> effectiveness and cost-effectiveness of the NHS Diabetes Prevention </w:t>
      </w:r>
      <w:proofErr w:type="spellStart"/>
      <w:r w:rsidRPr="00C87433">
        <w:rPr>
          <w:i/>
          <w:iCs/>
        </w:rPr>
        <w:t>Programme</w:t>
      </w:r>
      <w:proofErr w:type="spellEnd"/>
      <w:r w:rsidRPr="00C87433">
        <w:rPr>
          <w:i/>
          <w:iCs/>
        </w:rPr>
        <w:t xml:space="preserve"> (NHS-DPP): the DIPLOMA long-term </w:t>
      </w:r>
      <w:proofErr w:type="spellStart"/>
      <w:r w:rsidRPr="00C87433">
        <w:rPr>
          <w:i/>
          <w:iCs/>
        </w:rPr>
        <w:t>multimethod</w:t>
      </w:r>
      <w:proofErr w:type="spellEnd"/>
      <w:r w:rsidRPr="00C87433">
        <w:rPr>
          <w:i/>
          <w:iCs/>
        </w:rPr>
        <w:t xml:space="preserve"> assessment</w:t>
      </w:r>
      <w:r w:rsidRPr="00C87433">
        <w:t xml:space="preserve">. Southampton: NIHR Journals Library. Available at: </w:t>
      </w:r>
      <w:hyperlink r:id="rId24" w:tgtFrame="_new" w:history="1">
        <w:r w:rsidRPr="00C87433">
          <w:rPr>
            <w:rStyle w:val="Hyperlink"/>
          </w:rPr>
          <w:t>https://www.ncbi.nlm.nih.gov/books/NBK614155/</w:t>
        </w:r>
      </w:hyperlink>
      <w:r w:rsidRPr="00C87433">
        <w:t xml:space="preserve"> (Accessed: 25 June 2026).</w:t>
      </w:r>
    </w:p>
    <w:p w14:paraId="6AD51E93" w14:textId="77777777" w:rsidR="00C7009D" w:rsidRPr="00C87433" w:rsidRDefault="00C7009D" w:rsidP="00C7009D">
      <w:pPr>
        <w:spacing w:line="360" w:lineRule="auto"/>
      </w:pPr>
      <w:proofErr w:type="spellStart"/>
      <w:r w:rsidRPr="00C87433">
        <w:t>Michie</w:t>
      </w:r>
      <w:proofErr w:type="spellEnd"/>
      <w:r w:rsidRPr="00C87433">
        <w:t xml:space="preserve">, S., van </w:t>
      </w:r>
      <w:proofErr w:type="spellStart"/>
      <w:r w:rsidRPr="00C87433">
        <w:t>Stralen</w:t>
      </w:r>
      <w:proofErr w:type="spellEnd"/>
      <w:r w:rsidRPr="00C87433">
        <w:t>, M.M. and West, R. (2011) ‘</w:t>
      </w:r>
      <w:proofErr w:type="gramStart"/>
      <w:r w:rsidRPr="00C87433">
        <w:t>The</w:t>
      </w:r>
      <w:proofErr w:type="gramEnd"/>
      <w:r w:rsidRPr="00C87433">
        <w:t xml:space="preserve"> </w:t>
      </w:r>
      <w:proofErr w:type="spellStart"/>
      <w:r w:rsidRPr="00C87433">
        <w:t>behaviour</w:t>
      </w:r>
      <w:proofErr w:type="spellEnd"/>
      <w:r w:rsidRPr="00C87433">
        <w:t xml:space="preserve"> change wheel: a new method for </w:t>
      </w:r>
      <w:proofErr w:type="spellStart"/>
      <w:r w:rsidRPr="00C87433">
        <w:t>characterising</w:t>
      </w:r>
      <w:proofErr w:type="spellEnd"/>
      <w:r w:rsidRPr="00C87433">
        <w:t xml:space="preserve"> and designing </w:t>
      </w:r>
      <w:proofErr w:type="spellStart"/>
      <w:r w:rsidRPr="00C87433">
        <w:t>behaviour</w:t>
      </w:r>
      <w:proofErr w:type="spellEnd"/>
      <w:r w:rsidRPr="00C87433">
        <w:t xml:space="preserve"> change interventions’, </w:t>
      </w:r>
      <w:r w:rsidRPr="00C87433">
        <w:rPr>
          <w:i/>
          <w:iCs/>
        </w:rPr>
        <w:t>Implementation Science</w:t>
      </w:r>
      <w:r w:rsidRPr="00C87433">
        <w:t xml:space="preserve">, 6, 42. Available at: </w:t>
      </w:r>
      <w:hyperlink r:id="rId25" w:tgtFrame="_new" w:history="1">
        <w:r w:rsidRPr="00C87433">
          <w:rPr>
            <w:rStyle w:val="Hyperlink"/>
          </w:rPr>
          <w:t>https://doi.org/10.1186/1748-5908-6-42</w:t>
        </w:r>
      </w:hyperlink>
      <w:r w:rsidRPr="00C87433">
        <w:t>.</w:t>
      </w:r>
    </w:p>
    <w:p w14:paraId="0D02EE22" w14:textId="77777777" w:rsidR="00C7009D" w:rsidRPr="00C87433" w:rsidRDefault="00C7009D" w:rsidP="00C7009D">
      <w:pPr>
        <w:spacing w:line="360" w:lineRule="auto"/>
      </w:pPr>
      <w:proofErr w:type="spellStart"/>
      <w:r w:rsidRPr="00C87433">
        <w:t>Misra</w:t>
      </w:r>
      <w:proofErr w:type="spellEnd"/>
      <w:r w:rsidRPr="00C87433">
        <w:t xml:space="preserve">, A., </w:t>
      </w:r>
      <w:proofErr w:type="spellStart"/>
      <w:r w:rsidRPr="00C87433">
        <w:t>Sattar</w:t>
      </w:r>
      <w:proofErr w:type="spellEnd"/>
      <w:r w:rsidRPr="00C87433">
        <w:t xml:space="preserve">, N., Ghosh, A., </w:t>
      </w:r>
      <w:proofErr w:type="spellStart"/>
      <w:r w:rsidRPr="00C87433">
        <w:t>Nassar</w:t>
      </w:r>
      <w:proofErr w:type="spellEnd"/>
      <w:r w:rsidRPr="00C87433">
        <w:t xml:space="preserve">, M., </w:t>
      </w:r>
      <w:proofErr w:type="spellStart"/>
      <w:r w:rsidRPr="00C87433">
        <w:t>Jayawardena</w:t>
      </w:r>
      <w:proofErr w:type="spellEnd"/>
      <w:r w:rsidRPr="00C87433">
        <w:t xml:space="preserve">, R. and Gupta, R. (2025) ‘Type 2 diabetes in South Asians’, </w:t>
      </w:r>
      <w:r w:rsidRPr="00C87433">
        <w:rPr>
          <w:i/>
          <w:iCs/>
        </w:rPr>
        <w:t>BMJ</w:t>
      </w:r>
      <w:r w:rsidRPr="00C87433">
        <w:t xml:space="preserve">, 390, e079801. Available at: </w:t>
      </w:r>
      <w:hyperlink r:id="rId26" w:tgtFrame="_new" w:history="1">
        <w:r w:rsidRPr="00C87433">
          <w:rPr>
            <w:rStyle w:val="Hyperlink"/>
          </w:rPr>
          <w:t>https://doi.org/10.1136/bmj-2024-079801</w:t>
        </w:r>
      </w:hyperlink>
      <w:r w:rsidRPr="00C87433">
        <w:t>.</w:t>
      </w:r>
    </w:p>
    <w:p w14:paraId="4476443A" w14:textId="77777777" w:rsidR="00C7009D" w:rsidRPr="00C87433" w:rsidRDefault="00C7009D" w:rsidP="00C7009D">
      <w:pPr>
        <w:spacing w:line="360" w:lineRule="auto"/>
      </w:pPr>
      <w:r w:rsidRPr="00C87433">
        <w:t xml:space="preserve">NHS England (2023) </w:t>
      </w:r>
      <w:r w:rsidRPr="00C87433">
        <w:rPr>
          <w:i/>
          <w:iCs/>
        </w:rPr>
        <w:t>Inclusive digital healthcare: a framework for NHS action on digital inclusion</w:t>
      </w:r>
      <w:r w:rsidRPr="00C87433">
        <w:t xml:space="preserve">. Available at: </w:t>
      </w:r>
      <w:hyperlink r:id="rId27" w:tgtFrame="_new" w:history="1">
        <w:r w:rsidRPr="00C87433">
          <w:rPr>
            <w:rStyle w:val="Hyperlink"/>
          </w:rPr>
          <w:t>https://www.england.nhs.uk/long-read/inclusive-digital-healthcare-a-framework-for-nhs-action-on-digital-inclusion/</w:t>
        </w:r>
      </w:hyperlink>
      <w:r w:rsidRPr="00C87433">
        <w:t xml:space="preserve"> (Accessed: 25 June 2026).</w:t>
      </w:r>
    </w:p>
    <w:p w14:paraId="08242F8E" w14:textId="77777777" w:rsidR="00C7009D" w:rsidRPr="00C87433" w:rsidRDefault="00C7009D" w:rsidP="00C7009D">
      <w:pPr>
        <w:spacing w:line="360" w:lineRule="auto"/>
      </w:pPr>
      <w:r w:rsidRPr="00C87433">
        <w:t>NHS England (</w:t>
      </w:r>
      <w:r>
        <w:t>2026</w:t>
      </w:r>
      <w:r w:rsidRPr="00C87433">
        <w:t xml:space="preserve">) </w:t>
      </w:r>
      <w:r w:rsidRPr="00C87433">
        <w:rPr>
          <w:i/>
          <w:iCs/>
        </w:rPr>
        <w:t xml:space="preserve">NHS Diabetes Prevention </w:t>
      </w:r>
      <w:proofErr w:type="spellStart"/>
      <w:r w:rsidRPr="00C87433">
        <w:rPr>
          <w:i/>
          <w:iCs/>
        </w:rPr>
        <w:t>Programme</w:t>
      </w:r>
      <w:proofErr w:type="spellEnd"/>
      <w:r w:rsidRPr="00C87433">
        <w:t xml:space="preserve">. Available at: </w:t>
      </w:r>
      <w:hyperlink r:id="rId28" w:tgtFrame="_new" w:history="1">
        <w:r w:rsidRPr="00C87433">
          <w:rPr>
            <w:rStyle w:val="Hyperlink"/>
          </w:rPr>
          <w:t>https://www.england.nhs.uk/diabetes/diabetes-prevention/</w:t>
        </w:r>
      </w:hyperlink>
      <w:r w:rsidRPr="00C87433">
        <w:t xml:space="preserve"> (Accessed: 25 June 2026).</w:t>
      </w:r>
    </w:p>
    <w:p w14:paraId="6F40FCD3" w14:textId="77777777" w:rsidR="00C7009D" w:rsidRPr="00C87433" w:rsidRDefault="00C7009D" w:rsidP="00C7009D">
      <w:pPr>
        <w:spacing w:line="360" w:lineRule="auto"/>
      </w:pPr>
      <w:r w:rsidRPr="00C87433">
        <w:t xml:space="preserve">Office for Health Improvement and Disparities (2025) </w:t>
      </w:r>
      <w:r w:rsidRPr="00C87433">
        <w:rPr>
          <w:i/>
          <w:iCs/>
        </w:rPr>
        <w:t>Diabetes profile: statistical commentary, March 2025</w:t>
      </w:r>
      <w:r w:rsidRPr="00C87433">
        <w:t xml:space="preserve">. Available at: </w:t>
      </w:r>
      <w:hyperlink r:id="rId29" w:tgtFrame="_new" w:history="1">
        <w:r w:rsidRPr="00C87433">
          <w:rPr>
            <w:rStyle w:val="Hyperlink"/>
          </w:rPr>
          <w:t>https://www.gov.uk/government/statistics/diabetes-profile-update-march-2025/diabetes-profile-statistical-commentary-march-2025</w:t>
        </w:r>
      </w:hyperlink>
      <w:r w:rsidRPr="00C87433">
        <w:t xml:space="preserve"> (Accessed: 25 June 2026).</w:t>
      </w:r>
    </w:p>
    <w:p w14:paraId="2B302B3B" w14:textId="77777777" w:rsidR="00C7009D" w:rsidRPr="00C87433" w:rsidRDefault="00C7009D" w:rsidP="00C7009D">
      <w:pPr>
        <w:spacing w:line="360" w:lineRule="auto"/>
      </w:pPr>
      <w:r w:rsidRPr="00C87433">
        <w:t xml:space="preserve">Ross, J.A.D., Barron, E., </w:t>
      </w:r>
      <w:proofErr w:type="spellStart"/>
      <w:r w:rsidRPr="00C87433">
        <w:t>McGough</w:t>
      </w:r>
      <w:proofErr w:type="spellEnd"/>
      <w:r w:rsidRPr="00C87433">
        <w:t xml:space="preserve">, B., </w:t>
      </w:r>
      <w:proofErr w:type="spellStart"/>
      <w:r w:rsidRPr="00C87433">
        <w:t>Valabhji</w:t>
      </w:r>
      <w:proofErr w:type="spellEnd"/>
      <w:r w:rsidRPr="00C87433">
        <w:t xml:space="preserve">, J., </w:t>
      </w:r>
      <w:proofErr w:type="spellStart"/>
      <w:r w:rsidRPr="00C87433">
        <w:t>Dack</w:t>
      </w:r>
      <w:proofErr w:type="spellEnd"/>
      <w:r w:rsidRPr="00C87433">
        <w:t xml:space="preserve">, C., </w:t>
      </w:r>
      <w:proofErr w:type="spellStart"/>
      <w:r w:rsidRPr="00C87433">
        <w:t>Damschroder</w:t>
      </w:r>
      <w:proofErr w:type="spellEnd"/>
      <w:r w:rsidRPr="00C87433">
        <w:t xml:space="preserve">, L., Murray, E. and Bower, P. (2022) ‘Uptake and impact of the English National Health Service digital diabetes prevention </w:t>
      </w:r>
      <w:proofErr w:type="spellStart"/>
      <w:r w:rsidRPr="00C87433">
        <w:t>programme</w:t>
      </w:r>
      <w:proofErr w:type="spellEnd"/>
      <w:r w:rsidRPr="00C87433">
        <w:t xml:space="preserve">: observational study’, </w:t>
      </w:r>
      <w:r w:rsidRPr="00C87433">
        <w:rPr>
          <w:i/>
          <w:iCs/>
        </w:rPr>
        <w:t>BMJ Open Diabetes Research &amp; Care</w:t>
      </w:r>
      <w:r w:rsidRPr="00C87433">
        <w:t xml:space="preserve">, 10(3), e002736. Available at: </w:t>
      </w:r>
      <w:hyperlink r:id="rId30" w:tgtFrame="_new" w:history="1">
        <w:r w:rsidRPr="00C87433">
          <w:rPr>
            <w:rStyle w:val="Hyperlink"/>
          </w:rPr>
          <w:t>https://doi.org/10.1136/bmjdrc-2021-002736</w:t>
        </w:r>
      </w:hyperlink>
      <w:r w:rsidRPr="00C87433">
        <w:t>.</w:t>
      </w:r>
    </w:p>
    <w:p w14:paraId="71F74495" w14:textId="77777777" w:rsidR="00C7009D" w:rsidRPr="00C87433" w:rsidRDefault="00C7009D" w:rsidP="00C7009D">
      <w:pPr>
        <w:spacing w:line="360" w:lineRule="auto"/>
      </w:pPr>
      <w:r w:rsidRPr="00C87433">
        <w:t xml:space="preserve">World Health Organization (2024) </w:t>
      </w:r>
      <w:r w:rsidRPr="00C87433">
        <w:rPr>
          <w:i/>
          <w:iCs/>
        </w:rPr>
        <w:t>Diabetes</w:t>
      </w:r>
      <w:r w:rsidRPr="00C87433">
        <w:t xml:space="preserve">. Available at: </w:t>
      </w:r>
      <w:hyperlink r:id="rId31" w:tgtFrame="_new" w:history="1">
        <w:r w:rsidRPr="00C87433">
          <w:rPr>
            <w:rStyle w:val="Hyperlink"/>
          </w:rPr>
          <w:t>https://www.who.int/news-room/fact-sheets/detail/diabetes</w:t>
        </w:r>
      </w:hyperlink>
      <w:r w:rsidRPr="00C87433">
        <w:t xml:space="preserve"> (Accessed: 25 June 2026).</w:t>
      </w:r>
    </w:p>
    <w:p w14:paraId="61B1A92F" w14:textId="77777777" w:rsidR="00C7009D" w:rsidRDefault="00C7009D">
      <w:pPr>
        <w:rPr>
          <w:rFonts w:eastAsiaTheme="majorEastAsia" w:cs="Arial"/>
          <w:b/>
          <w:bCs/>
          <w:color w:val="000000" w:themeColor="text1"/>
          <w:sz w:val="28"/>
          <w:szCs w:val="26"/>
        </w:rPr>
      </w:pPr>
      <w:r>
        <w:rPr>
          <w:rFonts w:cs="Arial"/>
          <w:color w:val="000000" w:themeColor="text1"/>
        </w:rPr>
        <w:br w:type="page"/>
      </w:r>
    </w:p>
    <w:p w14:paraId="7E2BD81E" w14:textId="378418A1" w:rsidR="00A365D5" w:rsidRPr="00C87433" w:rsidRDefault="00A365D5" w:rsidP="00A365D5">
      <w:pPr>
        <w:pStyle w:val="Heading2"/>
        <w:spacing w:line="360" w:lineRule="auto"/>
        <w:rPr>
          <w:rFonts w:ascii="Arial" w:hAnsi="Arial" w:cs="Arial"/>
          <w:color w:val="000000" w:themeColor="text1"/>
        </w:rPr>
      </w:pPr>
      <w:r w:rsidRPr="00C87433">
        <w:rPr>
          <w:rFonts w:ascii="Arial" w:hAnsi="Arial" w:cs="Arial"/>
          <w:color w:val="000000" w:themeColor="text1"/>
        </w:rPr>
        <w:lastRenderedPageBreak/>
        <w:t>Blog 2 reference</w:t>
      </w:r>
      <w:r w:rsidR="00C87433" w:rsidRPr="00C87433">
        <w:rPr>
          <w:rFonts w:ascii="Arial" w:hAnsi="Arial" w:cs="Arial"/>
          <w:color w:val="000000" w:themeColor="text1"/>
        </w:rPr>
        <w:t>s</w:t>
      </w:r>
    </w:p>
    <w:p w14:paraId="00FF232A" w14:textId="77777777" w:rsidR="00C87433" w:rsidRPr="00C87433" w:rsidRDefault="00C87433" w:rsidP="00C87433">
      <w:pPr>
        <w:spacing w:after="120" w:line="360" w:lineRule="auto"/>
        <w:jc w:val="both"/>
      </w:pPr>
      <w:proofErr w:type="spellStart"/>
      <w:r w:rsidRPr="00C87433">
        <w:t>Farhat</w:t>
      </w:r>
      <w:proofErr w:type="spellEnd"/>
      <w:r w:rsidRPr="00C87433">
        <w:t xml:space="preserve">, G., Mellor, D.D., </w:t>
      </w:r>
      <w:proofErr w:type="spellStart"/>
      <w:r w:rsidRPr="00C87433">
        <w:t>Sattar</w:t>
      </w:r>
      <w:proofErr w:type="spellEnd"/>
      <w:r w:rsidRPr="00C87433">
        <w:t xml:space="preserve">, N., </w:t>
      </w:r>
      <w:proofErr w:type="spellStart"/>
      <w:r w:rsidRPr="00C87433">
        <w:t>Harvie</w:t>
      </w:r>
      <w:proofErr w:type="spellEnd"/>
      <w:r w:rsidRPr="00C87433">
        <w:t xml:space="preserve">, M., </w:t>
      </w:r>
      <w:proofErr w:type="spellStart"/>
      <w:r w:rsidRPr="00C87433">
        <w:t>Issa</w:t>
      </w:r>
      <w:proofErr w:type="spellEnd"/>
      <w:r w:rsidRPr="00C87433">
        <w:t xml:space="preserve">, B. and Rutter, M.K. (2024) ‘Effectiveness of lifestyle interventions/culturally bespoke </w:t>
      </w:r>
      <w:proofErr w:type="spellStart"/>
      <w:r w:rsidRPr="00C87433">
        <w:t>programmes</w:t>
      </w:r>
      <w:proofErr w:type="spellEnd"/>
      <w:r w:rsidRPr="00C87433">
        <w:t xml:space="preserve"> in South Asian ethnic groups targeting weight loss for prevention and/or remission of type 2 diabetes: a systematic review and meta-analysis of intervention trials’, </w:t>
      </w:r>
      <w:r w:rsidRPr="00C87433">
        <w:rPr>
          <w:i/>
          <w:iCs/>
        </w:rPr>
        <w:t>Journal of Human Nutrition and Dietetics</w:t>
      </w:r>
      <w:r w:rsidRPr="00C87433">
        <w:t xml:space="preserve">, 37(2), pp. 550–563. Available at: </w:t>
      </w:r>
      <w:hyperlink r:id="rId32" w:tgtFrame="_new" w:history="1">
        <w:r w:rsidRPr="00C87433">
          <w:rPr>
            <w:rStyle w:val="Hyperlink"/>
          </w:rPr>
          <w:t>https://doi.org/10.1111/jhn.13279</w:t>
        </w:r>
      </w:hyperlink>
      <w:r w:rsidRPr="00C87433">
        <w:t>.</w:t>
      </w:r>
    </w:p>
    <w:p w14:paraId="56F4AB3E" w14:textId="77777777" w:rsidR="00C87433" w:rsidRPr="00C87433" w:rsidRDefault="00C87433" w:rsidP="00C87433">
      <w:pPr>
        <w:spacing w:after="120" w:line="360" w:lineRule="auto"/>
        <w:jc w:val="both"/>
      </w:pPr>
      <w:proofErr w:type="spellStart"/>
      <w:r w:rsidRPr="00C87433">
        <w:t>Goswami</w:t>
      </w:r>
      <w:proofErr w:type="spellEnd"/>
      <w:r w:rsidRPr="00C87433">
        <w:t xml:space="preserve">, A., Poole, L., </w:t>
      </w:r>
      <w:proofErr w:type="spellStart"/>
      <w:r w:rsidRPr="00C87433">
        <w:t>Thorlu-Bangura</w:t>
      </w:r>
      <w:proofErr w:type="spellEnd"/>
      <w:r w:rsidRPr="00C87433">
        <w:t xml:space="preserve">, Z., Khan, N., </w:t>
      </w:r>
      <w:proofErr w:type="spellStart"/>
      <w:r w:rsidRPr="00C87433">
        <w:t>Hanif</w:t>
      </w:r>
      <w:proofErr w:type="spellEnd"/>
      <w:r w:rsidRPr="00C87433">
        <w:t xml:space="preserve">, W., </w:t>
      </w:r>
      <w:proofErr w:type="spellStart"/>
      <w:r w:rsidRPr="00C87433">
        <w:t>Khunti</w:t>
      </w:r>
      <w:proofErr w:type="spellEnd"/>
      <w:r w:rsidRPr="00C87433">
        <w:t xml:space="preserve">, K., Gill, P., </w:t>
      </w:r>
      <w:proofErr w:type="spellStart"/>
      <w:r w:rsidRPr="00C87433">
        <w:t>Blandford</w:t>
      </w:r>
      <w:proofErr w:type="spellEnd"/>
      <w:r w:rsidRPr="00C87433">
        <w:t xml:space="preserve">, A., Stevenson, F., Banerjee, A. and </w:t>
      </w:r>
      <w:proofErr w:type="spellStart"/>
      <w:r w:rsidRPr="00C87433">
        <w:t>Ramasawmy</w:t>
      </w:r>
      <w:proofErr w:type="spellEnd"/>
      <w:r w:rsidRPr="00C87433">
        <w:t xml:space="preserve">, M. (2023) ‘The use of digital health interventions for </w:t>
      </w:r>
      <w:proofErr w:type="spellStart"/>
      <w:r w:rsidRPr="00C87433">
        <w:t>cardiometabolic</w:t>
      </w:r>
      <w:proofErr w:type="spellEnd"/>
      <w:r w:rsidRPr="00C87433">
        <w:t xml:space="preserve"> diseases among South Asian and Black minority ethnic groups: realist review’, </w:t>
      </w:r>
      <w:r w:rsidRPr="00C87433">
        <w:rPr>
          <w:i/>
          <w:iCs/>
        </w:rPr>
        <w:t>Journal of Medical Internet Research</w:t>
      </w:r>
      <w:r w:rsidRPr="00C87433">
        <w:t xml:space="preserve">, 25, e40630. Available at: </w:t>
      </w:r>
      <w:hyperlink r:id="rId33" w:tgtFrame="_new" w:history="1">
        <w:r w:rsidRPr="00C87433">
          <w:rPr>
            <w:rStyle w:val="Hyperlink"/>
          </w:rPr>
          <w:t>https://doi.org/10.2196/40630</w:t>
        </w:r>
      </w:hyperlink>
      <w:r w:rsidRPr="00C87433">
        <w:t>.</w:t>
      </w:r>
    </w:p>
    <w:p w14:paraId="035A5114" w14:textId="77777777" w:rsidR="00C87433" w:rsidRPr="00C87433" w:rsidRDefault="00C87433" w:rsidP="00C87433">
      <w:pPr>
        <w:spacing w:after="120" w:line="360" w:lineRule="auto"/>
        <w:jc w:val="both"/>
      </w:pPr>
      <w:r w:rsidRPr="00C87433">
        <w:t xml:space="preserve">Lim, S.L., </w:t>
      </w:r>
      <w:proofErr w:type="spellStart"/>
      <w:r w:rsidRPr="00C87433">
        <w:t>Tay</w:t>
      </w:r>
      <w:proofErr w:type="spellEnd"/>
      <w:r w:rsidRPr="00C87433">
        <w:t xml:space="preserve">, M.H.J., Ong, K.W., </w:t>
      </w:r>
      <w:proofErr w:type="spellStart"/>
      <w:r w:rsidRPr="00C87433">
        <w:t>Johal</w:t>
      </w:r>
      <w:proofErr w:type="spellEnd"/>
      <w:r w:rsidRPr="00C87433">
        <w:t xml:space="preserve">, J., Yap, Q.V., Chan, Y.H., Yeo, G.K.N., </w:t>
      </w:r>
      <w:proofErr w:type="spellStart"/>
      <w:r w:rsidRPr="00C87433">
        <w:t>Khoo</w:t>
      </w:r>
      <w:proofErr w:type="spellEnd"/>
      <w:r w:rsidRPr="00C87433">
        <w:t xml:space="preserve">, C.M. and </w:t>
      </w:r>
      <w:proofErr w:type="spellStart"/>
      <w:r w:rsidRPr="00C87433">
        <w:t>Yaxley</w:t>
      </w:r>
      <w:proofErr w:type="spellEnd"/>
      <w:r w:rsidRPr="00C87433">
        <w:t xml:space="preserve">, A. (2022) ‘Association between mobile health app engagement and weight loss and glycemic control in adults with type 2 diabetes and </w:t>
      </w:r>
      <w:proofErr w:type="spellStart"/>
      <w:r w:rsidRPr="00C87433">
        <w:t>prediabetes</w:t>
      </w:r>
      <w:proofErr w:type="spellEnd"/>
      <w:r w:rsidRPr="00C87433">
        <w:t xml:space="preserve"> (D’LITE Study): prospective cohort study’, </w:t>
      </w:r>
      <w:r w:rsidRPr="00C87433">
        <w:rPr>
          <w:i/>
          <w:iCs/>
        </w:rPr>
        <w:t>JMIR Diabetes</w:t>
      </w:r>
      <w:r w:rsidRPr="00C87433">
        <w:t xml:space="preserve">, 7(3), e35039. Available at: </w:t>
      </w:r>
      <w:hyperlink r:id="rId34" w:tgtFrame="_new" w:history="1">
        <w:r w:rsidRPr="00C87433">
          <w:rPr>
            <w:rStyle w:val="Hyperlink"/>
          </w:rPr>
          <w:t>https://doi.org/10.2196/35039</w:t>
        </w:r>
      </w:hyperlink>
      <w:r w:rsidRPr="00C87433">
        <w:t>.</w:t>
      </w:r>
    </w:p>
    <w:p w14:paraId="3AE52C41" w14:textId="77777777" w:rsidR="00C87433" w:rsidRPr="00C87433" w:rsidRDefault="00C87433" w:rsidP="00C87433">
      <w:pPr>
        <w:spacing w:after="120" w:line="360" w:lineRule="auto"/>
        <w:jc w:val="both"/>
      </w:pPr>
      <w:proofErr w:type="spellStart"/>
      <w:r w:rsidRPr="00C87433">
        <w:t>Michie</w:t>
      </w:r>
      <w:proofErr w:type="spellEnd"/>
      <w:r w:rsidRPr="00C87433">
        <w:t xml:space="preserve">, S., van </w:t>
      </w:r>
      <w:proofErr w:type="spellStart"/>
      <w:r w:rsidRPr="00C87433">
        <w:t>Stralen</w:t>
      </w:r>
      <w:proofErr w:type="spellEnd"/>
      <w:r w:rsidRPr="00C87433">
        <w:t>, M.M. and West, R. (2011) ‘</w:t>
      </w:r>
      <w:proofErr w:type="gramStart"/>
      <w:r w:rsidRPr="00C87433">
        <w:t>The</w:t>
      </w:r>
      <w:proofErr w:type="gramEnd"/>
      <w:r w:rsidRPr="00C87433">
        <w:t xml:space="preserve"> </w:t>
      </w:r>
      <w:proofErr w:type="spellStart"/>
      <w:r w:rsidRPr="00C87433">
        <w:t>behaviour</w:t>
      </w:r>
      <w:proofErr w:type="spellEnd"/>
      <w:r w:rsidRPr="00C87433">
        <w:t xml:space="preserve"> change wheel: a new method for </w:t>
      </w:r>
      <w:proofErr w:type="spellStart"/>
      <w:r w:rsidRPr="00C87433">
        <w:t>characterising</w:t>
      </w:r>
      <w:proofErr w:type="spellEnd"/>
      <w:r w:rsidRPr="00C87433">
        <w:t xml:space="preserve"> and designing </w:t>
      </w:r>
      <w:proofErr w:type="spellStart"/>
      <w:r w:rsidRPr="00C87433">
        <w:t>behaviour</w:t>
      </w:r>
      <w:proofErr w:type="spellEnd"/>
      <w:r w:rsidRPr="00C87433">
        <w:t xml:space="preserve"> change interventions’, </w:t>
      </w:r>
      <w:r w:rsidRPr="00C87433">
        <w:rPr>
          <w:i/>
          <w:iCs/>
        </w:rPr>
        <w:t>Implementation Science</w:t>
      </w:r>
      <w:r w:rsidRPr="00C87433">
        <w:t xml:space="preserve">, 6, 42. Available at: </w:t>
      </w:r>
      <w:hyperlink r:id="rId35" w:tgtFrame="_new" w:history="1">
        <w:r w:rsidRPr="00C87433">
          <w:rPr>
            <w:rStyle w:val="Hyperlink"/>
          </w:rPr>
          <w:t>https://doi.org/10.1186/1748-5908-6-42</w:t>
        </w:r>
      </w:hyperlink>
      <w:r w:rsidRPr="00C87433">
        <w:t>.</w:t>
      </w:r>
    </w:p>
    <w:p w14:paraId="04DF981A" w14:textId="77777777" w:rsidR="00C87433" w:rsidRPr="00C87433" w:rsidRDefault="00C87433" w:rsidP="00C87433">
      <w:pPr>
        <w:spacing w:after="120" w:line="360" w:lineRule="auto"/>
        <w:jc w:val="both"/>
      </w:pPr>
      <w:proofErr w:type="spellStart"/>
      <w:r w:rsidRPr="00C87433">
        <w:t>Misra</w:t>
      </w:r>
      <w:proofErr w:type="spellEnd"/>
      <w:r w:rsidRPr="00C87433">
        <w:t xml:space="preserve">, A., </w:t>
      </w:r>
      <w:proofErr w:type="spellStart"/>
      <w:r w:rsidRPr="00C87433">
        <w:t>Sattar</w:t>
      </w:r>
      <w:proofErr w:type="spellEnd"/>
      <w:r w:rsidRPr="00C87433">
        <w:t xml:space="preserve">, N., Ghosh, A., </w:t>
      </w:r>
      <w:proofErr w:type="spellStart"/>
      <w:r w:rsidRPr="00C87433">
        <w:t>Nassar</w:t>
      </w:r>
      <w:proofErr w:type="spellEnd"/>
      <w:r w:rsidRPr="00C87433">
        <w:t xml:space="preserve">, M., </w:t>
      </w:r>
      <w:proofErr w:type="spellStart"/>
      <w:r w:rsidRPr="00C87433">
        <w:t>Jayawardena</w:t>
      </w:r>
      <w:proofErr w:type="spellEnd"/>
      <w:r w:rsidRPr="00C87433">
        <w:t xml:space="preserve">, R. and Gupta, R. (2025) ‘Type 2 diabetes in South Asians’, </w:t>
      </w:r>
      <w:r w:rsidRPr="00C87433">
        <w:rPr>
          <w:i/>
          <w:iCs/>
        </w:rPr>
        <w:t>BMJ</w:t>
      </w:r>
      <w:r w:rsidRPr="00C87433">
        <w:t xml:space="preserve">, 390, e079801. Available at: </w:t>
      </w:r>
      <w:hyperlink r:id="rId36" w:tgtFrame="_new" w:history="1">
        <w:r w:rsidRPr="00C87433">
          <w:rPr>
            <w:rStyle w:val="Hyperlink"/>
          </w:rPr>
          <w:t>https://doi.org/10.1136/bmj-2024-079801</w:t>
        </w:r>
      </w:hyperlink>
      <w:r w:rsidRPr="00C87433">
        <w:t>.</w:t>
      </w:r>
    </w:p>
    <w:p w14:paraId="10DAD2CC" w14:textId="77777777" w:rsidR="00C87433" w:rsidRPr="00C87433" w:rsidRDefault="00C87433" w:rsidP="00C87433">
      <w:pPr>
        <w:spacing w:after="120" w:line="360" w:lineRule="auto"/>
        <w:jc w:val="both"/>
      </w:pPr>
      <w:r w:rsidRPr="00C87433">
        <w:t xml:space="preserve">NHS England (2023) </w:t>
      </w:r>
      <w:r w:rsidRPr="00C87433">
        <w:rPr>
          <w:i/>
          <w:iCs/>
        </w:rPr>
        <w:t>Inclusive digital healthcare: a framework for NHS action on digital inclusion</w:t>
      </w:r>
      <w:r w:rsidRPr="00C87433">
        <w:t xml:space="preserve">. Available at: </w:t>
      </w:r>
      <w:hyperlink r:id="rId37" w:tgtFrame="_new" w:history="1">
        <w:r w:rsidRPr="00C87433">
          <w:rPr>
            <w:rStyle w:val="Hyperlink"/>
          </w:rPr>
          <w:t>https://www.england.nhs.uk/long-read/inclusive-digital-healthcare-a-framework-for-nhs-action-on-digital-inclusion/</w:t>
        </w:r>
      </w:hyperlink>
      <w:r w:rsidRPr="00C87433">
        <w:t xml:space="preserve"> (Accessed: 25 June 2026).</w:t>
      </w:r>
    </w:p>
    <w:p w14:paraId="036EA0DD" w14:textId="77777777" w:rsidR="00501DF0" w:rsidRDefault="00501DF0" w:rsidP="00A365D5">
      <w:pPr>
        <w:spacing w:after="120" w:line="360" w:lineRule="auto"/>
        <w:jc w:val="both"/>
      </w:pPr>
    </w:p>
    <w:p w14:paraId="7D06BA28" w14:textId="1D999927" w:rsidR="003A14CC" w:rsidRPr="00AD5CA2" w:rsidRDefault="003A14CC" w:rsidP="00A365D5">
      <w:pPr>
        <w:pStyle w:val="ReferenceText"/>
        <w:spacing w:line="360" w:lineRule="auto"/>
        <w:ind w:left="720" w:hanging="720"/>
        <w:rPr>
          <w:sz w:val="22"/>
          <w:szCs w:val="28"/>
        </w:rPr>
      </w:pPr>
    </w:p>
    <w:sectPr w:rsidR="003A14CC" w:rsidRPr="00AD5CA2" w:rsidSect="00034616">
      <w:footerReference w:type="default" r:id="rId38"/>
      <w:pgSz w:w="12240" w:h="15840"/>
      <w:pgMar w:top="792" w:right="936" w:bottom="792" w:left="936"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968C00" w14:textId="77777777" w:rsidR="004D3479" w:rsidRDefault="004D3479">
      <w:pPr>
        <w:spacing w:after="0" w:line="240" w:lineRule="auto"/>
      </w:pPr>
      <w:r>
        <w:separator/>
      </w:r>
    </w:p>
  </w:endnote>
  <w:endnote w:type="continuationSeparator" w:id="0">
    <w:p w14:paraId="035F3BAB" w14:textId="77777777" w:rsidR="004D3479" w:rsidRDefault="004D3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43EA13" w14:textId="77777777" w:rsidR="003A14CC" w:rsidRDefault="00145077">
    <w:pPr>
      <w:pStyle w:val="Footer"/>
      <w:jc w:val="center"/>
    </w:pPr>
    <w:r>
      <w:rPr>
        <w:color w:val="78828C"/>
        <w:sz w:val="16"/>
      </w:rPr>
      <w:t>LCHS7009 Component 1 | Digital Health Promotion Blogs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513DB6" w14:textId="77777777" w:rsidR="004D3479" w:rsidRDefault="004D3479">
      <w:pPr>
        <w:spacing w:after="0" w:line="240" w:lineRule="auto"/>
      </w:pPr>
      <w:r>
        <w:separator/>
      </w:r>
    </w:p>
  </w:footnote>
  <w:footnote w:type="continuationSeparator" w:id="0">
    <w:p w14:paraId="686ADC21" w14:textId="77777777" w:rsidR="004D3479" w:rsidRDefault="004D34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058ED"/>
    <w:rsid w:val="00034616"/>
    <w:rsid w:val="0006063C"/>
    <w:rsid w:val="00145077"/>
    <w:rsid w:val="0015074B"/>
    <w:rsid w:val="001E493D"/>
    <w:rsid w:val="0029639D"/>
    <w:rsid w:val="003124AB"/>
    <w:rsid w:val="00326F90"/>
    <w:rsid w:val="003735B7"/>
    <w:rsid w:val="00395686"/>
    <w:rsid w:val="003A14CC"/>
    <w:rsid w:val="003E2A1A"/>
    <w:rsid w:val="004458CD"/>
    <w:rsid w:val="00465A2C"/>
    <w:rsid w:val="004A323E"/>
    <w:rsid w:val="004D3479"/>
    <w:rsid w:val="00501DF0"/>
    <w:rsid w:val="00583CF6"/>
    <w:rsid w:val="005C4BA1"/>
    <w:rsid w:val="005D004A"/>
    <w:rsid w:val="00602566"/>
    <w:rsid w:val="00664C66"/>
    <w:rsid w:val="006C240C"/>
    <w:rsid w:val="00874B66"/>
    <w:rsid w:val="0091165A"/>
    <w:rsid w:val="009C7B2A"/>
    <w:rsid w:val="009F081E"/>
    <w:rsid w:val="00A3016C"/>
    <w:rsid w:val="00A365D5"/>
    <w:rsid w:val="00A43139"/>
    <w:rsid w:val="00AA1D8D"/>
    <w:rsid w:val="00AD5CA2"/>
    <w:rsid w:val="00B067AB"/>
    <w:rsid w:val="00B47730"/>
    <w:rsid w:val="00B51ADD"/>
    <w:rsid w:val="00B654FB"/>
    <w:rsid w:val="00B9210C"/>
    <w:rsid w:val="00B927FA"/>
    <w:rsid w:val="00C4289F"/>
    <w:rsid w:val="00C507AF"/>
    <w:rsid w:val="00C51C90"/>
    <w:rsid w:val="00C60DAF"/>
    <w:rsid w:val="00C61BBA"/>
    <w:rsid w:val="00C67516"/>
    <w:rsid w:val="00C7009D"/>
    <w:rsid w:val="00C75FCA"/>
    <w:rsid w:val="00C87433"/>
    <w:rsid w:val="00CB0664"/>
    <w:rsid w:val="00CB4B41"/>
    <w:rsid w:val="00CD2DA2"/>
    <w:rsid w:val="00CE0B62"/>
    <w:rsid w:val="00E20D5A"/>
    <w:rsid w:val="00E24954"/>
    <w:rsid w:val="00ED710D"/>
    <w:rsid w:val="00EE74A5"/>
    <w:rsid w:val="00EF7EE9"/>
    <w:rsid w:val="00F16BB4"/>
    <w:rsid w:val="00F777C4"/>
    <w:rsid w:val="00FC693F"/>
    <w:rsid w:val="00FC6D8E"/>
    <w:rsid w:val="00FE267E"/>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57379F"/>
  <w14:defaultImageDpi w14:val="300"/>
  <w15:docId w15:val="{9EDF3964-C2AE-44A5-9721-EBFCFA309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Arial" w:eastAsia="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D566A"/>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1344A"/>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Custom"/>
    <w:rPr>
      <w:rFonts w:ascii="Arial" w:eastAsia="Arial" w:hAnsi="Arial"/>
      <w:i/>
      <w:color w:val="464646"/>
      <w:sz w:val="18"/>
    </w:rPr>
  </w:style>
  <w:style w:type="paragraph" w:customStyle="1" w:styleId="SmallText">
    <w:name w:val="SmallText"/>
    <w:rPr>
      <w:rFonts w:ascii="Arial" w:eastAsia="Arial" w:hAnsi="Arial"/>
      <w:sz w:val="18"/>
    </w:rPr>
  </w:style>
  <w:style w:type="paragraph" w:customStyle="1" w:styleId="ReferenceText">
    <w:name w:val="ReferenceText"/>
    <w:pPr>
      <w:spacing w:after="80" w:line="252" w:lineRule="auto"/>
    </w:pPr>
    <w:rPr>
      <w:rFonts w:ascii="Arial" w:eastAsia="Arial" w:hAnsi="Arial"/>
      <w:sz w:val="18"/>
    </w:rPr>
  </w:style>
  <w:style w:type="character" w:styleId="Hyperlink">
    <w:name w:val="Hyperlink"/>
    <w:basedOn w:val="DefaultParagraphFont"/>
    <w:uiPriority w:val="99"/>
    <w:unhideWhenUsed/>
    <w:rsid w:val="00AD5CA2"/>
    <w:rPr>
      <w:color w:val="0000FF" w:themeColor="hyperlink"/>
      <w:u w:val="single"/>
    </w:rPr>
  </w:style>
  <w:style w:type="character" w:customStyle="1" w:styleId="UnresolvedMention">
    <w:name w:val="Unresolved Mention"/>
    <w:basedOn w:val="DefaultParagraphFont"/>
    <w:uiPriority w:val="99"/>
    <w:semiHidden/>
    <w:unhideWhenUsed/>
    <w:rsid w:val="00AD5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doi.org/10.1136/bmj-2024-079801"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lucomove.health/demo" TargetMode="External"/><Relationship Id="rId34" Type="http://schemas.openxmlformats.org/officeDocument/2006/relationships/hyperlink" Target="https://doi.org/10.2196/3503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doi.org/10.1186/1748-5908-6-42" TargetMode="External"/><Relationship Id="rId33" Type="http://schemas.openxmlformats.org/officeDocument/2006/relationships/hyperlink" Target="https://doi.org/10.2196/4063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ngland.nhs.uk/long-read/inclusive-digital-healthcare-a-framework-for-nhs-action-on-digital-inclusion/" TargetMode="External"/><Relationship Id="rId20" Type="http://schemas.openxmlformats.org/officeDocument/2006/relationships/image" Target="media/image11.png"/><Relationship Id="rId29" Type="http://schemas.openxmlformats.org/officeDocument/2006/relationships/hyperlink" Target="https://www.gov.uk/government/statistics/diabetes-profile-update-march-2025/diabetes-profile-statistical-commentary-march-2025?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cbi.nlm.nih.gov/books/NBK614155/?utm_source=chatgpt.com" TargetMode="External"/><Relationship Id="rId32" Type="http://schemas.openxmlformats.org/officeDocument/2006/relationships/hyperlink" Target="https://doi.org/10.1111/jhn.13279" TargetMode="External"/><Relationship Id="rId37" Type="http://schemas.openxmlformats.org/officeDocument/2006/relationships/hyperlink" Target="https://www.england.nhs.uk/long-read/inclusive-digital-healthcare-a-framework-for-nhs-action-on-digital-inclusion/?utm_source=chatgpt.com"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diabetes/diabetes-prevention/" TargetMode="External"/><Relationship Id="rId23" Type="http://schemas.openxmlformats.org/officeDocument/2006/relationships/hyperlink" Target="https://www.diabetes.org.uk/about-diabetes/type-2-diabetes/diabetes-ethnicity" TargetMode="External"/><Relationship Id="rId28" Type="http://schemas.openxmlformats.org/officeDocument/2006/relationships/hyperlink" Target="https://www.england.nhs.uk/diabetes/diabetes-prevention/?utm_source=chatgpt.com" TargetMode="External"/><Relationship Id="rId36" Type="http://schemas.openxmlformats.org/officeDocument/2006/relationships/hyperlink" Target="https://doi.org/10.1136/bmj-2024-079801"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who.int/news-room/fact-sheets/detail/diabete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lucomove.health/audio-bn" TargetMode="External"/><Relationship Id="rId27" Type="http://schemas.openxmlformats.org/officeDocument/2006/relationships/hyperlink" Target="https://www.england.nhs.uk/long-read/inclusive-digital-healthcare-a-framework-for-nhs-action-on-digital-inclusion/?utm_source=chatgpt.com" TargetMode="External"/><Relationship Id="rId30" Type="http://schemas.openxmlformats.org/officeDocument/2006/relationships/hyperlink" Target="https://doi.org/10.1136/bmjdrc-2021-002736" TargetMode="External"/><Relationship Id="rId35" Type="http://schemas.openxmlformats.org/officeDocument/2006/relationships/hyperlink" Target="https://doi.org/10.1186/1748-5908-6-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46DF03-0417-4F8E-92F3-8FDD06EE4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13013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Arnob</dc:creator>
  <cp:keywords/>
  <cp:lastModifiedBy>DECENT</cp:lastModifiedBy>
  <cp:revision>5</cp:revision>
  <dcterms:created xsi:type="dcterms:W3CDTF">2026-06-30T09:36:00Z</dcterms:created>
  <dcterms:modified xsi:type="dcterms:W3CDTF">2026-06-30T10:58:00Z</dcterms:modified>
  <cp:category/>
</cp:coreProperties>
</file>