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8067727"/>
        <w:docPartObj>
          <w:docPartGallery w:val="Cover Pages"/>
          <w:docPartUnique/>
        </w:docPartObj>
      </w:sdtPr>
      <w:sdtContent>
        <w:p w14:paraId="0D28FC13" w14:textId="77777777" w:rsidR="00150705" w:rsidRDefault="00150705" w:rsidP="00150705">
          <w:r>
            <w:rPr>
              <w:noProof/>
            </w:rPr>
            <mc:AlternateContent>
              <mc:Choice Requires="wpg">
                <w:drawing>
                  <wp:anchor distT="0" distB="0" distL="114300" distR="114300" simplePos="0" relativeHeight="251659264" behindDoc="1" locked="0" layoutInCell="1" allowOverlap="1" wp14:anchorId="02523A92" wp14:editId="279DA5B2">
                    <wp:simplePos x="0" y="0"/>
                    <wp:positionH relativeFrom="page">
                      <wp:align>center</wp:align>
                    </wp:positionH>
                    <wp:positionV relativeFrom="page">
                      <wp:align>center</wp:align>
                    </wp:positionV>
                    <wp:extent cx="6852920" cy="9142730"/>
                    <wp:effectExtent l="0" t="0" r="2540" b="133985"/>
                    <wp:wrapNone/>
                    <wp:docPr id="119" name="Group 4"/>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9CD385A" w14:textId="25DC85A4" w:rsidR="00150705" w:rsidRDefault="00150705" w:rsidP="00150705">
                                      <w:pPr>
                                        <w:pStyle w:val="NoSpacing"/>
                                        <w:rPr>
                                          <w:color w:val="FFFFFF" w:themeColor="background1"/>
                                          <w:sz w:val="32"/>
                                          <w:szCs w:val="32"/>
                                        </w:rPr>
                                      </w:pPr>
                                      <w:r>
                                        <w:rPr>
                                          <w:color w:val="FFFFFF" w:themeColor="background1"/>
                                          <w:sz w:val="32"/>
                                          <w:szCs w:val="32"/>
                                        </w:rPr>
                                        <w:t>Bartosz Malinowski (2005342)</w:t>
                                      </w:r>
                                    </w:p>
                                  </w:sdtContent>
                                </w:sdt>
                                <w:p w14:paraId="50F7CA55" w14:textId="77777777" w:rsidR="00150705" w:rsidRDefault="00150705" w:rsidP="00150705">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96A30E0" w14:textId="64AEB9A1" w:rsidR="00150705" w:rsidRPr="00397C61" w:rsidRDefault="00150705" w:rsidP="00150705">
                                      <w:pPr>
                                        <w:pStyle w:val="NoSpacing"/>
                                        <w:pBdr>
                                          <w:bottom w:val="single" w:sz="6" w:space="4" w:color="7F7F7F" w:themeColor="text1" w:themeTint="80"/>
                                        </w:pBdr>
                                        <w:rPr>
                                          <w:rFonts w:asciiTheme="majorHAnsi" w:eastAsiaTheme="majorEastAsia" w:hAnsiTheme="majorHAnsi" w:cstheme="majorBidi"/>
                                          <w:color w:val="595959" w:themeColor="text1" w:themeTint="A6"/>
                                          <w:sz w:val="40"/>
                                          <w:szCs w:val="40"/>
                                        </w:rPr>
                                      </w:pPr>
                                      <w:r w:rsidRPr="0042496F">
                                        <w:rPr>
                                          <w:rFonts w:ascii="Arial" w:hAnsi="Arial" w:cs="Arial"/>
                                          <w:b/>
                                          <w:sz w:val="40"/>
                                          <w:szCs w:val="40"/>
                                        </w:rPr>
                                        <w:t>Managing Marketing Change BMMB7026</w:t>
                                      </w:r>
                                    </w:p>
                                  </w:sdtContent>
                                </w:sdt>
                                <w:sdt>
                                  <w:sdtPr>
                                    <w:rPr>
                                      <w:rFonts w:ascii="Arial" w:eastAsia="Calibri" w:hAnsi="Arial" w:cs="Arial"/>
                                      <w:b/>
                                      <w:sz w:val="36"/>
                                      <w:szCs w:val="36"/>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9E1E780" w14:textId="38CE4F88" w:rsidR="00150705" w:rsidRPr="00397C61" w:rsidRDefault="00150705" w:rsidP="00150705">
                                      <w:pPr>
                                        <w:pStyle w:val="NoSpacing"/>
                                        <w:spacing w:before="240"/>
                                        <w:rPr>
                                          <w:caps/>
                                          <w:color w:val="0E2841" w:themeColor="text2"/>
                                          <w:sz w:val="36"/>
                                          <w:szCs w:val="36"/>
                                        </w:rPr>
                                      </w:pPr>
                                      <w:r w:rsidRPr="008B64A7">
                                        <w:rPr>
                                          <w:rFonts w:ascii="Arial" w:eastAsia="Calibri" w:hAnsi="Arial" w:cs="Arial"/>
                                          <w:b/>
                                          <w:sz w:val="36"/>
                                          <w:szCs w:val="36"/>
                                          <w:lang w:val="en-GB"/>
                                        </w:rPr>
                                        <w:t>Future Developments in the Field of Marketing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523A92" id="Group 4"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156082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9CD385A" w14:textId="25DC85A4" w:rsidR="00150705" w:rsidRDefault="00150705" w:rsidP="00150705">
                                <w:pPr>
                                  <w:pStyle w:val="NoSpacing"/>
                                  <w:rPr>
                                    <w:color w:val="FFFFFF" w:themeColor="background1"/>
                                    <w:sz w:val="32"/>
                                    <w:szCs w:val="32"/>
                                  </w:rPr>
                                </w:pPr>
                                <w:r>
                                  <w:rPr>
                                    <w:color w:val="FFFFFF" w:themeColor="background1"/>
                                    <w:sz w:val="32"/>
                                    <w:szCs w:val="32"/>
                                  </w:rPr>
                                  <w:t>Bartosz Malinowski (2005342)</w:t>
                                </w:r>
                              </w:p>
                            </w:sdtContent>
                          </w:sdt>
                          <w:p w14:paraId="50F7CA55" w14:textId="77777777" w:rsidR="00150705" w:rsidRDefault="00150705" w:rsidP="00150705">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b/>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96A30E0" w14:textId="64AEB9A1" w:rsidR="00150705" w:rsidRPr="00397C61" w:rsidRDefault="00150705" w:rsidP="00150705">
                                <w:pPr>
                                  <w:pStyle w:val="NoSpacing"/>
                                  <w:pBdr>
                                    <w:bottom w:val="single" w:sz="6" w:space="4" w:color="7F7F7F" w:themeColor="text1" w:themeTint="80"/>
                                  </w:pBdr>
                                  <w:rPr>
                                    <w:rFonts w:asciiTheme="majorHAnsi" w:eastAsiaTheme="majorEastAsia" w:hAnsiTheme="majorHAnsi" w:cstheme="majorBidi"/>
                                    <w:color w:val="595959" w:themeColor="text1" w:themeTint="A6"/>
                                    <w:sz w:val="40"/>
                                    <w:szCs w:val="40"/>
                                  </w:rPr>
                                </w:pPr>
                                <w:r w:rsidRPr="0042496F">
                                  <w:rPr>
                                    <w:rFonts w:ascii="Arial" w:hAnsi="Arial" w:cs="Arial"/>
                                    <w:b/>
                                    <w:sz w:val="40"/>
                                    <w:szCs w:val="40"/>
                                  </w:rPr>
                                  <w:t>Managing Marketing Change BMMB7026</w:t>
                                </w:r>
                              </w:p>
                            </w:sdtContent>
                          </w:sdt>
                          <w:sdt>
                            <w:sdtPr>
                              <w:rPr>
                                <w:rFonts w:ascii="Arial" w:eastAsia="Calibri" w:hAnsi="Arial" w:cs="Arial"/>
                                <w:b/>
                                <w:sz w:val="36"/>
                                <w:szCs w:val="36"/>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9E1E780" w14:textId="38CE4F88" w:rsidR="00150705" w:rsidRPr="00397C61" w:rsidRDefault="00150705" w:rsidP="00150705">
                                <w:pPr>
                                  <w:pStyle w:val="NoSpacing"/>
                                  <w:spacing w:before="240"/>
                                  <w:rPr>
                                    <w:caps/>
                                    <w:color w:val="0E2841" w:themeColor="text2"/>
                                    <w:sz w:val="36"/>
                                    <w:szCs w:val="36"/>
                                  </w:rPr>
                                </w:pPr>
                                <w:r w:rsidRPr="008B64A7">
                                  <w:rPr>
                                    <w:rFonts w:ascii="Arial" w:eastAsia="Calibri" w:hAnsi="Arial" w:cs="Arial"/>
                                    <w:b/>
                                    <w:sz w:val="36"/>
                                    <w:szCs w:val="36"/>
                                    <w:lang w:val="en-GB"/>
                                  </w:rPr>
                                  <w:t>Future Developments in the Field of Marketing</w:t>
                                </w:r>
                              </w:p>
                            </w:sdtContent>
                          </w:sdt>
                        </w:txbxContent>
                      </v:textbox>
                    </v:shape>
                    <w10:wrap anchorx="page" anchory="page"/>
                  </v:group>
                </w:pict>
              </mc:Fallback>
            </mc:AlternateContent>
          </w:r>
        </w:p>
        <w:p w14:paraId="785B26B0" w14:textId="77777777" w:rsidR="00150705" w:rsidRPr="003D5FEB" w:rsidRDefault="00150705" w:rsidP="00150705">
          <w:pPr>
            <w:rPr>
              <w:rFonts w:asciiTheme="majorHAnsi" w:eastAsiaTheme="majorEastAsia" w:hAnsiTheme="majorHAnsi" w:cstheme="majorBidi"/>
              <w:b/>
              <w:bCs/>
              <w:color w:val="0F4761" w:themeColor="accent1" w:themeShade="BF"/>
              <w:sz w:val="28"/>
              <w:szCs w:val="28"/>
            </w:rPr>
          </w:pPr>
          <w:r>
            <w:br w:type="page"/>
          </w:r>
        </w:p>
      </w:sdtContent>
    </w:sdt>
    <w:p w14:paraId="5BE81A35" w14:textId="77777777" w:rsidR="00150705" w:rsidRDefault="00150705" w:rsidP="00150705">
      <w:pPr>
        <w:pStyle w:val="Heading1"/>
      </w:pPr>
      <w:bookmarkStart w:id="0" w:name="_Toc218363093"/>
      <w:r>
        <w:lastRenderedPageBreak/>
        <w:t>Executive Summary</w:t>
      </w:r>
      <w:bookmarkEnd w:id="0"/>
    </w:p>
    <w:p w14:paraId="72424F39" w14:textId="5BBF3E35" w:rsidR="00150705" w:rsidRDefault="00150705" w:rsidP="00150705">
      <w:pPr>
        <w:pStyle w:val="NormalWeb"/>
        <w:spacing w:line="360" w:lineRule="auto"/>
      </w:pPr>
      <w:r>
        <w:t>This report critically evaluates the marketing strategy of AstraZeneca, a global biopharmaceutical company operating within a highly regulated, research</w:t>
      </w:r>
      <w:r w:rsidR="00B327A7">
        <w:t xml:space="preserve"> </w:t>
      </w:r>
      <w:r>
        <w:t>intensive, and ethically sensitive industry. The purpose of the report is to assess the strategic role and effectiveness of AstraZeneca’s marketing activities by analysing the internal and external marketing environment, target markets and positioning, marketing mix, communication channels, and performance measurement practices. The analysis is grounded in established marketing theory and supported by academic and industry sources to ensure analytical depth and relevance.</w:t>
      </w:r>
    </w:p>
    <w:p w14:paraId="74E63417" w14:textId="7367DD2F" w:rsidR="00150705" w:rsidRDefault="00150705" w:rsidP="00150705">
      <w:pPr>
        <w:pStyle w:val="NormalWeb"/>
        <w:spacing w:line="360" w:lineRule="auto"/>
      </w:pPr>
      <w:r>
        <w:t xml:space="preserve">The report finds that marketing plays a strategically central role within AstraZeneca. Rather than functioning solely as a promotional activity, marketing is integrated with research and development, medical affairs, regulatory compliance, and market access functions. This integration enables AstraZeneca to translate scientific innovation into patient access, commercial sustainability, and </w:t>
      </w:r>
      <w:r w:rsidR="00CC21BD">
        <w:t>long-term</w:t>
      </w:r>
      <w:r>
        <w:t xml:space="preserve"> brand credibility. Significant financial and organisational resources are dedicated to marketing</w:t>
      </w:r>
      <w:r w:rsidR="00B327A7">
        <w:t xml:space="preserve"> </w:t>
      </w:r>
      <w:r>
        <w:t>related activities, reflecting the need to generate returns on high R&amp;D investment and to compete effectively in complex global markets.</w:t>
      </w:r>
    </w:p>
    <w:p w14:paraId="3E695642" w14:textId="5EB56A46" w:rsidR="00150705" w:rsidRDefault="00150705" w:rsidP="00150705">
      <w:pPr>
        <w:pStyle w:val="NormalWeb"/>
        <w:spacing w:line="360" w:lineRule="auto"/>
      </w:pPr>
      <w:r>
        <w:t>The macro</w:t>
      </w:r>
      <w:r w:rsidR="00B327A7">
        <w:t xml:space="preserve"> </w:t>
      </w:r>
      <w:r>
        <w:t xml:space="preserve">environment analysis highlights that political and legal factors exert the strongest influence on AstraZeneca’s marketing strategy. Strict regulatory controls on pharmaceutical promotion shape both the content and channels of communication, resulting in a predominantly healthcare professional–focused approach. Economic pressures on healthcare systems have further driven a shift towards </w:t>
      </w:r>
      <w:r w:rsidR="00CC21BD">
        <w:t>value-based</w:t>
      </w:r>
      <w:r>
        <w:t xml:space="preserve"> marketing, requiring the communication of clinical, economic, and real</w:t>
      </w:r>
      <w:r w:rsidR="00B327A7">
        <w:t xml:space="preserve"> </w:t>
      </w:r>
      <w:r>
        <w:t>world outcomes. Sociocultural trends, including increased patient empowerment and digital health literacy, present opportunities for greater engagement, while technological advances have accelerated the adoption of digital and virtual marketing channels. However, these benefits are increasingly constrained by digital fatigue and information overload.</w:t>
      </w:r>
    </w:p>
    <w:p w14:paraId="6A1EFE36" w14:textId="797D9C61" w:rsidR="00150705" w:rsidRDefault="00150705" w:rsidP="00150705">
      <w:pPr>
        <w:pStyle w:val="NormalWeb"/>
        <w:spacing w:line="360" w:lineRule="auto"/>
      </w:pPr>
      <w:r>
        <w:t xml:space="preserve">At the micro level, AstraZeneca operates in an intensely competitive environment, particularly within oncology and respiratory medicine. The company relies heavily on scientific differentiation and </w:t>
      </w:r>
      <w:r w:rsidR="00CC21BD">
        <w:t>evidence-based</w:t>
      </w:r>
      <w:r>
        <w:t xml:space="preserve"> communication to influence prescribing behaviour and reinforce its positioning as a science</w:t>
      </w:r>
      <w:r w:rsidR="00B327A7">
        <w:t xml:space="preserve"> </w:t>
      </w:r>
      <w:r>
        <w:t xml:space="preserve">led innovator. While effective with healthcare professionals, </w:t>
      </w:r>
      <w:r>
        <w:lastRenderedPageBreak/>
        <w:t>this approach limits emotional engagement with patients and other stakeholders. Overall, the report concludes that AstraZeneca’s marketing strategy is professionally executed and well</w:t>
      </w:r>
      <w:r w:rsidR="00B327A7">
        <w:t xml:space="preserve"> </w:t>
      </w:r>
      <w:r>
        <w:t xml:space="preserve">aligned with industry constraints, but its </w:t>
      </w:r>
      <w:r w:rsidR="00CC21BD">
        <w:t>long-term</w:t>
      </w:r>
      <w:r>
        <w:t xml:space="preserve"> effectiveness would be enhanced through greater patient</w:t>
      </w:r>
      <w:r w:rsidR="00B327A7">
        <w:t xml:space="preserve"> </w:t>
      </w:r>
      <w:r>
        <w:t>centric engagement, improved digital personalisation, increased organisational agility, and broader performance measurement focused on long</w:t>
      </w:r>
      <w:r w:rsidR="00B327A7">
        <w:t xml:space="preserve"> </w:t>
      </w:r>
      <w:r>
        <w:t>term value creation.</w:t>
      </w:r>
    </w:p>
    <w:p w14:paraId="420B4E76" w14:textId="77777777" w:rsidR="00150705" w:rsidRPr="003D5FEB" w:rsidRDefault="00150705" w:rsidP="00150705">
      <w:pPr>
        <w:spacing w:after="160" w:line="278" w:lineRule="auto"/>
        <w:rPr>
          <w:rFonts w:asciiTheme="majorHAnsi" w:eastAsiaTheme="majorEastAsia" w:hAnsiTheme="majorHAnsi" w:cstheme="majorBidi"/>
          <w:color w:val="0F4761" w:themeColor="accent1" w:themeShade="BF"/>
          <w:kern w:val="2"/>
          <w:sz w:val="40"/>
          <w:szCs w:val="40"/>
          <w:lang w:val="en-GB"/>
          <w14:ligatures w14:val="standardContextual"/>
        </w:rPr>
      </w:pPr>
      <w:r>
        <w:br w:type="page"/>
      </w:r>
    </w:p>
    <w:sdt>
      <w:sdtPr>
        <w:rPr>
          <w:rFonts w:asciiTheme="minorHAnsi" w:eastAsiaTheme="minorEastAsia" w:hAnsiTheme="minorHAnsi" w:cstheme="minorBidi"/>
          <w:b w:val="0"/>
          <w:bCs w:val="0"/>
          <w:color w:val="auto"/>
          <w:sz w:val="22"/>
          <w:szCs w:val="22"/>
        </w:rPr>
        <w:id w:val="-305403850"/>
        <w:docPartObj>
          <w:docPartGallery w:val="Table of Contents"/>
          <w:docPartUnique/>
        </w:docPartObj>
      </w:sdtPr>
      <w:sdtEndPr>
        <w:rPr>
          <w:noProof/>
        </w:rPr>
      </w:sdtEndPr>
      <w:sdtContent>
        <w:p w14:paraId="46CDCD79" w14:textId="77777777" w:rsidR="00150705" w:rsidRDefault="00150705" w:rsidP="00150705">
          <w:pPr>
            <w:pStyle w:val="TOCHeading"/>
          </w:pPr>
          <w:r>
            <w:t>Table of Contents</w:t>
          </w:r>
        </w:p>
        <w:p w14:paraId="3F93E0AD" w14:textId="73F0A8A7" w:rsidR="00045791" w:rsidRDefault="00150705">
          <w:pPr>
            <w:pStyle w:val="TOC1"/>
            <w:tabs>
              <w:tab w:val="right" w:leader="dot" w:pos="935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8363093" w:history="1">
            <w:r w:rsidR="00045791" w:rsidRPr="00200F20">
              <w:rPr>
                <w:rStyle w:val="Hyperlink"/>
                <w:noProof/>
              </w:rPr>
              <w:t>Executive Summary</w:t>
            </w:r>
            <w:r w:rsidR="00045791">
              <w:rPr>
                <w:noProof/>
                <w:webHidden/>
              </w:rPr>
              <w:tab/>
            </w:r>
            <w:r w:rsidR="00045791">
              <w:rPr>
                <w:noProof/>
                <w:webHidden/>
              </w:rPr>
              <w:fldChar w:fldCharType="begin"/>
            </w:r>
            <w:r w:rsidR="00045791">
              <w:rPr>
                <w:noProof/>
                <w:webHidden/>
              </w:rPr>
              <w:instrText xml:space="preserve"> PAGEREF _Toc218363093 \h </w:instrText>
            </w:r>
            <w:r w:rsidR="00045791">
              <w:rPr>
                <w:noProof/>
                <w:webHidden/>
              </w:rPr>
            </w:r>
            <w:r w:rsidR="00045791">
              <w:rPr>
                <w:noProof/>
                <w:webHidden/>
              </w:rPr>
              <w:fldChar w:fldCharType="separate"/>
            </w:r>
            <w:r w:rsidR="00045791">
              <w:rPr>
                <w:noProof/>
                <w:webHidden/>
              </w:rPr>
              <w:t>1</w:t>
            </w:r>
            <w:r w:rsidR="00045791">
              <w:rPr>
                <w:noProof/>
                <w:webHidden/>
              </w:rPr>
              <w:fldChar w:fldCharType="end"/>
            </w:r>
          </w:hyperlink>
        </w:p>
        <w:p w14:paraId="271F354D" w14:textId="24DF00CD" w:rsidR="00045791" w:rsidRDefault="00045791">
          <w:pPr>
            <w:pStyle w:val="TOC1"/>
            <w:tabs>
              <w:tab w:val="right" w:leader="dot" w:pos="9350"/>
            </w:tabs>
            <w:rPr>
              <w:b w:val="0"/>
              <w:bCs w:val="0"/>
              <w:i w:val="0"/>
              <w:iCs w:val="0"/>
              <w:noProof/>
              <w:kern w:val="2"/>
              <w:lang w:val="en-GB" w:eastAsia="en-GB"/>
              <w14:ligatures w14:val="standardContextual"/>
            </w:rPr>
          </w:pPr>
          <w:hyperlink w:anchor="_Toc218363094" w:history="1">
            <w:r w:rsidRPr="00200F20">
              <w:rPr>
                <w:rStyle w:val="Hyperlink"/>
                <w:noProof/>
              </w:rPr>
              <w:t>1. Introduction</w:t>
            </w:r>
            <w:r>
              <w:rPr>
                <w:noProof/>
                <w:webHidden/>
              </w:rPr>
              <w:tab/>
            </w:r>
            <w:r>
              <w:rPr>
                <w:noProof/>
                <w:webHidden/>
              </w:rPr>
              <w:fldChar w:fldCharType="begin"/>
            </w:r>
            <w:r>
              <w:rPr>
                <w:noProof/>
                <w:webHidden/>
              </w:rPr>
              <w:instrText xml:space="preserve"> PAGEREF _Toc218363094 \h </w:instrText>
            </w:r>
            <w:r>
              <w:rPr>
                <w:noProof/>
                <w:webHidden/>
              </w:rPr>
            </w:r>
            <w:r>
              <w:rPr>
                <w:noProof/>
                <w:webHidden/>
              </w:rPr>
              <w:fldChar w:fldCharType="separate"/>
            </w:r>
            <w:r>
              <w:rPr>
                <w:noProof/>
                <w:webHidden/>
              </w:rPr>
              <w:t>4</w:t>
            </w:r>
            <w:r>
              <w:rPr>
                <w:noProof/>
                <w:webHidden/>
              </w:rPr>
              <w:fldChar w:fldCharType="end"/>
            </w:r>
          </w:hyperlink>
        </w:p>
        <w:p w14:paraId="734C8663" w14:textId="04517F89" w:rsidR="00045791" w:rsidRDefault="00045791">
          <w:pPr>
            <w:pStyle w:val="TOC1"/>
            <w:tabs>
              <w:tab w:val="right" w:leader="dot" w:pos="9350"/>
            </w:tabs>
            <w:rPr>
              <w:b w:val="0"/>
              <w:bCs w:val="0"/>
              <w:i w:val="0"/>
              <w:iCs w:val="0"/>
              <w:noProof/>
              <w:kern w:val="2"/>
              <w:lang w:val="en-GB" w:eastAsia="en-GB"/>
              <w14:ligatures w14:val="standardContextual"/>
            </w:rPr>
          </w:pPr>
          <w:hyperlink w:anchor="_Toc218363095" w:history="1">
            <w:r w:rsidRPr="00200F20">
              <w:rPr>
                <w:rStyle w:val="Hyperlink"/>
                <w:noProof/>
              </w:rPr>
              <w:t>2. Critical Evaluation of AstraZeneca’s Marketing Activity</w:t>
            </w:r>
            <w:r>
              <w:rPr>
                <w:noProof/>
                <w:webHidden/>
              </w:rPr>
              <w:tab/>
            </w:r>
            <w:r>
              <w:rPr>
                <w:noProof/>
                <w:webHidden/>
              </w:rPr>
              <w:fldChar w:fldCharType="begin"/>
            </w:r>
            <w:r>
              <w:rPr>
                <w:noProof/>
                <w:webHidden/>
              </w:rPr>
              <w:instrText xml:space="preserve"> PAGEREF _Toc218363095 \h </w:instrText>
            </w:r>
            <w:r>
              <w:rPr>
                <w:noProof/>
                <w:webHidden/>
              </w:rPr>
            </w:r>
            <w:r>
              <w:rPr>
                <w:noProof/>
                <w:webHidden/>
              </w:rPr>
              <w:fldChar w:fldCharType="separate"/>
            </w:r>
            <w:r>
              <w:rPr>
                <w:noProof/>
                <w:webHidden/>
              </w:rPr>
              <w:t>5</w:t>
            </w:r>
            <w:r>
              <w:rPr>
                <w:noProof/>
                <w:webHidden/>
              </w:rPr>
              <w:fldChar w:fldCharType="end"/>
            </w:r>
          </w:hyperlink>
        </w:p>
        <w:p w14:paraId="59CC85BD" w14:textId="35E69A55"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096" w:history="1">
            <w:r w:rsidRPr="00200F20">
              <w:rPr>
                <w:rStyle w:val="Hyperlink"/>
                <w:noProof/>
              </w:rPr>
              <w:t>2.1 The Concept and Strategic Importance of Marketing within AstraZeneca</w:t>
            </w:r>
            <w:r>
              <w:rPr>
                <w:noProof/>
                <w:webHidden/>
              </w:rPr>
              <w:tab/>
            </w:r>
            <w:r>
              <w:rPr>
                <w:noProof/>
                <w:webHidden/>
              </w:rPr>
              <w:fldChar w:fldCharType="begin"/>
            </w:r>
            <w:r>
              <w:rPr>
                <w:noProof/>
                <w:webHidden/>
              </w:rPr>
              <w:instrText xml:space="preserve"> PAGEREF _Toc218363096 \h </w:instrText>
            </w:r>
            <w:r>
              <w:rPr>
                <w:noProof/>
                <w:webHidden/>
              </w:rPr>
            </w:r>
            <w:r>
              <w:rPr>
                <w:noProof/>
                <w:webHidden/>
              </w:rPr>
              <w:fldChar w:fldCharType="separate"/>
            </w:r>
            <w:r>
              <w:rPr>
                <w:noProof/>
                <w:webHidden/>
              </w:rPr>
              <w:t>5</w:t>
            </w:r>
            <w:r>
              <w:rPr>
                <w:noProof/>
                <w:webHidden/>
              </w:rPr>
              <w:fldChar w:fldCharType="end"/>
            </w:r>
          </w:hyperlink>
        </w:p>
        <w:p w14:paraId="16339494" w14:textId="3875C123"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097" w:history="1">
            <w:r w:rsidRPr="00200F20">
              <w:rPr>
                <w:rStyle w:val="Hyperlink"/>
                <w:noProof/>
              </w:rPr>
              <w:t>2.2 Macro Marketing Environment and Its Influence on Marketing Strategy</w:t>
            </w:r>
            <w:r>
              <w:rPr>
                <w:noProof/>
                <w:webHidden/>
              </w:rPr>
              <w:tab/>
            </w:r>
            <w:r>
              <w:rPr>
                <w:noProof/>
                <w:webHidden/>
              </w:rPr>
              <w:fldChar w:fldCharType="begin"/>
            </w:r>
            <w:r>
              <w:rPr>
                <w:noProof/>
                <w:webHidden/>
              </w:rPr>
              <w:instrText xml:space="preserve"> PAGEREF _Toc218363097 \h </w:instrText>
            </w:r>
            <w:r>
              <w:rPr>
                <w:noProof/>
                <w:webHidden/>
              </w:rPr>
            </w:r>
            <w:r>
              <w:rPr>
                <w:noProof/>
                <w:webHidden/>
              </w:rPr>
              <w:fldChar w:fldCharType="separate"/>
            </w:r>
            <w:r>
              <w:rPr>
                <w:noProof/>
                <w:webHidden/>
              </w:rPr>
              <w:t>7</w:t>
            </w:r>
            <w:r>
              <w:rPr>
                <w:noProof/>
                <w:webHidden/>
              </w:rPr>
              <w:fldChar w:fldCharType="end"/>
            </w:r>
          </w:hyperlink>
        </w:p>
        <w:p w14:paraId="53D7C157" w14:textId="608A3909" w:rsidR="00045791" w:rsidRDefault="00045791">
          <w:pPr>
            <w:pStyle w:val="TOC1"/>
            <w:tabs>
              <w:tab w:val="right" w:leader="dot" w:pos="9350"/>
            </w:tabs>
            <w:rPr>
              <w:b w:val="0"/>
              <w:bCs w:val="0"/>
              <w:i w:val="0"/>
              <w:iCs w:val="0"/>
              <w:noProof/>
              <w:kern w:val="2"/>
              <w:lang w:val="en-GB" w:eastAsia="en-GB"/>
              <w14:ligatures w14:val="standardContextual"/>
            </w:rPr>
          </w:pPr>
          <w:hyperlink w:anchor="_Toc218363098" w:history="1">
            <w:r w:rsidRPr="00200F20">
              <w:rPr>
                <w:rStyle w:val="Hyperlink"/>
                <w:noProof/>
              </w:rPr>
              <w:t>2.3 Micro Marketing Environment</w:t>
            </w:r>
            <w:r>
              <w:rPr>
                <w:noProof/>
                <w:webHidden/>
              </w:rPr>
              <w:tab/>
            </w:r>
            <w:r>
              <w:rPr>
                <w:noProof/>
                <w:webHidden/>
              </w:rPr>
              <w:fldChar w:fldCharType="begin"/>
            </w:r>
            <w:r>
              <w:rPr>
                <w:noProof/>
                <w:webHidden/>
              </w:rPr>
              <w:instrText xml:space="preserve"> PAGEREF _Toc218363098 \h </w:instrText>
            </w:r>
            <w:r>
              <w:rPr>
                <w:noProof/>
                <w:webHidden/>
              </w:rPr>
            </w:r>
            <w:r>
              <w:rPr>
                <w:noProof/>
                <w:webHidden/>
              </w:rPr>
              <w:fldChar w:fldCharType="separate"/>
            </w:r>
            <w:r>
              <w:rPr>
                <w:noProof/>
                <w:webHidden/>
              </w:rPr>
              <w:t>11</w:t>
            </w:r>
            <w:r>
              <w:rPr>
                <w:noProof/>
                <w:webHidden/>
              </w:rPr>
              <w:fldChar w:fldCharType="end"/>
            </w:r>
          </w:hyperlink>
        </w:p>
        <w:p w14:paraId="1720FCB3" w14:textId="6D97A71D"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099" w:history="1">
            <w:r w:rsidRPr="00200F20">
              <w:rPr>
                <w:rStyle w:val="Hyperlink"/>
                <w:noProof/>
              </w:rPr>
              <w:t>2.3.1 Competitive Environment</w:t>
            </w:r>
            <w:r>
              <w:rPr>
                <w:noProof/>
                <w:webHidden/>
              </w:rPr>
              <w:tab/>
            </w:r>
            <w:r>
              <w:rPr>
                <w:noProof/>
                <w:webHidden/>
              </w:rPr>
              <w:fldChar w:fldCharType="begin"/>
            </w:r>
            <w:r>
              <w:rPr>
                <w:noProof/>
                <w:webHidden/>
              </w:rPr>
              <w:instrText xml:space="preserve"> PAGEREF _Toc218363099 \h </w:instrText>
            </w:r>
            <w:r>
              <w:rPr>
                <w:noProof/>
                <w:webHidden/>
              </w:rPr>
            </w:r>
            <w:r>
              <w:rPr>
                <w:noProof/>
                <w:webHidden/>
              </w:rPr>
              <w:fldChar w:fldCharType="separate"/>
            </w:r>
            <w:r>
              <w:rPr>
                <w:noProof/>
                <w:webHidden/>
              </w:rPr>
              <w:t>11</w:t>
            </w:r>
            <w:r>
              <w:rPr>
                <w:noProof/>
                <w:webHidden/>
              </w:rPr>
              <w:fldChar w:fldCharType="end"/>
            </w:r>
          </w:hyperlink>
        </w:p>
        <w:p w14:paraId="678B2D8D" w14:textId="1BE69DCF"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100" w:history="1">
            <w:r w:rsidRPr="00200F20">
              <w:rPr>
                <w:rStyle w:val="Hyperlink"/>
                <w:noProof/>
              </w:rPr>
              <w:t>2.3.2 Internal Environment and Organisational Structure</w:t>
            </w:r>
            <w:r>
              <w:rPr>
                <w:noProof/>
                <w:webHidden/>
              </w:rPr>
              <w:tab/>
            </w:r>
            <w:r>
              <w:rPr>
                <w:noProof/>
                <w:webHidden/>
              </w:rPr>
              <w:fldChar w:fldCharType="begin"/>
            </w:r>
            <w:r>
              <w:rPr>
                <w:noProof/>
                <w:webHidden/>
              </w:rPr>
              <w:instrText xml:space="preserve"> PAGEREF _Toc218363100 \h </w:instrText>
            </w:r>
            <w:r>
              <w:rPr>
                <w:noProof/>
                <w:webHidden/>
              </w:rPr>
            </w:r>
            <w:r>
              <w:rPr>
                <w:noProof/>
                <w:webHidden/>
              </w:rPr>
              <w:fldChar w:fldCharType="separate"/>
            </w:r>
            <w:r>
              <w:rPr>
                <w:noProof/>
                <w:webHidden/>
              </w:rPr>
              <w:t>11</w:t>
            </w:r>
            <w:r>
              <w:rPr>
                <w:noProof/>
                <w:webHidden/>
              </w:rPr>
              <w:fldChar w:fldCharType="end"/>
            </w:r>
          </w:hyperlink>
        </w:p>
        <w:p w14:paraId="615F61D9" w14:textId="489CEA1E" w:rsidR="00045791" w:rsidRDefault="00045791">
          <w:pPr>
            <w:pStyle w:val="TOC1"/>
            <w:tabs>
              <w:tab w:val="right" w:leader="dot" w:pos="9350"/>
            </w:tabs>
            <w:rPr>
              <w:b w:val="0"/>
              <w:bCs w:val="0"/>
              <w:i w:val="0"/>
              <w:iCs w:val="0"/>
              <w:noProof/>
              <w:kern w:val="2"/>
              <w:lang w:val="en-GB" w:eastAsia="en-GB"/>
              <w14:ligatures w14:val="standardContextual"/>
            </w:rPr>
          </w:pPr>
          <w:hyperlink w:anchor="_Toc218363101" w:history="1">
            <w:r w:rsidRPr="00200F20">
              <w:rPr>
                <w:rStyle w:val="Hyperlink"/>
                <w:noProof/>
              </w:rPr>
              <w:t>2.4 Target Markets and Segmentation Strategy</w:t>
            </w:r>
            <w:r>
              <w:rPr>
                <w:noProof/>
                <w:webHidden/>
              </w:rPr>
              <w:tab/>
            </w:r>
            <w:r>
              <w:rPr>
                <w:noProof/>
                <w:webHidden/>
              </w:rPr>
              <w:fldChar w:fldCharType="begin"/>
            </w:r>
            <w:r>
              <w:rPr>
                <w:noProof/>
                <w:webHidden/>
              </w:rPr>
              <w:instrText xml:space="preserve"> PAGEREF _Toc218363101 \h </w:instrText>
            </w:r>
            <w:r>
              <w:rPr>
                <w:noProof/>
                <w:webHidden/>
              </w:rPr>
            </w:r>
            <w:r>
              <w:rPr>
                <w:noProof/>
                <w:webHidden/>
              </w:rPr>
              <w:fldChar w:fldCharType="separate"/>
            </w:r>
            <w:r>
              <w:rPr>
                <w:noProof/>
                <w:webHidden/>
              </w:rPr>
              <w:t>12</w:t>
            </w:r>
            <w:r>
              <w:rPr>
                <w:noProof/>
                <w:webHidden/>
              </w:rPr>
              <w:fldChar w:fldCharType="end"/>
            </w:r>
          </w:hyperlink>
        </w:p>
        <w:p w14:paraId="2339A3B1" w14:textId="7536D96F" w:rsidR="00045791" w:rsidRDefault="00045791">
          <w:pPr>
            <w:pStyle w:val="TOC1"/>
            <w:tabs>
              <w:tab w:val="right" w:leader="dot" w:pos="9350"/>
            </w:tabs>
            <w:rPr>
              <w:b w:val="0"/>
              <w:bCs w:val="0"/>
              <w:i w:val="0"/>
              <w:iCs w:val="0"/>
              <w:noProof/>
              <w:kern w:val="2"/>
              <w:lang w:val="en-GB" w:eastAsia="en-GB"/>
              <w14:ligatures w14:val="standardContextual"/>
            </w:rPr>
          </w:pPr>
          <w:hyperlink w:anchor="_Toc218363102" w:history="1">
            <w:r w:rsidRPr="00200F20">
              <w:rPr>
                <w:rStyle w:val="Hyperlink"/>
                <w:noProof/>
              </w:rPr>
              <w:t>2.5 Targeting and Positioning Effectiveness</w:t>
            </w:r>
            <w:r>
              <w:rPr>
                <w:noProof/>
                <w:webHidden/>
              </w:rPr>
              <w:tab/>
            </w:r>
            <w:r>
              <w:rPr>
                <w:noProof/>
                <w:webHidden/>
              </w:rPr>
              <w:fldChar w:fldCharType="begin"/>
            </w:r>
            <w:r>
              <w:rPr>
                <w:noProof/>
                <w:webHidden/>
              </w:rPr>
              <w:instrText xml:space="preserve"> PAGEREF _Toc218363102 \h </w:instrText>
            </w:r>
            <w:r>
              <w:rPr>
                <w:noProof/>
                <w:webHidden/>
              </w:rPr>
            </w:r>
            <w:r>
              <w:rPr>
                <w:noProof/>
                <w:webHidden/>
              </w:rPr>
              <w:fldChar w:fldCharType="separate"/>
            </w:r>
            <w:r>
              <w:rPr>
                <w:noProof/>
                <w:webHidden/>
              </w:rPr>
              <w:t>12</w:t>
            </w:r>
            <w:r>
              <w:rPr>
                <w:noProof/>
                <w:webHidden/>
              </w:rPr>
              <w:fldChar w:fldCharType="end"/>
            </w:r>
          </w:hyperlink>
        </w:p>
        <w:p w14:paraId="75497951" w14:textId="45B82480" w:rsidR="00045791" w:rsidRDefault="00045791">
          <w:pPr>
            <w:pStyle w:val="TOC1"/>
            <w:tabs>
              <w:tab w:val="right" w:leader="dot" w:pos="9350"/>
            </w:tabs>
            <w:rPr>
              <w:b w:val="0"/>
              <w:bCs w:val="0"/>
              <w:i w:val="0"/>
              <w:iCs w:val="0"/>
              <w:noProof/>
              <w:kern w:val="2"/>
              <w:lang w:val="en-GB" w:eastAsia="en-GB"/>
              <w14:ligatures w14:val="standardContextual"/>
            </w:rPr>
          </w:pPr>
          <w:hyperlink w:anchor="_Toc218363103" w:history="1">
            <w:r w:rsidRPr="00200F20">
              <w:rPr>
                <w:rStyle w:val="Hyperlink"/>
                <w:noProof/>
              </w:rPr>
              <w:t>2.6 Marketing Mix Analysis</w:t>
            </w:r>
            <w:r>
              <w:rPr>
                <w:noProof/>
                <w:webHidden/>
              </w:rPr>
              <w:tab/>
            </w:r>
            <w:r>
              <w:rPr>
                <w:noProof/>
                <w:webHidden/>
              </w:rPr>
              <w:fldChar w:fldCharType="begin"/>
            </w:r>
            <w:r>
              <w:rPr>
                <w:noProof/>
                <w:webHidden/>
              </w:rPr>
              <w:instrText xml:space="preserve"> PAGEREF _Toc218363103 \h </w:instrText>
            </w:r>
            <w:r>
              <w:rPr>
                <w:noProof/>
                <w:webHidden/>
              </w:rPr>
            </w:r>
            <w:r>
              <w:rPr>
                <w:noProof/>
                <w:webHidden/>
              </w:rPr>
              <w:fldChar w:fldCharType="separate"/>
            </w:r>
            <w:r>
              <w:rPr>
                <w:noProof/>
                <w:webHidden/>
              </w:rPr>
              <w:t>13</w:t>
            </w:r>
            <w:r>
              <w:rPr>
                <w:noProof/>
                <w:webHidden/>
              </w:rPr>
              <w:fldChar w:fldCharType="end"/>
            </w:r>
          </w:hyperlink>
        </w:p>
        <w:p w14:paraId="1EC00539" w14:textId="432EE61D" w:rsidR="00045791" w:rsidRDefault="00045791">
          <w:pPr>
            <w:pStyle w:val="TOC1"/>
            <w:tabs>
              <w:tab w:val="right" w:leader="dot" w:pos="9350"/>
            </w:tabs>
            <w:rPr>
              <w:b w:val="0"/>
              <w:bCs w:val="0"/>
              <w:i w:val="0"/>
              <w:iCs w:val="0"/>
              <w:noProof/>
              <w:kern w:val="2"/>
              <w:lang w:val="en-GB" w:eastAsia="en-GB"/>
              <w14:ligatures w14:val="standardContextual"/>
            </w:rPr>
          </w:pPr>
          <w:hyperlink w:anchor="_Toc218363104" w:history="1">
            <w:r w:rsidRPr="00200F20">
              <w:rPr>
                <w:rStyle w:val="Hyperlink"/>
                <w:noProof/>
              </w:rPr>
              <w:t>2.7 Media Selection and Communication Channels</w:t>
            </w:r>
            <w:r>
              <w:rPr>
                <w:noProof/>
                <w:webHidden/>
              </w:rPr>
              <w:tab/>
            </w:r>
            <w:r>
              <w:rPr>
                <w:noProof/>
                <w:webHidden/>
              </w:rPr>
              <w:fldChar w:fldCharType="begin"/>
            </w:r>
            <w:r>
              <w:rPr>
                <w:noProof/>
                <w:webHidden/>
              </w:rPr>
              <w:instrText xml:space="preserve"> PAGEREF _Toc218363104 \h </w:instrText>
            </w:r>
            <w:r>
              <w:rPr>
                <w:noProof/>
                <w:webHidden/>
              </w:rPr>
            </w:r>
            <w:r>
              <w:rPr>
                <w:noProof/>
                <w:webHidden/>
              </w:rPr>
              <w:fldChar w:fldCharType="separate"/>
            </w:r>
            <w:r>
              <w:rPr>
                <w:noProof/>
                <w:webHidden/>
              </w:rPr>
              <w:t>13</w:t>
            </w:r>
            <w:r>
              <w:rPr>
                <w:noProof/>
                <w:webHidden/>
              </w:rPr>
              <w:fldChar w:fldCharType="end"/>
            </w:r>
          </w:hyperlink>
        </w:p>
        <w:p w14:paraId="47952BA8" w14:textId="7786931F" w:rsidR="00045791" w:rsidRDefault="00045791">
          <w:pPr>
            <w:pStyle w:val="TOC1"/>
            <w:tabs>
              <w:tab w:val="right" w:leader="dot" w:pos="9350"/>
            </w:tabs>
            <w:rPr>
              <w:b w:val="0"/>
              <w:bCs w:val="0"/>
              <w:i w:val="0"/>
              <w:iCs w:val="0"/>
              <w:noProof/>
              <w:kern w:val="2"/>
              <w:lang w:val="en-GB" w:eastAsia="en-GB"/>
              <w14:ligatures w14:val="standardContextual"/>
            </w:rPr>
          </w:pPr>
          <w:hyperlink w:anchor="_Toc218363105" w:history="1">
            <w:r w:rsidRPr="00200F20">
              <w:rPr>
                <w:rStyle w:val="Hyperlink"/>
                <w:noProof/>
              </w:rPr>
              <w:t>2.8 Measuring Marketing Effectiveness and Control</w:t>
            </w:r>
            <w:r>
              <w:rPr>
                <w:noProof/>
                <w:webHidden/>
              </w:rPr>
              <w:tab/>
            </w:r>
            <w:r>
              <w:rPr>
                <w:noProof/>
                <w:webHidden/>
              </w:rPr>
              <w:fldChar w:fldCharType="begin"/>
            </w:r>
            <w:r>
              <w:rPr>
                <w:noProof/>
                <w:webHidden/>
              </w:rPr>
              <w:instrText xml:space="preserve"> PAGEREF _Toc218363105 \h </w:instrText>
            </w:r>
            <w:r>
              <w:rPr>
                <w:noProof/>
                <w:webHidden/>
              </w:rPr>
            </w:r>
            <w:r>
              <w:rPr>
                <w:noProof/>
                <w:webHidden/>
              </w:rPr>
              <w:fldChar w:fldCharType="separate"/>
            </w:r>
            <w:r>
              <w:rPr>
                <w:noProof/>
                <w:webHidden/>
              </w:rPr>
              <w:t>14</w:t>
            </w:r>
            <w:r>
              <w:rPr>
                <w:noProof/>
                <w:webHidden/>
              </w:rPr>
              <w:fldChar w:fldCharType="end"/>
            </w:r>
          </w:hyperlink>
        </w:p>
        <w:p w14:paraId="40B89E9A" w14:textId="6E1C4FA6" w:rsidR="00045791" w:rsidRDefault="00045791">
          <w:pPr>
            <w:pStyle w:val="TOC1"/>
            <w:tabs>
              <w:tab w:val="right" w:leader="dot" w:pos="9350"/>
            </w:tabs>
            <w:rPr>
              <w:b w:val="0"/>
              <w:bCs w:val="0"/>
              <w:i w:val="0"/>
              <w:iCs w:val="0"/>
              <w:noProof/>
              <w:kern w:val="2"/>
              <w:lang w:val="en-GB" w:eastAsia="en-GB"/>
              <w14:ligatures w14:val="standardContextual"/>
            </w:rPr>
          </w:pPr>
          <w:hyperlink w:anchor="_Toc218363106" w:history="1">
            <w:r w:rsidRPr="00200F20">
              <w:rPr>
                <w:rStyle w:val="Hyperlink"/>
                <w:noProof/>
              </w:rPr>
              <w:t>3. Conclusions</w:t>
            </w:r>
            <w:r>
              <w:rPr>
                <w:noProof/>
                <w:webHidden/>
              </w:rPr>
              <w:tab/>
            </w:r>
            <w:r>
              <w:rPr>
                <w:noProof/>
                <w:webHidden/>
              </w:rPr>
              <w:fldChar w:fldCharType="begin"/>
            </w:r>
            <w:r>
              <w:rPr>
                <w:noProof/>
                <w:webHidden/>
              </w:rPr>
              <w:instrText xml:space="preserve"> PAGEREF _Toc218363106 \h </w:instrText>
            </w:r>
            <w:r>
              <w:rPr>
                <w:noProof/>
                <w:webHidden/>
              </w:rPr>
            </w:r>
            <w:r>
              <w:rPr>
                <w:noProof/>
                <w:webHidden/>
              </w:rPr>
              <w:fldChar w:fldCharType="separate"/>
            </w:r>
            <w:r>
              <w:rPr>
                <w:noProof/>
                <w:webHidden/>
              </w:rPr>
              <w:t>15</w:t>
            </w:r>
            <w:r>
              <w:rPr>
                <w:noProof/>
                <w:webHidden/>
              </w:rPr>
              <w:fldChar w:fldCharType="end"/>
            </w:r>
          </w:hyperlink>
        </w:p>
        <w:p w14:paraId="05A95A3B" w14:textId="60F2337B" w:rsidR="00045791" w:rsidRDefault="00045791">
          <w:pPr>
            <w:pStyle w:val="TOC1"/>
            <w:tabs>
              <w:tab w:val="right" w:leader="dot" w:pos="9350"/>
            </w:tabs>
            <w:rPr>
              <w:b w:val="0"/>
              <w:bCs w:val="0"/>
              <w:i w:val="0"/>
              <w:iCs w:val="0"/>
              <w:noProof/>
              <w:kern w:val="2"/>
              <w:lang w:val="en-GB" w:eastAsia="en-GB"/>
              <w14:ligatures w14:val="standardContextual"/>
            </w:rPr>
          </w:pPr>
          <w:hyperlink w:anchor="_Toc218363107" w:history="1">
            <w:r w:rsidRPr="00200F20">
              <w:rPr>
                <w:rStyle w:val="Hyperlink"/>
                <w:noProof/>
              </w:rPr>
              <w:t>4. Recommendations for Improving AstraZeneca’s Marketing Strategy</w:t>
            </w:r>
            <w:r>
              <w:rPr>
                <w:noProof/>
                <w:webHidden/>
              </w:rPr>
              <w:tab/>
            </w:r>
            <w:r>
              <w:rPr>
                <w:noProof/>
                <w:webHidden/>
              </w:rPr>
              <w:fldChar w:fldCharType="begin"/>
            </w:r>
            <w:r>
              <w:rPr>
                <w:noProof/>
                <w:webHidden/>
              </w:rPr>
              <w:instrText xml:space="preserve"> PAGEREF _Toc218363107 \h </w:instrText>
            </w:r>
            <w:r>
              <w:rPr>
                <w:noProof/>
                <w:webHidden/>
              </w:rPr>
            </w:r>
            <w:r>
              <w:rPr>
                <w:noProof/>
                <w:webHidden/>
              </w:rPr>
              <w:fldChar w:fldCharType="separate"/>
            </w:r>
            <w:r>
              <w:rPr>
                <w:noProof/>
                <w:webHidden/>
              </w:rPr>
              <w:t>17</w:t>
            </w:r>
            <w:r>
              <w:rPr>
                <w:noProof/>
                <w:webHidden/>
              </w:rPr>
              <w:fldChar w:fldCharType="end"/>
            </w:r>
          </w:hyperlink>
        </w:p>
        <w:p w14:paraId="4CF74C92" w14:textId="013A0503"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108" w:history="1">
            <w:r w:rsidRPr="00200F20">
              <w:rPr>
                <w:rStyle w:val="Hyperlink"/>
                <w:noProof/>
              </w:rPr>
              <w:t>4.1 Strengthen Patient</w:t>
            </w:r>
            <w:r w:rsidR="00B327A7">
              <w:rPr>
                <w:rStyle w:val="Hyperlink"/>
                <w:noProof/>
              </w:rPr>
              <w:t xml:space="preserve"> </w:t>
            </w:r>
            <w:r w:rsidRPr="00200F20">
              <w:rPr>
                <w:rStyle w:val="Hyperlink"/>
                <w:noProof/>
              </w:rPr>
              <w:t>Centric Marketing Within Regulatory Boundaries</w:t>
            </w:r>
            <w:r>
              <w:rPr>
                <w:noProof/>
                <w:webHidden/>
              </w:rPr>
              <w:tab/>
            </w:r>
            <w:r>
              <w:rPr>
                <w:noProof/>
                <w:webHidden/>
              </w:rPr>
              <w:fldChar w:fldCharType="begin"/>
            </w:r>
            <w:r>
              <w:rPr>
                <w:noProof/>
                <w:webHidden/>
              </w:rPr>
              <w:instrText xml:space="preserve"> PAGEREF _Toc218363108 \h </w:instrText>
            </w:r>
            <w:r>
              <w:rPr>
                <w:noProof/>
                <w:webHidden/>
              </w:rPr>
            </w:r>
            <w:r>
              <w:rPr>
                <w:noProof/>
                <w:webHidden/>
              </w:rPr>
              <w:fldChar w:fldCharType="separate"/>
            </w:r>
            <w:r>
              <w:rPr>
                <w:noProof/>
                <w:webHidden/>
              </w:rPr>
              <w:t>17</w:t>
            </w:r>
            <w:r>
              <w:rPr>
                <w:noProof/>
                <w:webHidden/>
              </w:rPr>
              <w:fldChar w:fldCharType="end"/>
            </w:r>
          </w:hyperlink>
        </w:p>
        <w:p w14:paraId="46414D4A" w14:textId="5D7308AF"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109" w:history="1">
            <w:r w:rsidRPr="00200F20">
              <w:rPr>
                <w:rStyle w:val="Hyperlink"/>
                <w:noProof/>
              </w:rPr>
              <w:t>4.2 Enhance Digital Personalisation and Engagement Capabilities</w:t>
            </w:r>
            <w:r>
              <w:rPr>
                <w:noProof/>
                <w:webHidden/>
              </w:rPr>
              <w:tab/>
            </w:r>
            <w:r>
              <w:rPr>
                <w:noProof/>
                <w:webHidden/>
              </w:rPr>
              <w:fldChar w:fldCharType="begin"/>
            </w:r>
            <w:r>
              <w:rPr>
                <w:noProof/>
                <w:webHidden/>
              </w:rPr>
              <w:instrText xml:space="preserve"> PAGEREF _Toc218363109 \h </w:instrText>
            </w:r>
            <w:r>
              <w:rPr>
                <w:noProof/>
                <w:webHidden/>
              </w:rPr>
            </w:r>
            <w:r>
              <w:rPr>
                <w:noProof/>
                <w:webHidden/>
              </w:rPr>
              <w:fldChar w:fldCharType="separate"/>
            </w:r>
            <w:r>
              <w:rPr>
                <w:noProof/>
                <w:webHidden/>
              </w:rPr>
              <w:t>18</w:t>
            </w:r>
            <w:r>
              <w:rPr>
                <w:noProof/>
                <w:webHidden/>
              </w:rPr>
              <w:fldChar w:fldCharType="end"/>
            </w:r>
          </w:hyperlink>
        </w:p>
        <w:p w14:paraId="523ED7F7" w14:textId="67DDF496"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110" w:history="1">
            <w:r w:rsidRPr="00200F20">
              <w:rPr>
                <w:rStyle w:val="Hyperlink"/>
                <w:noProof/>
              </w:rPr>
              <w:t>4.3 Improve Cross</w:t>
            </w:r>
            <w:r w:rsidR="00B327A7">
              <w:rPr>
                <w:rStyle w:val="Hyperlink"/>
                <w:noProof/>
              </w:rPr>
              <w:t xml:space="preserve"> </w:t>
            </w:r>
            <w:r w:rsidRPr="00200F20">
              <w:rPr>
                <w:rStyle w:val="Hyperlink"/>
                <w:noProof/>
              </w:rPr>
              <w:t>Functional Integration to Increase Marketing Agility</w:t>
            </w:r>
            <w:r>
              <w:rPr>
                <w:noProof/>
                <w:webHidden/>
              </w:rPr>
              <w:tab/>
            </w:r>
            <w:r>
              <w:rPr>
                <w:noProof/>
                <w:webHidden/>
              </w:rPr>
              <w:fldChar w:fldCharType="begin"/>
            </w:r>
            <w:r>
              <w:rPr>
                <w:noProof/>
                <w:webHidden/>
              </w:rPr>
              <w:instrText xml:space="preserve"> PAGEREF _Toc218363110 \h </w:instrText>
            </w:r>
            <w:r>
              <w:rPr>
                <w:noProof/>
                <w:webHidden/>
              </w:rPr>
            </w:r>
            <w:r>
              <w:rPr>
                <w:noProof/>
                <w:webHidden/>
              </w:rPr>
              <w:fldChar w:fldCharType="separate"/>
            </w:r>
            <w:r>
              <w:rPr>
                <w:noProof/>
                <w:webHidden/>
              </w:rPr>
              <w:t>18</w:t>
            </w:r>
            <w:r>
              <w:rPr>
                <w:noProof/>
                <w:webHidden/>
              </w:rPr>
              <w:fldChar w:fldCharType="end"/>
            </w:r>
          </w:hyperlink>
        </w:p>
        <w:p w14:paraId="4FEFEE87" w14:textId="3002B62F"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111" w:history="1">
            <w:r w:rsidRPr="00200F20">
              <w:rPr>
                <w:rStyle w:val="Hyperlink"/>
                <w:noProof/>
              </w:rPr>
              <w:t>4.4 Broaden Marketing Performance Measurement Beyond Short</w:t>
            </w:r>
            <w:r w:rsidR="00B327A7">
              <w:rPr>
                <w:rStyle w:val="Hyperlink"/>
                <w:noProof/>
              </w:rPr>
              <w:t xml:space="preserve"> </w:t>
            </w:r>
            <w:r w:rsidRPr="00200F20">
              <w:rPr>
                <w:rStyle w:val="Hyperlink"/>
                <w:noProof/>
              </w:rPr>
              <w:t>Term Metrics</w:t>
            </w:r>
            <w:r>
              <w:rPr>
                <w:noProof/>
                <w:webHidden/>
              </w:rPr>
              <w:tab/>
            </w:r>
            <w:r>
              <w:rPr>
                <w:noProof/>
                <w:webHidden/>
              </w:rPr>
              <w:fldChar w:fldCharType="begin"/>
            </w:r>
            <w:r>
              <w:rPr>
                <w:noProof/>
                <w:webHidden/>
              </w:rPr>
              <w:instrText xml:space="preserve"> PAGEREF _Toc218363111 \h </w:instrText>
            </w:r>
            <w:r>
              <w:rPr>
                <w:noProof/>
                <w:webHidden/>
              </w:rPr>
            </w:r>
            <w:r>
              <w:rPr>
                <w:noProof/>
                <w:webHidden/>
              </w:rPr>
              <w:fldChar w:fldCharType="separate"/>
            </w:r>
            <w:r>
              <w:rPr>
                <w:noProof/>
                <w:webHidden/>
              </w:rPr>
              <w:t>19</w:t>
            </w:r>
            <w:r>
              <w:rPr>
                <w:noProof/>
                <w:webHidden/>
              </w:rPr>
              <w:fldChar w:fldCharType="end"/>
            </w:r>
          </w:hyperlink>
        </w:p>
        <w:p w14:paraId="429E9C0A" w14:textId="69997CD0" w:rsidR="00045791" w:rsidRDefault="00045791">
          <w:pPr>
            <w:pStyle w:val="TOC2"/>
            <w:tabs>
              <w:tab w:val="right" w:leader="dot" w:pos="9350"/>
            </w:tabs>
            <w:rPr>
              <w:b w:val="0"/>
              <w:bCs w:val="0"/>
              <w:noProof/>
              <w:kern w:val="2"/>
              <w:sz w:val="24"/>
              <w:szCs w:val="24"/>
              <w:lang w:val="en-GB" w:eastAsia="en-GB"/>
              <w14:ligatures w14:val="standardContextual"/>
            </w:rPr>
          </w:pPr>
          <w:hyperlink w:anchor="_Toc218363112" w:history="1">
            <w:r w:rsidRPr="00200F20">
              <w:rPr>
                <w:rStyle w:val="Hyperlink"/>
                <w:noProof/>
              </w:rPr>
              <w:t>4.5 Integrate Sustainability and Corporate Purpose More Prominently into Marketing Communications</w:t>
            </w:r>
            <w:r>
              <w:rPr>
                <w:noProof/>
                <w:webHidden/>
              </w:rPr>
              <w:tab/>
            </w:r>
            <w:r>
              <w:rPr>
                <w:noProof/>
                <w:webHidden/>
              </w:rPr>
              <w:fldChar w:fldCharType="begin"/>
            </w:r>
            <w:r>
              <w:rPr>
                <w:noProof/>
                <w:webHidden/>
              </w:rPr>
              <w:instrText xml:space="preserve"> PAGEREF _Toc218363112 \h </w:instrText>
            </w:r>
            <w:r>
              <w:rPr>
                <w:noProof/>
                <w:webHidden/>
              </w:rPr>
            </w:r>
            <w:r>
              <w:rPr>
                <w:noProof/>
                <w:webHidden/>
              </w:rPr>
              <w:fldChar w:fldCharType="separate"/>
            </w:r>
            <w:r>
              <w:rPr>
                <w:noProof/>
                <w:webHidden/>
              </w:rPr>
              <w:t>19</w:t>
            </w:r>
            <w:r>
              <w:rPr>
                <w:noProof/>
                <w:webHidden/>
              </w:rPr>
              <w:fldChar w:fldCharType="end"/>
            </w:r>
          </w:hyperlink>
        </w:p>
        <w:p w14:paraId="59D51428" w14:textId="452ABCF2" w:rsidR="00045791" w:rsidRDefault="00045791">
          <w:pPr>
            <w:pStyle w:val="TOC1"/>
            <w:tabs>
              <w:tab w:val="right" w:leader="dot" w:pos="9350"/>
            </w:tabs>
            <w:rPr>
              <w:b w:val="0"/>
              <w:bCs w:val="0"/>
              <w:i w:val="0"/>
              <w:iCs w:val="0"/>
              <w:noProof/>
              <w:kern w:val="2"/>
              <w:lang w:val="en-GB" w:eastAsia="en-GB"/>
              <w14:ligatures w14:val="standardContextual"/>
            </w:rPr>
          </w:pPr>
          <w:hyperlink w:anchor="_Toc218363113" w:history="1">
            <w:r w:rsidRPr="00200F20">
              <w:rPr>
                <w:rStyle w:val="Hyperlink"/>
                <w:noProof/>
              </w:rPr>
              <w:t>5. References</w:t>
            </w:r>
            <w:r>
              <w:rPr>
                <w:noProof/>
                <w:webHidden/>
              </w:rPr>
              <w:tab/>
            </w:r>
            <w:r>
              <w:rPr>
                <w:noProof/>
                <w:webHidden/>
              </w:rPr>
              <w:fldChar w:fldCharType="begin"/>
            </w:r>
            <w:r>
              <w:rPr>
                <w:noProof/>
                <w:webHidden/>
              </w:rPr>
              <w:instrText xml:space="preserve"> PAGEREF _Toc218363113 \h </w:instrText>
            </w:r>
            <w:r>
              <w:rPr>
                <w:noProof/>
                <w:webHidden/>
              </w:rPr>
            </w:r>
            <w:r>
              <w:rPr>
                <w:noProof/>
                <w:webHidden/>
              </w:rPr>
              <w:fldChar w:fldCharType="separate"/>
            </w:r>
            <w:r>
              <w:rPr>
                <w:noProof/>
                <w:webHidden/>
              </w:rPr>
              <w:t>21</w:t>
            </w:r>
            <w:r>
              <w:rPr>
                <w:noProof/>
                <w:webHidden/>
              </w:rPr>
              <w:fldChar w:fldCharType="end"/>
            </w:r>
          </w:hyperlink>
        </w:p>
        <w:p w14:paraId="2A94C001" w14:textId="5E732B48" w:rsidR="00150705" w:rsidRDefault="00150705" w:rsidP="00150705">
          <w:r>
            <w:rPr>
              <w:b/>
              <w:bCs/>
              <w:noProof/>
            </w:rPr>
            <w:fldChar w:fldCharType="end"/>
          </w:r>
        </w:p>
      </w:sdtContent>
    </w:sdt>
    <w:p w14:paraId="2796B03F" w14:textId="77777777" w:rsidR="00150705" w:rsidRPr="00793F14" w:rsidRDefault="00150705" w:rsidP="00150705">
      <w:pPr>
        <w:rPr>
          <w:rFonts w:asciiTheme="majorHAnsi" w:eastAsiaTheme="majorEastAsia" w:hAnsiTheme="majorHAnsi" w:cstheme="majorBidi"/>
          <w:b/>
          <w:bCs/>
          <w:color w:val="0F4761" w:themeColor="accent1" w:themeShade="BF"/>
          <w:sz w:val="28"/>
          <w:szCs w:val="28"/>
        </w:rPr>
      </w:pPr>
      <w:r>
        <w:br w:type="page"/>
      </w:r>
    </w:p>
    <w:p w14:paraId="5AF4181C" w14:textId="77777777" w:rsidR="00150705" w:rsidRDefault="00150705" w:rsidP="00150705">
      <w:pPr>
        <w:pStyle w:val="Heading1"/>
      </w:pPr>
      <w:bookmarkStart w:id="1" w:name="_Toc218363094"/>
      <w:r>
        <w:lastRenderedPageBreak/>
        <w:t>1. Introduction</w:t>
      </w:r>
      <w:bookmarkEnd w:id="1"/>
    </w:p>
    <w:p w14:paraId="614DBEFD" w14:textId="77777777" w:rsidR="00150705" w:rsidRDefault="00150705" w:rsidP="00150705">
      <w:pPr>
        <w:spacing w:line="360" w:lineRule="auto"/>
      </w:pPr>
      <w:r>
        <w:rPr>
          <w:rFonts w:ascii="Times New Roman" w:hAnsi="Times New Roman"/>
          <w:sz w:val="24"/>
        </w:rPr>
        <w:t xml:space="preserve">Marketing within the pharmaceutical industry operates under uniquely restrictive regulatory, ethical, and institutional constraints when compared with other industries. Pharmaceutical companies must balance commercial imperatives with patient safety, regulatory compliance, and public trust, all while competing in markets </w:t>
      </w:r>
      <w:r w:rsidRPr="00B7008A">
        <w:rPr>
          <w:rFonts w:ascii="Times New Roman" w:hAnsi="Times New Roman"/>
          <w:sz w:val="24"/>
          <w:lang w:val="en-GB"/>
        </w:rPr>
        <w:t>characterised</w:t>
      </w:r>
      <w:r>
        <w:rPr>
          <w:rFonts w:ascii="Times New Roman" w:hAnsi="Times New Roman"/>
          <w:sz w:val="24"/>
        </w:rPr>
        <w:t xml:space="preserve"> by rapid scientific innovation and high research and development (R&amp;D) costs (Kotler et al., 2022). As a result, marketing in this sector extends beyond promotion to include stakeholder education, disease awareness, value communication, and reputation management.</w:t>
      </w:r>
    </w:p>
    <w:p w14:paraId="7EA4E16C" w14:textId="08D7741A" w:rsidR="00150705" w:rsidRDefault="00150705" w:rsidP="00150705">
      <w:pPr>
        <w:spacing w:line="360" w:lineRule="auto"/>
      </w:pPr>
      <w:r>
        <w:rPr>
          <w:rFonts w:ascii="Times New Roman" w:hAnsi="Times New Roman"/>
          <w:sz w:val="24"/>
        </w:rPr>
        <w:t xml:space="preserve">AstraZeneca is one of the world’s largest biopharmaceutical companies, with operations in over 100 countries and a strategic focus on oncology, cardiovascular, renal and metabolism, respiratory and immunology, vaccines, and rare diseases (AstraZeneca, 2023a). The role of its marketing department is therefore central to translating scientific innovation into patient access, commercial sustainability, and </w:t>
      </w:r>
      <w:r w:rsidR="00CC21BD">
        <w:rPr>
          <w:rFonts w:ascii="Times New Roman" w:hAnsi="Times New Roman"/>
          <w:sz w:val="24"/>
        </w:rPr>
        <w:t>long-term</w:t>
      </w:r>
      <w:r>
        <w:rPr>
          <w:rFonts w:ascii="Times New Roman" w:hAnsi="Times New Roman"/>
          <w:sz w:val="24"/>
        </w:rPr>
        <w:t xml:space="preserve"> brand equity. The organisation’s marketing activities attracted unprecedented global attention during the COVID</w:t>
      </w:r>
      <w:r w:rsidR="00B327A7">
        <w:rPr>
          <w:rFonts w:ascii="Times New Roman" w:hAnsi="Times New Roman"/>
          <w:sz w:val="24"/>
        </w:rPr>
        <w:t xml:space="preserve"> </w:t>
      </w:r>
      <w:r>
        <w:rPr>
          <w:rFonts w:ascii="Times New Roman" w:hAnsi="Times New Roman"/>
          <w:sz w:val="24"/>
        </w:rPr>
        <w:t>19 pandemic, highlighting both the strategic importance and reputational risks associated with pharmaceutical marketing (BBC News, 2021).</w:t>
      </w:r>
    </w:p>
    <w:p w14:paraId="1668F38F" w14:textId="77777777" w:rsidR="00150705" w:rsidRDefault="00150705" w:rsidP="00150705">
      <w:pPr>
        <w:spacing w:line="360" w:lineRule="auto"/>
      </w:pPr>
      <w:r>
        <w:rPr>
          <w:rFonts w:ascii="Times New Roman" w:hAnsi="Times New Roman"/>
          <w:sz w:val="24"/>
        </w:rPr>
        <w:t>This report critically evaluates the effectiveness of AstraZeneca’s marketing activities by examining its investment in marketing, the macro and micro marketing environment, segmentation and targeting strategies, marketing mix, media selection, and performance measurement. The report then identifies key shortcomings and proposes feasible recommendations to support future marketing development.</w:t>
      </w:r>
    </w:p>
    <w:p w14:paraId="53546A13" w14:textId="77777777" w:rsidR="00150705" w:rsidRDefault="00150705" w:rsidP="00150705">
      <w:pPr>
        <w:spacing w:line="360" w:lineRule="auto"/>
      </w:pPr>
    </w:p>
    <w:p w14:paraId="68762C6C" w14:textId="77777777" w:rsidR="00150705" w:rsidRDefault="00150705" w:rsidP="00150705">
      <w:pPr>
        <w:spacing w:line="360" w:lineRule="auto"/>
      </w:pPr>
    </w:p>
    <w:p w14:paraId="18931D0E" w14:textId="77777777" w:rsidR="00150705" w:rsidRDefault="00150705" w:rsidP="00150705">
      <w:pPr>
        <w:pStyle w:val="Heading1"/>
      </w:pPr>
      <w:bookmarkStart w:id="2" w:name="_Toc218363095"/>
      <w:r>
        <w:lastRenderedPageBreak/>
        <w:t>2. Critical Evaluation of AstraZeneca’s Marketing Activity</w:t>
      </w:r>
      <w:bookmarkEnd w:id="2"/>
      <w:r>
        <w:t xml:space="preserve"> </w:t>
      </w:r>
    </w:p>
    <w:p w14:paraId="5ECE5230" w14:textId="77777777" w:rsidR="00150705" w:rsidRPr="001E195A" w:rsidRDefault="00150705" w:rsidP="00150705">
      <w:pPr>
        <w:pStyle w:val="Heading2"/>
      </w:pPr>
    </w:p>
    <w:p w14:paraId="2C33ECCE" w14:textId="77777777" w:rsidR="00150705" w:rsidRPr="00BA6B36" w:rsidRDefault="00150705" w:rsidP="00150705">
      <w:pPr>
        <w:pStyle w:val="Heading2"/>
      </w:pPr>
      <w:bookmarkStart w:id="3" w:name="_Toc218363096"/>
      <w:r w:rsidRPr="00BA6B36">
        <w:t>2.1 The Concept and Strategic Importance of Marketing within AstraZeneca</w:t>
      </w:r>
      <w:bookmarkEnd w:id="3"/>
    </w:p>
    <w:p w14:paraId="5F106DDB" w14:textId="4D295B9A" w:rsidR="00150705" w:rsidRDefault="00150705" w:rsidP="00150705">
      <w:pPr>
        <w:spacing w:line="360" w:lineRule="auto"/>
      </w:pPr>
      <w:r>
        <w:rPr>
          <w:rFonts w:ascii="Times New Roman" w:hAnsi="Times New Roman"/>
          <w:sz w:val="24"/>
        </w:rPr>
        <w:t>Marketing within the pharmaceutical industry differs fundamentally from marketing in consumer</w:t>
      </w:r>
      <w:r w:rsidR="00B327A7">
        <w:rPr>
          <w:rFonts w:ascii="Times New Roman" w:hAnsi="Times New Roman"/>
          <w:sz w:val="24"/>
        </w:rPr>
        <w:t xml:space="preserve"> </w:t>
      </w:r>
      <w:r>
        <w:rPr>
          <w:rFonts w:ascii="Times New Roman" w:hAnsi="Times New Roman"/>
          <w:sz w:val="24"/>
        </w:rPr>
        <w:t>driven sectors due to the highly regulated nature of products, the ethical responsibility to protect patient safety, and the complexity of decision</w:t>
      </w:r>
      <w:r w:rsidR="00B327A7">
        <w:rPr>
          <w:rFonts w:ascii="Times New Roman" w:hAnsi="Times New Roman"/>
          <w:sz w:val="24"/>
        </w:rPr>
        <w:t xml:space="preserve"> </w:t>
      </w:r>
      <w:r>
        <w:rPr>
          <w:rFonts w:ascii="Times New Roman" w:hAnsi="Times New Roman"/>
          <w:sz w:val="24"/>
        </w:rPr>
        <w:t xml:space="preserve">making within healthcare systems. In this context, marketing is not limited to promotion or advertising but instead represents a strategic </w:t>
      </w:r>
      <w:r w:rsidRPr="00B7008A">
        <w:rPr>
          <w:rFonts w:ascii="Times New Roman" w:hAnsi="Times New Roman"/>
          <w:sz w:val="24"/>
          <w:lang w:val="en-GB"/>
        </w:rPr>
        <w:t>organisational</w:t>
      </w:r>
      <w:r>
        <w:rPr>
          <w:rFonts w:ascii="Times New Roman" w:hAnsi="Times New Roman"/>
          <w:sz w:val="24"/>
        </w:rPr>
        <w:t xml:space="preserve"> function that integrates market insight, stakeholder engagement, value communication, and reputation management (Kotler et al., 2022). This broader </w:t>
      </w:r>
      <w:r w:rsidRPr="00B7008A">
        <w:rPr>
          <w:rFonts w:ascii="Times New Roman" w:hAnsi="Times New Roman"/>
          <w:sz w:val="24"/>
          <w:lang w:val="en-GB"/>
        </w:rPr>
        <w:t>conceptualisation</w:t>
      </w:r>
      <w:r>
        <w:rPr>
          <w:rFonts w:ascii="Times New Roman" w:hAnsi="Times New Roman"/>
          <w:sz w:val="24"/>
        </w:rPr>
        <w:t xml:space="preserve"> of marketing is particularly evident in the operations of AstraZeneca, where marketing plays a central role in translating scientific innovation into patient access and </w:t>
      </w:r>
      <w:r w:rsidR="00CC21BD">
        <w:rPr>
          <w:rFonts w:ascii="Times New Roman" w:hAnsi="Times New Roman"/>
          <w:sz w:val="24"/>
        </w:rPr>
        <w:t>long-term</w:t>
      </w:r>
      <w:r>
        <w:rPr>
          <w:rFonts w:ascii="Times New Roman" w:hAnsi="Times New Roman"/>
          <w:sz w:val="24"/>
        </w:rPr>
        <w:t xml:space="preserve"> organisational value.</w:t>
      </w:r>
    </w:p>
    <w:p w14:paraId="14534E4B" w14:textId="0B5B21CF" w:rsidR="00150705" w:rsidRDefault="00150705" w:rsidP="00150705">
      <w:pPr>
        <w:spacing w:line="360" w:lineRule="auto"/>
      </w:pPr>
      <w:r>
        <w:rPr>
          <w:rFonts w:ascii="Times New Roman" w:hAnsi="Times New Roman"/>
          <w:sz w:val="24"/>
        </w:rPr>
        <w:t>AstraZeneca operates in a research</w:t>
      </w:r>
      <w:r w:rsidR="00B327A7">
        <w:rPr>
          <w:rFonts w:ascii="Times New Roman" w:hAnsi="Times New Roman"/>
          <w:sz w:val="24"/>
        </w:rPr>
        <w:t xml:space="preserve"> </w:t>
      </w:r>
      <w:r>
        <w:rPr>
          <w:rFonts w:ascii="Times New Roman" w:hAnsi="Times New Roman"/>
          <w:sz w:val="24"/>
        </w:rPr>
        <w:t>intensive environment characterised by high development costs, lengthy product lifecycles, and significant uncertainty. As a result, marketing is strategically important not only at the point of product launch but throughout the entire lifecycle of a medicine, from early disease awareness and market shaping to post</w:t>
      </w:r>
      <w:r w:rsidR="00B327A7">
        <w:rPr>
          <w:rFonts w:ascii="Times New Roman" w:hAnsi="Times New Roman"/>
          <w:sz w:val="24"/>
        </w:rPr>
        <w:t xml:space="preserve"> </w:t>
      </w:r>
      <w:r>
        <w:rPr>
          <w:rFonts w:ascii="Times New Roman" w:hAnsi="Times New Roman"/>
          <w:sz w:val="24"/>
        </w:rPr>
        <w:t>launch education and real</w:t>
      </w:r>
      <w:r w:rsidR="00B327A7">
        <w:rPr>
          <w:rFonts w:ascii="Times New Roman" w:hAnsi="Times New Roman"/>
          <w:sz w:val="24"/>
        </w:rPr>
        <w:t xml:space="preserve"> </w:t>
      </w:r>
      <w:r>
        <w:rPr>
          <w:rFonts w:ascii="Times New Roman" w:hAnsi="Times New Roman"/>
          <w:sz w:val="24"/>
        </w:rPr>
        <w:t>world evidence generation (Deloitte, 2021). This lifecycle</w:t>
      </w:r>
      <w:r w:rsidR="00B327A7">
        <w:rPr>
          <w:rFonts w:ascii="Times New Roman" w:hAnsi="Times New Roman"/>
          <w:sz w:val="24"/>
        </w:rPr>
        <w:t xml:space="preserve"> </w:t>
      </w:r>
      <w:r>
        <w:rPr>
          <w:rFonts w:ascii="Times New Roman" w:hAnsi="Times New Roman"/>
          <w:sz w:val="24"/>
        </w:rPr>
        <w:t>oriented role elevates marketing from a tactical support function to a core strategic capability that influences investment decisions, portfolio prioritisation, and long</w:t>
      </w:r>
      <w:r w:rsidR="00B327A7">
        <w:rPr>
          <w:rFonts w:ascii="Times New Roman" w:hAnsi="Times New Roman"/>
          <w:sz w:val="24"/>
        </w:rPr>
        <w:t xml:space="preserve"> </w:t>
      </w:r>
      <w:r>
        <w:rPr>
          <w:rFonts w:ascii="Times New Roman" w:hAnsi="Times New Roman"/>
          <w:sz w:val="24"/>
        </w:rPr>
        <w:t>term growth.</w:t>
      </w:r>
    </w:p>
    <w:p w14:paraId="5AEF3DA7" w14:textId="5C2D1FBD" w:rsidR="00150705" w:rsidRDefault="00150705" w:rsidP="00150705">
      <w:pPr>
        <w:spacing w:line="360" w:lineRule="auto"/>
      </w:pPr>
      <w:r>
        <w:rPr>
          <w:rFonts w:ascii="Times New Roman" w:hAnsi="Times New Roman"/>
          <w:sz w:val="24"/>
        </w:rPr>
        <w:t>From a resource perspective, AstraZeneca invests heavily in marketing</w:t>
      </w:r>
      <w:r w:rsidR="00B327A7">
        <w:rPr>
          <w:rFonts w:ascii="Times New Roman" w:hAnsi="Times New Roman"/>
          <w:sz w:val="24"/>
        </w:rPr>
        <w:t xml:space="preserve"> </w:t>
      </w:r>
      <w:r>
        <w:rPr>
          <w:rFonts w:ascii="Times New Roman" w:hAnsi="Times New Roman"/>
          <w:sz w:val="24"/>
        </w:rPr>
        <w:t>related activities embedded within its selling, general, and administrative (SG&amp;A) expenditure. Although the organisation does not publish a disaggregated marketing budget, annual reports indicate that billions of dollars are allocated to SG&amp;A functions globally, reflecting the scale of professional promotion, medical education, digital engagement, and market access activities required to support its portfolio (AstraZeneca, 2023a). This level of investment underscores the strategic importance of marketing in enabling returns on substantial R&amp;D expenditure, particularly in high</w:t>
      </w:r>
      <w:r w:rsidR="00B327A7">
        <w:rPr>
          <w:rFonts w:ascii="Times New Roman" w:hAnsi="Times New Roman"/>
          <w:sz w:val="24"/>
        </w:rPr>
        <w:t xml:space="preserve"> </w:t>
      </w:r>
      <w:r>
        <w:rPr>
          <w:rFonts w:ascii="Times New Roman" w:hAnsi="Times New Roman"/>
          <w:sz w:val="24"/>
        </w:rPr>
        <w:t>value therapeutic areas such as oncology and rare diseases.</w:t>
      </w:r>
    </w:p>
    <w:p w14:paraId="271D2887" w14:textId="142428D3" w:rsidR="00150705" w:rsidRDefault="00150705" w:rsidP="00150705">
      <w:pPr>
        <w:spacing w:line="360" w:lineRule="auto"/>
      </w:pPr>
      <w:r>
        <w:rPr>
          <w:rFonts w:ascii="Times New Roman" w:hAnsi="Times New Roman"/>
          <w:sz w:val="24"/>
        </w:rPr>
        <w:lastRenderedPageBreak/>
        <w:t>Critically, the strategic importance of marketing at AstraZeneca extends beyond revenue generation to encompass trust</w:t>
      </w:r>
      <w:r w:rsidR="00B327A7">
        <w:rPr>
          <w:rFonts w:ascii="Times New Roman" w:hAnsi="Times New Roman"/>
          <w:sz w:val="24"/>
        </w:rPr>
        <w:t xml:space="preserve"> </w:t>
      </w:r>
      <w:r>
        <w:rPr>
          <w:rFonts w:ascii="Times New Roman" w:hAnsi="Times New Roman"/>
          <w:sz w:val="24"/>
        </w:rPr>
        <w:t>building and legitimacy. Pharmaceutical companies operate under intense public and regulatory scrutiny, and reputational damage can have long</w:t>
      </w:r>
      <w:r w:rsidR="00B327A7">
        <w:rPr>
          <w:rFonts w:ascii="Times New Roman" w:hAnsi="Times New Roman"/>
          <w:sz w:val="24"/>
        </w:rPr>
        <w:t xml:space="preserve"> </w:t>
      </w:r>
      <w:r>
        <w:rPr>
          <w:rFonts w:ascii="Times New Roman" w:hAnsi="Times New Roman"/>
          <w:sz w:val="24"/>
        </w:rPr>
        <w:t>lasting commercial and social consequences, as demonstrated during the COVID</w:t>
      </w:r>
      <w:r w:rsidR="00B327A7">
        <w:rPr>
          <w:rFonts w:ascii="Times New Roman" w:hAnsi="Times New Roman"/>
          <w:sz w:val="24"/>
        </w:rPr>
        <w:t xml:space="preserve"> </w:t>
      </w:r>
      <w:r>
        <w:rPr>
          <w:rFonts w:ascii="Times New Roman" w:hAnsi="Times New Roman"/>
          <w:sz w:val="24"/>
        </w:rPr>
        <w:t>19 vaccine rollout (BBC News, 2021). AstraZeneca’s marketing function therefore plays a key role in managing corporate reputation through transparent communication, stakeholder engagement, and alignment with ethical and social responsibilities. This aligns with relationship marketing theory, which emphasises long</w:t>
      </w:r>
      <w:r w:rsidR="00B327A7">
        <w:rPr>
          <w:rFonts w:ascii="Times New Roman" w:hAnsi="Times New Roman"/>
          <w:sz w:val="24"/>
        </w:rPr>
        <w:t xml:space="preserve"> </w:t>
      </w:r>
      <w:r>
        <w:rPr>
          <w:rFonts w:ascii="Times New Roman" w:hAnsi="Times New Roman"/>
          <w:sz w:val="24"/>
        </w:rPr>
        <w:t>term trust and stakeholder relationships over short</w:t>
      </w:r>
      <w:r w:rsidR="00B327A7">
        <w:rPr>
          <w:rFonts w:ascii="Times New Roman" w:hAnsi="Times New Roman"/>
          <w:sz w:val="24"/>
        </w:rPr>
        <w:t xml:space="preserve"> </w:t>
      </w:r>
      <w:r>
        <w:rPr>
          <w:rFonts w:ascii="Times New Roman" w:hAnsi="Times New Roman"/>
          <w:sz w:val="24"/>
        </w:rPr>
        <w:t>term transactional gains (Kotler et al., 2022).</w:t>
      </w:r>
    </w:p>
    <w:p w14:paraId="24A89C5C" w14:textId="362CF55D" w:rsidR="00150705" w:rsidRDefault="00150705" w:rsidP="00150705">
      <w:pPr>
        <w:spacing w:line="360" w:lineRule="auto"/>
      </w:pPr>
      <w:r>
        <w:rPr>
          <w:rFonts w:ascii="Times New Roman" w:hAnsi="Times New Roman"/>
          <w:sz w:val="24"/>
        </w:rPr>
        <w:t>Marketing at AstraZeneca is also strategically integrated with medical affairs and regulatory functions, reflecting the need for compliance</w:t>
      </w:r>
      <w:r w:rsidR="00B327A7">
        <w:rPr>
          <w:rFonts w:ascii="Times New Roman" w:hAnsi="Times New Roman"/>
          <w:sz w:val="24"/>
        </w:rPr>
        <w:t xml:space="preserve"> </w:t>
      </w:r>
      <w:r>
        <w:rPr>
          <w:rFonts w:ascii="Times New Roman" w:hAnsi="Times New Roman"/>
          <w:sz w:val="24"/>
        </w:rPr>
        <w:t>driven communication. Unlike consumer marketing, pharmaceutical marketing must ensure that all claims are evidence</w:t>
      </w:r>
      <w:r w:rsidR="00B327A7">
        <w:rPr>
          <w:rFonts w:ascii="Times New Roman" w:hAnsi="Times New Roman"/>
          <w:sz w:val="24"/>
        </w:rPr>
        <w:t xml:space="preserve"> </w:t>
      </w:r>
      <w:r>
        <w:rPr>
          <w:rFonts w:ascii="Times New Roman" w:hAnsi="Times New Roman"/>
          <w:sz w:val="24"/>
        </w:rPr>
        <w:t>based, balanced, and approved through rigorous medical and legal review processes (FDA, 2023; EMA, 2023). While this integration enhances credibility and reduces risk, it can constrain creativity and slow responsiveness, highlighting an inherent tension between compliance and innovation. Nonetheless, AstraZeneca has largely succeeded in embedding marketing within governance structures that protect both commercial objectives and patient safety.</w:t>
      </w:r>
    </w:p>
    <w:p w14:paraId="73833CAD" w14:textId="3CC0AE97" w:rsidR="00150705" w:rsidRDefault="00150705" w:rsidP="00150705">
      <w:pPr>
        <w:spacing w:line="360" w:lineRule="auto"/>
      </w:pPr>
      <w:r>
        <w:rPr>
          <w:rFonts w:ascii="Times New Roman" w:hAnsi="Times New Roman"/>
          <w:sz w:val="24"/>
        </w:rPr>
        <w:t>Furthermore, marketing plays a crucial role in AstraZeneca’s shift towards value</w:t>
      </w:r>
      <w:r w:rsidR="00B327A7">
        <w:rPr>
          <w:rFonts w:ascii="Times New Roman" w:hAnsi="Times New Roman"/>
          <w:sz w:val="24"/>
        </w:rPr>
        <w:t xml:space="preserve"> </w:t>
      </w:r>
      <w:r>
        <w:rPr>
          <w:rFonts w:ascii="Times New Roman" w:hAnsi="Times New Roman"/>
          <w:sz w:val="24"/>
        </w:rPr>
        <w:t>based healthcare. As healthcare systems increasingly demand evidence of clinical and economic value, marketing has evolved to communicate outcomes rather than product features alone (Porter, 2010). Health economics and outcomes research (HEOR), real</w:t>
      </w:r>
      <w:r w:rsidR="00B327A7">
        <w:rPr>
          <w:rFonts w:ascii="Times New Roman" w:hAnsi="Times New Roman"/>
          <w:sz w:val="24"/>
        </w:rPr>
        <w:t xml:space="preserve"> </w:t>
      </w:r>
      <w:r>
        <w:rPr>
          <w:rFonts w:ascii="Times New Roman" w:hAnsi="Times New Roman"/>
          <w:sz w:val="24"/>
        </w:rPr>
        <w:t>world evidence, and comparative effectiveness data now form central components of AstraZeneca’s marketing strategy, particularly in negotiations with payers and policymakers (OECD, 2020). This demonstrates how marketing contributes directly to market access and pricing outcomes, reinforcing its strategic significance.</w:t>
      </w:r>
    </w:p>
    <w:p w14:paraId="0CBBAF17" w14:textId="58406ECC" w:rsidR="00150705" w:rsidRDefault="00150705" w:rsidP="00150705">
      <w:pPr>
        <w:spacing w:line="360" w:lineRule="auto"/>
      </w:pPr>
      <w:r>
        <w:rPr>
          <w:rFonts w:ascii="Times New Roman" w:hAnsi="Times New Roman"/>
          <w:sz w:val="24"/>
        </w:rPr>
        <w:t>However, while AstraZeneca’s conceptualisation of marketing as a science</w:t>
      </w:r>
      <w:r w:rsidR="00B327A7">
        <w:rPr>
          <w:rFonts w:ascii="Times New Roman" w:hAnsi="Times New Roman"/>
          <w:sz w:val="24"/>
        </w:rPr>
        <w:t xml:space="preserve"> </w:t>
      </w:r>
      <w:r>
        <w:rPr>
          <w:rFonts w:ascii="Times New Roman" w:hAnsi="Times New Roman"/>
          <w:sz w:val="24"/>
        </w:rPr>
        <w:t>led, evidence</w:t>
      </w:r>
      <w:r w:rsidR="00B327A7">
        <w:rPr>
          <w:rFonts w:ascii="Times New Roman" w:hAnsi="Times New Roman"/>
          <w:sz w:val="24"/>
        </w:rPr>
        <w:t xml:space="preserve"> </w:t>
      </w:r>
      <w:r>
        <w:rPr>
          <w:rFonts w:ascii="Times New Roman" w:hAnsi="Times New Roman"/>
          <w:sz w:val="24"/>
        </w:rPr>
        <w:t xml:space="preserve">based function is appropriate for the pharmaceutical context, it also presents limitations. The strong emphasis on data, compliance, and professional audiences can result in marketing communications that lack emotional engagement and broader societal resonance (PwC, 2021). As patients become more informed and involved in treatment decisions, the strategic importance </w:t>
      </w:r>
      <w:r>
        <w:rPr>
          <w:rFonts w:ascii="Times New Roman" w:hAnsi="Times New Roman"/>
          <w:sz w:val="24"/>
        </w:rPr>
        <w:lastRenderedPageBreak/>
        <w:t>of marketing increasingly includes the ability to humanise innovation and communicate impact beyond clinical metrics alone.</w:t>
      </w:r>
    </w:p>
    <w:p w14:paraId="1738AA99" w14:textId="77777777" w:rsidR="00150705" w:rsidRDefault="00150705" w:rsidP="00150705">
      <w:pPr>
        <w:pStyle w:val="Heading2"/>
      </w:pPr>
    </w:p>
    <w:p w14:paraId="73F56D9F" w14:textId="77777777" w:rsidR="00150705" w:rsidRPr="00BA6B36" w:rsidRDefault="00150705" w:rsidP="00150705">
      <w:pPr>
        <w:pStyle w:val="Heading2"/>
      </w:pPr>
      <w:bookmarkStart w:id="4" w:name="_Toc218363097"/>
      <w:r w:rsidRPr="00BA6B36">
        <w:t>2.2 Macro Marketing Environment and Its Influence on Marketing Strategy</w:t>
      </w:r>
      <w:bookmarkEnd w:id="4"/>
    </w:p>
    <w:p w14:paraId="297B55E3" w14:textId="5DDE4852" w:rsidR="00150705" w:rsidRDefault="00150705" w:rsidP="00150705">
      <w:pPr>
        <w:spacing w:line="360" w:lineRule="auto"/>
      </w:pPr>
      <w:r>
        <w:rPr>
          <w:rFonts w:ascii="Times New Roman" w:hAnsi="Times New Roman"/>
          <w:sz w:val="24"/>
        </w:rPr>
        <w:t>The macro marketing environment exerts a decisive influence on pharmaceutical marketing strategy due to the industry’s regulatory intensity, political sensitivity, and social impact. For AstraZeneca, macro</w:t>
      </w:r>
      <w:r w:rsidR="00B327A7">
        <w:rPr>
          <w:rFonts w:ascii="Times New Roman" w:hAnsi="Times New Roman"/>
          <w:sz w:val="24"/>
        </w:rPr>
        <w:t xml:space="preserve"> </w:t>
      </w:r>
      <w:r>
        <w:rPr>
          <w:rFonts w:ascii="Times New Roman" w:hAnsi="Times New Roman"/>
          <w:sz w:val="24"/>
        </w:rPr>
        <w:t>environmental forces shape not only how marketing is executed but also what forms of marketing activity are possible. Political, legal, economic, social, technological, and environmental (PESTLE) factors collectively constrain and direct AstraZeneca’s marketing strategy, reinforcing a cautious, evidence</w:t>
      </w:r>
      <w:r w:rsidR="00B327A7">
        <w:rPr>
          <w:rFonts w:ascii="Times New Roman" w:hAnsi="Times New Roman"/>
          <w:sz w:val="24"/>
        </w:rPr>
        <w:t xml:space="preserve"> </w:t>
      </w:r>
      <w:r>
        <w:rPr>
          <w:rFonts w:ascii="Times New Roman" w:hAnsi="Times New Roman"/>
          <w:sz w:val="24"/>
        </w:rPr>
        <w:t>based, and stakeholder</w:t>
      </w:r>
      <w:r w:rsidR="00B327A7">
        <w:rPr>
          <w:rFonts w:ascii="Times New Roman" w:hAnsi="Times New Roman"/>
          <w:sz w:val="24"/>
        </w:rPr>
        <w:t xml:space="preserve"> </w:t>
      </w:r>
      <w:r>
        <w:rPr>
          <w:rFonts w:ascii="Times New Roman" w:hAnsi="Times New Roman"/>
          <w:sz w:val="24"/>
        </w:rPr>
        <w:t>focused approach.</w:t>
      </w:r>
    </w:p>
    <w:p w14:paraId="7B9AB94E" w14:textId="77777777" w:rsidR="00150705" w:rsidRPr="000760B3" w:rsidRDefault="00150705" w:rsidP="00150705">
      <w:pPr>
        <w:spacing w:line="360" w:lineRule="auto"/>
        <w:rPr>
          <w:b/>
          <w:bCs/>
        </w:rPr>
      </w:pPr>
      <w:r w:rsidRPr="000760B3">
        <w:rPr>
          <w:rFonts w:ascii="Times New Roman" w:hAnsi="Times New Roman"/>
          <w:b/>
          <w:bCs/>
          <w:sz w:val="24"/>
        </w:rPr>
        <w:t>Political and Legal Factors</w:t>
      </w:r>
    </w:p>
    <w:p w14:paraId="79C3EF5A" w14:textId="4C98C8A4" w:rsidR="00150705" w:rsidRDefault="00150705" w:rsidP="00150705">
      <w:pPr>
        <w:spacing w:line="360" w:lineRule="auto"/>
      </w:pPr>
      <w:r>
        <w:rPr>
          <w:rFonts w:ascii="Times New Roman" w:hAnsi="Times New Roman"/>
          <w:sz w:val="24"/>
        </w:rPr>
        <w:t>Political and legal factors represent the most dominant macro</w:t>
      </w:r>
      <w:r w:rsidR="00B327A7">
        <w:rPr>
          <w:rFonts w:ascii="Times New Roman" w:hAnsi="Times New Roman"/>
          <w:sz w:val="24"/>
        </w:rPr>
        <w:t xml:space="preserve"> </w:t>
      </w:r>
      <w:r>
        <w:rPr>
          <w:rFonts w:ascii="Times New Roman" w:hAnsi="Times New Roman"/>
          <w:sz w:val="24"/>
        </w:rPr>
        <w:t>environmental influence on AstraZeneca’s marketing strategy. Pharmaceutical marketing is subject to strict regulation across all major markets, with legislation governing promotional claims, advertising channels, and interactions with healthcare professionals (EMA, 2023; FDA, 2023). In most jurisdictions, including the UK and EU, direct</w:t>
      </w:r>
      <w:r w:rsidR="00B327A7">
        <w:rPr>
          <w:rFonts w:ascii="Times New Roman" w:hAnsi="Times New Roman"/>
          <w:sz w:val="24"/>
        </w:rPr>
        <w:t xml:space="preserve"> </w:t>
      </w:r>
      <w:r>
        <w:rPr>
          <w:rFonts w:ascii="Times New Roman" w:hAnsi="Times New Roman"/>
          <w:sz w:val="24"/>
        </w:rPr>
        <w:t>to</w:t>
      </w:r>
      <w:r w:rsidR="00B327A7">
        <w:rPr>
          <w:rFonts w:ascii="Times New Roman" w:hAnsi="Times New Roman"/>
          <w:sz w:val="24"/>
        </w:rPr>
        <w:t xml:space="preserve"> </w:t>
      </w:r>
      <w:r>
        <w:rPr>
          <w:rFonts w:ascii="Times New Roman" w:hAnsi="Times New Roman"/>
          <w:sz w:val="24"/>
        </w:rPr>
        <w:t>consumer advertising of prescription medicines is prohibited, fundamentally shaping AstraZeneca’s marketing orientation toward healthcare professionals, payers, and policymakers rather than the general public.</w:t>
      </w:r>
    </w:p>
    <w:p w14:paraId="6CC23FDC" w14:textId="30CD9586" w:rsidR="00150705" w:rsidRDefault="00150705" w:rsidP="00150705">
      <w:pPr>
        <w:spacing w:line="360" w:lineRule="auto"/>
      </w:pPr>
      <w:r>
        <w:rPr>
          <w:rFonts w:ascii="Times New Roman" w:hAnsi="Times New Roman"/>
          <w:sz w:val="24"/>
        </w:rPr>
        <w:t>These regulatory constraints require AstraZeneca’s marketing communications to be factual, balanced, and supported by robust clinical evidence, significantly reducing the scope for emotional or persuasive messaging commonly used in consumer marketing (Kotler et al., 2022). As a result, AstraZeneca’s marketing strategy prioritises professional education, scientific congresses, peer</w:t>
      </w:r>
      <w:r w:rsidR="00B327A7">
        <w:rPr>
          <w:rFonts w:ascii="Times New Roman" w:hAnsi="Times New Roman"/>
          <w:sz w:val="24"/>
        </w:rPr>
        <w:t xml:space="preserve"> </w:t>
      </w:r>
      <w:r>
        <w:rPr>
          <w:rFonts w:ascii="Times New Roman" w:hAnsi="Times New Roman"/>
          <w:sz w:val="24"/>
        </w:rPr>
        <w:t>reviewed publications, and disease awareness campaigns. While this enhances credibility and patient safety, it also limits brand differentiation and slows campaign development due to extensive medical and legal review processes.</w:t>
      </w:r>
    </w:p>
    <w:p w14:paraId="7318D7F9" w14:textId="196C5A4E" w:rsidR="00150705" w:rsidRDefault="00150705" w:rsidP="00150705">
      <w:pPr>
        <w:spacing w:line="360" w:lineRule="auto"/>
      </w:pPr>
      <w:r>
        <w:rPr>
          <w:rFonts w:ascii="Times New Roman" w:hAnsi="Times New Roman"/>
          <w:sz w:val="24"/>
        </w:rPr>
        <w:t xml:space="preserve">Political decisions regarding healthcare funding, pricing controls, and reimbursement policies further influence marketing strategy. Governments increasingly intervene in pharmaceutical </w:t>
      </w:r>
      <w:r>
        <w:rPr>
          <w:rFonts w:ascii="Times New Roman" w:hAnsi="Times New Roman"/>
          <w:sz w:val="24"/>
        </w:rPr>
        <w:lastRenderedPageBreak/>
        <w:t>pricing to control healthcare expenditure, forcing AstraZeneca to adapt its marketing narratives toward demonstrating value for money and population</w:t>
      </w:r>
      <w:r w:rsidR="00B327A7">
        <w:rPr>
          <w:rFonts w:ascii="Times New Roman" w:hAnsi="Times New Roman"/>
          <w:sz w:val="24"/>
        </w:rPr>
        <w:t xml:space="preserve"> </w:t>
      </w:r>
      <w:r>
        <w:rPr>
          <w:rFonts w:ascii="Times New Roman" w:hAnsi="Times New Roman"/>
          <w:sz w:val="24"/>
        </w:rPr>
        <w:t>level health outcomes rather than product superiority alone (OECD, 2020). Consequently, marketing has become closely aligned with market access and public affairs functions, highlighting the political dimension of pharmaceutical marketing.</w:t>
      </w:r>
    </w:p>
    <w:p w14:paraId="1B2271CE" w14:textId="77777777" w:rsidR="00150705" w:rsidRPr="000760B3" w:rsidRDefault="00150705" w:rsidP="00150705">
      <w:pPr>
        <w:spacing w:line="360" w:lineRule="auto"/>
        <w:rPr>
          <w:b/>
          <w:bCs/>
        </w:rPr>
      </w:pPr>
    </w:p>
    <w:p w14:paraId="1374B98A" w14:textId="77777777" w:rsidR="00150705" w:rsidRPr="000760B3" w:rsidRDefault="00150705" w:rsidP="00150705">
      <w:pPr>
        <w:spacing w:line="360" w:lineRule="auto"/>
        <w:rPr>
          <w:b/>
          <w:bCs/>
        </w:rPr>
      </w:pPr>
      <w:r w:rsidRPr="000760B3">
        <w:rPr>
          <w:rFonts w:ascii="Times New Roman" w:hAnsi="Times New Roman"/>
          <w:b/>
          <w:bCs/>
          <w:sz w:val="24"/>
        </w:rPr>
        <w:t>Economic Factors</w:t>
      </w:r>
    </w:p>
    <w:p w14:paraId="7FFEA477" w14:textId="47071018" w:rsidR="00150705" w:rsidRDefault="00150705" w:rsidP="00150705">
      <w:pPr>
        <w:spacing w:line="360" w:lineRule="auto"/>
      </w:pPr>
      <w:r>
        <w:rPr>
          <w:rFonts w:ascii="Times New Roman" w:hAnsi="Times New Roman"/>
          <w:sz w:val="24"/>
        </w:rPr>
        <w:t>Economic pressures within global healthcare systems have intensified in recent years due to ageing populations, rising treatment costs, and constrained public budgets. These factors have significantly influenced AstraZeneca’s marketing strategy by shifting emphasis from volume</w:t>
      </w:r>
      <w:r w:rsidR="00B327A7">
        <w:rPr>
          <w:rFonts w:ascii="Times New Roman" w:hAnsi="Times New Roman"/>
          <w:sz w:val="24"/>
        </w:rPr>
        <w:t xml:space="preserve"> </w:t>
      </w:r>
      <w:r>
        <w:rPr>
          <w:rFonts w:ascii="Times New Roman" w:hAnsi="Times New Roman"/>
          <w:sz w:val="24"/>
        </w:rPr>
        <w:t>driven sales to value</w:t>
      </w:r>
      <w:r w:rsidR="00B327A7">
        <w:rPr>
          <w:rFonts w:ascii="Times New Roman" w:hAnsi="Times New Roman"/>
          <w:sz w:val="24"/>
        </w:rPr>
        <w:t xml:space="preserve"> </w:t>
      </w:r>
      <w:r>
        <w:rPr>
          <w:rFonts w:ascii="Times New Roman" w:hAnsi="Times New Roman"/>
          <w:sz w:val="24"/>
        </w:rPr>
        <w:t>based healthcare (Porter, 2010). Marketing communications increasingly incorporate health economics and outcomes research (HEOR) to demonstrate cost</w:t>
      </w:r>
      <w:r w:rsidR="00B327A7">
        <w:rPr>
          <w:rFonts w:ascii="Times New Roman" w:hAnsi="Times New Roman"/>
          <w:sz w:val="24"/>
        </w:rPr>
        <w:t xml:space="preserve"> </w:t>
      </w:r>
      <w:r>
        <w:rPr>
          <w:rFonts w:ascii="Times New Roman" w:hAnsi="Times New Roman"/>
          <w:sz w:val="24"/>
        </w:rPr>
        <w:t>effectiveness, long</w:t>
      </w:r>
      <w:r w:rsidR="00B327A7">
        <w:rPr>
          <w:rFonts w:ascii="Times New Roman" w:hAnsi="Times New Roman"/>
          <w:sz w:val="24"/>
        </w:rPr>
        <w:t xml:space="preserve"> </w:t>
      </w:r>
      <w:r>
        <w:rPr>
          <w:rFonts w:ascii="Times New Roman" w:hAnsi="Times New Roman"/>
          <w:sz w:val="24"/>
        </w:rPr>
        <w:t>term savings, and improved patient outcomes.</w:t>
      </w:r>
    </w:p>
    <w:p w14:paraId="66F8786B" w14:textId="4A6F1020" w:rsidR="00150705" w:rsidRDefault="00150705" w:rsidP="00150705">
      <w:pPr>
        <w:spacing w:line="360" w:lineRule="auto"/>
      </w:pPr>
      <w:r>
        <w:rPr>
          <w:rFonts w:ascii="Times New Roman" w:hAnsi="Times New Roman"/>
          <w:sz w:val="24"/>
        </w:rPr>
        <w:t>This economic context has elevated the strategic role of marketing in supporting pricing and reimbursement negotiations. Rather than merely promoting clinical benefits, AstraZeneca’s marketing teams must articulate a compelling economic value proposition to payers and policymakers. While this enhances strategic alignment, it also increases the technical complexity of marketing activities and reduces accessibility for non</w:t>
      </w:r>
      <w:r w:rsidR="00B327A7">
        <w:rPr>
          <w:rFonts w:ascii="Times New Roman" w:hAnsi="Times New Roman"/>
          <w:sz w:val="24"/>
        </w:rPr>
        <w:t xml:space="preserve"> </w:t>
      </w:r>
      <w:r>
        <w:rPr>
          <w:rFonts w:ascii="Times New Roman" w:hAnsi="Times New Roman"/>
          <w:sz w:val="24"/>
        </w:rPr>
        <w:t>specialist audiences (Deloitte, 2021).</w:t>
      </w:r>
    </w:p>
    <w:p w14:paraId="65307F34" w14:textId="77777777" w:rsidR="00150705" w:rsidRPr="000760B3" w:rsidRDefault="00150705" w:rsidP="00150705">
      <w:pPr>
        <w:spacing w:line="360" w:lineRule="auto"/>
        <w:rPr>
          <w:b/>
          <w:bCs/>
        </w:rPr>
      </w:pPr>
    </w:p>
    <w:p w14:paraId="108CE208" w14:textId="77777777" w:rsidR="00150705" w:rsidRPr="000760B3" w:rsidRDefault="00150705" w:rsidP="00150705">
      <w:pPr>
        <w:spacing w:line="360" w:lineRule="auto"/>
        <w:rPr>
          <w:b/>
          <w:bCs/>
        </w:rPr>
      </w:pPr>
      <w:r w:rsidRPr="000760B3">
        <w:rPr>
          <w:rFonts w:ascii="Times New Roman" w:hAnsi="Times New Roman"/>
          <w:b/>
          <w:bCs/>
          <w:sz w:val="24"/>
        </w:rPr>
        <w:t>Social and Demographic Factors</w:t>
      </w:r>
    </w:p>
    <w:p w14:paraId="07C81537" w14:textId="73181DBE" w:rsidR="00150705" w:rsidRDefault="00150705" w:rsidP="00150705">
      <w:pPr>
        <w:spacing w:line="360" w:lineRule="auto"/>
      </w:pPr>
      <w:r>
        <w:rPr>
          <w:rFonts w:ascii="Times New Roman" w:hAnsi="Times New Roman"/>
          <w:sz w:val="24"/>
        </w:rPr>
        <w:t>Social factors have significantly reshaped the pharmaceutical marketing environment. Patients are now more informed, digitally literate, and involved in treatment decisions than in previous decades (PwC, 2021). This shift challenges AstraZeneca’s traditionally HCP</w:t>
      </w:r>
      <w:r w:rsidR="00B327A7">
        <w:rPr>
          <w:rFonts w:ascii="Times New Roman" w:hAnsi="Times New Roman"/>
          <w:sz w:val="24"/>
        </w:rPr>
        <w:t xml:space="preserve"> </w:t>
      </w:r>
      <w:r>
        <w:rPr>
          <w:rFonts w:ascii="Times New Roman" w:hAnsi="Times New Roman"/>
          <w:sz w:val="24"/>
        </w:rPr>
        <w:t>centric marketing model, as patients increasingly influence prescribing decisions through advocacy, online communities, and shared decision</w:t>
      </w:r>
      <w:r w:rsidR="00B327A7">
        <w:rPr>
          <w:rFonts w:ascii="Times New Roman" w:hAnsi="Times New Roman"/>
          <w:sz w:val="24"/>
        </w:rPr>
        <w:t xml:space="preserve"> </w:t>
      </w:r>
      <w:r>
        <w:rPr>
          <w:rFonts w:ascii="Times New Roman" w:hAnsi="Times New Roman"/>
          <w:sz w:val="24"/>
        </w:rPr>
        <w:t>making.</w:t>
      </w:r>
    </w:p>
    <w:p w14:paraId="21E29D53" w14:textId="77777777" w:rsidR="00150705" w:rsidRDefault="00150705" w:rsidP="00150705">
      <w:pPr>
        <w:spacing w:line="360" w:lineRule="auto"/>
      </w:pPr>
      <w:r>
        <w:rPr>
          <w:rFonts w:ascii="Times New Roman" w:hAnsi="Times New Roman"/>
          <w:sz w:val="24"/>
        </w:rPr>
        <w:t xml:space="preserve">In response, AstraZeneca has expanded disease awareness initiatives and patient support programmes. However, these efforts remain constrained by regulatory boundaries and often lack </w:t>
      </w:r>
      <w:r>
        <w:rPr>
          <w:rFonts w:ascii="Times New Roman" w:hAnsi="Times New Roman"/>
          <w:sz w:val="24"/>
        </w:rPr>
        <w:lastRenderedPageBreak/>
        <w:t>the emotional storytelling seen in other industries. The macro social trend toward patient empowerment therefore creates both opportunities and tensions for AstraZeneca’s marketing strategy, requiring a careful balance between engagement and compliance.</w:t>
      </w:r>
    </w:p>
    <w:p w14:paraId="0DBA316D" w14:textId="54E47918" w:rsidR="00150705" w:rsidRDefault="00150705" w:rsidP="00150705">
      <w:pPr>
        <w:spacing w:line="360" w:lineRule="auto"/>
      </w:pPr>
      <w:r>
        <w:rPr>
          <w:rFonts w:ascii="Times New Roman" w:hAnsi="Times New Roman"/>
          <w:sz w:val="24"/>
        </w:rPr>
        <w:t>Demographic changes, particularly ageing populations in developed markets, also influence marketing priorities. AstraZeneca’s focus on chronic diseases such as cancer, cardiovascular conditions, and respiratory illness aligns with these demographic trends, reinforcing the need for long</w:t>
      </w:r>
      <w:r w:rsidR="00B327A7">
        <w:rPr>
          <w:rFonts w:ascii="Times New Roman" w:hAnsi="Times New Roman"/>
          <w:sz w:val="24"/>
        </w:rPr>
        <w:t xml:space="preserve"> </w:t>
      </w:r>
      <w:r>
        <w:rPr>
          <w:rFonts w:ascii="Times New Roman" w:hAnsi="Times New Roman"/>
          <w:sz w:val="24"/>
        </w:rPr>
        <w:t>term relationship marketing rather than short</w:t>
      </w:r>
      <w:r w:rsidR="00B327A7">
        <w:rPr>
          <w:rFonts w:ascii="Times New Roman" w:hAnsi="Times New Roman"/>
          <w:sz w:val="24"/>
        </w:rPr>
        <w:t xml:space="preserve"> </w:t>
      </w:r>
      <w:r>
        <w:rPr>
          <w:rFonts w:ascii="Times New Roman" w:hAnsi="Times New Roman"/>
          <w:sz w:val="24"/>
        </w:rPr>
        <w:t>term promotional tactics (Kotler et al., 2022).</w:t>
      </w:r>
    </w:p>
    <w:p w14:paraId="3B06E5E2" w14:textId="77777777" w:rsidR="00150705" w:rsidRDefault="00150705" w:rsidP="00150705">
      <w:pPr>
        <w:spacing w:line="360" w:lineRule="auto"/>
      </w:pPr>
    </w:p>
    <w:p w14:paraId="12ADED4A" w14:textId="77777777" w:rsidR="00150705" w:rsidRDefault="00150705" w:rsidP="00150705">
      <w:pPr>
        <w:spacing w:line="360" w:lineRule="auto"/>
      </w:pPr>
    </w:p>
    <w:p w14:paraId="3574EFB9" w14:textId="77777777" w:rsidR="00150705" w:rsidRPr="000760B3" w:rsidRDefault="00150705" w:rsidP="00150705">
      <w:pPr>
        <w:spacing w:line="360" w:lineRule="auto"/>
        <w:rPr>
          <w:b/>
          <w:bCs/>
        </w:rPr>
      </w:pPr>
      <w:r w:rsidRPr="000760B3">
        <w:rPr>
          <w:rFonts w:ascii="Times New Roman" w:hAnsi="Times New Roman"/>
          <w:b/>
          <w:bCs/>
          <w:sz w:val="24"/>
        </w:rPr>
        <w:t>Technological Factors</w:t>
      </w:r>
    </w:p>
    <w:p w14:paraId="621D5CC1" w14:textId="449B6ADE" w:rsidR="00150705" w:rsidRDefault="00150705" w:rsidP="00150705">
      <w:pPr>
        <w:spacing w:line="360" w:lineRule="auto"/>
      </w:pPr>
      <w:r>
        <w:rPr>
          <w:rFonts w:ascii="Times New Roman" w:hAnsi="Times New Roman"/>
          <w:sz w:val="24"/>
        </w:rPr>
        <w:t>Technological advancement represents one of the most transformative macro</w:t>
      </w:r>
      <w:r w:rsidR="00B327A7">
        <w:rPr>
          <w:rFonts w:ascii="Times New Roman" w:hAnsi="Times New Roman"/>
          <w:sz w:val="24"/>
        </w:rPr>
        <w:t xml:space="preserve"> </w:t>
      </w:r>
      <w:r>
        <w:rPr>
          <w:rFonts w:ascii="Times New Roman" w:hAnsi="Times New Roman"/>
          <w:sz w:val="24"/>
        </w:rPr>
        <w:t>environmental forces affecting AstraZeneca’s marketing strategy. Digital technologies have reshaped how marketing content is delivered, measured, and personalised. The COVID</w:t>
      </w:r>
      <w:r w:rsidR="00B327A7">
        <w:rPr>
          <w:rFonts w:ascii="Times New Roman" w:hAnsi="Times New Roman"/>
          <w:sz w:val="24"/>
        </w:rPr>
        <w:t xml:space="preserve"> </w:t>
      </w:r>
      <w:r>
        <w:rPr>
          <w:rFonts w:ascii="Times New Roman" w:hAnsi="Times New Roman"/>
          <w:sz w:val="24"/>
        </w:rPr>
        <w:t>19 pandemic accelerated the adoption of virtual conferences, webinars, remote detailing, and digital engagement platforms, fundamentally altering the marketing mix (McKinsey &amp; Company, 2022).</w:t>
      </w:r>
    </w:p>
    <w:p w14:paraId="1B7C3C12" w14:textId="7924020A" w:rsidR="00150705" w:rsidRDefault="00150705" w:rsidP="00150705">
      <w:pPr>
        <w:spacing w:line="360" w:lineRule="auto"/>
      </w:pPr>
      <w:r>
        <w:rPr>
          <w:rFonts w:ascii="Times New Roman" w:hAnsi="Times New Roman"/>
          <w:sz w:val="24"/>
        </w:rPr>
        <w:t>For AstraZeneca, technology has enabled broader reach and improved data</w:t>
      </w:r>
      <w:r w:rsidR="00B327A7">
        <w:rPr>
          <w:rFonts w:ascii="Times New Roman" w:hAnsi="Times New Roman"/>
          <w:sz w:val="24"/>
        </w:rPr>
        <w:t xml:space="preserve"> </w:t>
      </w:r>
      <w:r>
        <w:rPr>
          <w:rFonts w:ascii="Times New Roman" w:hAnsi="Times New Roman"/>
          <w:sz w:val="24"/>
        </w:rPr>
        <w:t>driven decision</w:t>
      </w:r>
      <w:r w:rsidR="00B327A7">
        <w:rPr>
          <w:rFonts w:ascii="Times New Roman" w:hAnsi="Times New Roman"/>
          <w:sz w:val="24"/>
        </w:rPr>
        <w:t xml:space="preserve"> </w:t>
      </w:r>
      <w:r>
        <w:rPr>
          <w:rFonts w:ascii="Times New Roman" w:hAnsi="Times New Roman"/>
          <w:sz w:val="24"/>
        </w:rPr>
        <w:t>making. Advanced analytics, customer relationship management systems, and digital engagement metrics now inform targeting and content development. However, technological change has also introduced challenges, including digital fatigue among healthcare professionals and increased competition for attention in digital spaces (Deloitte, 2021). As a result, while technology expands marketing capability, it also raises expectations regarding personalisation and relevance.</w:t>
      </w:r>
    </w:p>
    <w:p w14:paraId="08193DDB" w14:textId="77777777" w:rsidR="00150705" w:rsidRDefault="00150705" w:rsidP="00150705">
      <w:pPr>
        <w:spacing w:line="360" w:lineRule="auto"/>
      </w:pPr>
    </w:p>
    <w:p w14:paraId="4B66C0B1" w14:textId="77777777" w:rsidR="00150705" w:rsidRDefault="00150705" w:rsidP="00150705">
      <w:pPr>
        <w:spacing w:line="360" w:lineRule="auto"/>
      </w:pPr>
    </w:p>
    <w:p w14:paraId="3FFB20BD" w14:textId="77777777" w:rsidR="00150705" w:rsidRDefault="00150705" w:rsidP="00150705">
      <w:pPr>
        <w:spacing w:line="360" w:lineRule="auto"/>
      </w:pPr>
    </w:p>
    <w:p w14:paraId="2023D5B8" w14:textId="77777777" w:rsidR="00150705" w:rsidRDefault="00150705" w:rsidP="00150705">
      <w:pPr>
        <w:spacing w:line="360" w:lineRule="auto"/>
      </w:pPr>
    </w:p>
    <w:p w14:paraId="19CAAC44" w14:textId="77777777" w:rsidR="00150705" w:rsidRPr="000760B3" w:rsidRDefault="00150705" w:rsidP="00150705">
      <w:pPr>
        <w:spacing w:line="360" w:lineRule="auto"/>
        <w:rPr>
          <w:b/>
          <w:bCs/>
        </w:rPr>
      </w:pPr>
      <w:r w:rsidRPr="000760B3">
        <w:rPr>
          <w:rFonts w:ascii="Times New Roman" w:hAnsi="Times New Roman"/>
          <w:b/>
          <w:bCs/>
          <w:sz w:val="24"/>
        </w:rPr>
        <w:t>Environmental and Ethical Factors</w:t>
      </w:r>
    </w:p>
    <w:p w14:paraId="0F3F7DEE" w14:textId="45640B6D" w:rsidR="00150705" w:rsidRDefault="00150705" w:rsidP="00150705">
      <w:pPr>
        <w:spacing w:line="360" w:lineRule="auto"/>
      </w:pPr>
      <w:r>
        <w:rPr>
          <w:rFonts w:ascii="Times New Roman" w:hAnsi="Times New Roman"/>
          <w:sz w:val="24"/>
        </w:rPr>
        <w:t>Environmental and ethical considerations have become increasingly prominent within the macro marketing environment. Stakeholders now expect pharmaceutical companies to demonstrate social responsibility, sustainability, and ethical conduct alongside commercial success (Kotler et al., 2022). AstraZeneca has responded by embedding sustainability commitments—such as its net</w:t>
      </w:r>
      <w:r w:rsidR="00B327A7">
        <w:rPr>
          <w:rFonts w:ascii="Times New Roman" w:hAnsi="Times New Roman"/>
          <w:sz w:val="24"/>
        </w:rPr>
        <w:t xml:space="preserve"> </w:t>
      </w:r>
      <w:r>
        <w:rPr>
          <w:rFonts w:ascii="Times New Roman" w:hAnsi="Times New Roman"/>
          <w:sz w:val="24"/>
        </w:rPr>
        <w:t>zero carbon strategy—into corporate communications and brand positioning (AstraZeneca, 2022).</w:t>
      </w:r>
    </w:p>
    <w:p w14:paraId="11CEC30B" w14:textId="551B5ED8" w:rsidR="00150705" w:rsidRDefault="00150705" w:rsidP="00150705">
      <w:pPr>
        <w:spacing w:line="360" w:lineRule="auto"/>
      </w:pPr>
      <w:r>
        <w:rPr>
          <w:rFonts w:ascii="Times New Roman" w:hAnsi="Times New Roman"/>
          <w:sz w:val="24"/>
        </w:rPr>
        <w:t>However, the influence of environmental factors on product</w:t>
      </w:r>
      <w:r w:rsidR="00B327A7">
        <w:rPr>
          <w:rFonts w:ascii="Times New Roman" w:hAnsi="Times New Roman"/>
          <w:sz w:val="24"/>
        </w:rPr>
        <w:t xml:space="preserve"> </w:t>
      </w:r>
      <w:r>
        <w:rPr>
          <w:rFonts w:ascii="Times New Roman" w:hAnsi="Times New Roman"/>
          <w:sz w:val="24"/>
        </w:rPr>
        <w:t>level marketing remains limited. Sustainability messaging is often confined to corporate branding rather than integrated across therapeutic marketing campaigns. This reflects both regulatory caution and the challenge of linking environmental performance directly to clinical value. Nevertheless, growing societal concern for sustainability suggests that environmental factors will increasingly shape marketing strategy in the future (OECD, 2020).</w:t>
      </w:r>
    </w:p>
    <w:p w14:paraId="441D3D96" w14:textId="77777777" w:rsidR="00150705" w:rsidRDefault="00150705" w:rsidP="00150705">
      <w:pPr>
        <w:spacing w:line="360" w:lineRule="auto"/>
      </w:pPr>
    </w:p>
    <w:p w14:paraId="1DB19294" w14:textId="77777777" w:rsidR="00050D49" w:rsidRDefault="00050D49" w:rsidP="00150705">
      <w:pPr>
        <w:spacing w:line="360" w:lineRule="auto"/>
      </w:pPr>
    </w:p>
    <w:p w14:paraId="7DE15E39" w14:textId="77777777" w:rsidR="00050D49" w:rsidRDefault="00050D49" w:rsidP="00150705">
      <w:pPr>
        <w:spacing w:line="360" w:lineRule="auto"/>
      </w:pPr>
    </w:p>
    <w:p w14:paraId="54DFAC98" w14:textId="77777777" w:rsidR="00050D49" w:rsidRDefault="00050D49" w:rsidP="00150705">
      <w:pPr>
        <w:spacing w:line="360" w:lineRule="auto"/>
      </w:pPr>
    </w:p>
    <w:p w14:paraId="564758D8" w14:textId="77777777" w:rsidR="00050D49" w:rsidRDefault="00050D49" w:rsidP="00150705">
      <w:pPr>
        <w:spacing w:line="360" w:lineRule="auto"/>
      </w:pPr>
    </w:p>
    <w:p w14:paraId="4356A26E" w14:textId="77777777" w:rsidR="00050D49" w:rsidRDefault="00050D49" w:rsidP="00150705">
      <w:pPr>
        <w:spacing w:line="360" w:lineRule="auto"/>
      </w:pPr>
    </w:p>
    <w:p w14:paraId="13C2A614" w14:textId="77777777" w:rsidR="00050D49" w:rsidRDefault="00050D49" w:rsidP="00150705">
      <w:pPr>
        <w:spacing w:line="360" w:lineRule="auto"/>
      </w:pPr>
    </w:p>
    <w:p w14:paraId="0F0668D6" w14:textId="77777777" w:rsidR="00050D49" w:rsidRDefault="00050D49" w:rsidP="00150705">
      <w:pPr>
        <w:spacing w:line="360" w:lineRule="auto"/>
      </w:pPr>
    </w:p>
    <w:p w14:paraId="285599C7" w14:textId="77777777" w:rsidR="00050D49" w:rsidRDefault="00050D49" w:rsidP="00150705">
      <w:pPr>
        <w:spacing w:line="360" w:lineRule="auto"/>
      </w:pPr>
    </w:p>
    <w:p w14:paraId="30D06D00" w14:textId="77777777" w:rsidR="00150705" w:rsidRPr="00BA6B36" w:rsidRDefault="00150705" w:rsidP="00150705">
      <w:pPr>
        <w:pStyle w:val="Heading1"/>
      </w:pPr>
      <w:bookmarkStart w:id="5" w:name="_Toc218363098"/>
      <w:r w:rsidRPr="00BA6B36">
        <w:lastRenderedPageBreak/>
        <w:t>2.3 Micro Marketing Environment</w:t>
      </w:r>
      <w:bookmarkEnd w:id="5"/>
    </w:p>
    <w:p w14:paraId="46F253BE" w14:textId="77777777" w:rsidR="00150705" w:rsidRPr="001E195A" w:rsidRDefault="00150705" w:rsidP="00150705"/>
    <w:p w14:paraId="59838972" w14:textId="77777777" w:rsidR="00150705" w:rsidRDefault="00150705" w:rsidP="00150705">
      <w:pPr>
        <w:pStyle w:val="Heading2"/>
      </w:pPr>
      <w:bookmarkStart w:id="6" w:name="_Toc218363099"/>
      <w:r>
        <w:t>2.3.1 Competitive Environment</w:t>
      </w:r>
      <w:bookmarkEnd w:id="6"/>
    </w:p>
    <w:p w14:paraId="263CCA0F" w14:textId="77777777" w:rsidR="00150705" w:rsidRDefault="00150705" w:rsidP="00150705">
      <w:pPr>
        <w:spacing w:line="360" w:lineRule="auto"/>
      </w:pPr>
      <w:r>
        <w:rPr>
          <w:rFonts w:ascii="Times New Roman" w:hAnsi="Times New Roman"/>
          <w:sz w:val="24"/>
        </w:rPr>
        <w:t>AstraZeneca operates in a highly competitive microenvironment dominated by multinational pharmaceutical firms such as Pfizer, Roche, Novartis, and Merck. Competition is particularly intense in oncology and respiratory medicine, where multiple companies often target the same therapeutic areas with similar mechanisms of action (Statista, 2023).</w:t>
      </w:r>
    </w:p>
    <w:p w14:paraId="05206DA8" w14:textId="464FE535" w:rsidR="00150705" w:rsidRDefault="00150705" w:rsidP="00150705">
      <w:pPr>
        <w:spacing w:line="360" w:lineRule="auto"/>
      </w:pPr>
      <w:r>
        <w:rPr>
          <w:rFonts w:ascii="Times New Roman" w:hAnsi="Times New Roman"/>
          <w:sz w:val="24"/>
        </w:rPr>
        <w:t>This competitive pressure has forced AstraZeneca’s marketing department to focus heavily on differentiation through scientific credibility. Marketing messages frequently highlight clinical trial data, comparative effectiveness, and real</w:t>
      </w:r>
      <w:r w:rsidR="00B327A7">
        <w:rPr>
          <w:rFonts w:ascii="Times New Roman" w:hAnsi="Times New Roman"/>
          <w:sz w:val="24"/>
        </w:rPr>
        <w:t xml:space="preserve"> </w:t>
      </w:r>
      <w:r>
        <w:rPr>
          <w:rFonts w:ascii="Times New Roman" w:hAnsi="Times New Roman"/>
          <w:sz w:val="24"/>
        </w:rPr>
        <w:t>world evidence. While this approach is effective in influencing HCP decision</w:t>
      </w:r>
      <w:r w:rsidR="00B327A7">
        <w:rPr>
          <w:rFonts w:ascii="Times New Roman" w:hAnsi="Times New Roman"/>
          <w:sz w:val="24"/>
        </w:rPr>
        <w:t xml:space="preserve"> </w:t>
      </w:r>
      <w:r>
        <w:rPr>
          <w:rFonts w:ascii="Times New Roman" w:hAnsi="Times New Roman"/>
          <w:sz w:val="24"/>
        </w:rPr>
        <w:t>making, it can result in communications that are highly technical and less engaging for non</w:t>
      </w:r>
      <w:r w:rsidR="00B327A7">
        <w:rPr>
          <w:rFonts w:ascii="Times New Roman" w:hAnsi="Times New Roman"/>
          <w:sz w:val="24"/>
        </w:rPr>
        <w:t xml:space="preserve"> </w:t>
      </w:r>
      <w:r>
        <w:rPr>
          <w:rFonts w:ascii="Times New Roman" w:hAnsi="Times New Roman"/>
          <w:sz w:val="24"/>
        </w:rPr>
        <w:t>specialist stakeholders.</w:t>
      </w:r>
    </w:p>
    <w:p w14:paraId="481B6F17" w14:textId="77777777" w:rsidR="00150705" w:rsidRDefault="00150705" w:rsidP="00150705">
      <w:pPr>
        <w:spacing w:line="360" w:lineRule="auto"/>
      </w:pPr>
    </w:p>
    <w:p w14:paraId="5F81B3E0" w14:textId="77777777" w:rsidR="00150705" w:rsidRDefault="00150705" w:rsidP="00150705">
      <w:pPr>
        <w:pStyle w:val="Heading2"/>
      </w:pPr>
      <w:bookmarkStart w:id="7" w:name="_Toc218363100"/>
      <w:r>
        <w:t>2.3.2 Internal Environment and Organisational Structure</w:t>
      </w:r>
      <w:bookmarkEnd w:id="7"/>
    </w:p>
    <w:p w14:paraId="0DDE6F25" w14:textId="53440B60" w:rsidR="00150705" w:rsidRDefault="00150705" w:rsidP="00150705">
      <w:pPr>
        <w:spacing w:line="360" w:lineRule="auto"/>
      </w:pPr>
      <w:r>
        <w:rPr>
          <w:rFonts w:ascii="Times New Roman" w:hAnsi="Times New Roman"/>
          <w:sz w:val="24"/>
        </w:rPr>
        <w:t>Internally, AstraZeneca’s marketing effectiveness depends on collaboration between marketing, medical affairs, regulatory, and sales teams. This cross</w:t>
      </w:r>
      <w:r w:rsidR="00B327A7">
        <w:rPr>
          <w:rFonts w:ascii="Times New Roman" w:hAnsi="Times New Roman"/>
          <w:sz w:val="24"/>
        </w:rPr>
        <w:t xml:space="preserve"> </w:t>
      </w:r>
      <w:r>
        <w:rPr>
          <w:rFonts w:ascii="Times New Roman" w:hAnsi="Times New Roman"/>
          <w:sz w:val="24"/>
        </w:rPr>
        <w:t>functional integration is essential for compliance and accuracy but can create organisational complexity and slow decision</w:t>
      </w:r>
      <w:r w:rsidR="00B327A7">
        <w:rPr>
          <w:rFonts w:ascii="Times New Roman" w:hAnsi="Times New Roman"/>
          <w:sz w:val="24"/>
        </w:rPr>
        <w:t xml:space="preserve"> </w:t>
      </w:r>
      <w:r>
        <w:rPr>
          <w:rFonts w:ascii="Times New Roman" w:hAnsi="Times New Roman"/>
          <w:sz w:val="24"/>
        </w:rPr>
        <w:t>making (Deloitte, 2021). As a result, marketing campaigns may lack agility, particularly in fast</w:t>
      </w:r>
      <w:r w:rsidR="00B327A7">
        <w:rPr>
          <w:rFonts w:ascii="Times New Roman" w:hAnsi="Times New Roman"/>
          <w:sz w:val="24"/>
        </w:rPr>
        <w:t xml:space="preserve"> </w:t>
      </w:r>
      <w:r>
        <w:rPr>
          <w:rFonts w:ascii="Times New Roman" w:hAnsi="Times New Roman"/>
          <w:sz w:val="24"/>
        </w:rPr>
        <w:t>changing digital environments.</w:t>
      </w:r>
    </w:p>
    <w:p w14:paraId="295A9EF5" w14:textId="77777777" w:rsidR="00150705" w:rsidRDefault="00150705" w:rsidP="00150705">
      <w:pPr>
        <w:spacing w:line="360" w:lineRule="auto"/>
      </w:pPr>
    </w:p>
    <w:p w14:paraId="1490DF8B" w14:textId="77777777" w:rsidR="00150705" w:rsidRDefault="00150705" w:rsidP="00150705">
      <w:pPr>
        <w:spacing w:line="360" w:lineRule="auto"/>
      </w:pPr>
    </w:p>
    <w:p w14:paraId="14DC965D" w14:textId="77777777" w:rsidR="00150705" w:rsidRDefault="00150705" w:rsidP="00150705">
      <w:pPr>
        <w:spacing w:line="360" w:lineRule="auto"/>
      </w:pPr>
    </w:p>
    <w:p w14:paraId="3B76D20A" w14:textId="77777777" w:rsidR="00050D49" w:rsidRDefault="00050D49" w:rsidP="00150705">
      <w:pPr>
        <w:spacing w:line="360" w:lineRule="auto"/>
      </w:pPr>
    </w:p>
    <w:p w14:paraId="6D813078" w14:textId="77777777" w:rsidR="00150705" w:rsidRDefault="00150705" w:rsidP="00150705">
      <w:pPr>
        <w:spacing w:line="360" w:lineRule="auto"/>
      </w:pPr>
    </w:p>
    <w:p w14:paraId="102D5EC3" w14:textId="77777777" w:rsidR="00150705" w:rsidRPr="00BA6B36" w:rsidRDefault="00150705" w:rsidP="00150705">
      <w:pPr>
        <w:pStyle w:val="Heading1"/>
      </w:pPr>
      <w:bookmarkStart w:id="8" w:name="_Toc218363101"/>
      <w:r w:rsidRPr="00BA6B36">
        <w:lastRenderedPageBreak/>
        <w:t>2.4 Target Markets and Segmentation Strategy</w:t>
      </w:r>
      <w:bookmarkEnd w:id="8"/>
    </w:p>
    <w:p w14:paraId="3799195C" w14:textId="77777777" w:rsidR="00150705" w:rsidRPr="001E195A" w:rsidRDefault="00150705" w:rsidP="00150705"/>
    <w:p w14:paraId="076EB2F2" w14:textId="77777777" w:rsidR="00150705" w:rsidRDefault="00150705" w:rsidP="00150705">
      <w:pPr>
        <w:spacing w:line="360" w:lineRule="auto"/>
      </w:pPr>
      <w:r>
        <w:rPr>
          <w:rFonts w:ascii="Times New Roman" w:hAnsi="Times New Roman"/>
          <w:sz w:val="24"/>
        </w:rPr>
        <w:t>AstraZeneca’s marketing strategy reflects the structural realities of pharmaceutical markets. Its primary target audiences are healthcare professionals, healthcare organisations, and government payers rather than end consumers (Kotler et al., 2022).</w:t>
      </w:r>
    </w:p>
    <w:p w14:paraId="3CD39D32" w14:textId="50610E93" w:rsidR="00150705" w:rsidRDefault="00150705" w:rsidP="00150705">
      <w:pPr>
        <w:spacing w:line="360" w:lineRule="auto"/>
      </w:pPr>
      <w:r>
        <w:rPr>
          <w:rFonts w:ascii="Times New Roman" w:hAnsi="Times New Roman"/>
          <w:sz w:val="24"/>
        </w:rPr>
        <w:t>Segmentation is sophisticated and data</w:t>
      </w:r>
      <w:r w:rsidR="00B327A7">
        <w:rPr>
          <w:rFonts w:ascii="Times New Roman" w:hAnsi="Times New Roman"/>
          <w:sz w:val="24"/>
        </w:rPr>
        <w:t xml:space="preserve"> </w:t>
      </w:r>
      <w:r>
        <w:rPr>
          <w:rFonts w:ascii="Times New Roman" w:hAnsi="Times New Roman"/>
          <w:sz w:val="24"/>
        </w:rPr>
        <w:t>driven, typically based on:</w:t>
      </w:r>
    </w:p>
    <w:p w14:paraId="1D42523F" w14:textId="77777777" w:rsidR="00150705" w:rsidRDefault="00150705" w:rsidP="00150705">
      <w:pPr>
        <w:pStyle w:val="ListParagraph"/>
        <w:numPr>
          <w:ilvl w:val="0"/>
          <w:numId w:val="3"/>
        </w:numPr>
        <w:spacing w:after="160" w:line="360" w:lineRule="auto"/>
      </w:pPr>
      <w:r w:rsidRPr="00BA6B36">
        <w:rPr>
          <w:rFonts w:ascii="Times New Roman" w:hAnsi="Times New Roman"/>
        </w:rPr>
        <w:t>Medical specialty (e.g., oncologists, pulmonologists)</w:t>
      </w:r>
    </w:p>
    <w:p w14:paraId="1459EE84" w14:textId="77777777" w:rsidR="00150705" w:rsidRDefault="00150705" w:rsidP="00150705">
      <w:pPr>
        <w:pStyle w:val="ListParagraph"/>
        <w:numPr>
          <w:ilvl w:val="0"/>
          <w:numId w:val="3"/>
        </w:numPr>
        <w:spacing w:after="160" w:line="360" w:lineRule="auto"/>
      </w:pPr>
      <w:r w:rsidRPr="00BA6B36">
        <w:rPr>
          <w:rFonts w:ascii="Times New Roman" w:hAnsi="Times New Roman"/>
        </w:rPr>
        <w:t>Disease area and treatment pathway</w:t>
      </w:r>
    </w:p>
    <w:p w14:paraId="591FF732" w14:textId="77777777" w:rsidR="00150705" w:rsidRDefault="00150705" w:rsidP="00150705">
      <w:pPr>
        <w:pStyle w:val="ListParagraph"/>
        <w:numPr>
          <w:ilvl w:val="0"/>
          <w:numId w:val="3"/>
        </w:numPr>
        <w:spacing w:after="160" w:line="360" w:lineRule="auto"/>
      </w:pPr>
      <w:r w:rsidRPr="00BA6B36">
        <w:rPr>
          <w:rFonts w:ascii="Times New Roman" w:hAnsi="Times New Roman"/>
        </w:rPr>
        <w:t>Prescribing behavior and influence</w:t>
      </w:r>
    </w:p>
    <w:p w14:paraId="3A5B30AD" w14:textId="77777777" w:rsidR="00150705" w:rsidRDefault="00150705" w:rsidP="00150705">
      <w:pPr>
        <w:pStyle w:val="ListParagraph"/>
        <w:numPr>
          <w:ilvl w:val="0"/>
          <w:numId w:val="3"/>
        </w:numPr>
        <w:spacing w:after="160" w:line="360" w:lineRule="auto"/>
      </w:pPr>
      <w:r w:rsidRPr="00BA6B36">
        <w:rPr>
          <w:rFonts w:ascii="Times New Roman" w:hAnsi="Times New Roman"/>
        </w:rPr>
        <w:t>Geographic and healthcare system characteristics</w:t>
      </w:r>
    </w:p>
    <w:p w14:paraId="57672BD2" w14:textId="4E35612B" w:rsidR="00150705" w:rsidRDefault="00150705" w:rsidP="00150705">
      <w:pPr>
        <w:spacing w:line="360" w:lineRule="auto"/>
      </w:pPr>
      <w:r>
        <w:rPr>
          <w:rFonts w:ascii="Times New Roman" w:hAnsi="Times New Roman"/>
          <w:sz w:val="24"/>
        </w:rPr>
        <w:t>This segmentation enables AstraZeneca to tailor marketing messages to highly specific professional audiences. For example, oncology marketing focuses on survival data and biomarkers, while respiratory marketing emphasises adherence and quality</w:t>
      </w:r>
      <w:r w:rsidR="00B327A7">
        <w:rPr>
          <w:rFonts w:ascii="Times New Roman" w:hAnsi="Times New Roman"/>
          <w:sz w:val="24"/>
        </w:rPr>
        <w:t xml:space="preserve"> </w:t>
      </w:r>
      <w:r>
        <w:rPr>
          <w:rFonts w:ascii="Times New Roman" w:hAnsi="Times New Roman"/>
          <w:sz w:val="24"/>
        </w:rPr>
        <w:t>of</w:t>
      </w:r>
      <w:r w:rsidR="00B327A7">
        <w:rPr>
          <w:rFonts w:ascii="Times New Roman" w:hAnsi="Times New Roman"/>
          <w:sz w:val="24"/>
        </w:rPr>
        <w:t xml:space="preserve"> </w:t>
      </w:r>
      <w:r>
        <w:rPr>
          <w:rFonts w:ascii="Times New Roman" w:hAnsi="Times New Roman"/>
          <w:sz w:val="24"/>
        </w:rPr>
        <w:t>life outcomes. This targeted approach increases relevance and efficiency but reinforces the organisation’s heavy dependence on HCP</w:t>
      </w:r>
      <w:r w:rsidR="00B327A7">
        <w:rPr>
          <w:rFonts w:ascii="Times New Roman" w:hAnsi="Times New Roman"/>
          <w:sz w:val="24"/>
        </w:rPr>
        <w:t xml:space="preserve"> </w:t>
      </w:r>
      <w:r>
        <w:rPr>
          <w:rFonts w:ascii="Times New Roman" w:hAnsi="Times New Roman"/>
          <w:sz w:val="24"/>
        </w:rPr>
        <w:t>centric marketing.</w:t>
      </w:r>
    </w:p>
    <w:p w14:paraId="2C09025D" w14:textId="77777777" w:rsidR="00150705" w:rsidRDefault="00150705" w:rsidP="00150705">
      <w:pPr>
        <w:pStyle w:val="Heading1"/>
      </w:pPr>
    </w:p>
    <w:p w14:paraId="70AC72EA" w14:textId="77777777" w:rsidR="00150705" w:rsidRPr="001E195A" w:rsidRDefault="00150705" w:rsidP="00150705">
      <w:pPr>
        <w:pStyle w:val="Heading1"/>
      </w:pPr>
      <w:bookmarkStart w:id="9" w:name="_Toc218363102"/>
      <w:r w:rsidRPr="001E195A">
        <w:t>2.5 Targeting and Positioning Effectiveness</w:t>
      </w:r>
      <w:bookmarkEnd w:id="9"/>
    </w:p>
    <w:p w14:paraId="22C15FA3" w14:textId="49B427C9" w:rsidR="00150705" w:rsidRDefault="00150705" w:rsidP="00150705">
      <w:pPr>
        <w:spacing w:line="360" w:lineRule="auto"/>
      </w:pPr>
      <w:r>
        <w:rPr>
          <w:rFonts w:ascii="Times New Roman" w:hAnsi="Times New Roman"/>
          <w:sz w:val="24"/>
        </w:rPr>
        <w:t xml:space="preserve">Targeting decisions at AstraZeneca are informed by market research, CRM systems, and analytics platforms that </w:t>
      </w:r>
      <w:r w:rsidRPr="00103120">
        <w:rPr>
          <w:rFonts w:ascii="Times New Roman" w:hAnsi="Times New Roman"/>
          <w:sz w:val="24"/>
          <w:lang w:val="en-GB"/>
        </w:rPr>
        <w:t>prioritise</w:t>
      </w:r>
      <w:r>
        <w:rPr>
          <w:rFonts w:ascii="Times New Roman" w:hAnsi="Times New Roman"/>
          <w:sz w:val="24"/>
        </w:rPr>
        <w:t xml:space="preserve"> high</w:t>
      </w:r>
      <w:r w:rsidR="00B327A7">
        <w:rPr>
          <w:rFonts w:ascii="Times New Roman" w:hAnsi="Times New Roman"/>
          <w:sz w:val="24"/>
        </w:rPr>
        <w:t xml:space="preserve"> </w:t>
      </w:r>
      <w:r>
        <w:rPr>
          <w:rFonts w:ascii="Times New Roman" w:hAnsi="Times New Roman"/>
          <w:sz w:val="24"/>
        </w:rPr>
        <w:t>impact prescribers and decision</w:t>
      </w:r>
      <w:r w:rsidR="00B327A7">
        <w:rPr>
          <w:rFonts w:ascii="Times New Roman" w:hAnsi="Times New Roman"/>
          <w:sz w:val="24"/>
        </w:rPr>
        <w:t xml:space="preserve"> </w:t>
      </w:r>
      <w:r>
        <w:rPr>
          <w:rFonts w:ascii="Times New Roman" w:hAnsi="Times New Roman"/>
          <w:sz w:val="24"/>
        </w:rPr>
        <w:t>makers (McKinsey &amp; Company, 2022). This approach is commercially effective but may neglect emerging stakeholder groups such as patient advocacy organisations and digital health influencers.</w:t>
      </w:r>
    </w:p>
    <w:p w14:paraId="6F7EC7F4" w14:textId="2CAE403E" w:rsidR="00150705" w:rsidRDefault="00150705" w:rsidP="00150705">
      <w:pPr>
        <w:spacing w:line="360" w:lineRule="auto"/>
      </w:pPr>
      <w:r>
        <w:rPr>
          <w:rFonts w:ascii="Times New Roman" w:hAnsi="Times New Roman"/>
          <w:sz w:val="24"/>
        </w:rPr>
        <w:t>In terms of positioning, AstraZeneca consistently presents itself as a science</w:t>
      </w:r>
      <w:r w:rsidR="00B327A7">
        <w:rPr>
          <w:rFonts w:ascii="Times New Roman" w:hAnsi="Times New Roman"/>
          <w:sz w:val="24"/>
        </w:rPr>
        <w:t xml:space="preserve"> </w:t>
      </w:r>
      <w:r>
        <w:rPr>
          <w:rFonts w:ascii="Times New Roman" w:hAnsi="Times New Roman"/>
          <w:sz w:val="24"/>
        </w:rPr>
        <w:t>led, innovation</w:t>
      </w:r>
      <w:r w:rsidR="00B327A7">
        <w:rPr>
          <w:rFonts w:ascii="Times New Roman" w:hAnsi="Times New Roman"/>
          <w:sz w:val="24"/>
        </w:rPr>
        <w:t xml:space="preserve"> </w:t>
      </w:r>
      <w:r>
        <w:rPr>
          <w:rFonts w:ascii="Times New Roman" w:hAnsi="Times New Roman"/>
          <w:sz w:val="24"/>
        </w:rPr>
        <w:t xml:space="preserve">driven company committed to improving patient outcomes. This positioning is reinforced through academic publications, conference presentations, and partnerships with research institutions (AstraZeneca, 2023b). While credible and respected, this positioning can appear </w:t>
      </w:r>
      <w:r>
        <w:rPr>
          <w:rFonts w:ascii="Times New Roman" w:hAnsi="Times New Roman"/>
          <w:sz w:val="24"/>
        </w:rPr>
        <w:lastRenderedPageBreak/>
        <w:t>emotionally distant compared with competitors that emphasise patient stories and lived experiences.</w:t>
      </w:r>
    </w:p>
    <w:p w14:paraId="6DC9D060" w14:textId="77777777" w:rsidR="00150705" w:rsidRDefault="00150705" w:rsidP="00150705">
      <w:pPr>
        <w:spacing w:line="360" w:lineRule="auto"/>
      </w:pPr>
    </w:p>
    <w:p w14:paraId="724BF2ED" w14:textId="77777777" w:rsidR="00150705" w:rsidRDefault="00150705" w:rsidP="00150705">
      <w:pPr>
        <w:spacing w:line="360" w:lineRule="auto"/>
      </w:pPr>
    </w:p>
    <w:p w14:paraId="66B35845" w14:textId="77777777" w:rsidR="00150705" w:rsidRDefault="00150705" w:rsidP="00150705">
      <w:pPr>
        <w:spacing w:line="360" w:lineRule="auto"/>
      </w:pPr>
    </w:p>
    <w:p w14:paraId="094E37BF" w14:textId="77777777" w:rsidR="00150705" w:rsidRPr="00521A68" w:rsidRDefault="00150705" w:rsidP="00150705">
      <w:pPr>
        <w:pStyle w:val="Heading1"/>
      </w:pPr>
      <w:bookmarkStart w:id="10" w:name="_Toc218363103"/>
      <w:r w:rsidRPr="00521A68">
        <w:t>2.6 Marketing Mix Analysis</w:t>
      </w:r>
      <w:bookmarkEnd w:id="10"/>
    </w:p>
    <w:p w14:paraId="18BD4459" w14:textId="77777777" w:rsidR="00150705" w:rsidRDefault="00150705" w:rsidP="00150705">
      <w:pPr>
        <w:spacing w:line="360" w:lineRule="auto"/>
      </w:pPr>
      <w:r>
        <w:rPr>
          <w:rFonts w:ascii="Times New Roman" w:hAnsi="Times New Roman"/>
          <w:sz w:val="24"/>
        </w:rPr>
        <w:t>The marketing mix employed by AstraZeneca reflects regulatory and market constraints:</w:t>
      </w:r>
    </w:p>
    <w:p w14:paraId="2FF3D962" w14:textId="48F01EA9" w:rsidR="00150705" w:rsidRDefault="00150705" w:rsidP="00150705">
      <w:pPr>
        <w:pStyle w:val="ListParagraph"/>
        <w:numPr>
          <w:ilvl w:val="0"/>
          <w:numId w:val="2"/>
        </w:numPr>
        <w:spacing w:after="160" w:line="360" w:lineRule="auto"/>
      </w:pPr>
      <w:r w:rsidRPr="00BA6B36">
        <w:rPr>
          <w:rFonts w:ascii="Times New Roman" w:hAnsi="Times New Roman"/>
        </w:rPr>
        <w:t>Product: High</w:t>
      </w:r>
      <w:r w:rsidR="00B327A7">
        <w:rPr>
          <w:rFonts w:ascii="Times New Roman" w:hAnsi="Times New Roman"/>
        </w:rPr>
        <w:t xml:space="preserve"> </w:t>
      </w:r>
      <w:r w:rsidRPr="00BA6B36">
        <w:rPr>
          <w:rFonts w:ascii="Times New Roman" w:hAnsi="Times New Roman"/>
        </w:rPr>
        <w:t>value, innovation</w:t>
      </w:r>
      <w:r w:rsidR="00B327A7">
        <w:rPr>
          <w:rFonts w:ascii="Times New Roman" w:hAnsi="Times New Roman"/>
        </w:rPr>
        <w:t xml:space="preserve"> </w:t>
      </w:r>
      <w:r w:rsidRPr="00BA6B36">
        <w:rPr>
          <w:rFonts w:ascii="Times New Roman" w:hAnsi="Times New Roman"/>
        </w:rPr>
        <w:t>driven medicines supported by strong clinical evidence.</w:t>
      </w:r>
    </w:p>
    <w:p w14:paraId="38E75048" w14:textId="0FEAEF7D" w:rsidR="00150705" w:rsidRDefault="00150705" w:rsidP="00150705">
      <w:pPr>
        <w:pStyle w:val="ListParagraph"/>
        <w:numPr>
          <w:ilvl w:val="0"/>
          <w:numId w:val="2"/>
        </w:numPr>
        <w:spacing w:after="160" w:line="360" w:lineRule="auto"/>
      </w:pPr>
      <w:r w:rsidRPr="00BA6B36">
        <w:rPr>
          <w:rFonts w:ascii="Times New Roman" w:hAnsi="Times New Roman"/>
        </w:rPr>
        <w:t>Price: Value</w:t>
      </w:r>
      <w:r w:rsidR="00B327A7">
        <w:rPr>
          <w:rFonts w:ascii="Times New Roman" w:hAnsi="Times New Roman"/>
        </w:rPr>
        <w:t xml:space="preserve"> </w:t>
      </w:r>
      <w:r w:rsidRPr="00BA6B36">
        <w:rPr>
          <w:rFonts w:ascii="Times New Roman" w:hAnsi="Times New Roman"/>
        </w:rPr>
        <w:t>based pricing justified through outcomes data and economic modelling.</w:t>
      </w:r>
    </w:p>
    <w:p w14:paraId="1CFF9F2B" w14:textId="77777777" w:rsidR="00150705" w:rsidRDefault="00150705" w:rsidP="00150705">
      <w:pPr>
        <w:pStyle w:val="ListParagraph"/>
        <w:numPr>
          <w:ilvl w:val="0"/>
          <w:numId w:val="2"/>
        </w:numPr>
        <w:spacing w:after="160" w:line="360" w:lineRule="auto"/>
      </w:pPr>
      <w:r w:rsidRPr="00BA6B36">
        <w:rPr>
          <w:rFonts w:ascii="Times New Roman" w:hAnsi="Times New Roman"/>
        </w:rPr>
        <w:t>Place: Distribution via regulated healthcare channels and institutional procurement.</w:t>
      </w:r>
    </w:p>
    <w:p w14:paraId="1589F344" w14:textId="63EA66B8" w:rsidR="00150705" w:rsidRDefault="00150705" w:rsidP="00150705">
      <w:pPr>
        <w:pStyle w:val="ListParagraph"/>
        <w:numPr>
          <w:ilvl w:val="0"/>
          <w:numId w:val="2"/>
        </w:numPr>
        <w:spacing w:after="160" w:line="360" w:lineRule="auto"/>
      </w:pPr>
      <w:r w:rsidRPr="00BA6B36">
        <w:rPr>
          <w:rFonts w:ascii="Times New Roman" w:hAnsi="Times New Roman"/>
        </w:rPr>
        <w:t>Promotion: Education</w:t>
      </w:r>
      <w:r w:rsidR="00B327A7">
        <w:rPr>
          <w:rFonts w:ascii="Times New Roman" w:hAnsi="Times New Roman"/>
        </w:rPr>
        <w:t xml:space="preserve"> </w:t>
      </w:r>
      <w:r w:rsidRPr="00BA6B36">
        <w:rPr>
          <w:rFonts w:ascii="Times New Roman" w:hAnsi="Times New Roman"/>
        </w:rPr>
        <w:t>focused promotion using professional channels rather than mass media.</w:t>
      </w:r>
    </w:p>
    <w:p w14:paraId="6846257B" w14:textId="77777777" w:rsidR="00150705" w:rsidRDefault="00150705" w:rsidP="00150705">
      <w:pPr>
        <w:spacing w:line="360" w:lineRule="auto"/>
      </w:pPr>
      <w:r>
        <w:rPr>
          <w:rFonts w:ascii="Times New Roman" w:hAnsi="Times New Roman"/>
          <w:sz w:val="24"/>
        </w:rPr>
        <w:t>This marketing mix is appropriate for the pharmaceutical context but limits brand visibility among the general public, reducing opportunities for emotional brand attachment (Kotler et al., 2022).</w:t>
      </w:r>
    </w:p>
    <w:p w14:paraId="6618DF36" w14:textId="77777777" w:rsidR="00150705" w:rsidRDefault="00150705" w:rsidP="00150705">
      <w:pPr>
        <w:spacing w:line="360" w:lineRule="auto"/>
      </w:pPr>
    </w:p>
    <w:p w14:paraId="6337FA4C" w14:textId="77777777" w:rsidR="00150705" w:rsidRPr="007D5D26" w:rsidRDefault="00150705" w:rsidP="00150705">
      <w:pPr>
        <w:pStyle w:val="Heading1"/>
      </w:pPr>
      <w:bookmarkStart w:id="11" w:name="_Toc218363104"/>
      <w:r w:rsidRPr="007D5D26">
        <w:t>2.7 Media Selection and Communication Channels</w:t>
      </w:r>
      <w:bookmarkEnd w:id="11"/>
    </w:p>
    <w:p w14:paraId="758A3416" w14:textId="1718F081" w:rsidR="00150705" w:rsidRDefault="00150705" w:rsidP="00150705">
      <w:pPr>
        <w:spacing w:line="360" w:lineRule="auto"/>
      </w:pPr>
      <w:r>
        <w:rPr>
          <w:rFonts w:ascii="Times New Roman" w:hAnsi="Times New Roman"/>
          <w:sz w:val="24"/>
        </w:rPr>
        <w:t>AstraZeneca utilises a multi</w:t>
      </w:r>
      <w:r w:rsidR="00B327A7">
        <w:rPr>
          <w:rFonts w:ascii="Times New Roman" w:hAnsi="Times New Roman"/>
          <w:sz w:val="24"/>
        </w:rPr>
        <w:t xml:space="preserve"> </w:t>
      </w:r>
      <w:r>
        <w:rPr>
          <w:rFonts w:ascii="Times New Roman" w:hAnsi="Times New Roman"/>
          <w:sz w:val="24"/>
        </w:rPr>
        <w:t>channel communication strategy that includes:</w:t>
      </w:r>
    </w:p>
    <w:p w14:paraId="51FD2135" w14:textId="51A8BF2D" w:rsidR="00150705" w:rsidRDefault="00150705" w:rsidP="00150705">
      <w:pPr>
        <w:pStyle w:val="ListParagraph"/>
        <w:numPr>
          <w:ilvl w:val="0"/>
          <w:numId w:val="1"/>
        </w:numPr>
        <w:spacing w:after="160" w:line="360" w:lineRule="auto"/>
      </w:pPr>
      <w:r w:rsidRPr="004A1DC2">
        <w:rPr>
          <w:rFonts w:ascii="Times New Roman" w:hAnsi="Times New Roman"/>
        </w:rPr>
        <w:t>Medical conferences and peer</w:t>
      </w:r>
      <w:r w:rsidR="00B327A7">
        <w:rPr>
          <w:rFonts w:ascii="Times New Roman" w:hAnsi="Times New Roman"/>
        </w:rPr>
        <w:t xml:space="preserve"> </w:t>
      </w:r>
      <w:r w:rsidRPr="004A1DC2">
        <w:rPr>
          <w:rFonts w:ascii="Times New Roman" w:hAnsi="Times New Roman"/>
        </w:rPr>
        <w:t>reviewed journals</w:t>
      </w:r>
    </w:p>
    <w:p w14:paraId="76EFD9C6" w14:textId="77777777" w:rsidR="00150705" w:rsidRDefault="00150705" w:rsidP="00150705">
      <w:pPr>
        <w:pStyle w:val="ListParagraph"/>
        <w:numPr>
          <w:ilvl w:val="0"/>
          <w:numId w:val="1"/>
        </w:numPr>
        <w:spacing w:after="160" w:line="360" w:lineRule="auto"/>
      </w:pPr>
      <w:r w:rsidRPr="004A1DC2">
        <w:rPr>
          <w:rFonts w:ascii="Times New Roman" w:hAnsi="Times New Roman"/>
        </w:rPr>
        <w:t>Sales representatives and key account managers</w:t>
      </w:r>
    </w:p>
    <w:p w14:paraId="6A8273DE" w14:textId="77777777" w:rsidR="00150705" w:rsidRDefault="00150705" w:rsidP="00150705">
      <w:pPr>
        <w:pStyle w:val="ListParagraph"/>
        <w:numPr>
          <w:ilvl w:val="0"/>
          <w:numId w:val="1"/>
        </w:numPr>
        <w:spacing w:after="160" w:line="360" w:lineRule="auto"/>
      </w:pPr>
      <w:r w:rsidRPr="004A1DC2">
        <w:rPr>
          <w:rFonts w:ascii="Times New Roman" w:hAnsi="Times New Roman"/>
        </w:rPr>
        <w:t>Digital platforms such as webinars and virtual symposia</w:t>
      </w:r>
    </w:p>
    <w:p w14:paraId="29A3FDEA" w14:textId="77777777" w:rsidR="00150705" w:rsidRDefault="00150705" w:rsidP="00150705">
      <w:pPr>
        <w:pStyle w:val="ListParagraph"/>
        <w:numPr>
          <w:ilvl w:val="0"/>
          <w:numId w:val="1"/>
        </w:numPr>
        <w:spacing w:after="160" w:line="360" w:lineRule="auto"/>
      </w:pPr>
      <w:r w:rsidRPr="004A1DC2">
        <w:rPr>
          <w:rFonts w:ascii="Times New Roman" w:hAnsi="Times New Roman"/>
        </w:rPr>
        <w:t>Professional social media platforms, particularly LinkedIn</w:t>
      </w:r>
    </w:p>
    <w:p w14:paraId="1350D3ED" w14:textId="0C857AA6" w:rsidR="00150705" w:rsidRDefault="00150705" w:rsidP="00150705">
      <w:pPr>
        <w:spacing w:line="360" w:lineRule="auto"/>
      </w:pPr>
      <w:r>
        <w:rPr>
          <w:rFonts w:ascii="Times New Roman" w:hAnsi="Times New Roman"/>
          <w:sz w:val="24"/>
        </w:rPr>
        <w:t>The shift towards digital engagement accelerated during the COVID</w:t>
      </w:r>
      <w:r w:rsidR="00B327A7">
        <w:rPr>
          <w:rFonts w:ascii="Times New Roman" w:hAnsi="Times New Roman"/>
          <w:sz w:val="24"/>
        </w:rPr>
        <w:t xml:space="preserve"> </w:t>
      </w:r>
      <w:r>
        <w:rPr>
          <w:rFonts w:ascii="Times New Roman" w:hAnsi="Times New Roman"/>
          <w:sz w:val="24"/>
        </w:rPr>
        <w:t xml:space="preserve">19 pandemic, enabling wider reach at lower cost (McKinsey &amp; Company, 2022). However, research indicates that healthcare professionals increasingly experience digital fatigue, reducing engagement levels </w:t>
      </w:r>
      <w:r>
        <w:rPr>
          <w:rFonts w:ascii="Times New Roman" w:hAnsi="Times New Roman"/>
          <w:sz w:val="24"/>
        </w:rPr>
        <w:lastRenderedPageBreak/>
        <w:t>(Deloitte, 2021). This suggests that while AstraZeneca’s channel selection is appropriate, execution and personalisation could be improved.</w:t>
      </w:r>
    </w:p>
    <w:p w14:paraId="1EDEDD60" w14:textId="77777777" w:rsidR="00150705" w:rsidRDefault="00150705" w:rsidP="00150705">
      <w:pPr>
        <w:spacing w:line="360" w:lineRule="auto"/>
      </w:pPr>
    </w:p>
    <w:p w14:paraId="66DF8124" w14:textId="77777777" w:rsidR="00150705" w:rsidRDefault="00150705" w:rsidP="00150705">
      <w:pPr>
        <w:spacing w:line="360" w:lineRule="auto"/>
      </w:pPr>
    </w:p>
    <w:p w14:paraId="276A370B" w14:textId="77777777" w:rsidR="00150705" w:rsidRDefault="00150705" w:rsidP="00150705">
      <w:pPr>
        <w:pStyle w:val="Heading1"/>
      </w:pPr>
      <w:bookmarkStart w:id="12" w:name="_Toc218363105"/>
      <w:r>
        <w:t xml:space="preserve">2.8 </w:t>
      </w:r>
      <w:r w:rsidRPr="00FE2689">
        <w:t>Measuring Marketing Effectiveness and Control</w:t>
      </w:r>
      <w:bookmarkEnd w:id="12"/>
    </w:p>
    <w:p w14:paraId="30CE693A" w14:textId="183080B2" w:rsidR="00150705" w:rsidRDefault="00150705" w:rsidP="00150705">
      <w:pPr>
        <w:spacing w:line="360" w:lineRule="auto"/>
      </w:pPr>
      <w:r>
        <w:rPr>
          <w:rFonts w:ascii="Times New Roman" w:hAnsi="Times New Roman"/>
          <w:sz w:val="24"/>
        </w:rPr>
        <w:t>AstraZeneca measures marketing effectiveness using a combination of quantitative and qualitative metrics, including sales performance, market share, engagement analytics, and brand perception studies (AstraZeneca, 2023a). These metrics provide valuable insights into short</w:t>
      </w:r>
      <w:r w:rsidR="00B327A7">
        <w:rPr>
          <w:rFonts w:ascii="Times New Roman" w:hAnsi="Times New Roman"/>
          <w:sz w:val="24"/>
        </w:rPr>
        <w:t xml:space="preserve"> </w:t>
      </w:r>
      <w:r>
        <w:rPr>
          <w:rFonts w:ascii="Times New Roman" w:hAnsi="Times New Roman"/>
          <w:sz w:val="24"/>
        </w:rPr>
        <w:t>term performance but offer limited understanding of long</w:t>
      </w:r>
      <w:r w:rsidR="00B327A7">
        <w:rPr>
          <w:rFonts w:ascii="Times New Roman" w:hAnsi="Times New Roman"/>
          <w:sz w:val="24"/>
        </w:rPr>
        <w:t xml:space="preserve"> </w:t>
      </w:r>
      <w:r>
        <w:rPr>
          <w:rFonts w:ascii="Times New Roman" w:hAnsi="Times New Roman"/>
          <w:sz w:val="24"/>
        </w:rPr>
        <w:t>term relationship building, trust, and patient outcomes.</w:t>
      </w:r>
    </w:p>
    <w:p w14:paraId="79A7B3CD" w14:textId="77777777" w:rsidR="00150705" w:rsidRDefault="00150705" w:rsidP="00150705">
      <w:pPr>
        <w:spacing w:line="360" w:lineRule="auto"/>
      </w:pPr>
      <w:r>
        <w:rPr>
          <w:rFonts w:ascii="Times New Roman" w:hAnsi="Times New Roman"/>
          <w:sz w:val="24"/>
        </w:rPr>
        <w:t>Marketing control mechanisms exist, but feedback loops between evaluation and strategic adjustment can be slow due to organisational complexity. This reduces AstraZeneca’s ability to rapidly adapt marketing strategies in response to changing stakeholder expectations.</w:t>
      </w:r>
    </w:p>
    <w:p w14:paraId="31A9C898" w14:textId="77777777" w:rsidR="00150705" w:rsidRDefault="00150705" w:rsidP="00150705">
      <w:pPr>
        <w:spacing w:line="360" w:lineRule="auto"/>
      </w:pPr>
    </w:p>
    <w:p w14:paraId="59813221" w14:textId="77777777" w:rsidR="00150705" w:rsidRDefault="00150705" w:rsidP="00150705">
      <w:pPr>
        <w:spacing w:line="360" w:lineRule="auto"/>
      </w:pPr>
    </w:p>
    <w:p w14:paraId="4C6CFDB2" w14:textId="77777777" w:rsidR="00150705" w:rsidRDefault="00150705" w:rsidP="00150705">
      <w:pPr>
        <w:spacing w:line="360" w:lineRule="auto"/>
      </w:pPr>
    </w:p>
    <w:p w14:paraId="1B72672F" w14:textId="77777777" w:rsidR="00050D49" w:rsidRDefault="00050D49" w:rsidP="00150705">
      <w:pPr>
        <w:spacing w:line="360" w:lineRule="auto"/>
      </w:pPr>
    </w:p>
    <w:p w14:paraId="3AA2206E" w14:textId="77777777" w:rsidR="00050D49" w:rsidRDefault="00050D49" w:rsidP="00150705">
      <w:pPr>
        <w:spacing w:line="360" w:lineRule="auto"/>
      </w:pPr>
    </w:p>
    <w:p w14:paraId="6ACF85F8" w14:textId="77777777" w:rsidR="00050D49" w:rsidRDefault="00050D49" w:rsidP="00150705">
      <w:pPr>
        <w:spacing w:line="360" w:lineRule="auto"/>
      </w:pPr>
    </w:p>
    <w:p w14:paraId="39E7B8CA" w14:textId="77777777" w:rsidR="00050D49" w:rsidRDefault="00050D49" w:rsidP="00150705">
      <w:pPr>
        <w:spacing w:line="360" w:lineRule="auto"/>
      </w:pPr>
    </w:p>
    <w:p w14:paraId="0C4D6A1D" w14:textId="77777777" w:rsidR="00150705" w:rsidRDefault="00150705" w:rsidP="00150705">
      <w:pPr>
        <w:spacing w:line="360" w:lineRule="auto"/>
      </w:pPr>
    </w:p>
    <w:p w14:paraId="10EC82DA" w14:textId="77777777" w:rsidR="00150705" w:rsidRPr="00C40CE6" w:rsidRDefault="00150705" w:rsidP="00150705">
      <w:pPr>
        <w:pStyle w:val="Heading1"/>
      </w:pPr>
      <w:bookmarkStart w:id="13" w:name="_Toc218363106"/>
      <w:r w:rsidRPr="00C40CE6">
        <w:lastRenderedPageBreak/>
        <w:t>3. Conclusions</w:t>
      </w:r>
      <w:bookmarkEnd w:id="13"/>
    </w:p>
    <w:p w14:paraId="5C648E08" w14:textId="42959B1B" w:rsidR="00150705" w:rsidRDefault="00150705" w:rsidP="00150705">
      <w:pPr>
        <w:pStyle w:val="NormalWeb"/>
        <w:spacing w:line="360" w:lineRule="auto"/>
      </w:pPr>
      <w:r>
        <w:t>This report set out to critically evaluate the effectiveness of AstraZeneca’s marketing strategy within the context of the pharmaceutical industry’s regulatory, economic, and ethical constraints. The analysis demonstrates that AstraZeneca’s marketing function is strategically embedded within the organisation and plays a vital role in translating scientific innovation into patient access, commercial sustainability, and long</w:t>
      </w:r>
      <w:r w:rsidR="00B327A7">
        <w:t xml:space="preserve"> </w:t>
      </w:r>
      <w:r>
        <w:t>term brand credibility. Rather than operating as a purely promotional activity, marketing at AstraZeneca encompasses stakeholder education, market access support, value communication, and reputation management, which is appropriate given the complexity of healthcare decision</w:t>
      </w:r>
      <w:r w:rsidR="00B327A7">
        <w:t xml:space="preserve"> </w:t>
      </w:r>
      <w:r>
        <w:t>making.</w:t>
      </w:r>
    </w:p>
    <w:p w14:paraId="18A9A286" w14:textId="51CADA5F" w:rsidR="00150705" w:rsidRDefault="00150705" w:rsidP="00150705">
      <w:pPr>
        <w:pStyle w:val="NormalWeb"/>
        <w:spacing w:line="360" w:lineRule="auto"/>
      </w:pPr>
      <w:r>
        <w:t>The evaluation of the macro marketing environment highlights that political and legal factors exert the strongest influence on AstraZeneca’s marketing strategy, significantly restricting promotional freedom and shaping a predominantly healthcare professional–focused approach. Economic pressures within global healthcare systems have further reinforced the shift towards value</w:t>
      </w:r>
      <w:r w:rsidR="00B327A7">
        <w:t xml:space="preserve"> </w:t>
      </w:r>
      <w:r>
        <w:t>based marketing, requiring the integration of health economics and outcomes evidence into communication strategies. Technological advancements have enabled broader digital engagement and improved measurement capabilities; however, these benefits are increasingly offset by digital fatigue and heightened competition for stakeholder attention.</w:t>
      </w:r>
    </w:p>
    <w:p w14:paraId="3ECCAB72" w14:textId="3167C95F" w:rsidR="00150705" w:rsidRDefault="00150705" w:rsidP="00150705">
      <w:pPr>
        <w:pStyle w:val="NormalWeb"/>
        <w:spacing w:line="360" w:lineRule="auto"/>
      </w:pPr>
      <w:r>
        <w:t>Analysis of the microenvironment reveals that AstraZeneca operates in an intensely competitive landscape, particularly within oncology and respiratory medicine. The organisation’s reliance on scientific differentiation and evidence</w:t>
      </w:r>
      <w:r w:rsidR="00B327A7">
        <w:t xml:space="preserve"> </w:t>
      </w:r>
      <w:r>
        <w:t>based communication has been effective in influencing prescribing behaviour and reinforcing its positioning as a science</w:t>
      </w:r>
      <w:r w:rsidR="00B327A7">
        <w:t xml:space="preserve"> </w:t>
      </w:r>
      <w:r>
        <w:t>led innovator. Nevertheless, this approach has resulted in highly technical marketing communications that lack emotional resonance and limit engagement with patients and the wider public. Additionally, internal organisational complexity and cross</w:t>
      </w:r>
      <w:r w:rsidR="00B327A7">
        <w:t xml:space="preserve"> </w:t>
      </w:r>
      <w:r>
        <w:t>functional dependencies, while necessary for regulatory compliance, reduce marketing agility and responsiveness.</w:t>
      </w:r>
    </w:p>
    <w:p w14:paraId="4CDA1A2B" w14:textId="216EFCEC" w:rsidR="00150705" w:rsidRDefault="00150705" w:rsidP="00150705">
      <w:pPr>
        <w:pStyle w:val="NormalWeb"/>
        <w:spacing w:line="360" w:lineRule="auto"/>
      </w:pPr>
      <w:r>
        <w:t>Overall, the report concludes that AstraZeneca’s marketing strategy is professionally executed, compliant, and strategically aligned with industry expectations. However, its long</w:t>
      </w:r>
      <w:r w:rsidR="00B327A7">
        <w:t xml:space="preserve"> </w:t>
      </w:r>
      <w:r>
        <w:t>term effectiveness is constrained by an over</w:t>
      </w:r>
      <w:r w:rsidR="00B327A7">
        <w:t xml:space="preserve"> </w:t>
      </w:r>
      <w:r>
        <w:t xml:space="preserve">reliance on healthcare professional–centric marketing, </w:t>
      </w:r>
      <w:r>
        <w:lastRenderedPageBreak/>
        <w:t>limited patient engagement, challenges in digital execution, and performance measurement systems that prioritise short</w:t>
      </w:r>
      <w:r w:rsidR="00B327A7">
        <w:t xml:space="preserve"> </w:t>
      </w:r>
      <w:r>
        <w:t>term commercial outcomes over long</w:t>
      </w:r>
      <w:r w:rsidR="00B327A7">
        <w:t xml:space="preserve"> </w:t>
      </w:r>
      <w:r>
        <w:t>term relationship building and societal impact. Addressing these limitations is essential if AstraZeneca is to enhance the sustainability, relevance, and strategic impact of its marketing activities in an increasingly patient</w:t>
      </w:r>
      <w:r w:rsidR="00B327A7">
        <w:t xml:space="preserve"> </w:t>
      </w:r>
      <w:r>
        <w:t>centred and value</w:t>
      </w:r>
      <w:r w:rsidR="00B327A7">
        <w:t xml:space="preserve"> </w:t>
      </w:r>
      <w:r>
        <w:t>driven healthcare environment.</w:t>
      </w:r>
    </w:p>
    <w:p w14:paraId="662AB0B8" w14:textId="77777777" w:rsidR="00150705" w:rsidRDefault="00150705" w:rsidP="00150705">
      <w:pPr>
        <w:spacing w:line="360" w:lineRule="auto"/>
      </w:pPr>
    </w:p>
    <w:p w14:paraId="0ECA7F87" w14:textId="77777777" w:rsidR="00150705" w:rsidRDefault="00150705" w:rsidP="00150705"/>
    <w:p w14:paraId="31E1B044" w14:textId="77777777" w:rsidR="00953119" w:rsidRDefault="00953119" w:rsidP="00150705"/>
    <w:p w14:paraId="772537E8" w14:textId="77777777" w:rsidR="00953119" w:rsidRDefault="00953119" w:rsidP="00150705"/>
    <w:p w14:paraId="5A5B53BA" w14:textId="77777777" w:rsidR="00953119" w:rsidRDefault="00953119" w:rsidP="00150705"/>
    <w:p w14:paraId="38085BCA" w14:textId="77777777" w:rsidR="00953119" w:rsidRDefault="00953119" w:rsidP="00150705"/>
    <w:p w14:paraId="3D562C9B" w14:textId="77777777" w:rsidR="00953119" w:rsidRDefault="00953119" w:rsidP="00150705"/>
    <w:p w14:paraId="62D57265" w14:textId="77777777" w:rsidR="00953119" w:rsidRDefault="00953119" w:rsidP="00150705"/>
    <w:p w14:paraId="2E0EC4B8" w14:textId="77777777" w:rsidR="00953119" w:rsidRDefault="00953119" w:rsidP="00150705"/>
    <w:p w14:paraId="0B51D2E9" w14:textId="77777777" w:rsidR="00953119" w:rsidRDefault="00953119" w:rsidP="00150705"/>
    <w:p w14:paraId="77834076" w14:textId="77777777" w:rsidR="00953119" w:rsidRDefault="00953119" w:rsidP="00150705"/>
    <w:p w14:paraId="16E7033F" w14:textId="77777777" w:rsidR="00953119" w:rsidRDefault="00953119" w:rsidP="00150705"/>
    <w:p w14:paraId="298F221F" w14:textId="77777777" w:rsidR="00953119" w:rsidRDefault="00953119" w:rsidP="00150705"/>
    <w:p w14:paraId="54F88D9A" w14:textId="77777777" w:rsidR="00953119" w:rsidRDefault="00953119" w:rsidP="00150705"/>
    <w:p w14:paraId="32F2EDF0" w14:textId="77777777" w:rsidR="00050D49" w:rsidRDefault="00050D49" w:rsidP="00150705"/>
    <w:p w14:paraId="685C7683" w14:textId="77777777" w:rsidR="00050D49" w:rsidRDefault="00050D49" w:rsidP="00150705"/>
    <w:p w14:paraId="5F3C1A49" w14:textId="77777777" w:rsidR="00953119" w:rsidRDefault="00953119" w:rsidP="00150705"/>
    <w:p w14:paraId="44BFA3BB" w14:textId="77777777" w:rsidR="00953119" w:rsidRPr="001E195A" w:rsidRDefault="00953119" w:rsidP="00150705"/>
    <w:p w14:paraId="098B1B1D" w14:textId="77777777" w:rsidR="00150705" w:rsidRPr="00C40CE6" w:rsidRDefault="00150705" w:rsidP="00150705">
      <w:pPr>
        <w:pStyle w:val="Heading1"/>
      </w:pPr>
      <w:bookmarkStart w:id="14" w:name="_Toc218363107"/>
      <w:r w:rsidRPr="00C40CE6">
        <w:lastRenderedPageBreak/>
        <w:t>4. Recommendations for Improving AstraZeneca’s Marketing Strategy</w:t>
      </w:r>
      <w:bookmarkEnd w:id="14"/>
    </w:p>
    <w:p w14:paraId="389BDC6F" w14:textId="77777777" w:rsidR="00150705" w:rsidRPr="001E195A" w:rsidRDefault="00150705" w:rsidP="00150705"/>
    <w:p w14:paraId="4E64714E" w14:textId="77777777" w:rsidR="00150705" w:rsidRDefault="00150705" w:rsidP="00150705">
      <w:pPr>
        <w:spacing w:line="360" w:lineRule="auto"/>
      </w:pPr>
      <w:r>
        <w:rPr>
          <w:rFonts w:ascii="Times New Roman" w:hAnsi="Times New Roman"/>
          <w:sz w:val="24"/>
        </w:rPr>
        <w:t>The following recommendations are explicitly derived from the shortcomings identified in the conclusions and are grounded in established marketing theory and pharmaceutical industry practice. They are designed to enhance the effectiveness of the marketing strategy of AstraZeneca while remaining realistic within the organisation’s regulatory, financial, and operational constraints.</w:t>
      </w:r>
    </w:p>
    <w:p w14:paraId="7E5B9526" w14:textId="77777777" w:rsidR="00150705" w:rsidRDefault="00150705" w:rsidP="00150705">
      <w:pPr>
        <w:pStyle w:val="Heading2"/>
      </w:pPr>
    </w:p>
    <w:p w14:paraId="1A75CE84" w14:textId="52972E69" w:rsidR="00150705" w:rsidRPr="00066EE2" w:rsidRDefault="00150705" w:rsidP="00150705">
      <w:pPr>
        <w:pStyle w:val="Heading2"/>
      </w:pPr>
      <w:bookmarkStart w:id="15" w:name="_Toc218363108"/>
      <w:r w:rsidRPr="00066EE2">
        <w:t>4.1 Strengthen Patient</w:t>
      </w:r>
      <w:r w:rsidR="00B327A7">
        <w:t xml:space="preserve"> </w:t>
      </w:r>
      <w:r w:rsidRPr="00066EE2">
        <w:t>Centric Marketing Within Regulatory Boundaries</w:t>
      </w:r>
      <w:bookmarkEnd w:id="15"/>
    </w:p>
    <w:p w14:paraId="34804D3C" w14:textId="141438BD" w:rsidR="00150705" w:rsidRDefault="00150705" w:rsidP="00150705">
      <w:pPr>
        <w:spacing w:line="360" w:lineRule="auto"/>
      </w:pPr>
      <w:r>
        <w:rPr>
          <w:rFonts w:ascii="Times New Roman" w:hAnsi="Times New Roman"/>
          <w:sz w:val="24"/>
        </w:rPr>
        <w:t>The evaluation identified an over</w:t>
      </w:r>
      <w:r w:rsidR="00B327A7">
        <w:rPr>
          <w:rFonts w:ascii="Times New Roman" w:hAnsi="Times New Roman"/>
          <w:sz w:val="24"/>
        </w:rPr>
        <w:t xml:space="preserve"> </w:t>
      </w:r>
      <w:r>
        <w:rPr>
          <w:rFonts w:ascii="Times New Roman" w:hAnsi="Times New Roman"/>
          <w:sz w:val="24"/>
        </w:rPr>
        <w:t>reliance on healthcare professional–centric marketing, which limits AstraZeneca’s ability to engage directly with patients and caregivers. While regulatory restrictions prevent direct promotion of prescription medicines, there remains significant scope for patient</w:t>
      </w:r>
      <w:r w:rsidR="00B327A7">
        <w:rPr>
          <w:rFonts w:ascii="Times New Roman" w:hAnsi="Times New Roman"/>
          <w:sz w:val="24"/>
        </w:rPr>
        <w:t xml:space="preserve"> </w:t>
      </w:r>
      <w:r>
        <w:rPr>
          <w:rFonts w:ascii="Times New Roman" w:hAnsi="Times New Roman"/>
          <w:sz w:val="24"/>
        </w:rPr>
        <w:t>centric marketing through disease awareness, education, and support initiatives (Kotler et al., 2022; EMA, 2023).</w:t>
      </w:r>
    </w:p>
    <w:p w14:paraId="391FC1E0" w14:textId="69E9B827" w:rsidR="00150705" w:rsidRDefault="00150705" w:rsidP="00150705">
      <w:pPr>
        <w:spacing w:line="360" w:lineRule="auto"/>
      </w:pPr>
      <w:r>
        <w:rPr>
          <w:rFonts w:ascii="Times New Roman" w:hAnsi="Times New Roman"/>
          <w:sz w:val="24"/>
        </w:rPr>
        <w:t>It is therefore recommended that AstraZeneca expands its patient</w:t>
      </w:r>
      <w:r w:rsidR="00B327A7">
        <w:rPr>
          <w:rFonts w:ascii="Times New Roman" w:hAnsi="Times New Roman"/>
          <w:sz w:val="24"/>
        </w:rPr>
        <w:t xml:space="preserve"> </w:t>
      </w:r>
      <w:r>
        <w:rPr>
          <w:rFonts w:ascii="Times New Roman" w:hAnsi="Times New Roman"/>
          <w:sz w:val="24"/>
        </w:rPr>
        <w:t>focused communications by investing further in disease awareness campaigns, patient education platforms, and patient journey storytelling. Research suggests that patient</w:t>
      </w:r>
      <w:r w:rsidR="00B327A7">
        <w:rPr>
          <w:rFonts w:ascii="Times New Roman" w:hAnsi="Times New Roman"/>
          <w:sz w:val="24"/>
        </w:rPr>
        <w:t xml:space="preserve"> </w:t>
      </w:r>
      <w:r>
        <w:rPr>
          <w:rFonts w:ascii="Times New Roman" w:hAnsi="Times New Roman"/>
          <w:sz w:val="24"/>
        </w:rPr>
        <w:t>centric approaches improve trust, treatment adherence, and brand credibility without breaching promotional regulations (PwC, 2021). By focusing on education rather than promotion, AstraZeneca can enhance its societal role while supporting long</w:t>
      </w:r>
      <w:r w:rsidR="00B327A7">
        <w:rPr>
          <w:rFonts w:ascii="Times New Roman" w:hAnsi="Times New Roman"/>
          <w:sz w:val="24"/>
        </w:rPr>
        <w:t xml:space="preserve"> </w:t>
      </w:r>
      <w:r>
        <w:rPr>
          <w:rFonts w:ascii="Times New Roman" w:hAnsi="Times New Roman"/>
          <w:sz w:val="24"/>
        </w:rPr>
        <w:t>term brand equity.</w:t>
      </w:r>
    </w:p>
    <w:p w14:paraId="125D885E" w14:textId="77777777" w:rsidR="00150705" w:rsidRDefault="00150705" w:rsidP="00150705">
      <w:pPr>
        <w:spacing w:line="360" w:lineRule="auto"/>
      </w:pPr>
      <w:r>
        <w:rPr>
          <w:rFonts w:ascii="Times New Roman" w:hAnsi="Times New Roman"/>
          <w:sz w:val="24"/>
        </w:rPr>
        <w:t>This recommendation is feasible, as AstraZeneca already operates patient support programmes and public health initiatives. Expanding these activities would require incremental investment rather than significant restructuring, making it a realistic strategic development (AstraZeneca, 2023a).</w:t>
      </w:r>
    </w:p>
    <w:p w14:paraId="29453765" w14:textId="77777777" w:rsidR="00150705" w:rsidRDefault="00150705" w:rsidP="00150705">
      <w:pPr>
        <w:spacing w:line="360" w:lineRule="auto"/>
      </w:pPr>
    </w:p>
    <w:p w14:paraId="5F6AEED6" w14:textId="77777777" w:rsidR="00150705" w:rsidRDefault="00150705" w:rsidP="00150705">
      <w:pPr>
        <w:spacing w:line="360" w:lineRule="auto"/>
      </w:pPr>
    </w:p>
    <w:p w14:paraId="24597D15" w14:textId="77777777" w:rsidR="00150705" w:rsidRDefault="00150705" w:rsidP="00150705">
      <w:pPr>
        <w:pStyle w:val="Heading2"/>
      </w:pPr>
      <w:bookmarkStart w:id="16" w:name="_Toc218363109"/>
      <w:r>
        <w:lastRenderedPageBreak/>
        <w:t>4.2 Enhance Digital Personalisation and Engagement Capabilities</w:t>
      </w:r>
      <w:bookmarkEnd w:id="16"/>
    </w:p>
    <w:p w14:paraId="18205357" w14:textId="77777777" w:rsidR="00150705" w:rsidRDefault="00150705" w:rsidP="00150705">
      <w:pPr>
        <w:spacing w:line="360" w:lineRule="auto"/>
      </w:pPr>
      <w:r>
        <w:rPr>
          <w:rFonts w:ascii="Times New Roman" w:hAnsi="Times New Roman"/>
          <w:sz w:val="24"/>
        </w:rPr>
        <w:t>Although AstraZeneca has successfully adopted digital marketing channels, the analysis highlighted declining engagement effectiveness due to digital fatigue and limited content personalisation. Industry research indicates that healthcare professionals increasingly expect tailored, relevant digital interactions rather than generic communications (Deloitte, 2021; McKinsey &amp; Company, 2022).</w:t>
      </w:r>
    </w:p>
    <w:p w14:paraId="2B29F9BD" w14:textId="77777777" w:rsidR="00150705" w:rsidRDefault="00150705" w:rsidP="00150705">
      <w:pPr>
        <w:spacing w:line="360" w:lineRule="auto"/>
      </w:pPr>
      <w:r>
        <w:rPr>
          <w:rFonts w:ascii="Times New Roman" w:hAnsi="Times New Roman"/>
          <w:sz w:val="24"/>
        </w:rPr>
        <w:t>To address this challenge, AstraZeneca should invest in advanced data analytics and artificial intelligence–driven personalisation tools that enable marketing content to be customised according to stakeholder preferences, specialty, and engagement history. Improved personalisation has been shown to increase engagement quality, reduce information overload, and improve return on marketing investment in pharmaceutical contexts (McKinsey &amp; Company, 2022).</w:t>
      </w:r>
    </w:p>
    <w:p w14:paraId="045E85EE" w14:textId="77777777" w:rsidR="00150705" w:rsidRDefault="00150705" w:rsidP="00150705">
      <w:pPr>
        <w:spacing w:line="360" w:lineRule="auto"/>
      </w:pPr>
      <w:r>
        <w:rPr>
          <w:rFonts w:ascii="Times New Roman" w:hAnsi="Times New Roman"/>
          <w:sz w:val="24"/>
        </w:rPr>
        <w:t>Given AstraZeneca’s scale, existing digital infrastructure, and access to data, this recommendation is operationally feasible and aligns with broader digital transformation trends within the life sciences sector.</w:t>
      </w:r>
    </w:p>
    <w:p w14:paraId="3944ACC4" w14:textId="77777777" w:rsidR="00150705" w:rsidRDefault="00150705" w:rsidP="00150705">
      <w:pPr>
        <w:spacing w:line="360" w:lineRule="auto"/>
      </w:pPr>
    </w:p>
    <w:p w14:paraId="1AA4A29D" w14:textId="392C4BE5" w:rsidR="00150705" w:rsidRDefault="00150705" w:rsidP="00150705">
      <w:pPr>
        <w:pStyle w:val="Heading2"/>
      </w:pPr>
      <w:bookmarkStart w:id="17" w:name="_Toc218363110"/>
      <w:r>
        <w:t>4.3 Improve Cross</w:t>
      </w:r>
      <w:r w:rsidR="00B327A7">
        <w:t xml:space="preserve"> </w:t>
      </w:r>
      <w:r>
        <w:t>Functional Integration to Increase Marketing Agility</w:t>
      </w:r>
      <w:bookmarkEnd w:id="17"/>
    </w:p>
    <w:p w14:paraId="38FF187C" w14:textId="7EEDAC57" w:rsidR="00150705" w:rsidRDefault="00150705" w:rsidP="00150705">
      <w:pPr>
        <w:spacing w:line="360" w:lineRule="auto"/>
      </w:pPr>
      <w:r>
        <w:rPr>
          <w:rFonts w:ascii="Times New Roman" w:hAnsi="Times New Roman"/>
          <w:sz w:val="24"/>
        </w:rPr>
        <w:t>The conclusions highlighted that organisational complexity and cross</w:t>
      </w:r>
      <w:r w:rsidR="00B327A7">
        <w:rPr>
          <w:rFonts w:ascii="Times New Roman" w:hAnsi="Times New Roman"/>
          <w:sz w:val="24"/>
        </w:rPr>
        <w:t xml:space="preserve"> </w:t>
      </w:r>
      <w:r>
        <w:rPr>
          <w:rFonts w:ascii="Times New Roman" w:hAnsi="Times New Roman"/>
          <w:sz w:val="24"/>
        </w:rPr>
        <w:t>functional dependencies reduce marketing agility. While collaboration between marketing, medical affairs, regulatory, and sales teams is essential for compliance, excessive governance layers can slow decision</w:t>
      </w:r>
      <w:r w:rsidR="00B327A7">
        <w:rPr>
          <w:rFonts w:ascii="Times New Roman" w:hAnsi="Times New Roman"/>
          <w:sz w:val="24"/>
        </w:rPr>
        <w:t xml:space="preserve"> </w:t>
      </w:r>
      <w:r>
        <w:rPr>
          <w:rFonts w:ascii="Times New Roman" w:hAnsi="Times New Roman"/>
          <w:sz w:val="24"/>
        </w:rPr>
        <w:t>making and reduce responsiveness to market changes (Deloitte, 2021).</w:t>
      </w:r>
    </w:p>
    <w:p w14:paraId="2D5B1069" w14:textId="01DA6FC7" w:rsidR="00150705" w:rsidRDefault="00150705" w:rsidP="00150705">
      <w:pPr>
        <w:spacing w:line="360" w:lineRule="auto"/>
      </w:pPr>
      <w:r>
        <w:rPr>
          <w:rFonts w:ascii="Times New Roman" w:hAnsi="Times New Roman"/>
          <w:sz w:val="24"/>
        </w:rPr>
        <w:t>It is recommended that AstraZeneca streamlines internal marketing processes by clarifying decision</w:t>
      </w:r>
      <w:r w:rsidR="00B327A7">
        <w:rPr>
          <w:rFonts w:ascii="Times New Roman" w:hAnsi="Times New Roman"/>
          <w:sz w:val="24"/>
        </w:rPr>
        <w:t xml:space="preserve"> </w:t>
      </w:r>
      <w:r>
        <w:rPr>
          <w:rFonts w:ascii="Times New Roman" w:hAnsi="Times New Roman"/>
          <w:sz w:val="24"/>
        </w:rPr>
        <w:t>making authority, improving cross</w:t>
      </w:r>
      <w:r w:rsidR="00B327A7">
        <w:rPr>
          <w:rFonts w:ascii="Times New Roman" w:hAnsi="Times New Roman"/>
          <w:sz w:val="24"/>
        </w:rPr>
        <w:t xml:space="preserve"> </w:t>
      </w:r>
      <w:r>
        <w:rPr>
          <w:rFonts w:ascii="Times New Roman" w:hAnsi="Times New Roman"/>
          <w:sz w:val="24"/>
        </w:rPr>
        <w:t>functional communication, and adopting more agile project management approaches. Agile marketing structures have been shown to improve responsiveness, innovation, and efficiency in complex, regulated environments (Chaffey and Ellis</w:t>
      </w:r>
      <w:r w:rsidR="00B327A7">
        <w:rPr>
          <w:rFonts w:ascii="Times New Roman" w:hAnsi="Times New Roman"/>
          <w:sz w:val="24"/>
        </w:rPr>
        <w:t xml:space="preserve"> </w:t>
      </w:r>
      <w:r>
        <w:rPr>
          <w:rFonts w:ascii="Times New Roman" w:hAnsi="Times New Roman"/>
          <w:sz w:val="24"/>
        </w:rPr>
        <w:t>Chadwick, 2019).</w:t>
      </w:r>
    </w:p>
    <w:p w14:paraId="19914AF0" w14:textId="77777777" w:rsidR="00150705" w:rsidRDefault="00150705" w:rsidP="00150705">
      <w:pPr>
        <w:spacing w:line="360" w:lineRule="auto"/>
      </w:pPr>
      <w:r>
        <w:rPr>
          <w:rFonts w:ascii="Times New Roman" w:hAnsi="Times New Roman"/>
          <w:sz w:val="24"/>
        </w:rPr>
        <w:lastRenderedPageBreak/>
        <w:t>This recommendation is realistic as it focuses on process optimisation rather than major organisational restructuring, allowing AstraZeneca to enhance agility without compromising regulatory compliance.</w:t>
      </w:r>
    </w:p>
    <w:p w14:paraId="75F494E7" w14:textId="77777777" w:rsidR="00150705" w:rsidRDefault="00150705" w:rsidP="00150705">
      <w:pPr>
        <w:spacing w:line="360" w:lineRule="auto"/>
      </w:pPr>
    </w:p>
    <w:p w14:paraId="43015934" w14:textId="545014E8" w:rsidR="00150705" w:rsidRDefault="00150705" w:rsidP="00150705">
      <w:pPr>
        <w:pStyle w:val="Heading2"/>
      </w:pPr>
      <w:bookmarkStart w:id="18" w:name="_Toc218363111"/>
      <w:r>
        <w:t>4.4 Broaden Marketing Performance Measurement Beyond Short</w:t>
      </w:r>
      <w:r w:rsidR="00B327A7">
        <w:t xml:space="preserve"> </w:t>
      </w:r>
      <w:r>
        <w:t>Term Metrics</w:t>
      </w:r>
      <w:bookmarkEnd w:id="18"/>
    </w:p>
    <w:p w14:paraId="25C80053" w14:textId="233CF299" w:rsidR="00150705" w:rsidRDefault="00150705" w:rsidP="00150705">
      <w:pPr>
        <w:spacing w:line="360" w:lineRule="auto"/>
      </w:pPr>
      <w:r>
        <w:rPr>
          <w:rFonts w:ascii="Times New Roman" w:hAnsi="Times New Roman"/>
          <w:sz w:val="24"/>
        </w:rPr>
        <w:t>The evaluation found that AstraZeneca’s marketing performance measurement systems are heavily focused on short</w:t>
      </w:r>
      <w:r w:rsidR="00B327A7">
        <w:rPr>
          <w:rFonts w:ascii="Times New Roman" w:hAnsi="Times New Roman"/>
          <w:sz w:val="24"/>
        </w:rPr>
        <w:t xml:space="preserve"> </w:t>
      </w:r>
      <w:r>
        <w:rPr>
          <w:rFonts w:ascii="Times New Roman" w:hAnsi="Times New Roman"/>
          <w:sz w:val="24"/>
        </w:rPr>
        <w:t>term commercial indicators such as sales performance and engagement metrics. While these measures are important, they provide limited insight into long</w:t>
      </w:r>
      <w:r w:rsidR="00B327A7">
        <w:rPr>
          <w:rFonts w:ascii="Times New Roman" w:hAnsi="Times New Roman"/>
          <w:sz w:val="24"/>
        </w:rPr>
        <w:t xml:space="preserve"> </w:t>
      </w:r>
      <w:r>
        <w:rPr>
          <w:rFonts w:ascii="Times New Roman" w:hAnsi="Times New Roman"/>
          <w:sz w:val="24"/>
        </w:rPr>
        <w:t>term relationship building, trust, and patient outcomes, which are increasingly critical in pharmaceutical marketing (Porter, 2010).</w:t>
      </w:r>
    </w:p>
    <w:p w14:paraId="04C1413B" w14:textId="53E31BED" w:rsidR="00150705" w:rsidRDefault="00150705" w:rsidP="00150705">
      <w:pPr>
        <w:spacing w:line="360" w:lineRule="auto"/>
      </w:pPr>
      <w:r>
        <w:rPr>
          <w:rFonts w:ascii="Times New Roman" w:hAnsi="Times New Roman"/>
          <w:sz w:val="24"/>
        </w:rPr>
        <w:t>AstraZeneca should therefore adopt a more balanced measurement framework that incorporates long</w:t>
      </w:r>
      <w:r w:rsidR="00B327A7">
        <w:rPr>
          <w:rFonts w:ascii="Times New Roman" w:hAnsi="Times New Roman"/>
          <w:sz w:val="24"/>
        </w:rPr>
        <w:t xml:space="preserve"> </w:t>
      </w:r>
      <w:r>
        <w:rPr>
          <w:rFonts w:ascii="Times New Roman" w:hAnsi="Times New Roman"/>
          <w:sz w:val="24"/>
        </w:rPr>
        <w:t>term indicators such as brand equity, stakeholder trust, patient satisfaction, and societal impact. Academic and industry research suggests that organisations which measure long</w:t>
      </w:r>
      <w:r w:rsidR="00B327A7">
        <w:rPr>
          <w:rFonts w:ascii="Times New Roman" w:hAnsi="Times New Roman"/>
          <w:sz w:val="24"/>
        </w:rPr>
        <w:t xml:space="preserve"> </w:t>
      </w:r>
      <w:r>
        <w:rPr>
          <w:rFonts w:ascii="Times New Roman" w:hAnsi="Times New Roman"/>
          <w:sz w:val="24"/>
        </w:rPr>
        <w:t>term value creation are better positioned to sustain competitive advantage in healthcare markets (Kotler et al., 2022; PwC, 2021).</w:t>
      </w:r>
    </w:p>
    <w:p w14:paraId="04F01615" w14:textId="77777777" w:rsidR="00150705" w:rsidRDefault="00150705" w:rsidP="00150705">
      <w:pPr>
        <w:spacing w:line="360" w:lineRule="auto"/>
      </w:pPr>
      <w:r>
        <w:rPr>
          <w:rFonts w:ascii="Times New Roman" w:hAnsi="Times New Roman"/>
          <w:sz w:val="24"/>
        </w:rPr>
        <w:t>This recommendation is feasible, as AstraZeneca already collects extensive stakeholder and performance data. The primary requirement is a strategic shift in how marketing success is evaluated rather than significant additional investment.</w:t>
      </w:r>
    </w:p>
    <w:p w14:paraId="098BC619" w14:textId="77777777" w:rsidR="00150705" w:rsidRDefault="00150705" w:rsidP="00150705">
      <w:pPr>
        <w:pStyle w:val="Heading2"/>
      </w:pPr>
    </w:p>
    <w:p w14:paraId="523B75D6" w14:textId="77777777" w:rsidR="00150705" w:rsidRPr="00066EE2" w:rsidRDefault="00150705" w:rsidP="00150705">
      <w:pPr>
        <w:pStyle w:val="Heading2"/>
      </w:pPr>
      <w:bookmarkStart w:id="19" w:name="_Toc218363112"/>
      <w:r w:rsidRPr="00066EE2">
        <w:t>4.5 Integrate Sustainability and Corporate Purpose More Prominently into Marketing Communications</w:t>
      </w:r>
      <w:bookmarkEnd w:id="19"/>
    </w:p>
    <w:p w14:paraId="4E247AE4" w14:textId="77777777" w:rsidR="00150705" w:rsidRDefault="00150705" w:rsidP="00150705">
      <w:pPr>
        <w:spacing w:line="360" w:lineRule="auto"/>
      </w:pPr>
      <w:r>
        <w:rPr>
          <w:rFonts w:ascii="Times New Roman" w:hAnsi="Times New Roman"/>
          <w:sz w:val="24"/>
        </w:rPr>
        <w:t>Finally, the analysis demonstrated that while AstraZeneca has strong sustainability and corporate responsibility commitments, these are not yet fully integrated into its marketing strategy. Stakeholders increasingly expect pharmaceutical companies to demonstrate social and environmental responsibility alongside commercial success (OECD, 2020).</w:t>
      </w:r>
    </w:p>
    <w:p w14:paraId="688B6919" w14:textId="583434D2" w:rsidR="00150705" w:rsidRDefault="00150705" w:rsidP="00150705">
      <w:pPr>
        <w:spacing w:line="360" w:lineRule="auto"/>
      </w:pPr>
      <w:r>
        <w:rPr>
          <w:rFonts w:ascii="Times New Roman" w:hAnsi="Times New Roman"/>
          <w:sz w:val="24"/>
        </w:rPr>
        <w:lastRenderedPageBreak/>
        <w:t>It is therefore recommended that AstraZeneca more explicitly embeds sustainability and corporate purpose into its marketing communications by linking scientific innovation to broader societal outcomes, such as improved access to medicines and reduced environmental impact. Research indicates that purpose</w:t>
      </w:r>
      <w:r w:rsidR="00B327A7">
        <w:rPr>
          <w:rFonts w:ascii="Times New Roman" w:hAnsi="Times New Roman"/>
          <w:sz w:val="24"/>
        </w:rPr>
        <w:t xml:space="preserve"> </w:t>
      </w:r>
      <w:r>
        <w:rPr>
          <w:rFonts w:ascii="Times New Roman" w:hAnsi="Times New Roman"/>
          <w:sz w:val="24"/>
        </w:rPr>
        <w:t>driven branding enhances trust, reputation, and stakeholder loyalty, particularly in highly scrutinised industries such as pharmaceuticals (Kotler et al., 2022).</w:t>
      </w:r>
    </w:p>
    <w:p w14:paraId="474BCFFB" w14:textId="77777777" w:rsidR="00150705" w:rsidRDefault="00150705" w:rsidP="00150705">
      <w:pPr>
        <w:spacing w:line="360" w:lineRule="auto"/>
      </w:pPr>
      <w:r>
        <w:rPr>
          <w:rFonts w:ascii="Times New Roman" w:hAnsi="Times New Roman"/>
          <w:sz w:val="24"/>
        </w:rPr>
        <w:t>This recommendation is highly achievable, as AstraZeneca already has established sustainability initiatives. The key development lies in more effectively communicating these efforts through existing marketing channels.</w:t>
      </w:r>
    </w:p>
    <w:p w14:paraId="4276993D" w14:textId="77777777" w:rsidR="00150705" w:rsidRDefault="00150705" w:rsidP="00150705">
      <w:pPr>
        <w:spacing w:line="360" w:lineRule="auto"/>
      </w:pPr>
    </w:p>
    <w:p w14:paraId="5AE196D2" w14:textId="77777777" w:rsidR="00150705" w:rsidRDefault="00150705" w:rsidP="00150705">
      <w:pPr>
        <w:spacing w:line="360" w:lineRule="auto"/>
      </w:pPr>
    </w:p>
    <w:p w14:paraId="1B63D214" w14:textId="77777777" w:rsidR="00150705" w:rsidRDefault="00150705" w:rsidP="00150705">
      <w:r>
        <w:br w:type="page"/>
      </w:r>
    </w:p>
    <w:p w14:paraId="5F7F104C" w14:textId="77777777" w:rsidR="00150705" w:rsidRPr="00B63D07" w:rsidRDefault="00150705" w:rsidP="00150705">
      <w:pPr>
        <w:pStyle w:val="Heading1"/>
      </w:pPr>
      <w:bookmarkStart w:id="20" w:name="_Toc218363113"/>
      <w:r w:rsidRPr="00B63D07">
        <w:lastRenderedPageBreak/>
        <w:t>5. References</w:t>
      </w:r>
      <w:bookmarkEnd w:id="20"/>
    </w:p>
    <w:p w14:paraId="28A114F1" w14:textId="029C138E" w:rsidR="00150705" w:rsidRDefault="00150705" w:rsidP="00150705">
      <w:pPr>
        <w:spacing w:line="360" w:lineRule="auto"/>
      </w:pPr>
      <w:r>
        <w:rPr>
          <w:rFonts w:ascii="Times New Roman" w:hAnsi="Times New Roman"/>
          <w:sz w:val="24"/>
        </w:rPr>
        <w:t>AstraZeneca (2022) Ambition Zero Carbon Strategy. Cambridge: AstraZeneca. Available at: https://www.astrazeneca.com/sustainability/environment.html (</w:t>
      </w:r>
      <w:r w:rsidR="00953119">
        <w:rPr>
          <w:rFonts w:ascii="Times New Roman" w:hAnsi="Times New Roman"/>
          <w:sz w:val="24"/>
        </w:rPr>
        <w:t>Accessed: 25 December</w:t>
      </w:r>
      <w:r>
        <w:rPr>
          <w:rFonts w:ascii="Times New Roman" w:hAnsi="Times New Roman"/>
          <w:sz w:val="24"/>
        </w:rPr>
        <w:t>2026).</w:t>
      </w:r>
    </w:p>
    <w:p w14:paraId="46AD3984" w14:textId="0918AF90" w:rsidR="00150705" w:rsidRDefault="00150705" w:rsidP="00150705">
      <w:pPr>
        <w:spacing w:line="360" w:lineRule="auto"/>
      </w:pPr>
      <w:r>
        <w:rPr>
          <w:rFonts w:ascii="Times New Roman" w:hAnsi="Times New Roman"/>
          <w:sz w:val="24"/>
        </w:rPr>
        <w:t>AstraZeneca (2023a) Annual Report and Form 20</w:t>
      </w:r>
      <w:r w:rsidR="00B327A7">
        <w:rPr>
          <w:rFonts w:ascii="Times New Roman" w:hAnsi="Times New Roman"/>
          <w:sz w:val="24"/>
        </w:rPr>
        <w:t xml:space="preserve"> </w:t>
      </w:r>
      <w:r>
        <w:rPr>
          <w:rFonts w:ascii="Times New Roman" w:hAnsi="Times New Roman"/>
          <w:sz w:val="24"/>
        </w:rPr>
        <w:t>F 2023. Cambridge: AstraZeneca. Available at: https://www.astrazeneca.com/investor</w:t>
      </w:r>
      <w:r w:rsidR="00B327A7">
        <w:rPr>
          <w:rFonts w:ascii="Times New Roman" w:hAnsi="Times New Roman"/>
          <w:sz w:val="24"/>
        </w:rPr>
        <w:t xml:space="preserve"> </w:t>
      </w:r>
      <w:r>
        <w:rPr>
          <w:rFonts w:ascii="Times New Roman" w:hAnsi="Times New Roman"/>
          <w:sz w:val="24"/>
        </w:rPr>
        <w:t>relations/annual</w:t>
      </w:r>
      <w:r w:rsidR="00B327A7">
        <w:rPr>
          <w:rFonts w:ascii="Times New Roman" w:hAnsi="Times New Roman"/>
          <w:sz w:val="24"/>
        </w:rPr>
        <w:t xml:space="preserve"> </w:t>
      </w:r>
      <w:r>
        <w:rPr>
          <w:rFonts w:ascii="Times New Roman" w:hAnsi="Times New Roman"/>
          <w:sz w:val="24"/>
        </w:rPr>
        <w:t>reports.html (</w:t>
      </w:r>
      <w:r w:rsidR="00953119">
        <w:rPr>
          <w:rFonts w:ascii="Times New Roman" w:hAnsi="Times New Roman"/>
          <w:sz w:val="24"/>
        </w:rPr>
        <w:t>Accessed: 1 January</w:t>
      </w:r>
      <w:r>
        <w:rPr>
          <w:rFonts w:ascii="Times New Roman" w:hAnsi="Times New Roman"/>
          <w:sz w:val="24"/>
        </w:rPr>
        <w:t>2026).</w:t>
      </w:r>
    </w:p>
    <w:p w14:paraId="7E84603B" w14:textId="7B10D0D0" w:rsidR="00150705" w:rsidRDefault="00150705" w:rsidP="00150705">
      <w:pPr>
        <w:spacing w:line="360" w:lineRule="auto"/>
      </w:pPr>
      <w:r>
        <w:rPr>
          <w:rFonts w:ascii="Times New Roman" w:hAnsi="Times New Roman"/>
          <w:sz w:val="24"/>
        </w:rPr>
        <w:t>AstraZeneca (2023b) Research and development overview. Cambridge: AstraZeneca. Available at: https://www.astrazeneca.com/our</w:t>
      </w:r>
      <w:r w:rsidR="00B327A7">
        <w:rPr>
          <w:rFonts w:ascii="Times New Roman" w:hAnsi="Times New Roman"/>
          <w:sz w:val="24"/>
        </w:rPr>
        <w:t xml:space="preserve"> </w:t>
      </w:r>
      <w:r>
        <w:rPr>
          <w:rFonts w:ascii="Times New Roman" w:hAnsi="Times New Roman"/>
          <w:sz w:val="24"/>
        </w:rPr>
        <w:t>science.html (</w:t>
      </w:r>
      <w:r w:rsidR="00953119">
        <w:rPr>
          <w:rFonts w:ascii="Times New Roman" w:hAnsi="Times New Roman"/>
          <w:sz w:val="24"/>
        </w:rPr>
        <w:t>Accessed: 1 January</w:t>
      </w:r>
      <w:r>
        <w:rPr>
          <w:rFonts w:ascii="Times New Roman" w:hAnsi="Times New Roman"/>
          <w:sz w:val="24"/>
        </w:rPr>
        <w:t>2026).</w:t>
      </w:r>
    </w:p>
    <w:p w14:paraId="376CAB20" w14:textId="3389628F" w:rsidR="00150705" w:rsidRDefault="00150705" w:rsidP="00150705">
      <w:pPr>
        <w:spacing w:line="360" w:lineRule="auto"/>
      </w:pPr>
      <w:r>
        <w:rPr>
          <w:rFonts w:ascii="Times New Roman" w:hAnsi="Times New Roman"/>
          <w:sz w:val="24"/>
        </w:rPr>
        <w:t>BBC News (2021) ‘Covid: Why some countries suspended AstraZeneca vaccine’, BBC News, 15 March. Available at: https://www.bbc.com/news/world</w:t>
      </w:r>
      <w:r w:rsidR="00B327A7">
        <w:rPr>
          <w:rFonts w:ascii="Times New Roman" w:hAnsi="Times New Roman"/>
          <w:sz w:val="24"/>
        </w:rPr>
        <w:t xml:space="preserve"> </w:t>
      </w:r>
      <w:r>
        <w:rPr>
          <w:rFonts w:ascii="Times New Roman" w:hAnsi="Times New Roman"/>
          <w:sz w:val="24"/>
        </w:rPr>
        <w:t>europe</w:t>
      </w:r>
      <w:r w:rsidR="00B327A7">
        <w:rPr>
          <w:rFonts w:ascii="Times New Roman" w:hAnsi="Times New Roman"/>
          <w:sz w:val="24"/>
        </w:rPr>
        <w:t xml:space="preserve"> </w:t>
      </w:r>
      <w:r>
        <w:rPr>
          <w:rFonts w:ascii="Times New Roman" w:hAnsi="Times New Roman"/>
          <w:sz w:val="24"/>
        </w:rPr>
        <w:t>56405565 (</w:t>
      </w:r>
      <w:r w:rsidR="00953119">
        <w:rPr>
          <w:rFonts w:ascii="Times New Roman" w:hAnsi="Times New Roman"/>
          <w:sz w:val="24"/>
        </w:rPr>
        <w:t>Accessed: 25 December</w:t>
      </w:r>
      <w:r w:rsidR="00B327A7">
        <w:rPr>
          <w:rFonts w:ascii="Times New Roman" w:hAnsi="Times New Roman"/>
          <w:sz w:val="24"/>
        </w:rPr>
        <w:t xml:space="preserve"> </w:t>
      </w:r>
      <w:r>
        <w:rPr>
          <w:rFonts w:ascii="Times New Roman" w:hAnsi="Times New Roman"/>
          <w:sz w:val="24"/>
        </w:rPr>
        <w:t>2026).</w:t>
      </w:r>
    </w:p>
    <w:p w14:paraId="5EEDAF7C" w14:textId="3909C5F6" w:rsidR="00150705" w:rsidRDefault="00150705" w:rsidP="00150705">
      <w:pPr>
        <w:spacing w:line="360" w:lineRule="auto"/>
      </w:pPr>
      <w:r>
        <w:rPr>
          <w:rFonts w:ascii="Times New Roman" w:hAnsi="Times New Roman"/>
          <w:sz w:val="24"/>
        </w:rPr>
        <w:t>Chaffey, D. and Ellis</w:t>
      </w:r>
      <w:r w:rsidR="00B327A7">
        <w:rPr>
          <w:rFonts w:ascii="Times New Roman" w:hAnsi="Times New Roman"/>
          <w:sz w:val="24"/>
        </w:rPr>
        <w:t xml:space="preserve"> </w:t>
      </w:r>
      <w:r>
        <w:rPr>
          <w:rFonts w:ascii="Times New Roman" w:hAnsi="Times New Roman"/>
          <w:sz w:val="24"/>
        </w:rPr>
        <w:t>Chadwick, F. (2019) Digital marketing. 7th edn. Harlow: Pearson Education.</w:t>
      </w:r>
    </w:p>
    <w:p w14:paraId="5F71FF1D" w14:textId="3896C996" w:rsidR="00150705" w:rsidRDefault="00150705" w:rsidP="00150705">
      <w:pPr>
        <w:spacing w:line="360" w:lineRule="auto"/>
      </w:pPr>
      <w:r>
        <w:rPr>
          <w:rFonts w:ascii="Times New Roman" w:hAnsi="Times New Roman"/>
          <w:sz w:val="24"/>
        </w:rPr>
        <w:t>Deloitte (2021) Global life sciences outlook 2021. London: Deloitte. Available at: https://www.deloitte.com/global/en/industries/life</w:t>
      </w:r>
      <w:r w:rsidR="00B327A7">
        <w:rPr>
          <w:rFonts w:ascii="Times New Roman" w:hAnsi="Times New Roman"/>
          <w:sz w:val="24"/>
        </w:rPr>
        <w:t xml:space="preserve"> </w:t>
      </w:r>
      <w:r>
        <w:rPr>
          <w:rFonts w:ascii="Times New Roman" w:hAnsi="Times New Roman"/>
          <w:sz w:val="24"/>
        </w:rPr>
        <w:t>sciences</w:t>
      </w:r>
      <w:r w:rsidR="00B327A7">
        <w:rPr>
          <w:rFonts w:ascii="Times New Roman" w:hAnsi="Times New Roman"/>
          <w:sz w:val="24"/>
        </w:rPr>
        <w:t xml:space="preserve"> </w:t>
      </w:r>
      <w:r>
        <w:rPr>
          <w:rFonts w:ascii="Times New Roman" w:hAnsi="Times New Roman"/>
          <w:sz w:val="24"/>
        </w:rPr>
        <w:t>health</w:t>
      </w:r>
      <w:r w:rsidR="00B327A7">
        <w:rPr>
          <w:rFonts w:ascii="Times New Roman" w:hAnsi="Times New Roman"/>
          <w:sz w:val="24"/>
        </w:rPr>
        <w:t xml:space="preserve"> </w:t>
      </w:r>
      <w:r>
        <w:rPr>
          <w:rFonts w:ascii="Times New Roman" w:hAnsi="Times New Roman"/>
          <w:sz w:val="24"/>
        </w:rPr>
        <w:t>care/analysis/global</w:t>
      </w:r>
      <w:r w:rsidR="00B327A7">
        <w:rPr>
          <w:rFonts w:ascii="Times New Roman" w:hAnsi="Times New Roman"/>
          <w:sz w:val="24"/>
        </w:rPr>
        <w:t xml:space="preserve"> </w:t>
      </w:r>
      <w:r>
        <w:rPr>
          <w:rFonts w:ascii="Times New Roman" w:hAnsi="Times New Roman"/>
          <w:sz w:val="24"/>
        </w:rPr>
        <w:t>life</w:t>
      </w:r>
      <w:r w:rsidR="00B327A7">
        <w:rPr>
          <w:rFonts w:ascii="Times New Roman" w:hAnsi="Times New Roman"/>
          <w:sz w:val="24"/>
        </w:rPr>
        <w:t xml:space="preserve"> </w:t>
      </w:r>
      <w:r>
        <w:rPr>
          <w:rFonts w:ascii="Times New Roman" w:hAnsi="Times New Roman"/>
          <w:sz w:val="24"/>
        </w:rPr>
        <w:t>sciences</w:t>
      </w:r>
      <w:r w:rsidR="00B327A7">
        <w:rPr>
          <w:rFonts w:ascii="Times New Roman" w:hAnsi="Times New Roman"/>
          <w:sz w:val="24"/>
        </w:rPr>
        <w:t xml:space="preserve"> </w:t>
      </w:r>
      <w:r>
        <w:rPr>
          <w:rFonts w:ascii="Times New Roman" w:hAnsi="Times New Roman"/>
          <w:sz w:val="24"/>
        </w:rPr>
        <w:t>outlook.html (</w:t>
      </w:r>
      <w:r w:rsidR="00953119">
        <w:rPr>
          <w:rFonts w:ascii="Times New Roman" w:hAnsi="Times New Roman"/>
          <w:sz w:val="24"/>
        </w:rPr>
        <w:t>Accessed: 25 December</w:t>
      </w:r>
      <w:r w:rsidR="00B327A7">
        <w:rPr>
          <w:rFonts w:ascii="Times New Roman" w:hAnsi="Times New Roman"/>
          <w:sz w:val="24"/>
        </w:rPr>
        <w:t xml:space="preserve"> </w:t>
      </w:r>
      <w:r>
        <w:rPr>
          <w:rFonts w:ascii="Times New Roman" w:hAnsi="Times New Roman"/>
          <w:sz w:val="24"/>
        </w:rPr>
        <w:t>2026).</w:t>
      </w:r>
    </w:p>
    <w:p w14:paraId="3354D7EC" w14:textId="5C6B5EDB" w:rsidR="00150705" w:rsidRDefault="00150705" w:rsidP="00150705">
      <w:pPr>
        <w:spacing w:line="360" w:lineRule="auto"/>
      </w:pPr>
      <w:r>
        <w:rPr>
          <w:rFonts w:ascii="Times New Roman" w:hAnsi="Times New Roman"/>
          <w:sz w:val="24"/>
        </w:rPr>
        <w:t>European Medicines Agency (EMA) (2023) Medicines regulation and promotion in the European Union. Amsterdam: EMA. Available at: https://www.ema.europa.eu/en/human</w:t>
      </w:r>
      <w:r w:rsidR="00B327A7">
        <w:rPr>
          <w:rFonts w:ascii="Times New Roman" w:hAnsi="Times New Roman"/>
          <w:sz w:val="24"/>
        </w:rPr>
        <w:t xml:space="preserve"> </w:t>
      </w:r>
      <w:r>
        <w:rPr>
          <w:rFonts w:ascii="Times New Roman" w:hAnsi="Times New Roman"/>
          <w:sz w:val="24"/>
        </w:rPr>
        <w:t>regulatory/overview/medicines</w:t>
      </w:r>
      <w:r w:rsidR="00B327A7">
        <w:rPr>
          <w:rFonts w:ascii="Times New Roman" w:hAnsi="Times New Roman"/>
          <w:sz w:val="24"/>
        </w:rPr>
        <w:t xml:space="preserve"> </w:t>
      </w:r>
      <w:r>
        <w:rPr>
          <w:rFonts w:ascii="Times New Roman" w:hAnsi="Times New Roman"/>
          <w:sz w:val="24"/>
        </w:rPr>
        <w:t>regulation (Accessed: 2 January 2026).</w:t>
      </w:r>
    </w:p>
    <w:p w14:paraId="58EC5126" w14:textId="6A24403B" w:rsidR="00150705" w:rsidRDefault="00150705" w:rsidP="00150705">
      <w:pPr>
        <w:spacing w:line="360" w:lineRule="auto"/>
      </w:pPr>
      <w:r>
        <w:rPr>
          <w:rFonts w:ascii="Times New Roman" w:hAnsi="Times New Roman"/>
          <w:sz w:val="24"/>
        </w:rPr>
        <w:t>Food and Drug Administration (FDA) (2023) Prescription drug advertising. Silver Spring, MD: FDA. Available at: https://www.fda.gov/drugs/prescription</w:t>
      </w:r>
      <w:r w:rsidR="00B327A7">
        <w:rPr>
          <w:rFonts w:ascii="Times New Roman" w:hAnsi="Times New Roman"/>
          <w:sz w:val="24"/>
        </w:rPr>
        <w:t xml:space="preserve"> </w:t>
      </w:r>
      <w:r>
        <w:rPr>
          <w:rFonts w:ascii="Times New Roman" w:hAnsi="Times New Roman"/>
          <w:sz w:val="24"/>
        </w:rPr>
        <w:t>drug</w:t>
      </w:r>
      <w:r w:rsidR="00B327A7">
        <w:rPr>
          <w:rFonts w:ascii="Times New Roman" w:hAnsi="Times New Roman"/>
          <w:sz w:val="24"/>
        </w:rPr>
        <w:t xml:space="preserve"> </w:t>
      </w:r>
      <w:r>
        <w:rPr>
          <w:rFonts w:ascii="Times New Roman" w:hAnsi="Times New Roman"/>
          <w:sz w:val="24"/>
        </w:rPr>
        <w:t>advertising (Accessed: 2 January 2026).</w:t>
      </w:r>
    </w:p>
    <w:p w14:paraId="7CF20587" w14:textId="77777777" w:rsidR="00150705" w:rsidRDefault="00150705" w:rsidP="00150705">
      <w:pPr>
        <w:spacing w:line="360" w:lineRule="auto"/>
      </w:pPr>
      <w:r>
        <w:rPr>
          <w:rFonts w:ascii="Times New Roman" w:hAnsi="Times New Roman"/>
          <w:sz w:val="24"/>
        </w:rPr>
        <w:t>Kotler, P., Keller, K.L., Ang, S.H., Tan, C.T. and Leong, S.M. (2022) Marketing management. 16th edn. Harlow: Pearson Education.</w:t>
      </w:r>
    </w:p>
    <w:p w14:paraId="6BCB0D5E" w14:textId="3D072D66" w:rsidR="00150705" w:rsidRDefault="00150705" w:rsidP="00150705">
      <w:pPr>
        <w:spacing w:line="360" w:lineRule="auto"/>
      </w:pPr>
      <w:r>
        <w:rPr>
          <w:rFonts w:ascii="Times New Roman" w:hAnsi="Times New Roman"/>
          <w:sz w:val="24"/>
        </w:rPr>
        <w:t>McKinsey &amp; Company (2022) The next wave of pharma commercial excellence. Available at: https://www.mckinsey.com/industries/life</w:t>
      </w:r>
      <w:r w:rsidR="00B327A7">
        <w:rPr>
          <w:rFonts w:ascii="Times New Roman" w:hAnsi="Times New Roman"/>
          <w:sz w:val="24"/>
        </w:rPr>
        <w:t xml:space="preserve"> </w:t>
      </w:r>
      <w:r>
        <w:rPr>
          <w:rFonts w:ascii="Times New Roman" w:hAnsi="Times New Roman"/>
          <w:sz w:val="24"/>
        </w:rPr>
        <w:t>sciences/our</w:t>
      </w:r>
      <w:r w:rsidR="00B327A7">
        <w:rPr>
          <w:rFonts w:ascii="Times New Roman" w:hAnsi="Times New Roman"/>
          <w:sz w:val="24"/>
        </w:rPr>
        <w:t xml:space="preserve"> </w:t>
      </w:r>
      <w:r>
        <w:rPr>
          <w:rFonts w:ascii="Times New Roman" w:hAnsi="Times New Roman"/>
          <w:sz w:val="24"/>
        </w:rPr>
        <w:t>insights (</w:t>
      </w:r>
      <w:r w:rsidR="00953119">
        <w:rPr>
          <w:rFonts w:ascii="Times New Roman" w:hAnsi="Times New Roman"/>
          <w:sz w:val="24"/>
        </w:rPr>
        <w:t>Accessed: 25 December</w:t>
      </w:r>
      <w:r>
        <w:rPr>
          <w:rFonts w:ascii="Times New Roman" w:hAnsi="Times New Roman"/>
          <w:sz w:val="24"/>
        </w:rPr>
        <w:t>2026).</w:t>
      </w:r>
    </w:p>
    <w:p w14:paraId="67CCBC9E" w14:textId="0BC05DD5" w:rsidR="00150705" w:rsidRDefault="00150705" w:rsidP="00150705">
      <w:pPr>
        <w:spacing w:line="360" w:lineRule="auto"/>
      </w:pPr>
      <w:r>
        <w:rPr>
          <w:rFonts w:ascii="Times New Roman" w:hAnsi="Times New Roman"/>
          <w:sz w:val="24"/>
        </w:rPr>
        <w:lastRenderedPageBreak/>
        <w:t>National Nurses United (2016) Big pharma: Research and development vs marketing. Available at: https://www.nationalnursesunited.org/sites/default/files/nnu/files/pdf/Big</w:t>
      </w:r>
      <w:r w:rsidR="00B327A7">
        <w:rPr>
          <w:rFonts w:ascii="Times New Roman" w:hAnsi="Times New Roman"/>
          <w:sz w:val="24"/>
        </w:rPr>
        <w:t xml:space="preserve"> </w:t>
      </w:r>
      <w:r>
        <w:rPr>
          <w:rFonts w:ascii="Times New Roman" w:hAnsi="Times New Roman"/>
          <w:sz w:val="24"/>
        </w:rPr>
        <w:t>Pharma</w:t>
      </w:r>
      <w:r w:rsidR="00B327A7">
        <w:rPr>
          <w:rFonts w:ascii="Times New Roman" w:hAnsi="Times New Roman"/>
          <w:sz w:val="24"/>
        </w:rPr>
        <w:t xml:space="preserve"> </w:t>
      </w:r>
      <w:r>
        <w:rPr>
          <w:rFonts w:ascii="Times New Roman" w:hAnsi="Times New Roman"/>
          <w:sz w:val="24"/>
        </w:rPr>
        <w:t>R&amp;D</w:t>
      </w:r>
      <w:r w:rsidR="00B327A7">
        <w:rPr>
          <w:rFonts w:ascii="Times New Roman" w:hAnsi="Times New Roman"/>
          <w:sz w:val="24"/>
        </w:rPr>
        <w:t xml:space="preserve"> </w:t>
      </w:r>
      <w:r>
        <w:rPr>
          <w:rFonts w:ascii="Times New Roman" w:hAnsi="Times New Roman"/>
          <w:sz w:val="24"/>
        </w:rPr>
        <w:t>Marketing</w:t>
      </w:r>
      <w:r w:rsidR="00B327A7">
        <w:rPr>
          <w:rFonts w:ascii="Times New Roman" w:hAnsi="Times New Roman"/>
          <w:sz w:val="24"/>
        </w:rPr>
        <w:t xml:space="preserve"> </w:t>
      </w:r>
      <w:r>
        <w:rPr>
          <w:rFonts w:ascii="Times New Roman" w:hAnsi="Times New Roman"/>
          <w:sz w:val="24"/>
        </w:rPr>
        <w:t>0816.pdf (</w:t>
      </w:r>
      <w:r w:rsidR="00953119">
        <w:rPr>
          <w:rFonts w:ascii="Times New Roman" w:hAnsi="Times New Roman"/>
          <w:sz w:val="24"/>
        </w:rPr>
        <w:t>Accessed: 28 December</w:t>
      </w:r>
      <w:r w:rsidR="00B327A7">
        <w:rPr>
          <w:rFonts w:ascii="Times New Roman" w:hAnsi="Times New Roman"/>
          <w:sz w:val="24"/>
        </w:rPr>
        <w:t xml:space="preserve"> </w:t>
      </w:r>
      <w:r>
        <w:rPr>
          <w:rFonts w:ascii="Times New Roman" w:hAnsi="Times New Roman"/>
          <w:sz w:val="24"/>
        </w:rPr>
        <w:t>2026).</w:t>
      </w:r>
    </w:p>
    <w:p w14:paraId="346CE1C6" w14:textId="6DDC5BCA" w:rsidR="00150705" w:rsidRDefault="00150705" w:rsidP="00150705">
      <w:pPr>
        <w:spacing w:line="360" w:lineRule="auto"/>
      </w:pPr>
      <w:r>
        <w:rPr>
          <w:rFonts w:ascii="Times New Roman" w:hAnsi="Times New Roman"/>
          <w:sz w:val="24"/>
        </w:rPr>
        <w:t>OECD (2020) Health at a glance 2020. Paris: OECD Publishing. Available at: https://www.oecd.org/health/health</w:t>
      </w:r>
      <w:r w:rsidR="00B327A7">
        <w:rPr>
          <w:rFonts w:ascii="Times New Roman" w:hAnsi="Times New Roman"/>
          <w:sz w:val="24"/>
        </w:rPr>
        <w:t xml:space="preserve"> </w:t>
      </w:r>
      <w:r>
        <w:rPr>
          <w:rFonts w:ascii="Times New Roman" w:hAnsi="Times New Roman"/>
          <w:sz w:val="24"/>
        </w:rPr>
        <w:t>at</w:t>
      </w:r>
      <w:r w:rsidR="00B327A7">
        <w:rPr>
          <w:rFonts w:ascii="Times New Roman" w:hAnsi="Times New Roman"/>
          <w:sz w:val="24"/>
        </w:rPr>
        <w:t xml:space="preserve"> </w:t>
      </w:r>
      <w:r>
        <w:rPr>
          <w:rFonts w:ascii="Times New Roman" w:hAnsi="Times New Roman"/>
          <w:sz w:val="24"/>
        </w:rPr>
        <w:t>a</w:t>
      </w:r>
      <w:r w:rsidR="00B327A7">
        <w:rPr>
          <w:rFonts w:ascii="Times New Roman" w:hAnsi="Times New Roman"/>
          <w:sz w:val="24"/>
        </w:rPr>
        <w:t xml:space="preserve"> </w:t>
      </w:r>
      <w:r>
        <w:rPr>
          <w:rFonts w:ascii="Times New Roman" w:hAnsi="Times New Roman"/>
          <w:sz w:val="24"/>
        </w:rPr>
        <w:t>glance/ (</w:t>
      </w:r>
      <w:r w:rsidR="00953119">
        <w:rPr>
          <w:rFonts w:ascii="Times New Roman" w:hAnsi="Times New Roman"/>
          <w:sz w:val="24"/>
        </w:rPr>
        <w:t>Accessed: 28 December</w:t>
      </w:r>
      <w:r w:rsidR="00B327A7">
        <w:rPr>
          <w:rFonts w:ascii="Times New Roman" w:hAnsi="Times New Roman"/>
          <w:sz w:val="24"/>
        </w:rPr>
        <w:t xml:space="preserve"> </w:t>
      </w:r>
      <w:r>
        <w:rPr>
          <w:rFonts w:ascii="Times New Roman" w:hAnsi="Times New Roman"/>
          <w:sz w:val="24"/>
        </w:rPr>
        <w:t>2026).</w:t>
      </w:r>
    </w:p>
    <w:p w14:paraId="501E43BE" w14:textId="39BA430D" w:rsidR="00150705" w:rsidRDefault="00150705" w:rsidP="00150705">
      <w:pPr>
        <w:spacing w:line="360" w:lineRule="auto"/>
      </w:pPr>
      <w:r>
        <w:rPr>
          <w:rFonts w:ascii="Times New Roman" w:hAnsi="Times New Roman"/>
          <w:sz w:val="24"/>
        </w:rPr>
        <w:t>OECD (2021) Enhancing public trust in COVID</w:t>
      </w:r>
      <w:r w:rsidR="00B327A7">
        <w:rPr>
          <w:rFonts w:ascii="Times New Roman" w:hAnsi="Times New Roman"/>
          <w:sz w:val="24"/>
        </w:rPr>
        <w:t xml:space="preserve"> </w:t>
      </w:r>
      <w:r>
        <w:rPr>
          <w:rFonts w:ascii="Times New Roman" w:hAnsi="Times New Roman"/>
          <w:sz w:val="24"/>
        </w:rPr>
        <w:t>19 vaccination: The role of governments. Paris: OECD Publishing. Available at: https://www.oecd.org/coronavirus/policy</w:t>
      </w:r>
      <w:r w:rsidR="00B327A7">
        <w:rPr>
          <w:rFonts w:ascii="Times New Roman" w:hAnsi="Times New Roman"/>
          <w:sz w:val="24"/>
        </w:rPr>
        <w:t xml:space="preserve"> </w:t>
      </w:r>
      <w:r>
        <w:rPr>
          <w:rFonts w:ascii="Times New Roman" w:hAnsi="Times New Roman"/>
          <w:sz w:val="24"/>
        </w:rPr>
        <w:t>responses/enhancing</w:t>
      </w:r>
      <w:r w:rsidR="00B327A7">
        <w:rPr>
          <w:rFonts w:ascii="Times New Roman" w:hAnsi="Times New Roman"/>
          <w:sz w:val="24"/>
        </w:rPr>
        <w:t xml:space="preserve"> </w:t>
      </w:r>
      <w:r>
        <w:rPr>
          <w:rFonts w:ascii="Times New Roman" w:hAnsi="Times New Roman"/>
          <w:sz w:val="24"/>
        </w:rPr>
        <w:t>public</w:t>
      </w:r>
      <w:r w:rsidR="00B327A7">
        <w:rPr>
          <w:rFonts w:ascii="Times New Roman" w:hAnsi="Times New Roman"/>
          <w:sz w:val="24"/>
        </w:rPr>
        <w:t xml:space="preserve"> </w:t>
      </w:r>
      <w:r>
        <w:rPr>
          <w:rFonts w:ascii="Times New Roman" w:hAnsi="Times New Roman"/>
          <w:sz w:val="24"/>
        </w:rPr>
        <w:t>trust</w:t>
      </w:r>
      <w:r w:rsidR="00B327A7">
        <w:rPr>
          <w:rFonts w:ascii="Times New Roman" w:hAnsi="Times New Roman"/>
          <w:sz w:val="24"/>
        </w:rPr>
        <w:t xml:space="preserve"> </w:t>
      </w:r>
      <w:r>
        <w:rPr>
          <w:rFonts w:ascii="Times New Roman" w:hAnsi="Times New Roman"/>
          <w:sz w:val="24"/>
        </w:rPr>
        <w:t>in</w:t>
      </w:r>
      <w:r w:rsidR="00B327A7">
        <w:rPr>
          <w:rFonts w:ascii="Times New Roman" w:hAnsi="Times New Roman"/>
          <w:sz w:val="24"/>
        </w:rPr>
        <w:t xml:space="preserve"> </w:t>
      </w:r>
      <w:r>
        <w:rPr>
          <w:rFonts w:ascii="Times New Roman" w:hAnsi="Times New Roman"/>
          <w:sz w:val="24"/>
        </w:rPr>
        <w:t>covid</w:t>
      </w:r>
      <w:r w:rsidR="00B327A7">
        <w:rPr>
          <w:rFonts w:ascii="Times New Roman" w:hAnsi="Times New Roman"/>
          <w:sz w:val="24"/>
        </w:rPr>
        <w:t xml:space="preserve"> </w:t>
      </w:r>
      <w:r>
        <w:rPr>
          <w:rFonts w:ascii="Times New Roman" w:hAnsi="Times New Roman"/>
          <w:sz w:val="24"/>
        </w:rPr>
        <w:t>19</w:t>
      </w:r>
      <w:r w:rsidR="00B327A7">
        <w:rPr>
          <w:rFonts w:ascii="Times New Roman" w:hAnsi="Times New Roman"/>
          <w:sz w:val="24"/>
        </w:rPr>
        <w:t xml:space="preserve"> </w:t>
      </w:r>
      <w:r>
        <w:rPr>
          <w:rFonts w:ascii="Times New Roman" w:hAnsi="Times New Roman"/>
          <w:sz w:val="24"/>
        </w:rPr>
        <w:t>vaccination</w:t>
      </w:r>
      <w:r w:rsidR="00B327A7">
        <w:rPr>
          <w:rFonts w:ascii="Times New Roman" w:hAnsi="Times New Roman"/>
          <w:sz w:val="24"/>
        </w:rPr>
        <w:t xml:space="preserve"> </w:t>
      </w:r>
      <w:r>
        <w:rPr>
          <w:rFonts w:ascii="Times New Roman" w:hAnsi="Times New Roman"/>
          <w:sz w:val="24"/>
        </w:rPr>
        <w:t>the</w:t>
      </w:r>
      <w:r w:rsidR="00B327A7">
        <w:rPr>
          <w:rFonts w:ascii="Times New Roman" w:hAnsi="Times New Roman"/>
          <w:sz w:val="24"/>
        </w:rPr>
        <w:t xml:space="preserve"> </w:t>
      </w:r>
      <w:r>
        <w:rPr>
          <w:rFonts w:ascii="Times New Roman" w:hAnsi="Times New Roman"/>
          <w:sz w:val="24"/>
        </w:rPr>
        <w:t>role</w:t>
      </w:r>
      <w:r w:rsidR="00B327A7">
        <w:rPr>
          <w:rFonts w:ascii="Times New Roman" w:hAnsi="Times New Roman"/>
          <w:sz w:val="24"/>
        </w:rPr>
        <w:t xml:space="preserve"> </w:t>
      </w:r>
      <w:r>
        <w:rPr>
          <w:rFonts w:ascii="Times New Roman" w:hAnsi="Times New Roman"/>
          <w:sz w:val="24"/>
        </w:rPr>
        <w:t>of</w:t>
      </w:r>
      <w:r w:rsidR="00B327A7">
        <w:rPr>
          <w:rFonts w:ascii="Times New Roman" w:hAnsi="Times New Roman"/>
          <w:sz w:val="24"/>
        </w:rPr>
        <w:t xml:space="preserve"> </w:t>
      </w:r>
      <w:r>
        <w:rPr>
          <w:rFonts w:ascii="Times New Roman" w:hAnsi="Times New Roman"/>
          <w:sz w:val="24"/>
        </w:rPr>
        <w:t>governments</w:t>
      </w:r>
      <w:r w:rsidR="00B327A7">
        <w:rPr>
          <w:rFonts w:ascii="Times New Roman" w:hAnsi="Times New Roman"/>
          <w:sz w:val="24"/>
        </w:rPr>
        <w:t xml:space="preserve"> </w:t>
      </w:r>
      <w:r>
        <w:rPr>
          <w:rFonts w:ascii="Times New Roman" w:hAnsi="Times New Roman"/>
          <w:sz w:val="24"/>
        </w:rPr>
        <w:t>eae0ec5a/ (</w:t>
      </w:r>
      <w:r w:rsidR="00953119">
        <w:rPr>
          <w:rFonts w:ascii="Times New Roman" w:hAnsi="Times New Roman"/>
          <w:sz w:val="24"/>
        </w:rPr>
        <w:t>Accessed: 1 January</w:t>
      </w:r>
      <w:r w:rsidR="00B327A7">
        <w:rPr>
          <w:rFonts w:ascii="Times New Roman" w:hAnsi="Times New Roman"/>
          <w:sz w:val="24"/>
        </w:rPr>
        <w:t xml:space="preserve"> </w:t>
      </w:r>
      <w:r>
        <w:rPr>
          <w:rFonts w:ascii="Times New Roman" w:hAnsi="Times New Roman"/>
          <w:sz w:val="24"/>
        </w:rPr>
        <w:t>2026).</w:t>
      </w:r>
    </w:p>
    <w:p w14:paraId="3419AF8F" w14:textId="39AB2E80" w:rsidR="00150705" w:rsidRDefault="00150705" w:rsidP="00150705">
      <w:pPr>
        <w:spacing w:line="360" w:lineRule="auto"/>
      </w:pPr>
      <w:r>
        <w:rPr>
          <w:rFonts w:ascii="Times New Roman" w:hAnsi="Times New Roman"/>
          <w:sz w:val="24"/>
        </w:rPr>
        <w:t>Park, A. (2025) ‘AstraZeneca unfolds first DTC TV ad for breast cancer med Truqap’, Fierce Pharma, 30 April. Available at: https://www.fiercepharma.com/marketing/astrazeneca</w:t>
      </w:r>
      <w:r w:rsidR="00B327A7">
        <w:rPr>
          <w:rFonts w:ascii="Times New Roman" w:hAnsi="Times New Roman"/>
          <w:sz w:val="24"/>
        </w:rPr>
        <w:t xml:space="preserve"> </w:t>
      </w:r>
      <w:r>
        <w:rPr>
          <w:rFonts w:ascii="Times New Roman" w:hAnsi="Times New Roman"/>
          <w:sz w:val="24"/>
        </w:rPr>
        <w:t>unfolds</w:t>
      </w:r>
      <w:r w:rsidR="00B327A7">
        <w:rPr>
          <w:rFonts w:ascii="Times New Roman" w:hAnsi="Times New Roman"/>
          <w:sz w:val="24"/>
        </w:rPr>
        <w:t xml:space="preserve"> </w:t>
      </w:r>
      <w:r>
        <w:rPr>
          <w:rFonts w:ascii="Times New Roman" w:hAnsi="Times New Roman"/>
          <w:sz w:val="24"/>
        </w:rPr>
        <w:t>first</w:t>
      </w:r>
      <w:r w:rsidR="00B327A7">
        <w:rPr>
          <w:rFonts w:ascii="Times New Roman" w:hAnsi="Times New Roman"/>
          <w:sz w:val="24"/>
        </w:rPr>
        <w:t xml:space="preserve"> </w:t>
      </w:r>
      <w:r>
        <w:rPr>
          <w:rFonts w:ascii="Times New Roman" w:hAnsi="Times New Roman"/>
          <w:sz w:val="24"/>
        </w:rPr>
        <w:t>dtc</w:t>
      </w:r>
      <w:r w:rsidR="00B327A7">
        <w:rPr>
          <w:rFonts w:ascii="Times New Roman" w:hAnsi="Times New Roman"/>
          <w:sz w:val="24"/>
        </w:rPr>
        <w:t xml:space="preserve"> </w:t>
      </w:r>
      <w:r>
        <w:rPr>
          <w:rFonts w:ascii="Times New Roman" w:hAnsi="Times New Roman"/>
          <w:sz w:val="24"/>
        </w:rPr>
        <w:t>tv</w:t>
      </w:r>
      <w:r w:rsidR="00B327A7">
        <w:rPr>
          <w:rFonts w:ascii="Times New Roman" w:hAnsi="Times New Roman"/>
          <w:sz w:val="24"/>
        </w:rPr>
        <w:t xml:space="preserve"> </w:t>
      </w:r>
      <w:r>
        <w:rPr>
          <w:rFonts w:ascii="Times New Roman" w:hAnsi="Times New Roman"/>
          <w:sz w:val="24"/>
        </w:rPr>
        <w:t>ad</w:t>
      </w:r>
      <w:r w:rsidR="00B327A7">
        <w:rPr>
          <w:rFonts w:ascii="Times New Roman" w:hAnsi="Times New Roman"/>
          <w:sz w:val="24"/>
        </w:rPr>
        <w:t xml:space="preserve"> </w:t>
      </w:r>
      <w:r>
        <w:rPr>
          <w:rFonts w:ascii="Times New Roman" w:hAnsi="Times New Roman"/>
          <w:sz w:val="24"/>
        </w:rPr>
        <w:t>breast</w:t>
      </w:r>
      <w:r w:rsidR="00B327A7">
        <w:rPr>
          <w:rFonts w:ascii="Times New Roman" w:hAnsi="Times New Roman"/>
          <w:sz w:val="24"/>
        </w:rPr>
        <w:t xml:space="preserve"> </w:t>
      </w:r>
      <w:r>
        <w:rPr>
          <w:rFonts w:ascii="Times New Roman" w:hAnsi="Times New Roman"/>
          <w:sz w:val="24"/>
        </w:rPr>
        <w:t>cancer</w:t>
      </w:r>
      <w:r w:rsidR="00B327A7">
        <w:rPr>
          <w:rFonts w:ascii="Times New Roman" w:hAnsi="Times New Roman"/>
          <w:sz w:val="24"/>
        </w:rPr>
        <w:t xml:space="preserve"> </w:t>
      </w:r>
      <w:r>
        <w:rPr>
          <w:rFonts w:ascii="Times New Roman" w:hAnsi="Times New Roman"/>
          <w:sz w:val="24"/>
        </w:rPr>
        <w:t>med</w:t>
      </w:r>
      <w:r w:rsidR="00B327A7">
        <w:rPr>
          <w:rFonts w:ascii="Times New Roman" w:hAnsi="Times New Roman"/>
          <w:sz w:val="24"/>
        </w:rPr>
        <w:t xml:space="preserve"> </w:t>
      </w:r>
      <w:r>
        <w:rPr>
          <w:rFonts w:ascii="Times New Roman" w:hAnsi="Times New Roman"/>
          <w:sz w:val="24"/>
        </w:rPr>
        <w:t>truqap (</w:t>
      </w:r>
      <w:r w:rsidR="00953119">
        <w:rPr>
          <w:rFonts w:ascii="Times New Roman" w:hAnsi="Times New Roman"/>
          <w:sz w:val="24"/>
        </w:rPr>
        <w:t>Accessed: 27 December</w:t>
      </w:r>
      <w:r w:rsidR="00B327A7">
        <w:rPr>
          <w:rFonts w:ascii="Times New Roman" w:hAnsi="Times New Roman"/>
          <w:sz w:val="24"/>
        </w:rPr>
        <w:t xml:space="preserve"> </w:t>
      </w:r>
      <w:r>
        <w:rPr>
          <w:rFonts w:ascii="Times New Roman" w:hAnsi="Times New Roman"/>
          <w:sz w:val="24"/>
        </w:rPr>
        <w:t>2026).</w:t>
      </w:r>
    </w:p>
    <w:p w14:paraId="5870CB21" w14:textId="6EC0437D" w:rsidR="00150705" w:rsidRDefault="00150705" w:rsidP="00150705">
      <w:pPr>
        <w:spacing w:line="360" w:lineRule="auto"/>
      </w:pPr>
      <w:r>
        <w:rPr>
          <w:rFonts w:ascii="Times New Roman" w:hAnsi="Times New Roman"/>
          <w:sz w:val="24"/>
        </w:rPr>
        <w:t>PM360 (2024) ‘Elite 2024 marketing team: AstraZeneca + Healix’, PM360 Online, 23 May. Available at: https://pm360online.com/elite</w:t>
      </w:r>
      <w:r w:rsidR="00B327A7">
        <w:rPr>
          <w:rFonts w:ascii="Times New Roman" w:hAnsi="Times New Roman"/>
          <w:sz w:val="24"/>
        </w:rPr>
        <w:t xml:space="preserve"> </w:t>
      </w:r>
      <w:r>
        <w:rPr>
          <w:rFonts w:ascii="Times New Roman" w:hAnsi="Times New Roman"/>
          <w:sz w:val="24"/>
        </w:rPr>
        <w:t>2024</w:t>
      </w:r>
      <w:r w:rsidR="00B327A7">
        <w:rPr>
          <w:rFonts w:ascii="Times New Roman" w:hAnsi="Times New Roman"/>
          <w:sz w:val="24"/>
        </w:rPr>
        <w:t xml:space="preserve"> </w:t>
      </w:r>
      <w:r>
        <w:rPr>
          <w:rFonts w:ascii="Times New Roman" w:hAnsi="Times New Roman"/>
          <w:sz w:val="24"/>
        </w:rPr>
        <w:t>marketing</w:t>
      </w:r>
      <w:r w:rsidR="00B327A7">
        <w:rPr>
          <w:rFonts w:ascii="Times New Roman" w:hAnsi="Times New Roman"/>
          <w:sz w:val="24"/>
        </w:rPr>
        <w:t xml:space="preserve"> </w:t>
      </w:r>
      <w:r>
        <w:rPr>
          <w:rFonts w:ascii="Times New Roman" w:hAnsi="Times New Roman"/>
          <w:sz w:val="24"/>
        </w:rPr>
        <w:t>team</w:t>
      </w:r>
      <w:r w:rsidR="00B327A7">
        <w:rPr>
          <w:rFonts w:ascii="Times New Roman" w:hAnsi="Times New Roman"/>
          <w:sz w:val="24"/>
        </w:rPr>
        <w:t xml:space="preserve"> </w:t>
      </w:r>
      <w:r>
        <w:rPr>
          <w:rFonts w:ascii="Times New Roman" w:hAnsi="Times New Roman"/>
          <w:sz w:val="24"/>
        </w:rPr>
        <w:t>astrazeneca</w:t>
      </w:r>
      <w:r w:rsidR="00B327A7">
        <w:rPr>
          <w:rFonts w:ascii="Times New Roman" w:hAnsi="Times New Roman"/>
          <w:sz w:val="24"/>
        </w:rPr>
        <w:t xml:space="preserve"> </w:t>
      </w:r>
      <w:r>
        <w:rPr>
          <w:rFonts w:ascii="Times New Roman" w:hAnsi="Times New Roman"/>
          <w:sz w:val="24"/>
        </w:rPr>
        <w:t>healix</w:t>
      </w:r>
      <w:r w:rsidR="00B327A7">
        <w:rPr>
          <w:rFonts w:ascii="Times New Roman" w:hAnsi="Times New Roman"/>
          <w:sz w:val="24"/>
        </w:rPr>
        <w:t xml:space="preserve"> </w:t>
      </w:r>
      <w:r>
        <w:rPr>
          <w:rFonts w:ascii="Times New Roman" w:hAnsi="Times New Roman"/>
          <w:sz w:val="24"/>
        </w:rPr>
        <w:t>a</w:t>
      </w:r>
      <w:r w:rsidR="00B327A7">
        <w:rPr>
          <w:rFonts w:ascii="Times New Roman" w:hAnsi="Times New Roman"/>
          <w:sz w:val="24"/>
        </w:rPr>
        <w:t xml:space="preserve"> </w:t>
      </w:r>
      <w:r>
        <w:rPr>
          <w:rFonts w:ascii="Times New Roman" w:hAnsi="Times New Roman"/>
          <w:sz w:val="24"/>
        </w:rPr>
        <w:t>division</w:t>
      </w:r>
      <w:r w:rsidR="00B327A7">
        <w:rPr>
          <w:rFonts w:ascii="Times New Roman" w:hAnsi="Times New Roman"/>
          <w:sz w:val="24"/>
        </w:rPr>
        <w:t xml:space="preserve"> </w:t>
      </w:r>
      <w:r>
        <w:rPr>
          <w:rFonts w:ascii="Times New Roman" w:hAnsi="Times New Roman"/>
          <w:sz w:val="24"/>
        </w:rPr>
        <w:t>of</w:t>
      </w:r>
      <w:r w:rsidR="00B327A7">
        <w:rPr>
          <w:rFonts w:ascii="Times New Roman" w:hAnsi="Times New Roman"/>
          <w:sz w:val="24"/>
        </w:rPr>
        <w:t xml:space="preserve"> </w:t>
      </w:r>
      <w:r>
        <w:rPr>
          <w:rFonts w:ascii="Times New Roman" w:hAnsi="Times New Roman"/>
          <w:sz w:val="24"/>
        </w:rPr>
        <w:t>initiative/ (Accessed: 2 January 2026).</w:t>
      </w:r>
    </w:p>
    <w:p w14:paraId="7A2D8415" w14:textId="1B1979BD" w:rsidR="00150705" w:rsidRDefault="00150705" w:rsidP="00150705">
      <w:pPr>
        <w:spacing w:line="360" w:lineRule="auto"/>
      </w:pPr>
      <w:r>
        <w:rPr>
          <w:rFonts w:ascii="Times New Roman" w:hAnsi="Times New Roman"/>
          <w:sz w:val="24"/>
        </w:rPr>
        <w:t>PwC (2021) Pharma 2021: From vision to decision. Available at: https://www.pwc.com/gx/en/industries/pharmaceuticals</w:t>
      </w:r>
      <w:r w:rsidR="00B327A7">
        <w:rPr>
          <w:rFonts w:ascii="Times New Roman" w:hAnsi="Times New Roman"/>
          <w:sz w:val="24"/>
        </w:rPr>
        <w:t xml:space="preserve"> </w:t>
      </w:r>
      <w:r>
        <w:rPr>
          <w:rFonts w:ascii="Times New Roman" w:hAnsi="Times New Roman"/>
          <w:sz w:val="24"/>
        </w:rPr>
        <w:t>life</w:t>
      </w:r>
      <w:r w:rsidR="00B327A7">
        <w:rPr>
          <w:rFonts w:ascii="Times New Roman" w:hAnsi="Times New Roman"/>
          <w:sz w:val="24"/>
        </w:rPr>
        <w:t xml:space="preserve"> </w:t>
      </w:r>
      <w:r>
        <w:rPr>
          <w:rFonts w:ascii="Times New Roman" w:hAnsi="Times New Roman"/>
          <w:sz w:val="24"/>
        </w:rPr>
        <w:t>sciences/pharma</w:t>
      </w:r>
      <w:r w:rsidR="00B327A7">
        <w:rPr>
          <w:rFonts w:ascii="Times New Roman" w:hAnsi="Times New Roman"/>
          <w:sz w:val="24"/>
        </w:rPr>
        <w:t xml:space="preserve"> </w:t>
      </w:r>
      <w:r>
        <w:rPr>
          <w:rFonts w:ascii="Times New Roman" w:hAnsi="Times New Roman"/>
          <w:sz w:val="24"/>
        </w:rPr>
        <w:t>2021.html (</w:t>
      </w:r>
      <w:r w:rsidR="00953119">
        <w:rPr>
          <w:rFonts w:ascii="Times New Roman" w:hAnsi="Times New Roman"/>
          <w:sz w:val="24"/>
        </w:rPr>
        <w:t>Accessed: 27 December</w:t>
      </w:r>
      <w:r>
        <w:rPr>
          <w:rFonts w:ascii="Times New Roman" w:hAnsi="Times New Roman"/>
          <w:sz w:val="24"/>
        </w:rPr>
        <w:t>2026).</w:t>
      </w:r>
    </w:p>
    <w:p w14:paraId="3F310454" w14:textId="7723CA1A" w:rsidR="00150705" w:rsidRDefault="00150705" w:rsidP="00150705">
      <w:pPr>
        <w:spacing w:line="360" w:lineRule="auto"/>
      </w:pPr>
      <w:r>
        <w:rPr>
          <w:rFonts w:ascii="Times New Roman" w:hAnsi="Times New Roman"/>
          <w:sz w:val="24"/>
        </w:rPr>
        <w:t>Statista (2023) Pharmaceutical industry – global overview. Available at: https://www.statista.com/topics/1764/pharmaceutical</w:t>
      </w:r>
      <w:r w:rsidR="00B327A7">
        <w:rPr>
          <w:rFonts w:ascii="Times New Roman" w:hAnsi="Times New Roman"/>
          <w:sz w:val="24"/>
        </w:rPr>
        <w:t xml:space="preserve"> </w:t>
      </w:r>
      <w:r>
        <w:rPr>
          <w:rFonts w:ascii="Times New Roman" w:hAnsi="Times New Roman"/>
          <w:sz w:val="24"/>
        </w:rPr>
        <w:t>industry/ (</w:t>
      </w:r>
      <w:r w:rsidR="00953119">
        <w:rPr>
          <w:rFonts w:ascii="Times New Roman" w:hAnsi="Times New Roman"/>
          <w:sz w:val="24"/>
        </w:rPr>
        <w:t>Accessed: 28 December</w:t>
      </w:r>
      <w:r w:rsidR="00B327A7">
        <w:rPr>
          <w:rFonts w:ascii="Times New Roman" w:hAnsi="Times New Roman"/>
          <w:sz w:val="24"/>
        </w:rPr>
        <w:t xml:space="preserve"> </w:t>
      </w:r>
      <w:r>
        <w:rPr>
          <w:rFonts w:ascii="Times New Roman" w:hAnsi="Times New Roman"/>
          <w:sz w:val="24"/>
        </w:rPr>
        <w:t>2026).</w:t>
      </w:r>
    </w:p>
    <w:p w14:paraId="567FD72B" w14:textId="330D2CF9" w:rsidR="00150705" w:rsidRDefault="00150705" w:rsidP="00150705">
      <w:pPr>
        <w:spacing w:line="360" w:lineRule="auto"/>
      </w:pPr>
      <w:r>
        <w:rPr>
          <w:rFonts w:ascii="Times New Roman" w:hAnsi="Times New Roman"/>
          <w:sz w:val="24"/>
        </w:rPr>
        <w:t>Twitter (2015) ‘Why healthcare companies need a social</w:t>
      </w:r>
      <w:r w:rsidR="00B327A7">
        <w:rPr>
          <w:rFonts w:ascii="Times New Roman" w:hAnsi="Times New Roman"/>
          <w:sz w:val="24"/>
        </w:rPr>
        <w:t xml:space="preserve"> </w:t>
      </w:r>
      <w:r>
        <w:rPr>
          <w:rFonts w:ascii="Times New Roman" w:hAnsi="Times New Roman"/>
          <w:sz w:val="24"/>
        </w:rPr>
        <w:t>first mindset’, Twitter Official Blog, 5 March. Available at: https://blog.x.com/en_us/a/2015/influencer</w:t>
      </w:r>
      <w:r w:rsidR="00B327A7">
        <w:rPr>
          <w:rFonts w:ascii="Times New Roman" w:hAnsi="Times New Roman"/>
          <w:sz w:val="24"/>
        </w:rPr>
        <w:t xml:space="preserve"> </w:t>
      </w:r>
      <w:r>
        <w:rPr>
          <w:rFonts w:ascii="Times New Roman" w:hAnsi="Times New Roman"/>
          <w:sz w:val="24"/>
        </w:rPr>
        <w:t>qa</w:t>
      </w:r>
      <w:r w:rsidR="00B327A7">
        <w:rPr>
          <w:rFonts w:ascii="Times New Roman" w:hAnsi="Times New Roman"/>
          <w:sz w:val="24"/>
        </w:rPr>
        <w:t xml:space="preserve"> </w:t>
      </w:r>
      <w:r>
        <w:rPr>
          <w:rFonts w:ascii="Times New Roman" w:hAnsi="Times New Roman"/>
          <w:sz w:val="24"/>
        </w:rPr>
        <w:t>astrazeneca</w:t>
      </w:r>
      <w:r w:rsidR="00B327A7">
        <w:rPr>
          <w:rFonts w:ascii="Times New Roman" w:hAnsi="Times New Roman"/>
          <w:sz w:val="24"/>
        </w:rPr>
        <w:t xml:space="preserve"> </w:t>
      </w:r>
      <w:r>
        <w:rPr>
          <w:rFonts w:ascii="Times New Roman" w:hAnsi="Times New Roman"/>
          <w:sz w:val="24"/>
        </w:rPr>
        <w:t>s</w:t>
      </w:r>
      <w:r w:rsidR="00B327A7">
        <w:rPr>
          <w:rFonts w:ascii="Times New Roman" w:hAnsi="Times New Roman"/>
          <w:sz w:val="24"/>
        </w:rPr>
        <w:t xml:space="preserve"> </w:t>
      </w:r>
      <w:r>
        <w:rPr>
          <w:rFonts w:ascii="Times New Roman" w:hAnsi="Times New Roman"/>
          <w:sz w:val="24"/>
        </w:rPr>
        <w:t>ryan</w:t>
      </w:r>
      <w:r w:rsidR="00B327A7">
        <w:rPr>
          <w:rFonts w:ascii="Times New Roman" w:hAnsi="Times New Roman"/>
          <w:sz w:val="24"/>
        </w:rPr>
        <w:t xml:space="preserve"> </w:t>
      </w:r>
      <w:r>
        <w:rPr>
          <w:rFonts w:ascii="Times New Roman" w:hAnsi="Times New Roman"/>
          <w:sz w:val="24"/>
        </w:rPr>
        <w:t>billings</w:t>
      </w:r>
      <w:r w:rsidR="00B327A7">
        <w:rPr>
          <w:rFonts w:ascii="Times New Roman" w:hAnsi="Times New Roman"/>
          <w:sz w:val="24"/>
        </w:rPr>
        <w:t xml:space="preserve"> </w:t>
      </w:r>
      <w:r>
        <w:rPr>
          <w:rFonts w:ascii="Times New Roman" w:hAnsi="Times New Roman"/>
          <w:sz w:val="24"/>
        </w:rPr>
        <w:t>on</w:t>
      </w:r>
      <w:r w:rsidR="00B327A7">
        <w:rPr>
          <w:rFonts w:ascii="Times New Roman" w:hAnsi="Times New Roman"/>
          <w:sz w:val="24"/>
        </w:rPr>
        <w:t xml:space="preserve"> </w:t>
      </w:r>
      <w:r>
        <w:rPr>
          <w:rFonts w:ascii="Times New Roman" w:hAnsi="Times New Roman"/>
          <w:sz w:val="24"/>
        </w:rPr>
        <w:t>why</w:t>
      </w:r>
      <w:r w:rsidR="00B327A7">
        <w:rPr>
          <w:rFonts w:ascii="Times New Roman" w:hAnsi="Times New Roman"/>
          <w:sz w:val="24"/>
        </w:rPr>
        <w:t xml:space="preserve"> </w:t>
      </w:r>
      <w:r>
        <w:rPr>
          <w:rFonts w:ascii="Times New Roman" w:hAnsi="Times New Roman"/>
          <w:sz w:val="24"/>
        </w:rPr>
        <w:t>healthcare</w:t>
      </w:r>
      <w:r w:rsidR="00B327A7">
        <w:rPr>
          <w:rFonts w:ascii="Times New Roman" w:hAnsi="Times New Roman"/>
          <w:sz w:val="24"/>
        </w:rPr>
        <w:t xml:space="preserve"> </w:t>
      </w:r>
      <w:r>
        <w:rPr>
          <w:rFonts w:ascii="Times New Roman" w:hAnsi="Times New Roman"/>
          <w:sz w:val="24"/>
        </w:rPr>
        <w:t>companies</w:t>
      </w:r>
      <w:r w:rsidR="00B327A7">
        <w:rPr>
          <w:rFonts w:ascii="Times New Roman" w:hAnsi="Times New Roman"/>
          <w:sz w:val="24"/>
        </w:rPr>
        <w:t xml:space="preserve"> </w:t>
      </w:r>
      <w:r>
        <w:rPr>
          <w:rFonts w:ascii="Times New Roman" w:hAnsi="Times New Roman"/>
          <w:sz w:val="24"/>
        </w:rPr>
        <w:t>need</w:t>
      </w:r>
      <w:r w:rsidR="00B327A7">
        <w:rPr>
          <w:rFonts w:ascii="Times New Roman" w:hAnsi="Times New Roman"/>
          <w:sz w:val="24"/>
        </w:rPr>
        <w:t xml:space="preserve"> </w:t>
      </w:r>
      <w:r>
        <w:rPr>
          <w:rFonts w:ascii="Times New Roman" w:hAnsi="Times New Roman"/>
          <w:sz w:val="24"/>
        </w:rPr>
        <w:t>a</w:t>
      </w:r>
      <w:r w:rsidR="00B327A7">
        <w:rPr>
          <w:rFonts w:ascii="Times New Roman" w:hAnsi="Times New Roman"/>
          <w:sz w:val="24"/>
        </w:rPr>
        <w:t xml:space="preserve"> </w:t>
      </w:r>
      <w:r>
        <w:rPr>
          <w:rFonts w:ascii="Times New Roman" w:hAnsi="Times New Roman"/>
          <w:sz w:val="24"/>
        </w:rPr>
        <w:t>social</w:t>
      </w:r>
      <w:r w:rsidR="00B327A7">
        <w:rPr>
          <w:rFonts w:ascii="Times New Roman" w:hAnsi="Times New Roman"/>
          <w:sz w:val="24"/>
        </w:rPr>
        <w:t xml:space="preserve"> </w:t>
      </w:r>
      <w:r>
        <w:rPr>
          <w:rFonts w:ascii="Times New Roman" w:hAnsi="Times New Roman"/>
          <w:sz w:val="24"/>
        </w:rPr>
        <w:t>first (</w:t>
      </w:r>
      <w:r w:rsidR="00953119">
        <w:rPr>
          <w:rFonts w:ascii="Times New Roman" w:hAnsi="Times New Roman"/>
          <w:sz w:val="24"/>
        </w:rPr>
        <w:t>Accessed: 28 December</w:t>
      </w:r>
      <w:r w:rsidR="00B327A7">
        <w:rPr>
          <w:rFonts w:ascii="Times New Roman" w:hAnsi="Times New Roman"/>
          <w:sz w:val="24"/>
        </w:rPr>
        <w:t xml:space="preserve"> </w:t>
      </w:r>
      <w:r>
        <w:rPr>
          <w:rFonts w:ascii="Times New Roman" w:hAnsi="Times New Roman"/>
          <w:sz w:val="24"/>
        </w:rPr>
        <w:t>2026).</w:t>
      </w:r>
    </w:p>
    <w:p w14:paraId="016E5F7F" w14:textId="77777777" w:rsidR="00150705" w:rsidRDefault="00150705" w:rsidP="00150705"/>
    <w:p w14:paraId="00300854" w14:textId="77777777" w:rsidR="00145D1A" w:rsidRDefault="00145D1A"/>
    <w:sectPr w:rsidR="00145D1A" w:rsidSect="00150705">
      <w:footerReference w:type="even" r:id="rI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73829" w14:textId="77777777" w:rsidR="00B54DCF" w:rsidRDefault="00B54DCF">
      <w:pPr>
        <w:spacing w:after="0" w:line="240" w:lineRule="auto"/>
      </w:pPr>
      <w:r>
        <w:separator/>
      </w:r>
    </w:p>
  </w:endnote>
  <w:endnote w:type="continuationSeparator" w:id="0">
    <w:p w14:paraId="23330B3B" w14:textId="77777777" w:rsidR="00B54DCF" w:rsidRDefault="00B54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0185963"/>
      <w:docPartObj>
        <w:docPartGallery w:val="Page Numbers (Bottom of Page)"/>
        <w:docPartUnique/>
      </w:docPartObj>
    </w:sdtPr>
    <w:sdtContent>
      <w:p w14:paraId="65EA548B" w14:textId="77777777" w:rsidR="00150705" w:rsidRDefault="00150705" w:rsidP="00AE52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9BA56DC" w14:textId="77777777" w:rsidR="00150705" w:rsidRDefault="00150705" w:rsidP="001E19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4017825"/>
      <w:docPartObj>
        <w:docPartGallery w:val="Page Numbers (Bottom of Page)"/>
        <w:docPartUnique/>
      </w:docPartObj>
    </w:sdtPr>
    <w:sdtContent>
      <w:p w14:paraId="0B71A609" w14:textId="77777777" w:rsidR="00150705" w:rsidRDefault="00150705" w:rsidP="00AE52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FB5713" w14:textId="77777777" w:rsidR="00150705" w:rsidRDefault="00150705" w:rsidP="001E19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E0F4B6" w14:textId="77777777" w:rsidR="00B54DCF" w:rsidRDefault="00B54DCF">
      <w:pPr>
        <w:spacing w:after="0" w:line="240" w:lineRule="auto"/>
      </w:pPr>
      <w:r>
        <w:separator/>
      </w:r>
    </w:p>
  </w:footnote>
  <w:footnote w:type="continuationSeparator" w:id="0">
    <w:p w14:paraId="4667B398" w14:textId="77777777" w:rsidR="00B54DCF" w:rsidRDefault="00B54D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87451"/>
    <w:multiLevelType w:val="hybridMultilevel"/>
    <w:tmpl w:val="30C69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9816AF"/>
    <w:multiLevelType w:val="hybridMultilevel"/>
    <w:tmpl w:val="EE10A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040E9F"/>
    <w:multiLevelType w:val="hybridMultilevel"/>
    <w:tmpl w:val="192E3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5515908">
    <w:abstractNumId w:val="2"/>
  </w:num>
  <w:num w:numId="2" w16cid:durableId="686903413">
    <w:abstractNumId w:val="1"/>
  </w:num>
  <w:num w:numId="3" w16cid:durableId="349835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54F"/>
    <w:rsid w:val="00045791"/>
    <w:rsid w:val="00050D49"/>
    <w:rsid w:val="00066973"/>
    <w:rsid w:val="0012654F"/>
    <w:rsid w:val="00145D1A"/>
    <w:rsid w:val="00150705"/>
    <w:rsid w:val="001B12D4"/>
    <w:rsid w:val="001E71C6"/>
    <w:rsid w:val="00391EEE"/>
    <w:rsid w:val="004E5D65"/>
    <w:rsid w:val="00505BEB"/>
    <w:rsid w:val="00615E71"/>
    <w:rsid w:val="007E7C3A"/>
    <w:rsid w:val="00953119"/>
    <w:rsid w:val="009C76F4"/>
    <w:rsid w:val="00AE475B"/>
    <w:rsid w:val="00B327A7"/>
    <w:rsid w:val="00B54DCF"/>
    <w:rsid w:val="00CC21BD"/>
    <w:rsid w:val="00F4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E65CE"/>
  <w15:chartTrackingRefBased/>
  <w15:docId w15:val="{27E84EF7-3000-9F41-AC4D-1F9209533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705"/>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1265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65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65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65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65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6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5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65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65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65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65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6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54F"/>
    <w:rPr>
      <w:rFonts w:eastAsiaTheme="majorEastAsia" w:cstheme="majorBidi"/>
      <w:color w:val="272727" w:themeColor="text1" w:themeTint="D8"/>
    </w:rPr>
  </w:style>
  <w:style w:type="paragraph" w:styleId="Title">
    <w:name w:val="Title"/>
    <w:basedOn w:val="Normal"/>
    <w:next w:val="Normal"/>
    <w:link w:val="TitleChar"/>
    <w:uiPriority w:val="10"/>
    <w:qFormat/>
    <w:rsid w:val="00126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54F"/>
    <w:pPr>
      <w:spacing w:before="160"/>
      <w:jc w:val="center"/>
    </w:pPr>
    <w:rPr>
      <w:i/>
      <w:iCs/>
      <w:color w:val="404040" w:themeColor="text1" w:themeTint="BF"/>
    </w:rPr>
  </w:style>
  <w:style w:type="character" w:customStyle="1" w:styleId="QuoteChar">
    <w:name w:val="Quote Char"/>
    <w:basedOn w:val="DefaultParagraphFont"/>
    <w:link w:val="Quote"/>
    <w:uiPriority w:val="29"/>
    <w:rsid w:val="0012654F"/>
    <w:rPr>
      <w:i/>
      <w:iCs/>
      <w:color w:val="404040" w:themeColor="text1" w:themeTint="BF"/>
    </w:rPr>
  </w:style>
  <w:style w:type="paragraph" w:styleId="ListParagraph">
    <w:name w:val="List Paragraph"/>
    <w:basedOn w:val="Normal"/>
    <w:uiPriority w:val="34"/>
    <w:qFormat/>
    <w:rsid w:val="0012654F"/>
    <w:pPr>
      <w:ind w:left="720"/>
      <w:contextualSpacing/>
    </w:pPr>
  </w:style>
  <w:style w:type="character" w:styleId="IntenseEmphasis">
    <w:name w:val="Intense Emphasis"/>
    <w:basedOn w:val="DefaultParagraphFont"/>
    <w:uiPriority w:val="21"/>
    <w:qFormat/>
    <w:rsid w:val="0012654F"/>
    <w:rPr>
      <w:i/>
      <w:iCs/>
      <w:color w:val="0F4761" w:themeColor="accent1" w:themeShade="BF"/>
    </w:rPr>
  </w:style>
  <w:style w:type="paragraph" w:styleId="IntenseQuote">
    <w:name w:val="Intense Quote"/>
    <w:basedOn w:val="Normal"/>
    <w:next w:val="Normal"/>
    <w:link w:val="IntenseQuoteChar"/>
    <w:uiPriority w:val="30"/>
    <w:qFormat/>
    <w:rsid w:val="001265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654F"/>
    <w:rPr>
      <w:i/>
      <w:iCs/>
      <w:color w:val="0F4761" w:themeColor="accent1" w:themeShade="BF"/>
    </w:rPr>
  </w:style>
  <w:style w:type="character" w:styleId="IntenseReference">
    <w:name w:val="Intense Reference"/>
    <w:basedOn w:val="DefaultParagraphFont"/>
    <w:uiPriority w:val="32"/>
    <w:qFormat/>
    <w:rsid w:val="0012654F"/>
    <w:rPr>
      <w:b/>
      <w:bCs/>
      <w:smallCaps/>
      <w:color w:val="0F4761" w:themeColor="accent1" w:themeShade="BF"/>
      <w:spacing w:val="5"/>
    </w:rPr>
  </w:style>
  <w:style w:type="paragraph" w:styleId="Footer">
    <w:name w:val="footer"/>
    <w:basedOn w:val="Normal"/>
    <w:link w:val="FooterChar"/>
    <w:uiPriority w:val="99"/>
    <w:unhideWhenUsed/>
    <w:rsid w:val="001507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705"/>
    <w:rPr>
      <w:rFonts w:eastAsiaTheme="minorEastAsia"/>
      <w:kern w:val="0"/>
      <w:sz w:val="22"/>
      <w:szCs w:val="22"/>
      <w:lang w:val="en-US"/>
      <w14:ligatures w14:val="none"/>
    </w:rPr>
  </w:style>
  <w:style w:type="paragraph" w:styleId="NoSpacing">
    <w:name w:val="No Spacing"/>
    <w:link w:val="NoSpacingChar"/>
    <w:uiPriority w:val="1"/>
    <w:qFormat/>
    <w:rsid w:val="00150705"/>
    <w:pPr>
      <w:spacing w:after="0" w:line="240" w:lineRule="auto"/>
    </w:pPr>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50705"/>
    <w:pPr>
      <w:spacing w:before="480" w:after="0"/>
      <w:outlineLvl w:val="9"/>
    </w:pPr>
    <w:rPr>
      <w:b/>
      <w:bCs/>
      <w:sz w:val="28"/>
      <w:szCs w:val="28"/>
    </w:rPr>
  </w:style>
  <w:style w:type="paragraph" w:styleId="TOC1">
    <w:name w:val="toc 1"/>
    <w:basedOn w:val="Normal"/>
    <w:next w:val="Normal"/>
    <w:autoRedefine/>
    <w:uiPriority w:val="39"/>
    <w:unhideWhenUsed/>
    <w:rsid w:val="00150705"/>
    <w:pPr>
      <w:spacing w:before="120" w:after="0"/>
    </w:pPr>
    <w:rPr>
      <w:b/>
      <w:bCs/>
      <w:i/>
      <w:iCs/>
      <w:sz w:val="24"/>
      <w:szCs w:val="24"/>
    </w:rPr>
  </w:style>
  <w:style w:type="character" w:styleId="Hyperlink">
    <w:name w:val="Hyperlink"/>
    <w:basedOn w:val="DefaultParagraphFont"/>
    <w:uiPriority w:val="99"/>
    <w:unhideWhenUsed/>
    <w:rsid w:val="00150705"/>
    <w:rPr>
      <w:color w:val="467886" w:themeColor="hyperlink"/>
      <w:u w:val="single"/>
    </w:rPr>
  </w:style>
  <w:style w:type="paragraph" w:styleId="TOC2">
    <w:name w:val="toc 2"/>
    <w:basedOn w:val="Normal"/>
    <w:next w:val="Normal"/>
    <w:autoRedefine/>
    <w:uiPriority w:val="39"/>
    <w:unhideWhenUsed/>
    <w:rsid w:val="00150705"/>
    <w:pPr>
      <w:spacing w:before="120" w:after="0"/>
      <w:ind w:left="220"/>
    </w:pPr>
    <w:rPr>
      <w:b/>
      <w:bCs/>
    </w:rPr>
  </w:style>
  <w:style w:type="character" w:customStyle="1" w:styleId="NoSpacingChar">
    <w:name w:val="No Spacing Char"/>
    <w:basedOn w:val="DefaultParagraphFont"/>
    <w:link w:val="NoSpacing"/>
    <w:uiPriority w:val="1"/>
    <w:rsid w:val="00150705"/>
    <w:rPr>
      <w:rFonts w:eastAsiaTheme="minorEastAsia"/>
      <w:kern w:val="0"/>
      <w:sz w:val="22"/>
      <w:szCs w:val="22"/>
      <w:lang w:val="en-US"/>
      <w14:ligatures w14:val="none"/>
    </w:rPr>
  </w:style>
  <w:style w:type="character" w:styleId="PageNumber">
    <w:name w:val="page number"/>
    <w:basedOn w:val="DefaultParagraphFont"/>
    <w:uiPriority w:val="99"/>
    <w:semiHidden/>
    <w:unhideWhenUsed/>
    <w:rsid w:val="00150705"/>
  </w:style>
  <w:style w:type="paragraph" w:styleId="NormalWeb">
    <w:name w:val="Normal (Web)"/>
    <w:basedOn w:val="Normal"/>
    <w:uiPriority w:val="99"/>
    <w:semiHidden/>
    <w:unhideWhenUsed/>
    <w:rsid w:val="0015070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23</Pages>
  <Words>5248</Words>
  <Characters>31281</Characters>
  <Application>Microsoft Office Word</Application>
  <DocSecurity>0</DocSecurity>
  <Lines>1360</Lines>
  <Paragraphs>401</Paragraphs>
  <ScaleCrop>false</ScaleCrop>
  <Company/>
  <LinksUpToDate>false</LinksUpToDate>
  <CharactersWithSpaces>36128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Marketing Change BMMB7026</dc:title>
  <dc:subject>Future Developments in the Field of Marketing</dc:subject>
  <dc:creator>Bartosz Malinowski (2005342)</dc:creator>
  <cp:keywords/>
  <dc:description/>
  <cp:lastModifiedBy>Bartosz Malinowski (2005342)</cp:lastModifiedBy>
  <cp:revision>10</cp:revision>
  <dcterms:created xsi:type="dcterms:W3CDTF">2026-01-01T19:03:00Z</dcterms:created>
  <dcterms:modified xsi:type="dcterms:W3CDTF">2026-01-03T20:12:00Z</dcterms:modified>
</cp:coreProperties>
</file>