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30229" w14:textId="77777777" w:rsidR="007E5A27" w:rsidRDefault="007E5A27" w:rsidP="007E5A27">
      <w:pPr>
        <w:jc w:val="center"/>
        <w:rPr>
          <w:b/>
          <w:sz w:val="40"/>
          <w:szCs w:val="40"/>
        </w:rPr>
      </w:pPr>
    </w:p>
    <w:p w14:paraId="6BF6D8A7" w14:textId="77777777" w:rsidR="007E5A27" w:rsidRDefault="007E5A27" w:rsidP="007E5A27">
      <w:pPr>
        <w:jc w:val="center"/>
        <w:rPr>
          <w:b/>
          <w:sz w:val="40"/>
          <w:szCs w:val="40"/>
        </w:rPr>
      </w:pPr>
    </w:p>
    <w:p w14:paraId="77E25EF3" w14:textId="77777777" w:rsidR="007E5A27" w:rsidRDefault="007E5A27" w:rsidP="007E5A27">
      <w:pPr>
        <w:jc w:val="center"/>
        <w:rPr>
          <w:b/>
          <w:sz w:val="40"/>
          <w:szCs w:val="40"/>
        </w:rPr>
      </w:pPr>
    </w:p>
    <w:p w14:paraId="426179DA" w14:textId="77777777" w:rsidR="007E5A27" w:rsidRDefault="007E5A27" w:rsidP="007E5A27">
      <w:pPr>
        <w:jc w:val="center"/>
        <w:rPr>
          <w:b/>
          <w:sz w:val="40"/>
          <w:szCs w:val="40"/>
        </w:rPr>
      </w:pPr>
    </w:p>
    <w:p w14:paraId="308C777D" w14:textId="77777777" w:rsidR="007E5A27" w:rsidRDefault="007E5A27" w:rsidP="007E5A27">
      <w:pPr>
        <w:jc w:val="center"/>
        <w:rPr>
          <w:b/>
          <w:sz w:val="40"/>
          <w:szCs w:val="40"/>
        </w:rPr>
      </w:pPr>
    </w:p>
    <w:p w14:paraId="17D0C157" w14:textId="77777777" w:rsidR="007E5A27" w:rsidRPr="007E5A27" w:rsidRDefault="007E5A27" w:rsidP="007E5A27">
      <w:pPr>
        <w:jc w:val="center"/>
        <w:rPr>
          <w:b/>
          <w:sz w:val="40"/>
          <w:szCs w:val="40"/>
        </w:rPr>
      </w:pPr>
      <w:r w:rsidRPr="007E5A27">
        <w:rPr>
          <w:b/>
          <w:sz w:val="40"/>
          <w:szCs w:val="40"/>
        </w:rPr>
        <w:t>LCBB 4001</w:t>
      </w:r>
    </w:p>
    <w:p w14:paraId="3E95F2A8" w14:textId="77777777" w:rsidR="007E5A27" w:rsidRDefault="007E5A27" w:rsidP="007E5A27">
      <w:pPr>
        <w:jc w:val="center"/>
        <w:rPr>
          <w:b/>
          <w:sz w:val="40"/>
          <w:szCs w:val="40"/>
        </w:rPr>
      </w:pPr>
      <w:r w:rsidRPr="007E5A27">
        <w:rPr>
          <w:b/>
          <w:sz w:val="40"/>
          <w:szCs w:val="40"/>
        </w:rPr>
        <w:t>Accounting Fundamentals</w:t>
      </w:r>
    </w:p>
    <w:p w14:paraId="0460F481" w14:textId="77777777" w:rsidR="007E5A27" w:rsidRDefault="007E5A27" w:rsidP="007E5A27"/>
    <w:p w14:paraId="1690A885" w14:textId="77777777" w:rsidR="007E5A27" w:rsidRDefault="007E5A27" w:rsidP="007E5A27"/>
    <w:p w14:paraId="469DBDDF" w14:textId="77777777" w:rsidR="007E5A27" w:rsidRDefault="007E5A27" w:rsidP="007E5A27"/>
    <w:p w14:paraId="2C89FFC3" w14:textId="77777777" w:rsidR="007E5A27" w:rsidRDefault="007E5A27" w:rsidP="007E5A27"/>
    <w:p w14:paraId="452596F5" w14:textId="77777777" w:rsidR="007E5A27" w:rsidRDefault="007E5A27" w:rsidP="007E5A27"/>
    <w:p w14:paraId="4E1D1AE8" w14:textId="77777777" w:rsidR="007E5A27" w:rsidRDefault="007E5A27" w:rsidP="007E5A27"/>
    <w:p w14:paraId="4D9E1152" w14:textId="77777777" w:rsidR="007E5A27" w:rsidRDefault="007E5A27" w:rsidP="007E5A27"/>
    <w:p w14:paraId="440B44DD" w14:textId="0406038D" w:rsidR="007E5A27" w:rsidRPr="007E5A27" w:rsidRDefault="007E5A27" w:rsidP="007E5A27">
      <w:pPr>
        <w:rPr>
          <w:i/>
          <w:sz w:val="22"/>
        </w:rPr>
      </w:pPr>
      <w:r w:rsidRPr="007E5A27">
        <w:rPr>
          <w:i/>
          <w:sz w:val="22"/>
        </w:rPr>
        <w:t xml:space="preserve">Student’s </w:t>
      </w:r>
      <w:proofErr w:type="spellStart"/>
      <w:r w:rsidRPr="007E5A27">
        <w:rPr>
          <w:i/>
          <w:sz w:val="22"/>
        </w:rPr>
        <w:t>Name:</w:t>
      </w:r>
      <w:r w:rsidR="00EE549B">
        <w:rPr>
          <w:i/>
          <w:sz w:val="22"/>
        </w:rPr>
        <w:t>Sergiu</w:t>
      </w:r>
      <w:proofErr w:type="spellEnd"/>
      <w:r w:rsidR="00EE549B">
        <w:rPr>
          <w:i/>
          <w:sz w:val="22"/>
        </w:rPr>
        <w:t xml:space="preserve"> Diaconu</w:t>
      </w:r>
      <w:r w:rsidR="00EE549B">
        <w:rPr>
          <w:i/>
          <w:sz w:val="22"/>
        </w:rPr>
        <w:tab/>
      </w:r>
    </w:p>
    <w:p w14:paraId="7F5DB676" w14:textId="6E69D614" w:rsidR="007E5A27" w:rsidRPr="007E5A27" w:rsidRDefault="007E5A27" w:rsidP="007E5A27">
      <w:pPr>
        <w:rPr>
          <w:i/>
          <w:sz w:val="22"/>
        </w:rPr>
      </w:pPr>
      <w:r w:rsidRPr="007E5A27">
        <w:rPr>
          <w:i/>
          <w:sz w:val="22"/>
        </w:rPr>
        <w:t>Student’s ID:</w:t>
      </w:r>
      <w:r w:rsidR="000C5687">
        <w:rPr>
          <w:i/>
          <w:sz w:val="22"/>
        </w:rPr>
        <w:t>2126929</w:t>
      </w:r>
    </w:p>
    <w:p w14:paraId="492DC773" w14:textId="77777777" w:rsidR="007E5A27" w:rsidRDefault="007E5A27"/>
    <w:p w14:paraId="7C4966E8" w14:textId="77777777" w:rsidR="007E5A27" w:rsidRDefault="007E5A27" w:rsidP="00A5416A">
      <w:pPr>
        <w:pStyle w:val="Heading1"/>
        <w:sectPr w:rsidR="007E5A27">
          <w:footerReference w:type="default" r:id="rId8"/>
          <w:pgSz w:w="12240" w:h="15840"/>
          <w:pgMar w:top="1440" w:right="1440" w:bottom="1440" w:left="1440" w:header="720" w:footer="720" w:gutter="0"/>
          <w:cols w:space="720"/>
          <w:docGrid w:linePitch="360"/>
        </w:sectPr>
      </w:pPr>
    </w:p>
    <w:p w14:paraId="26FDD435" w14:textId="77777777" w:rsidR="00A5416A" w:rsidRDefault="00A5416A" w:rsidP="00A5416A">
      <w:pPr>
        <w:pStyle w:val="Heading1"/>
      </w:pPr>
      <w:bookmarkStart w:id="0" w:name="_Toc107782120"/>
      <w:r>
        <w:lastRenderedPageBreak/>
        <w:t>Introduction</w:t>
      </w:r>
      <w:bookmarkEnd w:id="0"/>
    </w:p>
    <w:p w14:paraId="72C2CDE4" w14:textId="77777777" w:rsidR="00A23412" w:rsidRDefault="00605B05" w:rsidP="00A23412">
      <w:r w:rsidRPr="00605B05">
        <w:t xml:space="preserve">Accounting is a systematic process of recording </w:t>
      </w:r>
      <w:r w:rsidR="00E937A0">
        <w:t xml:space="preserve">the </w:t>
      </w:r>
      <w:r w:rsidRPr="00605B05">
        <w:t xml:space="preserve">financial transactions of a business. </w:t>
      </w:r>
      <w:r w:rsidR="00622005">
        <w:t>Summarizing, analyzing and reporting are the steps of the systematic process</w:t>
      </w:r>
      <w:r w:rsidR="00D8474A">
        <w:t xml:space="preserve"> (</w:t>
      </w:r>
      <w:r w:rsidR="00D8474A" w:rsidRPr="0098588B">
        <w:rPr>
          <w:rFonts w:cs="Times New Roman"/>
          <w:color w:val="222222"/>
          <w:szCs w:val="24"/>
          <w:shd w:val="clear" w:color="auto" w:fill="FFFFFF"/>
        </w:rPr>
        <w:t>Weygandt</w:t>
      </w:r>
      <w:r w:rsidR="00D8474A">
        <w:rPr>
          <w:rFonts w:cs="Times New Roman"/>
          <w:color w:val="222222"/>
          <w:szCs w:val="24"/>
          <w:shd w:val="clear" w:color="auto" w:fill="FFFFFF"/>
        </w:rPr>
        <w:t xml:space="preserve"> et al, 2019)</w:t>
      </w:r>
      <w:r w:rsidR="00622005">
        <w:t>.</w:t>
      </w:r>
      <w:r w:rsidR="00A23412" w:rsidRPr="00A23412">
        <w:t xml:space="preserve"> </w:t>
      </w:r>
      <w:r w:rsidR="00A23412">
        <w:t>In this report, the application of accounting rules and regulations has been shown. In the first part, an income statement and a balance</w:t>
      </w:r>
      <w:r w:rsidR="00E937A0">
        <w:t xml:space="preserve"> </w:t>
      </w:r>
      <w:r w:rsidR="00A23412">
        <w:t xml:space="preserve">sheet have been prepared based on the given information where some accounting principles have been applied. After that, the discussions on different accounting principles have been done along with their relevance to the preparation and presentation of financial accounts. The described accounting principles are consistency principles, materiality principle, monetary unit principle and going concern principle. Almost all the listed organisations use these principles while preparing their financial statements. So, these principles cannot be ignored because of the comparison purpose. </w:t>
      </w:r>
    </w:p>
    <w:p w14:paraId="36619F76" w14:textId="77777777" w:rsidR="00A5416A" w:rsidRPr="00605B05" w:rsidRDefault="00A5416A" w:rsidP="00622005"/>
    <w:p w14:paraId="5A2F409E" w14:textId="77777777" w:rsidR="00A23412" w:rsidRDefault="00A23412" w:rsidP="00A5416A">
      <w:pPr>
        <w:pStyle w:val="Heading1"/>
        <w:sectPr w:rsidR="00A23412">
          <w:pgSz w:w="12240" w:h="15840"/>
          <w:pgMar w:top="1440" w:right="1440" w:bottom="1440" w:left="1440" w:header="720" w:footer="720" w:gutter="0"/>
          <w:cols w:space="720"/>
          <w:docGrid w:linePitch="360"/>
        </w:sectPr>
      </w:pPr>
    </w:p>
    <w:p w14:paraId="61CEC390" w14:textId="77777777" w:rsidR="00A5416A" w:rsidRDefault="00D84D80" w:rsidP="00A5416A">
      <w:pPr>
        <w:pStyle w:val="Heading1"/>
      </w:pPr>
      <w:bookmarkStart w:id="1" w:name="_Toc107782121"/>
      <w:r>
        <w:lastRenderedPageBreak/>
        <w:t>1. Preparation</w:t>
      </w:r>
      <w:r w:rsidR="00A5416A">
        <w:t xml:space="preserve"> of Financial Statements</w:t>
      </w:r>
      <w:bookmarkEnd w:id="1"/>
      <w:r w:rsidR="00A5416A">
        <w:t xml:space="preserve"> </w:t>
      </w:r>
    </w:p>
    <w:p w14:paraId="5431672B" w14:textId="77777777" w:rsidR="00A5416A" w:rsidRDefault="00A5416A" w:rsidP="00A5416A">
      <w:pPr>
        <w:pStyle w:val="Heading2"/>
      </w:pPr>
      <w:bookmarkStart w:id="2" w:name="_Toc107782122"/>
      <w:proofErr w:type="gramStart"/>
      <w:r>
        <w:t>a)Preparation</w:t>
      </w:r>
      <w:proofErr w:type="gramEnd"/>
      <w:r>
        <w:t xml:space="preserve"> of Income statement</w:t>
      </w:r>
      <w:bookmarkEnd w:id="2"/>
      <w:r>
        <w:t xml:space="preserve"> </w:t>
      </w:r>
    </w:p>
    <w:p w14:paraId="064FC021" w14:textId="77777777" w:rsidR="00A23412" w:rsidRPr="00A23412" w:rsidRDefault="00E937A0" w:rsidP="00A23412">
      <w:r>
        <w:t>An i</w:t>
      </w:r>
      <w:r w:rsidR="00A23412">
        <w:t>ncome statement is a financial statement that discloses the income and expenses of a business. It also shows whether a business is incurring los</w:t>
      </w:r>
      <w:r>
        <w:t>se</w:t>
      </w:r>
      <w:r w:rsidR="00A23412">
        <w:t xml:space="preserve">s or making </w:t>
      </w:r>
      <w:r>
        <w:t xml:space="preserve">a </w:t>
      </w:r>
      <w:r w:rsidR="00A23412">
        <w:t>profit for a given period. The financial performance of a business can be understood from the income statement</w:t>
      </w:r>
      <w:r w:rsidR="00D8474A">
        <w:t xml:space="preserve"> (</w:t>
      </w:r>
      <w:r w:rsidR="00D8474A" w:rsidRPr="0098588B">
        <w:rPr>
          <w:rFonts w:cs="Times New Roman"/>
          <w:color w:val="222222"/>
          <w:szCs w:val="24"/>
          <w:shd w:val="clear" w:color="auto" w:fill="FFFFFF"/>
        </w:rPr>
        <w:t>Zeff, 2016</w:t>
      </w:r>
      <w:r w:rsidR="00D8474A">
        <w:rPr>
          <w:rFonts w:cs="Times New Roman"/>
          <w:color w:val="222222"/>
          <w:szCs w:val="24"/>
          <w:shd w:val="clear" w:color="auto" w:fill="FFFFFF"/>
        </w:rPr>
        <w:t>)</w:t>
      </w:r>
      <w:r w:rsidR="00A23412">
        <w:t>. The income statement of Angela is shown below-</w:t>
      </w:r>
    </w:p>
    <w:p w14:paraId="3C8A6DDB" w14:textId="77777777" w:rsidR="00A5416A" w:rsidRDefault="00A5416A" w:rsidP="00A5416A">
      <w:pPr>
        <w:spacing w:after="0" w:line="240" w:lineRule="auto"/>
        <w:jc w:val="center"/>
        <w:rPr>
          <w:b/>
        </w:rPr>
      </w:pPr>
    </w:p>
    <w:p w14:paraId="25A5496B" w14:textId="77777777" w:rsidR="00943F18" w:rsidRPr="00A5416A" w:rsidRDefault="00A5416A" w:rsidP="00A5416A">
      <w:pPr>
        <w:spacing w:after="0" w:line="240" w:lineRule="auto"/>
        <w:jc w:val="center"/>
        <w:rPr>
          <w:b/>
        </w:rPr>
      </w:pPr>
      <w:r w:rsidRPr="00A5416A">
        <w:rPr>
          <w:b/>
        </w:rPr>
        <w:t>Angela</w:t>
      </w:r>
    </w:p>
    <w:p w14:paraId="50FE6610" w14:textId="77777777" w:rsidR="00A5416A" w:rsidRPr="00A5416A" w:rsidRDefault="00A5416A" w:rsidP="00A5416A">
      <w:pPr>
        <w:spacing w:after="0" w:line="240" w:lineRule="auto"/>
        <w:jc w:val="center"/>
        <w:rPr>
          <w:b/>
        </w:rPr>
      </w:pPr>
      <w:r w:rsidRPr="00A5416A">
        <w:rPr>
          <w:b/>
        </w:rPr>
        <w:t>Income Statement</w:t>
      </w:r>
    </w:p>
    <w:p w14:paraId="4A9E45A2" w14:textId="77777777" w:rsidR="00A5416A" w:rsidRPr="00A5416A" w:rsidRDefault="00A5416A" w:rsidP="00A5416A">
      <w:pPr>
        <w:spacing w:after="0" w:line="240" w:lineRule="auto"/>
        <w:jc w:val="center"/>
        <w:rPr>
          <w:b/>
        </w:rPr>
      </w:pPr>
      <w:r w:rsidRPr="00A5416A">
        <w:rPr>
          <w:b/>
        </w:rPr>
        <w:t>For the year ended 31</w:t>
      </w:r>
      <w:r w:rsidRPr="00A5416A">
        <w:rPr>
          <w:b/>
          <w:vertAlign w:val="superscript"/>
        </w:rPr>
        <w:t>st</w:t>
      </w:r>
      <w:r w:rsidRPr="00A5416A">
        <w:rPr>
          <w:b/>
        </w:rPr>
        <w:t xml:space="preserve"> December 2021</w:t>
      </w:r>
    </w:p>
    <w:tbl>
      <w:tblPr>
        <w:tblW w:w="5037" w:type="dxa"/>
        <w:jc w:val="center"/>
        <w:tblLook w:val="04A0" w:firstRow="1" w:lastRow="0" w:firstColumn="1" w:lastColumn="0" w:noHBand="0" w:noVBand="1"/>
      </w:tblPr>
      <w:tblGrid>
        <w:gridCol w:w="3117"/>
        <w:gridCol w:w="960"/>
        <w:gridCol w:w="960"/>
      </w:tblGrid>
      <w:tr w:rsidR="00A5416A" w:rsidRPr="00A5416A" w14:paraId="27F5E08F" w14:textId="77777777" w:rsidTr="00A5416A">
        <w:trPr>
          <w:trHeight w:val="300"/>
          <w:jc w:val="center"/>
        </w:trPr>
        <w:tc>
          <w:tcPr>
            <w:tcW w:w="31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E23F2E"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Particulars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69E8DB1" w14:textId="77777777" w:rsidR="00A5416A" w:rsidRPr="00A5416A" w:rsidRDefault="00A5416A" w:rsidP="00E937A0">
            <w:pPr>
              <w:spacing w:after="0" w:line="276" w:lineRule="auto"/>
              <w:rPr>
                <w:rFonts w:eastAsia="Times New Roman" w:cs="Times New Roman"/>
                <w:b/>
                <w:color w:val="000000"/>
                <w:szCs w:val="24"/>
              </w:rPr>
            </w:pPr>
            <w:r w:rsidRPr="00A5416A">
              <w:rPr>
                <w:rFonts w:eastAsia="Times New Roman" w:cs="Times New Roman"/>
                <w:b/>
                <w:color w:val="000000"/>
                <w:szCs w:val="24"/>
              </w:rPr>
              <w: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BAEB22A" w14:textId="77777777" w:rsidR="00A5416A" w:rsidRPr="00A5416A" w:rsidRDefault="00A5416A" w:rsidP="00E937A0">
            <w:pPr>
              <w:spacing w:after="0" w:line="276" w:lineRule="auto"/>
              <w:rPr>
                <w:rFonts w:eastAsia="Times New Roman" w:cs="Times New Roman"/>
                <w:b/>
                <w:color w:val="000000"/>
                <w:szCs w:val="24"/>
              </w:rPr>
            </w:pPr>
            <w:r w:rsidRPr="00A5416A">
              <w:rPr>
                <w:rFonts w:eastAsia="Times New Roman" w:cs="Times New Roman"/>
                <w:b/>
                <w:color w:val="000000"/>
                <w:szCs w:val="24"/>
              </w:rPr>
              <w:t>£</w:t>
            </w:r>
          </w:p>
        </w:tc>
      </w:tr>
      <w:tr w:rsidR="00A5416A" w:rsidRPr="00A5416A" w14:paraId="76597615"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1EB485A0"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Sales</w:t>
            </w:r>
          </w:p>
        </w:tc>
        <w:tc>
          <w:tcPr>
            <w:tcW w:w="960" w:type="dxa"/>
            <w:tcBorders>
              <w:top w:val="nil"/>
              <w:left w:val="nil"/>
              <w:bottom w:val="single" w:sz="4" w:space="0" w:color="auto"/>
              <w:right w:val="single" w:sz="4" w:space="0" w:color="auto"/>
            </w:tcBorders>
            <w:shd w:val="clear" w:color="auto" w:fill="auto"/>
            <w:noWrap/>
            <w:vAlign w:val="bottom"/>
            <w:hideMark/>
          </w:tcPr>
          <w:p w14:paraId="0E76FD08"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05D5CE56"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310423</w:t>
            </w:r>
          </w:p>
        </w:tc>
      </w:tr>
      <w:tr w:rsidR="00A5416A" w:rsidRPr="00A5416A" w14:paraId="17E3ABEF"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6113F059"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xml:space="preserve">Stock </w:t>
            </w:r>
            <w:proofErr w:type="gramStart"/>
            <w:r w:rsidRPr="00A5416A">
              <w:rPr>
                <w:rFonts w:eastAsia="Times New Roman" w:cs="Times New Roman"/>
                <w:color w:val="000000"/>
                <w:szCs w:val="24"/>
              </w:rPr>
              <w:t>at</w:t>
            </w:r>
            <w:proofErr w:type="gramEnd"/>
            <w:r w:rsidRPr="00A5416A">
              <w:rPr>
                <w:rFonts w:eastAsia="Times New Roman" w:cs="Times New Roman"/>
                <w:color w:val="000000"/>
                <w:szCs w:val="24"/>
              </w:rPr>
              <w:t xml:space="preserve"> 1 January 2021</w:t>
            </w:r>
          </w:p>
        </w:tc>
        <w:tc>
          <w:tcPr>
            <w:tcW w:w="960" w:type="dxa"/>
            <w:tcBorders>
              <w:top w:val="nil"/>
              <w:left w:val="nil"/>
              <w:bottom w:val="single" w:sz="4" w:space="0" w:color="auto"/>
              <w:right w:val="single" w:sz="4" w:space="0" w:color="auto"/>
            </w:tcBorders>
            <w:shd w:val="clear" w:color="auto" w:fill="auto"/>
            <w:noWrap/>
            <w:vAlign w:val="bottom"/>
            <w:hideMark/>
          </w:tcPr>
          <w:p w14:paraId="54F875C0"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30222</w:t>
            </w:r>
          </w:p>
        </w:tc>
        <w:tc>
          <w:tcPr>
            <w:tcW w:w="960" w:type="dxa"/>
            <w:tcBorders>
              <w:top w:val="nil"/>
              <w:left w:val="nil"/>
              <w:bottom w:val="single" w:sz="4" w:space="0" w:color="auto"/>
              <w:right w:val="single" w:sz="4" w:space="0" w:color="auto"/>
            </w:tcBorders>
            <w:shd w:val="clear" w:color="auto" w:fill="auto"/>
            <w:noWrap/>
            <w:vAlign w:val="bottom"/>
            <w:hideMark/>
          </w:tcPr>
          <w:p w14:paraId="5ACA2469"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446C5907"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1447B6DC"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Add Purchases</w:t>
            </w:r>
          </w:p>
        </w:tc>
        <w:tc>
          <w:tcPr>
            <w:tcW w:w="960" w:type="dxa"/>
            <w:tcBorders>
              <w:top w:val="nil"/>
              <w:left w:val="nil"/>
              <w:bottom w:val="single" w:sz="4" w:space="0" w:color="auto"/>
              <w:right w:val="single" w:sz="4" w:space="0" w:color="auto"/>
            </w:tcBorders>
            <w:shd w:val="clear" w:color="auto" w:fill="auto"/>
            <w:noWrap/>
            <w:vAlign w:val="bottom"/>
            <w:hideMark/>
          </w:tcPr>
          <w:p w14:paraId="1E3ED0E5"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214165</w:t>
            </w:r>
          </w:p>
        </w:tc>
        <w:tc>
          <w:tcPr>
            <w:tcW w:w="960" w:type="dxa"/>
            <w:tcBorders>
              <w:top w:val="nil"/>
              <w:left w:val="nil"/>
              <w:bottom w:val="single" w:sz="4" w:space="0" w:color="auto"/>
              <w:right w:val="single" w:sz="4" w:space="0" w:color="auto"/>
            </w:tcBorders>
            <w:shd w:val="clear" w:color="auto" w:fill="auto"/>
            <w:noWrap/>
            <w:vAlign w:val="bottom"/>
            <w:hideMark/>
          </w:tcPr>
          <w:p w14:paraId="6AE092CB"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24FCF2DB"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0BA02EF3"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xml:space="preserve">Less Stock </w:t>
            </w:r>
            <w:proofErr w:type="gramStart"/>
            <w:r w:rsidRPr="00A5416A">
              <w:rPr>
                <w:rFonts w:eastAsia="Times New Roman" w:cs="Times New Roman"/>
                <w:color w:val="000000"/>
                <w:szCs w:val="24"/>
              </w:rPr>
              <w:t>at</w:t>
            </w:r>
            <w:proofErr w:type="gramEnd"/>
            <w:r w:rsidRPr="00A5416A">
              <w:rPr>
                <w:rFonts w:eastAsia="Times New Roman" w:cs="Times New Roman"/>
                <w:color w:val="000000"/>
                <w:szCs w:val="24"/>
              </w:rPr>
              <w:t xml:space="preserve"> 31st December</w:t>
            </w:r>
          </w:p>
        </w:tc>
        <w:tc>
          <w:tcPr>
            <w:tcW w:w="960" w:type="dxa"/>
            <w:tcBorders>
              <w:top w:val="nil"/>
              <w:left w:val="nil"/>
              <w:bottom w:val="single" w:sz="4" w:space="0" w:color="auto"/>
              <w:right w:val="single" w:sz="4" w:space="0" w:color="auto"/>
            </w:tcBorders>
            <w:shd w:val="clear" w:color="auto" w:fill="auto"/>
            <w:noWrap/>
            <w:vAlign w:val="bottom"/>
            <w:hideMark/>
          </w:tcPr>
          <w:p w14:paraId="1B35C5BE"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25164</w:t>
            </w:r>
          </w:p>
        </w:tc>
        <w:tc>
          <w:tcPr>
            <w:tcW w:w="960" w:type="dxa"/>
            <w:tcBorders>
              <w:top w:val="nil"/>
              <w:left w:val="nil"/>
              <w:bottom w:val="single" w:sz="4" w:space="0" w:color="auto"/>
              <w:right w:val="single" w:sz="4" w:space="0" w:color="auto"/>
            </w:tcBorders>
            <w:shd w:val="clear" w:color="auto" w:fill="auto"/>
            <w:noWrap/>
            <w:vAlign w:val="bottom"/>
            <w:hideMark/>
          </w:tcPr>
          <w:p w14:paraId="78EFDCF7"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7DD6C99D"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16FD909B"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Costs of Goods Sold</w:t>
            </w:r>
          </w:p>
        </w:tc>
        <w:tc>
          <w:tcPr>
            <w:tcW w:w="960" w:type="dxa"/>
            <w:tcBorders>
              <w:top w:val="nil"/>
              <w:left w:val="nil"/>
              <w:bottom w:val="single" w:sz="4" w:space="0" w:color="auto"/>
              <w:right w:val="single" w:sz="4" w:space="0" w:color="auto"/>
            </w:tcBorders>
            <w:shd w:val="clear" w:color="auto" w:fill="auto"/>
            <w:noWrap/>
            <w:vAlign w:val="bottom"/>
            <w:hideMark/>
          </w:tcPr>
          <w:p w14:paraId="18A14402"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7DBAAEF4"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219223</w:t>
            </w:r>
          </w:p>
        </w:tc>
      </w:tr>
      <w:tr w:rsidR="00A5416A" w:rsidRPr="00A5416A" w14:paraId="31331796"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3401795B"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Gross Profit</w:t>
            </w:r>
          </w:p>
        </w:tc>
        <w:tc>
          <w:tcPr>
            <w:tcW w:w="960" w:type="dxa"/>
            <w:tcBorders>
              <w:top w:val="nil"/>
              <w:left w:val="nil"/>
              <w:bottom w:val="single" w:sz="4" w:space="0" w:color="auto"/>
              <w:right w:val="single" w:sz="4" w:space="0" w:color="auto"/>
            </w:tcBorders>
            <w:shd w:val="clear" w:color="auto" w:fill="auto"/>
            <w:noWrap/>
            <w:vAlign w:val="bottom"/>
            <w:hideMark/>
          </w:tcPr>
          <w:p w14:paraId="3799727F"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14CA5532" w14:textId="77777777" w:rsidR="00A5416A" w:rsidRPr="00A5416A" w:rsidRDefault="00A5416A" w:rsidP="00E937A0">
            <w:pPr>
              <w:spacing w:after="0" w:line="276" w:lineRule="auto"/>
              <w:jc w:val="right"/>
              <w:rPr>
                <w:rFonts w:eastAsia="Times New Roman" w:cs="Times New Roman"/>
                <w:b/>
                <w:bCs/>
                <w:color w:val="000000"/>
                <w:szCs w:val="24"/>
              </w:rPr>
            </w:pPr>
            <w:r w:rsidRPr="00A5416A">
              <w:rPr>
                <w:rFonts w:eastAsia="Times New Roman" w:cs="Times New Roman"/>
                <w:b/>
                <w:bCs/>
                <w:color w:val="000000"/>
                <w:szCs w:val="24"/>
              </w:rPr>
              <w:t>91200</w:t>
            </w:r>
          </w:p>
        </w:tc>
      </w:tr>
      <w:tr w:rsidR="00A5416A" w:rsidRPr="00A5416A" w14:paraId="137E08F2"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101CA6B8"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Operating Expenses</w:t>
            </w:r>
          </w:p>
        </w:tc>
        <w:tc>
          <w:tcPr>
            <w:tcW w:w="960" w:type="dxa"/>
            <w:tcBorders>
              <w:top w:val="nil"/>
              <w:left w:val="nil"/>
              <w:bottom w:val="single" w:sz="4" w:space="0" w:color="auto"/>
              <w:right w:val="single" w:sz="4" w:space="0" w:color="auto"/>
            </w:tcBorders>
            <w:shd w:val="clear" w:color="auto" w:fill="auto"/>
            <w:noWrap/>
            <w:vAlign w:val="bottom"/>
            <w:hideMark/>
          </w:tcPr>
          <w:p w14:paraId="3634906D"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19956630"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15DB1C39"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6529E6A8"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Sundry Expenses</w:t>
            </w:r>
          </w:p>
        </w:tc>
        <w:tc>
          <w:tcPr>
            <w:tcW w:w="960" w:type="dxa"/>
            <w:tcBorders>
              <w:top w:val="nil"/>
              <w:left w:val="nil"/>
              <w:bottom w:val="single" w:sz="4" w:space="0" w:color="auto"/>
              <w:right w:val="single" w:sz="4" w:space="0" w:color="auto"/>
            </w:tcBorders>
            <w:shd w:val="clear" w:color="auto" w:fill="auto"/>
            <w:noWrap/>
            <w:vAlign w:val="bottom"/>
            <w:hideMark/>
          </w:tcPr>
          <w:p w14:paraId="1382A475"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15EBE5C9"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2250</w:t>
            </w:r>
          </w:p>
        </w:tc>
      </w:tr>
      <w:tr w:rsidR="00A5416A" w:rsidRPr="00A5416A" w14:paraId="393FE24D"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11D68622"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Depreciation Expenses</w:t>
            </w:r>
          </w:p>
        </w:tc>
        <w:tc>
          <w:tcPr>
            <w:tcW w:w="960" w:type="dxa"/>
            <w:tcBorders>
              <w:top w:val="nil"/>
              <w:left w:val="nil"/>
              <w:bottom w:val="single" w:sz="4" w:space="0" w:color="auto"/>
              <w:right w:val="single" w:sz="4" w:space="0" w:color="auto"/>
            </w:tcBorders>
            <w:shd w:val="clear" w:color="auto" w:fill="auto"/>
            <w:noWrap/>
            <w:vAlign w:val="bottom"/>
            <w:hideMark/>
          </w:tcPr>
          <w:p w14:paraId="6DE48E81"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743BE7FE"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08305786"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62D97485"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Delivery Van</w:t>
            </w:r>
          </w:p>
        </w:tc>
        <w:tc>
          <w:tcPr>
            <w:tcW w:w="960" w:type="dxa"/>
            <w:tcBorders>
              <w:top w:val="nil"/>
              <w:left w:val="nil"/>
              <w:bottom w:val="single" w:sz="4" w:space="0" w:color="auto"/>
              <w:right w:val="single" w:sz="4" w:space="0" w:color="auto"/>
            </w:tcBorders>
            <w:shd w:val="clear" w:color="auto" w:fill="auto"/>
            <w:noWrap/>
            <w:vAlign w:val="bottom"/>
            <w:hideMark/>
          </w:tcPr>
          <w:p w14:paraId="4B57F645"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6918</w:t>
            </w:r>
          </w:p>
        </w:tc>
        <w:tc>
          <w:tcPr>
            <w:tcW w:w="960" w:type="dxa"/>
            <w:tcBorders>
              <w:top w:val="nil"/>
              <w:left w:val="nil"/>
              <w:bottom w:val="single" w:sz="4" w:space="0" w:color="auto"/>
              <w:right w:val="single" w:sz="4" w:space="0" w:color="auto"/>
            </w:tcBorders>
            <w:shd w:val="clear" w:color="auto" w:fill="auto"/>
            <w:noWrap/>
            <w:vAlign w:val="bottom"/>
            <w:hideMark/>
          </w:tcPr>
          <w:p w14:paraId="088F9ABF"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7002ED00"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419A63C1"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Shop Fittings</w:t>
            </w:r>
          </w:p>
        </w:tc>
        <w:tc>
          <w:tcPr>
            <w:tcW w:w="960" w:type="dxa"/>
            <w:tcBorders>
              <w:top w:val="nil"/>
              <w:left w:val="nil"/>
              <w:bottom w:val="single" w:sz="4" w:space="0" w:color="auto"/>
              <w:right w:val="single" w:sz="4" w:space="0" w:color="auto"/>
            </w:tcBorders>
            <w:shd w:val="clear" w:color="auto" w:fill="auto"/>
            <w:noWrap/>
            <w:vAlign w:val="bottom"/>
            <w:hideMark/>
          </w:tcPr>
          <w:p w14:paraId="5AF1C62B"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1220</w:t>
            </w:r>
          </w:p>
        </w:tc>
        <w:tc>
          <w:tcPr>
            <w:tcW w:w="960" w:type="dxa"/>
            <w:tcBorders>
              <w:top w:val="nil"/>
              <w:left w:val="nil"/>
              <w:bottom w:val="single" w:sz="4" w:space="0" w:color="auto"/>
              <w:right w:val="single" w:sz="4" w:space="0" w:color="auto"/>
            </w:tcBorders>
            <w:shd w:val="clear" w:color="auto" w:fill="auto"/>
            <w:noWrap/>
            <w:vAlign w:val="bottom"/>
            <w:hideMark/>
          </w:tcPr>
          <w:p w14:paraId="084C3E69"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8138</w:t>
            </w:r>
          </w:p>
        </w:tc>
      </w:tr>
      <w:tr w:rsidR="00A5416A" w:rsidRPr="00A5416A" w14:paraId="22F778F7"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3B4B154F"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Rental and Insurance Cost</w:t>
            </w:r>
          </w:p>
        </w:tc>
        <w:tc>
          <w:tcPr>
            <w:tcW w:w="960" w:type="dxa"/>
            <w:tcBorders>
              <w:top w:val="nil"/>
              <w:left w:val="nil"/>
              <w:bottom w:val="single" w:sz="4" w:space="0" w:color="auto"/>
              <w:right w:val="single" w:sz="4" w:space="0" w:color="auto"/>
            </w:tcBorders>
            <w:shd w:val="clear" w:color="auto" w:fill="auto"/>
            <w:noWrap/>
            <w:vAlign w:val="bottom"/>
            <w:hideMark/>
          </w:tcPr>
          <w:p w14:paraId="4A7D385D"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40E81842"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19200</w:t>
            </w:r>
          </w:p>
        </w:tc>
      </w:tr>
      <w:tr w:rsidR="00A5416A" w:rsidRPr="00A5416A" w14:paraId="0DC5EAD4"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0AE85F2B"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Bad debt expense</w:t>
            </w:r>
          </w:p>
        </w:tc>
        <w:tc>
          <w:tcPr>
            <w:tcW w:w="960" w:type="dxa"/>
            <w:tcBorders>
              <w:top w:val="nil"/>
              <w:left w:val="nil"/>
              <w:bottom w:val="single" w:sz="4" w:space="0" w:color="auto"/>
              <w:right w:val="single" w:sz="4" w:space="0" w:color="auto"/>
            </w:tcBorders>
            <w:shd w:val="clear" w:color="auto" w:fill="auto"/>
            <w:noWrap/>
            <w:vAlign w:val="bottom"/>
            <w:hideMark/>
          </w:tcPr>
          <w:p w14:paraId="0F97BA62"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4AD5F933"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980</w:t>
            </w:r>
          </w:p>
        </w:tc>
      </w:tr>
      <w:tr w:rsidR="00A5416A" w:rsidRPr="00A5416A" w14:paraId="7AFDC83E"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7CCE7D8F"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Administration expenses</w:t>
            </w:r>
          </w:p>
        </w:tc>
        <w:tc>
          <w:tcPr>
            <w:tcW w:w="960" w:type="dxa"/>
            <w:tcBorders>
              <w:top w:val="nil"/>
              <w:left w:val="nil"/>
              <w:bottom w:val="single" w:sz="4" w:space="0" w:color="auto"/>
              <w:right w:val="single" w:sz="4" w:space="0" w:color="auto"/>
            </w:tcBorders>
            <w:shd w:val="clear" w:color="auto" w:fill="auto"/>
            <w:noWrap/>
            <w:vAlign w:val="bottom"/>
            <w:hideMark/>
          </w:tcPr>
          <w:p w14:paraId="18B3E025"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47AAB565"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2772</w:t>
            </w:r>
          </w:p>
        </w:tc>
      </w:tr>
      <w:tr w:rsidR="00A5416A" w:rsidRPr="00A5416A" w14:paraId="77DF5A41"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74F7E995"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Salaries and Wages</w:t>
            </w:r>
          </w:p>
        </w:tc>
        <w:tc>
          <w:tcPr>
            <w:tcW w:w="960" w:type="dxa"/>
            <w:tcBorders>
              <w:top w:val="nil"/>
              <w:left w:val="nil"/>
              <w:bottom w:val="single" w:sz="4" w:space="0" w:color="auto"/>
              <w:right w:val="single" w:sz="4" w:space="0" w:color="auto"/>
            </w:tcBorders>
            <w:shd w:val="clear" w:color="auto" w:fill="auto"/>
            <w:noWrap/>
            <w:vAlign w:val="bottom"/>
            <w:hideMark/>
          </w:tcPr>
          <w:p w14:paraId="65C8EB18"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67EFDC32"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35804</w:t>
            </w:r>
          </w:p>
        </w:tc>
      </w:tr>
      <w:tr w:rsidR="00A5416A" w:rsidRPr="00A5416A" w14:paraId="09778126"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4E9665A0"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Total Operating Expenses</w:t>
            </w:r>
          </w:p>
        </w:tc>
        <w:tc>
          <w:tcPr>
            <w:tcW w:w="960" w:type="dxa"/>
            <w:tcBorders>
              <w:top w:val="nil"/>
              <w:left w:val="nil"/>
              <w:bottom w:val="single" w:sz="4" w:space="0" w:color="auto"/>
              <w:right w:val="single" w:sz="4" w:space="0" w:color="auto"/>
            </w:tcBorders>
            <w:shd w:val="clear" w:color="auto" w:fill="auto"/>
            <w:noWrap/>
            <w:vAlign w:val="bottom"/>
            <w:hideMark/>
          </w:tcPr>
          <w:p w14:paraId="7AC58842"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070943B7" w14:textId="77777777" w:rsidR="00A5416A" w:rsidRPr="00A5416A" w:rsidRDefault="00A5416A" w:rsidP="00E937A0">
            <w:pPr>
              <w:spacing w:after="0" w:line="276" w:lineRule="auto"/>
              <w:jc w:val="right"/>
              <w:rPr>
                <w:rFonts w:eastAsia="Times New Roman" w:cs="Times New Roman"/>
                <w:b/>
                <w:bCs/>
                <w:color w:val="000000"/>
                <w:szCs w:val="24"/>
              </w:rPr>
            </w:pPr>
            <w:r w:rsidRPr="00A5416A">
              <w:rPr>
                <w:rFonts w:eastAsia="Times New Roman" w:cs="Times New Roman"/>
                <w:b/>
                <w:bCs/>
                <w:color w:val="000000"/>
                <w:szCs w:val="24"/>
              </w:rPr>
              <w:t>69144</w:t>
            </w:r>
          </w:p>
        </w:tc>
      </w:tr>
      <w:tr w:rsidR="00A5416A" w:rsidRPr="00A5416A" w14:paraId="424B69E7" w14:textId="77777777" w:rsidTr="00A5416A">
        <w:trPr>
          <w:trHeight w:val="300"/>
          <w:jc w:val="center"/>
        </w:trPr>
        <w:tc>
          <w:tcPr>
            <w:tcW w:w="3117" w:type="dxa"/>
            <w:tcBorders>
              <w:top w:val="nil"/>
              <w:left w:val="single" w:sz="4" w:space="0" w:color="auto"/>
              <w:bottom w:val="single" w:sz="4" w:space="0" w:color="auto"/>
              <w:right w:val="single" w:sz="4" w:space="0" w:color="auto"/>
            </w:tcBorders>
            <w:shd w:val="clear" w:color="auto" w:fill="auto"/>
            <w:noWrap/>
            <w:vAlign w:val="bottom"/>
            <w:hideMark/>
          </w:tcPr>
          <w:p w14:paraId="48A25516"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Net Profit</w:t>
            </w:r>
          </w:p>
        </w:tc>
        <w:tc>
          <w:tcPr>
            <w:tcW w:w="960" w:type="dxa"/>
            <w:tcBorders>
              <w:top w:val="nil"/>
              <w:left w:val="nil"/>
              <w:bottom w:val="single" w:sz="4" w:space="0" w:color="auto"/>
              <w:right w:val="single" w:sz="4" w:space="0" w:color="auto"/>
            </w:tcBorders>
            <w:shd w:val="clear" w:color="auto" w:fill="auto"/>
            <w:noWrap/>
            <w:vAlign w:val="bottom"/>
            <w:hideMark/>
          </w:tcPr>
          <w:p w14:paraId="16A7155F"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22EB91F7" w14:textId="77777777" w:rsidR="00A5416A" w:rsidRPr="00A5416A" w:rsidRDefault="00A5416A" w:rsidP="00E937A0">
            <w:pPr>
              <w:spacing w:after="0" w:line="276" w:lineRule="auto"/>
              <w:jc w:val="right"/>
              <w:rPr>
                <w:rFonts w:eastAsia="Times New Roman" w:cs="Times New Roman"/>
                <w:b/>
                <w:bCs/>
                <w:color w:val="000000"/>
                <w:szCs w:val="24"/>
                <w:u w:val="double"/>
              </w:rPr>
            </w:pPr>
            <w:r w:rsidRPr="00A5416A">
              <w:rPr>
                <w:rFonts w:eastAsia="Times New Roman" w:cs="Times New Roman"/>
                <w:b/>
                <w:bCs/>
                <w:color w:val="000000"/>
                <w:szCs w:val="24"/>
                <w:u w:val="double"/>
              </w:rPr>
              <w:t>22056</w:t>
            </w:r>
          </w:p>
        </w:tc>
      </w:tr>
    </w:tbl>
    <w:p w14:paraId="622A8D18" w14:textId="77777777" w:rsidR="00A5416A" w:rsidRDefault="00A5416A"/>
    <w:p w14:paraId="1573CB2E" w14:textId="77777777" w:rsidR="00A5416A" w:rsidRDefault="00A5416A" w:rsidP="00A5416A">
      <w:pPr>
        <w:pStyle w:val="Heading2"/>
        <w:sectPr w:rsidR="00A5416A">
          <w:pgSz w:w="12240" w:h="15840"/>
          <w:pgMar w:top="1440" w:right="1440" w:bottom="1440" w:left="1440" w:header="720" w:footer="720" w:gutter="0"/>
          <w:cols w:space="720"/>
          <w:docGrid w:linePitch="360"/>
        </w:sectPr>
      </w:pPr>
    </w:p>
    <w:p w14:paraId="1646680C" w14:textId="77777777" w:rsidR="00A5416A" w:rsidRDefault="00A5416A" w:rsidP="00A5416A">
      <w:pPr>
        <w:pStyle w:val="Heading2"/>
      </w:pPr>
      <w:bookmarkStart w:id="3" w:name="_Toc107782123"/>
      <w:proofErr w:type="gramStart"/>
      <w:r>
        <w:lastRenderedPageBreak/>
        <w:t>b)Preparation</w:t>
      </w:r>
      <w:proofErr w:type="gramEnd"/>
      <w:r>
        <w:t xml:space="preserve"> of statement of </w:t>
      </w:r>
      <w:r w:rsidR="00A23412">
        <w:t>Balance Sheet</w:t>
      </w:r>
      <w:bookmarkEnd w:id="3"/>
      <w:r>
        <w:t xml:space="preserve"> </w:t>
      </w:r>
    </w:p>
    <w:p w14:paraId="26126103" w14:textId="77777777" w:rsidR="00A23412" w:rsidRPr="00A23412" w:rsidRDefault="00E937A0" w:rsidP="00A23412">
      <w:r>
        <w:t>The b</w:t>
      </w:r>
      <w:r w:rsidR="00E20F15">
        <w:t>alance sheet is the financial statement that shows the amount</w:t>
      </w:r>
      <w:r>
        <w:t>s</w:t>
      </w:r>
      <w:r w:rsidR="00E20F15">
        <w:t xml:space="preserve"> of assets, liabilities and shareholders’ equity of a business organisation.  It shows the financial position of a business</w:t>
      </w:r>
      <w:r w:rsidR="00D8474A">
        <w:t xml:space="preserve"> (</w:t>
      </w:r>
      <w:r w:rsidR="00D8474A" w:rsidRPr="0098588B">
        <w:rPr>
          <w:rFonts w:cs="Times New Roman"/>
          <w:color w:val="222222"/>
          <w:szCs w:val="24"/>
          <w:shd w:val="clear" w:color="auto" w:fill="FFFFFF"/>
        </w:rPr>
        <w:t>Zeff, 2015</w:t>
      </w:r>
      <w:r w:rsidR="00D8474A">
        <w:rPr>
          <w:rFonts w:cs="Times New Roman"/>
          <w:color w:val="222222"/>
          <w:szCs w:val="24"/>
          <w:shd w:val="clear" w:color="auto" w:fill="FFFFFF"/>
        </w:rPr>
        <w:t>)</w:t>
      </w:r>
      <w:r w:rsidR="00E20F15">
        <w:t xml:space="preserve">. The balance sheet of </w:t>
      </w:r>
      <w:proofErr w:type="spellStart"/>
      <w:r w:rsidR="00E20F15">
        <w:t>angela</w:t>
      </w:r>
      <w:proofErr w:type="spellEnd"/>
      <w:r w:rsidR="00E20F15">
        <w:t xml:space="preserve"> is shown below-</w:t>
      </w:r>
    </w:p>
    <w:p w14:paraId="2A2082F6" w14:textId="77777777" w:rsidR="00A5416A" w:rsidRPr="00A5416A" w:rsidRDefault="00A5416A" w:rsidP="00A5416A">
      <w:pPr>
        <w:spacing w:after="0" w:line="240" w:lineRule="auto"/>
        <w:jc w:val="center"/>
        <w:rPr>
          <w:b/>
        </w:rPr>
      </w:pPr>
      <w:r w:rsidRPr="00A5416A">
        <w:rPr>
          <w:b/>
        </w:rPr>
        <w:t>Angela</w:t>
      </w:r>
    </w:p>
    <w:p w14:paraId="3C4CED29" w14:textId="77777777" w:rsidR="00A5416A" w:rsidRPr="00A5416A" w:rsidRDefault="00A23412" w:rsidP="00A5416A">
      <w:pPr>
        <w:spacing w:after="0" w:line="240" w:lineRule="auto"/>
        <w:jc w:val="center"/>
        <w:rPr>
          <w:b/>
        </w:rPr>
      </w:pPr>
      <w:r>
        <w:rPr>
          <w:b/>
        </w:rPr>
        <w:t>Balance Sheet</w:t>
      </w:r>
    </w:p>
    <w:p w14:paraId="6E3316E8" w14:textId="77777777" w:rsidR="00A5416A" w:rsidRPr="00A5416A" w:rsidRDefault="00A5416A" w:rsidP="00A5416A">
      <w:pPr>
        <w:spacing w:after="0" w:line="240" w:lineRule="auto"/>
        <w:jc w:val="center"/>
        <w:rPr>
          <w:b/>
        </w:rPr>
      </w:pPr>
      <w:r w:rsidRPr="00A5416A">
        <w:rPr>
          <w:b/>
        </w:rPr>
        <w:t>For the year ended 31</w:t>
      </w:r>
      <w:r w:rsidRPr="00A5416A">
        <w:rPr>
          <w:b/>
          <w:vertAlign w:val="superscript"/>
        </w:rPr>
        <w:t>st</w:t>
      </w:r>
      <w:r w:rsidRPr="00A5416A">
        <w:rPr>
          <w:b/>
        </w:rPr>
        <w:t xml:space="preserve"> December 2021</w:t>
      </w:r>
    </w:p>
    <w:tbl>
      <w:tblPr>
        <w:tblW w:w="6960" w:type="dxa"/>
        <w:jc w:val="center"/>
        <w:tblLook w:val="04A0" w:firstRow="1" w:lastRow="0" w:firstColumn="1" w:lastColumn="0" w:noHBand="0" w:noVBand="1"/>
      </w:tblPr>
      <w:tblGrid>
        <w:gridCol w:w="4080"/>
        <w:gridCol w:w="960"/>
        <w:gridCol w:w="960"/>
        <w:gridCol w:w="960"/>
      </w:tblGrid>
      <w:tr w:rsidR="00A5416A" w:rsidRPr="00A5416A" w14:paraId="2CC66E49" w14:textId="77777777" w:rsidTr="005170BA">
        <w:trPr>
          <w:trHeight w:val="300"/>
          <w:jc w:val="center"/>
        </w:trPr>
        <w:tc>
          <w:tcPr>
            <w:tcW w:w="4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02BA64"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Particulars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8B56EC3" w14:textId="77777777" w:rsidR="00A5416A" w:rsidRPr="00A5416A" w:rsidRDefault="00A5416A" w:rsidP="00E937A0">
            <w:pPr>
              <w:spacing w:after="0" w:line="276" w:lineRule="auto"/>
              <w:rPr>
                <w:rFonts w:eastAsia="Times New Roman" w:cs="Times New Roman"/>
                <w:b/>
                <w:color w:val="000000"/>
                <w:szCs w:val="24"/>
              </w:rPr>
            </w:pPr>
            <w:r w:rsidRPr="00A5416A">
              <w:rPr>
                <w:rFonts w:eastAsia="Times New Roman" w:cs="Times New Roman"/>
                <w:b/>
                <w:color w:val="000000"/>
                <w:szCs w:val="24"/>
              </w:rPr>
              <w: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366FFEA" w14:textId="77777777" w:rsidR="00A5416A" w:rsidRPr="00A5416A" w:rsidRDefault="00A5416A" w:rsidP="00E937A0">
            <w:pPr>
              <w:spacing w:after="0" w:line="276" w:lineRule="auto"/>
              <w:rPr>
                <w:rFonts w:eastAsia="Times New Roman" w:cs="Times New Roman"/>
                <w:b/>
                <w:color w:val="000000"/>
                <w:szCs w:val="24"/>
              </w:rPr>
            </w:pPr>
            <w:r w:rsidRPr="00A5416A">
              <w:rPr>
                <w:rFonts w:eastAsia="Times New Roman" w:cs="Times New Roman"/>
                <w:b/>
                <w:color w:val="000000"/>
                <w:szCs w:val="24"/>
              </w:rPr>
              <w: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1747C04" w14:textId="77777777" w:rsidR="00A5416A" w:rsidRPr="00A5416A" w:rsidRDefault="00A5416A" w:rsidP="00E937A0">
            <w:pPr>
              <w:spacing w:after="0" w:line="276" w:lineRule="auto"/>
              <w:rPr>
                <w:rFonts w:eastAsia="Times New Roman" w:cs="Times New Roman"/>
                <w:b/>
                <w:color w:val="000000"/>
                <w:szCs w:val="24"/>
              </w:rPr>
            </w:pPr>
            <w:r w:rsidRPr="00A5416A">
              <w:rPr>
                <w:rFonts w:eastAsia="Times New Roman" w:cs="Times New Roman"/>
                <w:b/>
                <w:color w:val="000000"/>
                <w:szCs w:val="24"/>
              </w:rPr>
              <w:t>£</w:t>
            </w:r>
          </w:p>
        </w:tc>
      </w:tr>
      <w:tr w:rsidR="00A5416A" w:rsidRPr="00A5416A" w14:paraId="73E78DAC"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5381AF46"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Total Assets</w:t>
            </w:r>
          </w:p>
        </w:tc>
        <w:tc>
          <w:tcPr>
            <w:tcW w:w="960" w:type="dxa"/>
            <w:tcBorders>
              <w:top w:val="nil"/>
              <w:left w:val="nil"/>
              <w:bottom w:val="single" w:sz="4" w:space="0" w:color="auto"/>
              <w:right w:val="single" w:sz="4" w:space="0" w:color="auto"/>
            </w:tcBorders>
            <w:shd w:val="clear" w:color="auto" w:fill="auto"/>
            <w:noWrap/>
            <w:vAlign w:val="bottom"/>
            <w:hideMark/>
          </w:tcPr>
          <w:p w14:paraId="312DF895"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4BA63209"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41DA6F2B"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1A7A659D"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15330383"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Current Assets</w:t>
            </w:r>
          </w:p>
        </w:tc>
        <w:tc>
          <w:tcPr>
            <w:tcW w:w="960" w:type="dxa"/>
            <w:tcBorders>
              <w:top w:val="nil"/>
              <w:left w:val="nil"/>
              <w:bottom w:val="single" w:sz="4" w:space="0" w:color="auto"/>
              <w:right w:val="single" w:sz="4" w:space="0" w:color="auto"/>
            </w:tcBorders>
            <w:shd w:val="clear" w:color="auto" w:fill="auto"/>
            <w:noWrap/>
            <w:vAlign w:val="bottom"/>
            <w:hideMark/>
          </w:tcPr>
          <w:p w14:paraId="611A6E29"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4E01163A"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1ABE882A"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15E93575"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6498EDE8"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Trade debtors</w:t>
            </w:r>
          </w:p>
        </w:tc>
        <w:tc>
          <w:tcPr>
            <w:tcW w:w="960" w:type="dxa"/>
            <w:tcBorders>
              <w:top w:val="nil"/>
              <w:left w:val="nil"/>
              <w:bottom w:val="single" w:sz="4" w:space="0" w:color="auto"/>
              <w:right w:val="single" w:sz="4" w:space="0" w:color="auto"/>
            </w:tcBorders>
            <w:shd w:val="clear" w:color="auto" w:fill="auto"/>
            <w:noWrap/>
            <w:vAlign w:val="bottom"/>
            <w:hideMark/>
          </w:tcPr>
          <w:p w14:paraId="59EBCE1F"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6860</w:t>
            </w:r>
          </w:p>
        </w:tc>
        <w:tc>
          <w:tcPr>
            <w:tcW w:w="960" w:type="dxa"/>
            <w:tcBorders>
              <w:top w:val="nil"/>
              <w:left w:val="nil"/>
              <w:bottom w:val="single" w:sz="4" w:space="0" w:color="auto"/>
              <w:right w:val="single" w:sz="4" w:space="0" w:color="auto"/>
            </w:tcBorders>
            <w:shd w:val="clear" w:color="auto" w:fill="auto"/>
            <w:noWrap/>
            <w:vAlign w:val="bottom"/>
            <w:hideMark/>
          </w:tcPr>
          <w:p w14:paraId="464F6A3B"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6FAB33A5"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069A823A"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2EB48E5D"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Less Bad debts</w:t>
            </w:r>
          </w:p>
        </w:tc>
        <w:tc>
          <w:tcPr>
            <w:tcW w:w="960" w:type="dxa"/>
            <w:tcBorders>
              <w:top w:val="nil"/>
              <w:left w:val="nil"/>
              <w:bottom w:val="single" w:sz="4" w:space="0" w:color="auto"/>
              <w:right w:val="single" w:sz="4" w:space="0" w:color="auto"/>
            </w:tcBorders>
            <w:shd w:val="clear" w:color="auto" w:fill="auto"/>
            <w:noWrap/>
            <w:vAlign w:val="bottom"/>
            <w:hideMark/>
          </w:tcPr>
          <w:p w14:paraId="5FC65CDA"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980</w:t>
            </w:r>
          </w:p>
        </w:tc>
        <w:tc>
          <w:tcPr>
            <w:tcW w:w="960" w:type="dxa"/>
            <w:tcBorders>
              <w:top w:val="nil"/>
              <w:left w:val="nil"/>
              <w:bottom w:val="single" w:sz="4" w:space="0" w:color="auto"/>
              <w:right w:val="single" w:sz="4" w:space="0" w:color="auto"/>
            </w:tcBorders>
            <w:shd w:val="clear" w:color="auto" w:fill="auto"/>
            <w:noWrap/>
            <w:vAlign w:val="bottom"/>
            <w:hideMark/>
          </w:tcPr>
          <w:p w14:paraId="57E4F395"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5880</w:t>
            </w:r>
          </w:p>
        </w:tc>
        <w:tc>
          <w:tcPr>
            <w:tcW w:w="960" w:type="dxa"/>
            <w:tcBorders>
              <w:top w:val="nil"/>
              <w:left w:val="nil"/>
              <w:bottom w:val="single" w:sz="4" w:space="0" w:color="auto"/>
              <w:right w:val="single" w:sz="4" w:space="0" w:color="auto"/>
            </w:tcBorders>
            <w:shd w:val="clear" w:color="auto" w:fill="auto"/>
            <w:noWrap/>
            <w:vAlign w:val="bottom"/>
            <w:hideMark/>
          </w:tcPr>
          <w:p w14:paraId="0561738C"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11F51B6C"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70829FAB"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xml:space="preserve">Cash at bank </w:t>
            </w:r>
          </w:p>
        </w:tc>
        <w:tc>
          <w:tcPr>
            <w:tcW w:w="960" w:type="dxa"/>
            <w:tcBorders>
              <w:top w:val="nil"/>
              <w:left w:val="nil"/>
              <w:bottom w:val="single" w:sz="4" w:space="0" w:color="auto"/>
              <w:right w:val="single" w:sz="4" w:space="0" w:color="auto"/>
            </w:tcBorders>
            <w:shd w:val="clear" w:color="auto" w:fill="auto"/>
            <w:noWrap/>
            <w:vAlign w:val="bottom"/>
            <w:hideMark/>
          </w:tcPr>
          <w:p w14:paraId="5E345097"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1804993C"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82</w:t>
            </w:r>
          </w:p>
        </w:tc>
        <w:tc>
          <w:tcPr>
            <w:tcW w:w="960" w:type="dxa"/>
            <w:tcBorders>
              <w:top w:val="nil"/>
              <w:left w:val="nil"/>
              <w:bottom w:val="single" w:sz="4" w:space="0" w:color="auto"/>
              <w:right w:val="single" w:sz="4" w:space="0" w:color="auto"/>
            </w:tcBorders>
            <w:shd w:val="clear" w:color="auto" w:fill="auto"/>
            <w:noWrap/>
            <w:vAlign w:val="bottom"/>
            <w:hideMark/>
          </w:tcPr>
          <w:p w14:paraId="03774740"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7972DF41"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0329C86B"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xml:space="preserve">Stock </w:t>
            </w:r>
            <w:proofErr w:type="gramStart"/>
            <w:r w:rsidRPr="00A5416A">
              <w:rPr>
                <w:rFonts w:eastAsia="Times New Roman" w:cs="Times New Roman"/>
                <w:color w:val="000000"/>
                <w:szCs w:val="24"/>
              </w:rPr>
              <w:t>at</w:t>
            </w:r>
            <w:proofErr w:type="gramEnd"/>
            <w:r w:rsidRPr="00A5416A">
              <w:rPr>
                <w:rFonts w:eastAsia="Times New Roman" w:cs="Times New Roman"/>
                <w:color w:val="000000"/>
                <w:szCs w:val="24"/>
              </w:rPr>
              <w:t xml:space="preserve"> 31st December</w:t>
            </w:r>
          </w:p>
        </w:tc>
        <w:tc>
          <w:tcPr>
            <w:tcW w:w="960" w:type="dxa"/>
            <w:tcBorders>
              <w:top w:val="nil"/>
              <w:left w:val="nil"/>
              <w:bottom w:val="single" w:sz="4" w:space="0" w:color="auto"/>
              <w:right w:val="single" w:sz="4" w:space="0" w:color="auto"/>
            </w:tcBorders>
            <w:shd w:val="clear" w:color="auto" w:fill="auto"/>
            <w:noWrap/>
            <w:vAlign w:val="bottom"/>
            <w:hideMark/>
          </w:tcPr>
          <w:p w14:paraId="74FA5D9A"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43E5C7A5"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25164</w:t>
            </w:r>
          </w:p>
        </w:tc>
        <w:tc>
          <w:tcPr>
            <w:tcW w:w="960" w:type="dxa"/>
            <w:tcBorders>
              <w:top w:val="nil"/>
              <w:left w:val="nil"/>
              <w:bottom w:val="single" w:sz="4" w:space="0" w:color="auto"/>
              <w:right w:val="single" w:sz="4" w:space="0" w:color="auto"/>
            </w:tcBorders>
            <w:shd w:val="clear" w:color="auto" w:fill="auto"/>
            <w:noWrap/>
            <w:vAlign w:val="bottom"/>
            <w:hideMark/>
          </w:tcPr>
          <w:p w14:paraId="6128E8AB"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75BAAE5D"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46EBB979"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Total Current Assets</w:t>
            </w:r>
          </w:p>
        </w:tc>
        <w:tc>
          <w:tcPr>
            <w:tcW w:w="960" w:type="dxa"/>
            <w:tcBorders>
              <w:top w:val="nil"/>
              <w:left w:val="nil"/>
              <w:bottom w:val="single" w:sz="4" w:space="0" w:color="auto"/>
              <w:right w:val="single" w:sz="4" w:space="0" w:color="auto"/>
            </w:tcBorders>
            <w:shd w:val="clear" w:color="auto" w:fill="auto"/>
            <w:noWrap/>
            <w:vAlign w:val="bottom"/>
            <w:hideMark/>
          </w:tcPr>
          <w:p w14:paraId="5C373058"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4C46948F"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4ABDFDB4" w14:textId="77777777" w:rsidR="00A5416A" w:rsidRPr="00A5416A" w:rsidRDefault="00A5416A" w:rsidP="00E937A0">
            <w:pPr>
              <w:spacing w:after="0" w:line="276" w:lineRule="auto"/>
              <w:jc w:val="right"/>
              <w:rPr>
                <w:rFonts w:eastAsia="Times New Roman" w:cs="Times New Roman"/>
                <w:b/>
                <w:bCs/>
                <w:color w:val="000000"/>
                <w:szCs w:val="24"/>
              </w:rPr>
            </w:pPr>
            <w:r w:rsidRPr="00A5416A">
              <w:rPr>
                <w:rFonts w:eastAsia="Times New Roman" w:cs="Times New Roman"/>
                <w:b/>
                <w:bCs/>
                <w:color w:val="000000"/>
                <w:szCs w:val="24"/>
              </w:rPr>
              <w:t>31126</w:t>
            </w:r>
          </w:p>
        </w:tc>
      </w:tr>
      <w:tr w:rsidR="00A5416A" w:rsidRPr="00A5416A" w14:paraId="19F78224"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15C02D09"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Fixed Assets</w:t>
            </w:r>
          </w:p>
        </w:tc>
        <w:tc>
          <w:tcPr>
            <w:tcW w:w="960" w:type="dxa"/>
            <w:tcBorders>
              <w:top w:val="nil"/>
              <w:left w:val="nil"/>
              <w:bottom w:val="single" w:sz="4" w:space="0" w:color="auto"/>
              <w:right w:val="single" w:sz="4" w:space="0" w:color="auto"/>
            </w:tcBorders>
            <w:shd w:val="clear" w:color="auto" w:fill="auto"/>
            <w:noWrap/>
            <w:vAlign w:val="bottom"/>
            <w:hideMark/>
          </w:tcPr>
          <w:p w14:paraId="088C6081"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0C5EEB1D"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306E7E7E"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1B3013DA"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474854CD"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Delivery Van at Cost</w:t>
            </w:r>
          </w:p>
        </w:tc>
        <w:tc>
          <w:tcPr>
            <w:tcW w:w="960" w:type="dxa"/>
            <w:tcBorders>
              <w:top w:val="nil"/>
              <w:left w:val="nil"/>
              <w:bottom w:val="single" w:sz="4" w:space="0" w:color="auto"/>
              <w:right w:val="single" w:sz="4" w:space="0" w:color="auto"/>
            </w:tcBorders>
            <w:shd w:val="clear" w:color="auto" w:fill="auto"/>
            <w:noWrap/>
            <w:vAlign w:val="bottom"/>
            <w:hideMark/>
          </w:tcPr>
          <w:p w14:paraId="3CEA1F61"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35580</w:t>
            </w:r>
          </w:p>
        </w:tc>
        <w:tc>
          <w:tcPr>
            <w:tcW w:w="960" w:type="dxa"/>
            <w:tcBorders>
              <w:top w:val="nil"/>
              <w:left w:val="nil"/>
              <w:bottom w:val="single" w:sz="4" w:space="0" w:color="auto"/>
              <w:right w:val="single" w:sz="4" w:space="0" w:color="auto"/>
            </w:tcBorders>
            <w:shd w:val="clear" w:color="auto" w:fill="auto"/>
            <w:noWrap/>
            <w:vAlign w:val="bottom"/>
            <w:hideMark/>
          </w:tcPr>
          <w:p w14:paraId="7CC29D15"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51112E75"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469B7016"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1E764167"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Less Accumulated Depreciation</w:t>
            </w:r>
          </w:p>
        </w:tc>
        <w:tc>
          <w:tcPr>
            <w:tcW w:w="960" w:type="dxa"/>
            <w:tcBorders>
              <w:top w:val="nil"/>
              <w:left w:val="nil"/>
              <w:bottom w:val="single" w:sz="4" w:space="0" w:color="auto"/>
              <w:right w:val="single" w:sz="4" w:space="0" w:color="auto"/>
            </w:tcBorders>
            <w:shd w:val="clear" w:color="auto" w:fill="auto"/>
            <w:noWrap/>
            <w:vAlign w:val="bottom"/>
            <w:hideMark/>
          </w:tcPr>
          <w:p w14:paraId="39B7D087"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19438</w:t>
            </w:r>
          </w:p>
        </w:tc>
        <w:tc>
          <w:tcPr>
            <w:tcW w:w="960" w:type="dxa"/>
            <w:tcBorders>
              <w:top w:val="nil"/>
              <w:left w:val="nil"/>
              <w:bottom w:val="single" w:sz="4" w:space="0" w:color="auto"/>
              <w:right w:val="single" w:sz="4" w:space="0" w:color="auto"/>
            </w:tcBorders>
            <w:shd w:val="clear" w:color="auto" w:fill="auto"/>
            <w:noWrap/>
            <w:vAlign w:val="bottom"/>
            <w:hideMark/>
          </w:tcPr>
          <w:p w14:paraId="5BC7A927"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16142</w:t>
            </w:r>
          </w:p>
        </w:tc>
        <w:tc>
          <w:tcPr>
            <w:tcW w:w="960" w:type="dxa"/>
            <w:tcBorders>
              <w:top w:val="nil"/>
              <w:left w:val="nil"/>
              <w:bottom w:val="single" w:sz="4" w:space="0" w:color="auto"/>
              <w:right w:val="single" w:sz="4" w:space="0" w:color="auto"/>
            </w:tcBorders>
            <w:shd w:val="clear" w:color="auto" w:fill="auto"/>
            <w:noWrap/>
            <w:vAlign w:val="bottom"/>
            <w:hideMark/>
          </w:tcPr>
          <w:p w14:paraId="15B11C68"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56AFF290"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5427DF92"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Shop fittings at Cost</w:t>
            </w:r>
          </w:p>
        </w:tc>
        <w:tc>
          <w:tcPr>
            <w:tcW w:w="960" w:type="dxa"/>
            <w:tcBorders>
              <w:top w:val="nil"/>
              <w:left w:val="nil"/>
              <w:bottom w:val="single" w:sz="4" w:space="0" w:color="auto"/>
              <w:right w:val="single" w:sz="4" w:space="0" w:color="auto"/>
            </w:tcBorders>
            <w:shd w:val="clear" w:color="auto" w:fill="auto"/>
            <w:noWrap/>
            <w:vAlign w:val="bottom"/>
            <w:hideMark/>
          </w:tcPr>
          <w:p w14:paraId="18B8CD3E"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12200</w:t>
            </w:r>
          </w:p>
        </w:tc>
        <w:tc>
          <w:tcPr>
            <w:tcW w:w="960" w:type="dxa"/>
            <w:tcBorders>
              <w:top w:val="nil"/>
              <w:left w:val="nil"/>
              <w:bottom w:val="single" w:sz="4" w:space="0" w:color="auto"/>
              <w:right w:val="single" w:sz="4" w:space="0" w:color="auto"/>
            </w:tcBorders>
            <w:shd w:val="clear" w:color="auto" w:fill="auto"/>
            <w:noWrap/>
            <w:vAlign w:val="bottom"/>
            <w:hideMark/>
          </w:tcPr>
          <w:p w14:paraId="04A677E7"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01528B20"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17A8FA82"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36F95109"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Less Accumulated Depreciation</w:t>
            </w:r>
          </w:p>
        </w:tc>
        <w:tc>
          <w:tcPr>
            <w:tcW w:w="960" w:type="dxa"/>
            <w:tcBorders>
              <w:top w:val="nil"/>
              <w:left w:val="nil"/>
              <w:bottom w:val="single" w:sz="4" w:space="0" w:color="auto"/>
              <w:right w:val="single" w:sz="4" w:space="0" w:color="auto"/>
            </w:tcBorders>
            <w:shd w:val="clear" w:color="auto" w:fill="auto"/>
            <w:noWrap/>
            <w:vAlign w:val="bottom"/>
            <w:hideMark/>
          </w:tcPr>
          <w:p w14:paraId="15A69998"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8540</w:t>
            </w:r>
          </w:p>
        </w:tc>
        <w:tc>
          <w:tcPr>
            <w:tcW w:w="960" w:type="dxa"/>
            <w:tcBorders>
              <w:top w:val="nil"/>
              <w:left w:val="nil"/>
              <w:bottom w:val="single" w:sz="4" w:space="0" w:color="auto"/>
              <w:right w:val="single" w:sz="4" w:space="0" w:color="auto"/>
            </w:tcBorders>
            <w:shd w:val="clear" w:color="auto" w:fill="auto"/>
            <w:noWrap/>
            <w:vAlign w:val="bottom"/>
            <w:hideMark/>
          </w:tcPr>
          <w:p w14:paraId="335F0F19"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3660</w:t>
            </w:r>
          </w:p>
        </w:tc>
        <w:tc>
          <w:tcPr>
            <w:tcW w:w="960" w:type="dxa"/>
            <w:tcBorders>
              <w:top w:val="nil"/>
              <w:left w:val="nil"/>
              <w:bottom w:val="single" w:sz="4" w:space="0" w:color="auto"/>
              <w:right w:val="single" w:sz="4" w:space="0" w:color="auto"/>
            </w:tcBorders>
            <w:shd w:val="clear" w:color="auto" w:fill="auto"/>
            <w:noWrap/>
            <w:vAlign w:val="bottom"/>
            <w:hideMark/>
          </w:tcPr>
          <w:p w14:paraId="60D2F25E"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6916FD9F"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489F1874"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Total Fixed Assets</w:t>
            </w:r>
          </w:p>
        </w:tc>
        <w:tc>
          <w:tcPr>
            <w:tcW w:w="960" w:type="dxa"/>
            <w:tcBorders>
              <w:top w:val="nil"/>
              <w:left w:val="nil"/>
              <w:bottom w:val="single" w:sz="4" w:space="0" w:color="auto"/>
              <w:right w:val="single" w:sz="4" w:space="0" w:color="auto"/>
            </w:tcBorders>
            <w:shd w:val="clear" w:color="auto" w:fill="auto"/>
            <w:noWrap/>
            <w:vAlign w:val="bottom"/>
            <w:hideMark/>
          </w:tcPr>
          <w:p w14:paraId="1A7A0212"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55AE1D8B"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13B02F65" w14:textId="77777777" w:rsidR="00A5416A" w:rsidRPr="00A5416A" w:rsidRDefault="00A5416A" w:rsidP="00E937A0">
            <w:pPr>
              <w:spacing w:after="0" w:line="276" w:lineRule="auto"/>
              <w:jc w:val="right"/>
              <w:rPr>
                <w:rFonts w:eastAsia="Times New Roman" w:cs="Times New Roman"/>
                <w:b/>
                <w:bCs/>
                <w:color w:val="000000"/>
                <w:szCs w:val="24"/>
              </w:rPr>
            </w:pPr>
            <w:r w:rsidRPr="00A5416A">
              <w:rPr>
                <w:rFonts w:eastAsia="Times New Roman" w:cs="Times New Roman"/>
                <w:b/>
                <w:bCs/>
                <w:color w:val="000000"/>
                <w:szCs w:val="24"/>
              </w:rPr>
              <w:t>19802</w:t>
            </w:r>
          </w:p>
        </w:tc>
      </w:tr>
      <w:tr w:rsidR="00A5416A" w:rsidRPr="00A5416A" w14:paraId="1614BF47"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320CA4FD"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Total Assets</w:t>
            </w:r>
          </w:p>
        </w:tc>
        <w:tc>
          <w:tcPr>
            <w:tcW w:w="960" w:type="dxa"/>
            <w:tcBorders>
              <w:top w:val="nil"/>
              <w:left w:val="nil"/>
              <w:bottom w:val="single" w:sz="4" w:space="0" w:color="auto"/>
              <w:right w:val="single" w:sz="4" w:space="0" w:color="auto"/>
            </w:tcBorders>
            <w:shd w:val="clear" w:color="auto" w:fill="auto"/>
            <w:noWrap/>
            <w:vAlign w:val="bottom"/>
            <w:hideMark/>
          </w:tcPr>
          <w:p w14:paraId="2A224ACA"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009BE8CD"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783EA389" w14:textId="77777777" w:rsidR="00A5416A" w:rsidRPr="00A5416A" w:rsidRDefault="00A5416A" w:rsidP="00E937A0">
            <w:pPr>
              <w:spacing w:after="0" w:line="276" w:lineRule="auto"/>
              <w:jc w:val="right"/>
              <w:rPr>
                <w:rFonts w:eastAsia="Times New Roman" w:cs="Times New Roman"/>
                <w:b/>
                <w:bCs/>
                <w:color w:val="000000"/>
                <w:szCs w:val="24"/>
                <w:u w:val="double"/>
              </w:rPr>
            </w:pPr>
            <w:r w:rsidRPr="00A5416A">
              <w:rPr>
                <w:rFonts w:eastAsia="Times New Roman" w:cs="Times New Roman"/>
                <w:b/>
                <w:bCs/>
                <w:color w:val="000000"/>
                <w:szCs w:val="24"/>
                <w:u w:val="double"/>
              </w:rPr>
              <w:t>50928</w:t>
            </w:r>
          </w:p>
        </w:tc>
      </w:tr>
      <w:tr w:rsidR="00A5416A" w:rsidRPr="00A5416A" w14:paraId="36090F58"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34FAB33A"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Total Liabilities and Owner's Capital</w:t>
            </w:r>
          </w:p>
        </w:tc>
        <w:tc>
          <w:tcPr>
            <w:tcW w:w="960" w:type="dxa"/>
            <w:tcBorders>
              <w:top w:val="nil"/>
              <w:left w:val="nil"/>
              <w:bottom w:val="single" w:sz="4" w:space="0" w:color="auto"/>
              <w:right w:val="single" w:sz="4" w:space="0" w:color="auto"/>
            </w:tcBorders>
            <w:shd w:val="clear" w:color="auto" w:fill="auto"/>
            <w:noWrap/>
            <w:vAlign w:val="bottom"/>
            <w:hideMark/>
          </w:tcPr>
          <w:p w14:paraId="10BA86E6"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5ED5DC53"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4D7253E3"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52262BAE"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149E81AE"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Current Liabilities</w:t>
            </w:r>
          </w:p>
        </w:tc>
        <w:tc>
          <w:tcPr>
            <w:tcW w:w="960" w:type="dxa"/>
            <w:tcBorders>
              <w:top w:val="nil"/>
              <w:left w:val="nil"/>
              <w:bottom w:val="single" w:sz="4" w:space="0" w:color="auto"/>
              <w:right w:val="single" w:sz="4" w:space="0" w:color="auto"/>
            </w:tcBorders>
            <w:shd w:val="clear" w:color="auto" w:fill="auto"/>
            <w:noWrap/>
            <w:vAlign w:val="bottom"/>
            <w:hideMark/>
          </w:tcPr>
          <w:p w14:paraId="1FE1BA78"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31BB414C"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77C4C0D2"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03902428"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1D668190"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Creditor for VAT</w:t>
            </w:r>
          </w:p>
        </w:tc>
        <w:tc>
          <w:tcPr>
            <w:tcW w:w="960" w:type="dxa"/>
            <w:tcBorders>
              <w:top w:val="nil"/>
              <w:left w:val="nil"/>
              <w:bottom w:val="single" w:sz="4" w:space="0" w:color="auto"/>
              <w:right w:val="single" w:sz="4" w:space="0" w:color="auto"/>
            </w:tcBorders>
            <w:shd w:val="clear" w:color="auto" w:fill="auto"/>
            <w:noWrap/>
            <w:vAlign w:val="bottom"/>
            <w:hideMark/>
          </w:tcPr>
          <w:p w14:paraId="00853281"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10EF3364"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7729</w:t>
            </w:r>
          </w:p>
        </w:tc>
        <w:tc>
          <w:tcPr>
            <w:tcW w:w="960" w:type="dxa"/>
            <w:tcBorders>
              <w:top w:val="nil"/>
              <w:left w:val="nil"/>
              <w:bottom w:val="single" w:sz="4" w:space="0" w:color="auto"/>
              <w:right w:val="single" w:sz="4" w:space="0" w:color="auto"/>
            </w:tcBorders>
            <w:shd w:val="clear" w:color="auto" w:fill="auto"/>
            <w:noWrap/>
            <w:vAlign w:val="bottom"/>
            <w:hideMark/>
          </w:tcPr>
          <w:p w14:paraId="43934378"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3015264A"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4BC7CE53"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Trade creditors</w:t>
            </w:r>
          </w:p>
        </w:tc>
        <w:tc>
          <w:tcPr>
            <w:tcW w:w="960" w:type="dxa"/>
            <w:tcBorders>
              <w:top w:val="nil"/>
              <w:left w:val="nil"/>
              <w:bottom w:val="single" w:sz="4" w:space="0" w:color="auto"/>
              <w:right w:val="single" w:sz="4" w:space="0" w:color="auto"/>
            </w:tcBorders>
            <w:shd w:val="clear" w:color="auto" w:fill="auto"/>
            <w:noWrap/>
            <w:vAlign w:val="bottom"/>
            <w:hideMark/>
          </w:tcPr>
          <w:p w14:paraId="4B431E0B"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68E4684E"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34420</w:t>
            </w:r>
          </w:p>
        </w:tc>
        <w:tc>
          <w:tcPr>
            <w:tcW w:w="960" w:type="dxa"/>
            <w:tcBorders>
              <w:top w:val="nil"/>
              <w:left w:val="nil"/>
              <w:bottom w:val="single" w:sz="4" w:space="0" w:color="auto"/>
              <w:right w:val="single" w:sz="4" w:space="0" w:color="auto"/>
            </w:tcBorders>
            <w:shd w:val="clear" w:color="auto" w:fill="auto"/>
            <w:noWrap/>
            <w:vAlign w:val="bottom"/>
            <w:hideMark/>
          </w:tcPr>
          <w:p w14:paraId="1D827026"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4E1EDC6C"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366ABF79"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Total Liabilities</w:t>
            </w:r>
          </w:p>
        </w:tc>
        <w:tc>
          <w:tcPr>
            <w:tcW w:w="960" w:type="dxa"/>
            <w:tcBorders>
              <w:top w:val="nil"/>
              <w:left w:val="nil"/>
              <w:bottom w:val="single" w:sz="4" w:space="0" w:color="auto"/>
              <w:right w:val="single" w:sz="4" w:space="0" w:color="auto"/>
            </w:tcBorders>
            <w:shd w:val="clear" w:color="auto" w:fill="auto"/>
            <w:noWrap/>
            <w:vAlign w:val="bottom"/>
            <w:hideMark/>
          </w:tcPr>
          <w:p w14:paraId="38404F96"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163A040A"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4AB99F3E"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42149</w:t>
            </w:r>
          </w:p>
        </w:tc>
      </w:tr>
      <w:tr w:rsidR="00A5416A" w:rsidRPr="00A5416A" w14:paraId="75C449C2"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10FAFF57"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Owner's Capital</w:t>
            </w:r>
          </w:p>
        </w:tc>
        <w:tc>
          <w:tcPr>
            <w:tcW w:w="960" w:type="dxa"/>
            <w:tcBorders>
              <w:top w:val="nil"/>
              <w:left w:val="nil"/>
              <w:bottom w:val="single" w:sz="4" w:space="0" w:color="auto"/>
              <w:right w:val="single" w:sz="4" w:space="0" w:color="auto"/>
            </w:tcBorders>
            <w:shd w:val="clear" w:color="auto" w:fill="auto"/>
            <w:noWrap/>
            <w:vAlign w:val="bottom"/>
            <w:hideMark/>
          </w:tcPr>
          <w:p w14:paraId="082279DC"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2DA9AAD0"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610AC8C0"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3F29045D"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064E99C8"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xml:space="preserve">Capital </w:t>
            </w:r>
            <w:proofErr w:type="gramStart"/>
            <w:r w:rsidRPr="00A5416A">
              <w:rPr>
                <w:rFonts w:eastAsia="Times New Roman" w:cs="Times New Roman"/>
                <w:color w:val="000000"/>
                <w:szCs w:val="24"/>
              </w:rPr>
              <w:t>at</w:t>
            </w:r>
            <w:proofErr w:type="gramEnd"/>
            <w:r w:rsidRPr="00A5416A">
              <w:rPr>
                <w:rFonts w:eastAsia="Times New Roman" w:cs="Times New Roman"/>
                <w:color w:val="000000"/>
                <w:szCs w:val="24"/>
              </w:rPr>
              <w:t xml:space="preserve"> 1 January 2021</w:t>
            </w:r>
          </w:p>
        </w:tc>
        <w:tc>
          <w:tcPr>
            <w:tcW w:w="960" w:type="dxa"/>
            <w:tcBorders>
              <w:top w:val="nil"/>
              <w:left w:val="nil"/>
              <w:bottom w:val="single" w:sz="4" w:space="0" w:color="auto"/>
              <w:right w:val="single" w:sz="4" w:space="0" w:color="auto"/>
            </w:tcBorders>
            <w:shd w:val="clear" w:color="auto" w:fill="auto"/>
            <w:noWrap/>
            <w:vAlign w:val="bottom"/>
            <w:hideMark/>
          </w:tcPr>
          <w:p w14:paraId="106E3C57"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700D8F4C"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4993</w:t>
            </w:r>
          </w:p>
        </w:tc>
        <w:tc>
          <w:tcPr>
            <w:tcW w:w="960" w:type="dxa"/>
            <w:tcBorders>
              <w:top w:val="nil"/>
              <w:left w:val="nil"/>
              <w:bottom w:val="single" w:sz="4" w:space="0" w:color="auto"/>
              <w:right w:val="single" w:sz="4" w:space="0" w:color="auto"/>
            </w:tcBorders>
            <w:shd w:val="clear" w:color="auto" w:fill="auto"/>
            <w:noWrap/>
            <w:vAlign w:val="bottom"/>
            <w:hideMark/>
          </w:tcPr>
          <w:p w14:paraId="533F5191"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3E553AA7"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239931B6"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Less Drawings</w:t>
            </w:r>
          </w:p>
        </w:tc>
        <w:tc>
          <w:tcPr>
            <w:tcW w:w="960" w:type="dxa"/>
            <w:tcBorders>
              <w:top w:val="nil"/>
              <w:left w:val="nil"/>
              <w:bottom w:val="single" w:sz="4" w:space="0" w:color="auto"/>
              <w:right w:val="single" w:sz="4" w:space="0" w:color="auto"/>
            </w:tcBorders>
            <w:shd w:val="clear" w:color="auto" w:fill="auto"/>
            <w:noWrap/>
            <w:vAlign w:val="bottom"/>
            <w:hideMark/>
          </w:tcPr>
          <w:p w14:paraId="4714E95C"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08494AE3"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18270</w:t>
            </w:r>
          </w:p>
        </w:tc>
        <w:tc>
          <w:tcPr>
            <w:tcW w:w="960" w:type="dxa"/>
            <w:tcBorders>
              <w:top w:val="nil"/>
              <w:left w:val="nil"/>
              <w:bottom w:val="single" w:sz="4" w:space="0" w:color="auto"/>
              <w:right w:val="single" w:sz="4" w:space="0" w:color="auto"/>
            </w:tcBorders>
            <w:shd w:val="clear" w:color="auto" w:fill="auto"/>
            <w:noWrap/>
            <w:vAlign w:val="bottom"/>
            <w:hideMark/>
          </w:tcPr>
          <w:p w14:paraId="7ECA9F7B"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r>
      <w:tr w:rsidR="00A5416A" w:rsidRPr="00A5416A" w14:paraId="44E46C36"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66B7F401"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Add Net Profit</w:t>
            </w:r>
          </w:p>
        </w:tc>
        <w:tc>
          <w:tcPr>
            <w:tcW w:w="960" w:type="dxa"/>
            <w:tcBorders>
              <w:top w:val="nil"/>
              <w:left w:val="nil"/>
              <w:bottom w:val="single" w:sz="4" w:space="0" w:color="auto"/>
              <w:right w:val="single" w:sz="4" w:space="0" w:color="auto"/>
            </w:tcBorders>
            <w:shd w:val="clear" w:color="auto" w:fill="auto"/>
            <w:noWrap/>
            <w:vAlign w:val="bottom"/>
            <w:hideMark/>
          </w:tcPr>
          <w:p w14:paraId="3A18B450" w14:textId="77777777" w:rsidR="00A5416A" w:rsidRPr="00A5416A" w:rsidRDefault="00A5416A" w:rsidP="00E937A0">
            <w:pPr>
              <w:spacing w:after="0" w:line="276" w:lineRule="auto"/>
              <w:rPr>
                <w:rFonts w:eastAsia="Times New Roman" w:cs="Times New Roman"/>
                <w:color w:val="000000"/>
                <w:szCs w:val="24"/>
              </w:rPr>
            </w:pPr>
            <w:r w:rsidRPr="00A5416A">
              <w:rPr>
                <w:rFonts w:eastAsia="Times New Roman" w:cs="Times New Roman"/>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60CA34C1"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22056</w:t>
            </w:r>
          </w:p>
        </w:tc>
        <w:tc>
          <w:tcPr>
            <w:tcW w:w="960" w:type="dxa"/>
            <w:tcBorders>
              <w:top w:val="nil"/>
              <w:left w:val="nil"/>
              <w:bottom w:val="single" w:sz="4" w:space="0" w:color="auto"/>
              <w:right w:val="single" w:sz="4" w:space="0" w:color="auto"/>
            </w:tcBorders>
            <w:shd w:val="clear" w:color="auto" w:fill="auto"/>
            <w:noWrap/>
            <w:vAlign w:val="bottom"/>
            <w:hideMark/>
          </w:tcPr>
          <w:p w14:paraId="4856CC32" w14:textId="77777777" w:rsidR="00A5416A" w:rsidRPr="00A5416A" w:rsidRDefault="00A5416A" w:rsidP="00E937A0">
            <w:pPr>
              <w:spacing w:after="0" w:line="276" w:lineRule="auto"/>
              <w:jc w:val="right"/>
              <w:rPr>
                <w:rFonts w:eastAsia="Times New Roman" w:cs="Times New Roman"/>
                <w:color w:val="000000"/>
                <w:szCs w:val="24"/>
              </w:rPr>
            </w:pPr>
            <w:r w:rsidRPr="00A5416A">
              <w:rPr>
                <w:rFonts w:eastAsia="Times New Roman" w:cs="Times New Roman"/>
                <w:color w:val="000000"/>
                <w:szCs w:val="24"/>
              </w:rPr>
              <w:t>8779</w:t>
            </w:r>
          </w:p>
        </w:tc>
      </w:tr>
      <w:tr w:rsidR="00A5416A" w:rsidRPr="00A5416A" w14:paraId="1A2EE7BD" w14:textId="77777777" w:rsidTr="005170BA">
        <w:trPr>
          <w:trHeight w:val="300"/>
          <w:jc w:val="center"/>
        </w:trPr>
        <w:tc>
          <w:tcPr>
            <w:tcW w:w="4080" w:type="dxa"/>
            <w:tcBorders>
              <w:top w:val="nil"/>
              <w:left w:val="single" w:sz="4" w:space="0" w:color="auto"/>
              <w:bottom w:val="single" w:sz="4" w:space="0" w:color="auto"/>
              <w:right w:val="single" w:sz="4" w:space="0" w:color="auto"/>
            </w:tcBorders>
            <w:shd w:val="clear" w:color="auto" w:fill="auto"/>
            <w:noWrap/>
            <w:vAlign w:val="bottom"/>
            <w:hideMark/>
          </w:tcPr>
          <w:p w14:paraId="0A18297D"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Total Liabilities and Owner's Capital</w:t>
            </w:r>
          </w:p>
        </w:tc>
        <w:tc>
          <w:tcPr>
            <w:tcW w:w="960" w:type="dxa"/>
            <w:tcBorders>
              <w:top w:val="nil"/>
              <w:left w:val="nil"/>
              <w:bottom w:val="single" w:sz="4" w:space="0" w:color="auto"/>
              <w:right w:val="single" w:sz="4" w:space="0" w:color="auto"/>
            </w:tcBorders>
            <w:shd w:val="clear" w:color="auto" w:fill="auto"/>
            <w:noWrap/>
            <w:vAlign w:val="bottom"/>
            <w:hideMark/>
          </w:tcPr>
          <w:p w14:paraId="5BFC5A07"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7B16B287" w14:textId="77777777" w:rsidR="00A5416A" w:rsidRPr="00A5416A" w:rsidRDefault="00A5416A" w:rsidP="00E937A0">
            <w:pPr>
              <w:spacing w:after="0" w:line="276" w:lineRule="auto"/>
              <w:rPr>
                <w:rFonts w:eastAsia="Times New Roman" w:cs="Times New Roman"/>
                <w:b/>
                <w:bCs/>
                <w:color w:val="000000"/>
                <w:szCs w:val="24"/>
              </w:rPr>
            </w:pPr>
            <w:r w:rsidRPr="00A5416A">
              <w:rPr>
                <w:rFonts w:eastAsia="Times New Roman" w:cs="Times New Roman"/>
                <w:b/>
                <w:bCs/>
                <w:color w:val="000000"/>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30CBEC24" w14:textId="77777777" w:rsidR="00A5416A" w:rsidRPr="00A5416A" w:rsidRDefault="00A5416A" w:rsidP="00E937A0">
            <w:pPr>
              <w:spacing w:after="0" w:line="276" w:lineRule="auto"/>
              <w:jc w:val="right"/>
              <w:rPr>
                <w:rFonts w:eastAsia="Times New Roman" w:cs="Times New Roman"/>
                <w:b/>
                <w:bCs/>
                <w:color w:val="000000"/>
                <w:szCs w:val="24"/>
                <w:u w:val="double"/>
              </w:rPr>
            </w:pPr>
            <w:r w:rsidRPr="00A5416A">
              <w:rPr>
                <w:rFonts w:eastAsia="Times New Roman" w:cs="Times New Roman"/>
                <w:b/>
                <w:bCs/>
                <w:color w:val="000000"/>
                <w:szCs w:val="24"/>
                <w:u w:val="double"/>
              </w:rPr>
              <w:t>50928</w:t>
            </w:r>
          </w:p>
        </w:tc>
      </w:tr>
    </w:tbl>
    <w:p w14:paraId="147CFC27" w14:textId="77777777" w:rsidR="00A5416A" w:rsidRDefault="00A5416A"/>
    <w:p w14:paraId="19E22A61" w14:textId="77777777" w:rsidR="00A5416A" w:rsidRDefault="00A5416A">
      <w:pPr>
        <w:sectPr w:rsidR="00A5416A">
          <w:pgSz w:w="12240" w:h="15840"/>
          <w:pgMar w:top="1440" w:right="1440" w:bottom="1440" w:left="1440" w:header="720" w:footer="720" w:gutter="0"/>
          <w:cols w:space="720"/>
          <w:docGrid w:linePitch="360"/>
        </w:sectPr>
      </w:pPr>
    </w:p>
    <w:p w14:paraId="14808649" w14:textId="77777777" w:rsidR="00A5416A" w:rsidRDefault="00A5416A" w:rsidP="00A5416A">
      <w:pPr>
        <w:pStyle w:val="Heading1"/>
      </w:pPr>
      <w:bookmarkStart w:id="4" w:name="_Toc107782124"/>
      <w:r>
        <w:lastRenderedPageBreak/>
        <w:t>2. Discussions on Different Accounting Principles and their Relevance to the Preparation and Presentation of Financial Accounts</w:t>
      </w:r>
      <w:bookmarkEnd w:id="4"/>
    </w:p>
    <w:p w14:paraId="21AC5718" w14:textId="77777777" w:rsidR="000E20BB" w:rsidRDefault="00FE1042" w:rsidP="00A5416A">
      <w:r>
        <w:t xml:space="preserve">Accounting is the process of measuring, processing and communicating financial and non-financial information to the interested parties. The goal of accounting is to record and report the financial transactions, financial performance and cash flows of the business. </w:t>
      </w:r>
      <w:r w:rsidR="00987BFA">
        <w:t xml:space="preserve">For this purpose, different types of accounting principles, rules and standards are used. </w:t>
      </w:r>
      <w:r w:rsidR="00634AB9">
        <w:t>These improve the reliability of the financial statements of a business</w:t>
      </w:r>
      <w:r w:rsidR="00D8474A">
        <w:t xml:space="preserve"> (</w:t>
      </w:r>
      <w:proofErr w:type="spellStart"/>
      <w:r w:rsidR="00D8474A" w:rsidRPr="0098588B">
        <w:rPr>
          <w:rFonts w:cs="Times New Roman"/>
          <w:color w:val="222222"/>
          <w:szCs w:val="24"/>
          <w:shd w:val="clear" w:color="auto" w:fill="FFFFFF"/>
        </w:rPr>
        <w:t>Sahaf</w:t>
      </w:r>
      <w:proofErr w:type="spellEnd"/>
      <w:r w:rsidR="00D8474A" w:rsidRPr="0098588B">
        <w:rPr>
          <w:rFonts w:cs="Times New Roman"/>
          <w:color w:val="222222"/>
          <w:szCs w:val="24"/>
          <w:shd w:val="clear" w:color="auto" w:fill="FFFFFF"/>
        </w:rPr>
        <w:t>, 2018</w:t>
      </w:r>
      <w:r w:rsidR="00D8474A">
        <w:rPr>
          <w:rFonts w:cs="Times New Roman"/>
          <w:color w:val="222222"/>
          <w:szCs w:val="24"/>
          <w:shd w:val="clear" w:color="auto" w:fill="FFFFFF"/>
        </w:rPr>
        <w:t>)</w:t>
      </w:r>
      <w:r w:rsidR="00634AB9">
        <w:t xml:space="preserve">. The financial statements like income </w:t>
      </w:r>
      <w:r w:rsidR="006B525E">
        <w:t>statements</w:t>
      </w:r>
      <w:r w:rsidR="00634AB9">
        <w:t xml:space="preserve">, </w:t>
      </w:r>
      <w:r w:rsidR="006B525E">
        <w:t>statements</w:t>
      </w:r>
      <w:r w:rsidR="00634AB9">
        <w:t xml:space="preserve"> of financial position, statements of cash flows and the notes to the financial </w:t>
      </w:r>
      <w:r w:rsidR="006B525E">
        <w:t>statements</w:t>
      </w:r>
      <w:r w:rsidR="00634AB9">
        <w:t xml:space="preserve"> need to be reliable, transparent and accurate. That’s why accountants must follow the rules, </w:t>
      </w:r>
      <w:r w:rsidR="006B525E">
        <w:t>regulations</w:t>
      </w:r>
      <w:r w:rsidR="00634AB9">
        <w:t xml:space="preserve"> and practices. To make the financial statements complete, </w:t>
      </w:r>
      <w:r w:rsidR="006B525E">
        <w:t>comparable</w:t>
      </w:r>
      <w:r w:rsidR="00634AB9">
        <w:t xml:space="preserve"> and consistent, these accounting principles must be followed</w:t>
      </w:r>
      <w:r w:rsidR="00D8474A">
        <w:t xml:space="preserve"> (</w:t>
      </w:r>
      <w:r w:rsidR="00D8474A" w:rsidRPr="0098588B">
        <w:rPr>
          <w:rFonts w:cs="Times New Roman"/>
          <w:color w:val="222222"/>
          <w:szCs w:val="24"/>
          <w:shd w:val="clear" w:color="auto" w:fill="FFFFFF"/>
        </w:rPr>
        <w:t>Choi, and Young, 2015</w:t>
      </w:r>
      <w:r w:rsidR="00D8474A">
        <w:rPr>
          <w:rFonts w:cs="Times New Roman"/>
          <w:color w:val="222222"/>
          <w:szCs w:val="24"/>
          <w:shd w:val="clear" w:color="auto" w:fill="FFFFFF"/>
        </w:rPr>
        <w:t>)</w:t>
      </w:r>
      <w:r w:rsidR="00634AB9">
        <w:t xml:space="preserve">. The accounting </w:t>
      </w:r>
      <w:r w:rsidR="006B525E">
        <w:t>principles</w:t>
      </w:r>
      <w:r w:rsidR="00634AB9">
        <w:t xml:space="preserve"> help businesses to </w:t>
      </w:r>
      <w:r w:rsidR="006B525E">
        <w:t>mitigate</w:t>
      </w:r>
      <w:r w:rsidR="00634AB9">
        <w:t xml:space="preserve"> accounting fraud by identifying the accounting red flags and increasing transparency. The conventional accounting principles followed by businesses all over the world are described below along with their relevance to the preparation and presentation of financial accounts-</w:t>
      </w:r>
    </w:p>
    <w:p w14:paraId="6B95EC83" w14:textId="77777777" w:rsidR="00A5416A" w:rsidRPr="00A57D87" w:rsidRDefault="00A5416A" w:rsidP="00A5416A">
      <w:pPr>
        <w:rPr>
          <w:b/>
        </w:rPr>
      </w:pPr>
      <w:r w:rsidRPr="00A57D87">
        <w:rPr>
          <w:b/>
        </w:rPr>
        <w:t>Consistency</w:t>
      </w:r>
      <w:r w:rsidR="0042495D" w:rsidRPr="00A57D87">
        <w:rPr>
          <w:b/>
        </w:rPr>
        <w:t xml:space="preserve"> Principle</w:t>
      </w:r>
    </w:p>
    <w:p w14:paraId="719F51A7" w14:textId="77777777" w:rsidR="00027B86" w:rsidRDefault="00E937A0" w:rsidP="00A5416A">
      <w:r>
        <w:t>The c</w:t>
      </w:r>
      <w:r w:rsidR="0042495D">
        <w:t xml:space="preserve">onsistency principle is a principle that an accounting method will be used consistently in future accounting periods. </w:t>
      </w:r>
      <w:r w:rsidR="00A57D87">
        <w:t>The consistency principle of accounting states that once a manager adopts an accounting method to use in recordkeeping, he must stick to follow</w:t>
      </w:r>
      <w:r>
        <w:t>ing</w:t>
      </w:r>
      <w:r w:rsidR="00A57D87">
        <w:t xml:space="preserve"> the method consistently throughout future accounting periods</w:t>
      </w:r>
      <w:r w:rsidR="00D8474A">
        <w:t xml:space="preserve"> (</w:t>
      </w:r>
      <w:proofErr w:type="spellStart"/>
      <w:r w:rsidR="00D8474A" w:rsidRPr="0098588B">
        <w:rPr>
          <w:rFonts w:cs="Times New Roman"/>
          <w:color w:val="222222"/>
          <w:szCs w:val="24"/>
          <w:shd w:val="clear" w:color="auto" w:fill="FFFFFF"/>
        </w:rPr>
        <w:t>Oyewo</w:t>
      </w:r>
      <w:proofErr w:type="spellEnd"/>
      <w:r w:rsidR="00D8474A" w:rsidRPr="0098588B">
        <w:rPr>
          <w:rFonts w:cs="Times New Roman"/>
          <w:color w:val="222222"/>
          <w:szCs w:val="24"/>
          <w:shd w:val="clear" w:color="auto" w:fill="FFFFFF"/>
        </w:rPr>
        <w:t>, Vo, and Akinsanmi, 2021</w:t>
      </w:r>
      <w:r w:rsidR="00D8474A">
        <w:rPr>
          <w:rFonts w:cs="Times New Roman"/>
          <w:color w:val="222222"/>
          <w:szCs w:val="24"/>
          <w:shd w:val="clear" w:color="auto" w:fill="FFFFFF"/>
        </w:rPr>
        <w:t>)</w:t>
      </w:r>
      <w:r w:rsidR="00A57D87">
        <w:t xml:space="preserve">. </w:t>
      </w:r>
      <w:r w:rsidR="00027B86">
        <w:t xml:space="preserve">It is such a principle that requires a company to use </w:t>
      </w:r>
      <w:r>
        <w:t xml:space="preserve">the </w:t>
      </w:r>
      <w:r w:rsidR="00027B86">
        <w:t xml:space="preserve">same accounting practices, principles, methods and procedures from one accounting period to another. </w:t>
      </w:r>
      <w:r w:rsidR="00A57D87">
        <w:t xml:space="preserve">Businesses listed under GAAP are required to follow the consistency principles well. </w:t>
      </w:r>
      <w:r w:rsidR="0042495D">
        <w:t>Auditors are concerned about the use of the consistency principle by their clients</w:t>
      </w:r>
      <w:r w:rsidR="00D8474A">
        <w:t xml:space="preserve"> (</w:t>
      </w:r>
      <w:proofErr w:type="spellStart"/>
      <w:r w:rsidR="00D8474A" w:rsidRPr="0098588B">
        <w:rPr>
          <w:rFonts w:cs="Times New Roman"/>
          <w:color w:val="222222"/>
          <w:szCs w:val="24"/>
          <w:shd w:val="clear" w:color="auto" w:fill="FFFFFF"/>
        </w:rPr>
        <w:t>Borker</w:t>
      </w:r>
      <w:proofErr w:type="spellEnd"/>
      <w:r w:rsidR="00D8474A" w:rsidRPr="0098588B">
        <w:rPr>
          <w:rFonts w:cs="Times New Roman"/>
          <w:color w:val="222222"/>
          <w:szCs w:val="24"/>
          <w:shd w:val="clear" w:color="auto" w:fill="FFFFFF"/>
        </w:rPr>
        <w:t>, 2016</w:t>
      </w:r>
      <w:r w:rsidR="00D8474A">
        <w:rPr>
          <w:rFonts w:cs="Times New Roman"/>
          <w:color w:val="222222"/>
          <w:szCs w:val="24"/>
          <w:shd w:val="clear" w:color="auto" w:fill="FFFFFF"/>
        </w:rPr>
        <w:t>)</w:t>
      </w:r>
      <w:r w:rsidR="0042495D">
        <w:t xml:space="preserve">. </w:t>
      </w:r>
      <w:r>
        <w:t>The c</w:t>
      </w:r>
      <w:r w:rsidR="0042495D">
        <w:t xml:space="preserve">onsistency principle helps to compare the financial results of different organisations from period to period. Sometimes the </w:t>
      </w:r>
      <w:r w:rsidR="00A57D87">
        <w:t>managers violate</w:t>
      </w:r>
      <w:r w:rsidR="0042495D">
        <w:t xml:space="preserve"> the consistency principles in order to manipulate the financial results</w:t>
      </w:r>
      <w:r w:rsidR="00A57D87">
        <w:t>. According to the consistency principle, one business cannot use different accounting methods for the same asset class for different periods. If there is any valid reason for using different methods in different periods, that must be disclosed in the financial statements of the business</w:t>
      </w:r>
      <w:r w:rsidR="00726471">
        <w:t xml:space="preserve"> (</w:t>
      </w:r>
      <w:r w:rsidR="00726471" w:rsidRPr="0098588B">
        <w:rPr>
          <w:rFonts w:cs="Times New Roman"/>
          <w:color w:val="222222"/>
          <w:szCs w:val="24"/>
          <w:shd w:val="clear" w:color="auto" w:fill="FFFFFF"/>
        </w:rPr>
        <w:t xml:space="preserve">Diep, </w:t>
      </w:r>
      <w:proofErr w:type="spellStart"/>
      <w:r w:rsidR="00726471" w:rsidRPr="0098588B">
        <w:rPr>
          <w:rFonts w:cs="Times New Roman"/>
          <w:color w:val="222222"/>
          <w:szCs w:val="24"/>
          <w:shd w:val="clear" w:color="auto" w:fill="FFFFFF"/>
        </w:rPr>
        <w:t>Giang</w:t>
      </w:r>
      <w:proofErr w:type="spellEnd"/>
      <w:r w:rsidR="00726471" w:rsidRPr="0098588B">
        <w:rPr>
          <w:rFonts w:cs="Times New Roman"/>
          <w:color w:val="222222"/>
          <w:szCs w:val="24"/>
          <w:shd w:val="clear" w:color="auto" w:fill="FFFFFF"/>
        </w:rPr>
        <w:t>, and Van Minh, 2017</w:t>
      </w:r>
      <w:r w:rsidR="00726471">
        <w:rPr>
          <w:rFonts w:cs="Times New Roman"/>
          <w:color w:val="222222"/>
          <w:szCs w:val="24"/>
          <w:shd w:val="clear" w:color="auto" w:fill="FFFFFF"/>
        </w:rPr>
        <w:t>)</w:t>
      </w:r>
      <w:r w:rsidR="00A57D87">
        <w:t xml:space="preserve">. </w:t>
      </w:r>
    </w:p>
    <w:p w14:paraId="080C5B73" w14:textId="77777777" w:rsidR="0042495D" w:rsidRDefault="00A57D87" w:rsidP="00A5416A">
      <w:r>
        <w:lastRenderedPageBreak/>
        <w:t xml:space="preserve">The consistency in the accounting method is very important because the financial statements of a business of different periods are </w:t>
      </w:r>
      <w:r w:rsidR="00027B86">
        <w:t xml:space="preserve">of similar structure. The managers, creditors, bankers, </w:t>
      </w:r>
      <w:r w:rsidR="00E937A0">
        <w:t xml:space="preserve">and </w:t>
      </w:r>
      <w:r w:rsidR="00027B86">
        <w:t>stakeholders find the financial statements comparable over different financial years. Besides, a consistent method is cost</w:t>
      </w:r>
      <w:r w:rsidR="00E937A0">
        <w:t>-</w:t>
      </w:r>
      <w:r w:rsidR="00027B86">
        <w:t>efficient and less time</w:t>
      </w:r>
      <w:r w:rsidR="00E937A0">
        <w:t>-</w:t>
      </w:r>
      <w:r w:rsidR="00027B86">
        <w:t>consuming. The accountants need only the initial training for using the method. No intermediary training is needed if the consistency principle is used</w:t>
      </w:r>
      <w:r w:rsidR="00726471">
        <w:t xml:space="preserve"> (</w:t>
      </w:r>
      <w:r w:rsidR="00726471" w:rsidRPr="0098588B">
        <w:rPr>
          <w:rFonts w:cs="Times New Roman"/>
          <w:color w:val="222222"/>
          <w:szCs w:val="24"/>
          <w:shd w:val="clear" w:color="auto" w:fill="FFFFFF"/>
        </w:rPr>
        <w:t>Rutherford, 2016</w:t>
      </w:r>
      <w:r w:rsidR="00726471">
        <w:rPr>
          <w:rFonts w:cs="Times New Roman"/>
          <w:color w:val="222222"/>
          <w:szCs w:val="24"/>
          <w:shd w:val="clear" w:color="auto" w:fill="FFFFFF"/>
        </w:rPr>
        <w:t>)</w:t>
      </w:r>
      <w:r w:rsidR="00027B86">
        <w:t>.</w:t>
      </w:r>
    </w:p>
    <w:p w14:paraId="5D1CEDEB" w14:textId="77777777" w:rsidR="00A57D87" w:rsidRDefault="00027B86" w:rsidP="00A5416A">
      <w:r>
        <w:t xml:space="preserve">But there is flexibility that if any business wants to make any change in the accounting method, it must disclose the reasons. These changes are explained in the footnote of the financial statements. This increases the transparency and reliability of the business. </w:t>
      </w:r>
      <w:proofErr w:type="gramStart"/>
      <w:r>
        <w:t>Thus</w:t>
      </w:r>
      <w:proofErr w:type="gramEnd"/>
      <w:r>
        <w:t xml:space="preserve"> the reputation of the business increases. For example, if a business chooses to use the cash basis for accounting purpose</w:t>
      </w:r>
      <w:r w:rsidR="00E937A0">
        <w:t>s</w:t>
      </w:r>
      <w:r>
        <w:t>, it should continue to use cash</w:t>
      </w:r>
      <w:r w:rsidR="00E937A0">
        <w:t>-</w:t>
      </w:r>
      <w:r>
        <w:t xml:space="preserve">based accounting for future periods according to the consistency principle. If the business chooses to use accrual basis accounting, it should continue to do so. In the same way, if a company starts using </w:t>
      </w:r>
      <w:r w:rsidR="00E937A0">
        <w:t xml:space="preserve">the </w:t>
      </w:r>
      <w:r>
        <w:t>FIFO method for inventory record keeping, it should not use the LIFO met</w:t>
      </w:r>
      <w:r w:rsidR="00BA3816">
        <w:t>hod without any logical reason</w:t>
      </w:r>
      <w:r w:rsidR="00726471">
        <w:t xml:space="preserve"> (</w:t>
      </w:r>
      <w:r w:rsidR="00726471">
        <w:rPr>
          <w:rFonts w:cs="Times New Roman"/>
          <w:color w:val="222222"/>
          <w:szCs w:val="24"/>
          <w:shd w:val="clear" w:color="auto" w:fill="FFFFFF"/>
        </w:rPr>
        <w:t>Flood</w:t>
      </w:r>
      <w:r w:rsidR="00726471" w:rsidRPr="0098588B">
        <w:rPr>
          <w:rFonts w:cs="Times New Roman"/>
          <w:color w:val="222222"/>
          <w:szCs w:val="24"/>
          <w:shd w:val="clear" w:color="auto" w:fill="FFFFFF"/>
        </w:rPr>
        <w:t>, 2015</w:t>
      </w:r>
      <w:r w:rsidR="00726471">
        <w:rPr>
          <w:rFonts w:cs="Times New Roman"/>
          <w:color w:val="222222"/>
          <w:szCs w:val="24"/>
          <w:shd w:val="clear" w:color="auto" w:fill="FFFFFF"/>
        </w:rPr>
        <w:t>)</w:t>
      </w:r>
      <w:r w:rsidR="00BA3816">
        <w:t>.</w:t>
      </w:r>
    </w:p>
    <w:p w14:paraId="39E0317B" w14:textId="77777777" w:rsidR="00A57D87" w:rsidRDefault="00A57D87" w:rsidP="00A5416A">
      <w:r>
        <w:t xml:space="preserve">The accountants are motivated to use a consistent accounting method to prevent manipulation in the financial statements. </w:t>
      </w:r>
      <w:r w:rsidR="00BA3816">
        <w:t>So, it can be said that the consistency method is relevant to the preparation and presentation of the financial accounts of businesses all over the world.</w:t>
      </w:r>
    </w:p>
    <w:p w14:paraId="68D6FEBE" w14:textId="77777777" w:rsidR="00A5416A" w:rsidRPr="00D84D80" w:rsidRDefault="00A5416A" w:rsidP="00A5416A">
      <w:pPr>
        <w:rPr>
          <w:b/>
        </w:rPr>
      </w:pPr>
      <w:r w:rsidRPr="00D84D80">
        <w:rPr>
          <w:b/>
        </w:rPr>
        <w:t>Materiality</w:t>
      </w:r>
      <w:r w:rsidR="00D84D80" w:rsidRPr="00D84D80">
        <w:rPr>
          <w:b/>
        </w:rPr>
        <w:t xml:space="preserve"> Principle</w:t>
      </w:r>
    </w:p>
    <w:p w14:paraId="1AF7AEAB" w14:textId="77777777" w:rsidR="00D84D80" w:rsidRDefault="00E937A0" w:rsidP="00A5416A">
      <w:r>
        <w:t>The m</w:t>
      </w:r>
      <w:r w:rsidR="00D84D80">
        <w:t xml:space="preserve">ateriality principle states that a business is allowed to violate another accounting principle if the amount related to the principle is so small that it hardly affects the financial </w:t>
      </w:r>
      <w:proofErr w:type="gramStart"/>
      <w:r w:rsidR="00D84D80">
        <w:t>results</w:t>
      </w:r>
      <w:proofErr w:type="gramEnd"/>
      <w:r w:rsidR="00D84D80">
        <w:t xml:space="preserve"> and the financial statements don’t become misleading. The materiality principle suggests the accountants follow the generally accepted accounting principles except </w:t>
      </w:r>
      <w:r>
        <w:t xml:space="preserve">in </w:t>
      </w:r>
      <w:r w:rsidR="00D84D80">
        <w:t>the situation where there is no difference if the accountants ignore the rules</w:t>
      </w:r>
      <w:r w:rsidR="00726471">
        <w:t xml:space="preserve"> (</w:t>
      </w:r>
      <w:proofErr w:type="spellStart"/>
      <w:r w:rsidR="00726471" w:rsidRPr="0098588B">
        <w:rPr>
          <w:rFonts w:cs="Times New Roman"/>
          <w:color w:val="222222"/>
          <w:szCs w:val="24"/>
          <w:shd w:val="clear" w:color="auto" w:fill="FFFFFF"/>
        </w:rPr>
        <w:t>Stafievskaya</w:t>
      </w:r>
      <w:proofErr w:type="spellEnd"/>
      <w:r w:rsidR="00726471">
        <w:rPr>
          <w:rFonts w:cs="Times New Roman"/>
          <w:color w:val="222222"/>
          <w:szCs w:val="24"/>
          <w:shd w:val="clear" w:color="auto" w:fill="FFFFFF"/>
        </w:rPr>
        <w:t xml:space="preserve"> et al, 2016)</w:t>
      </w:r>
      <w:r w:rsidR="00D84D80">
        <w:t>. If the difference is significant, the financial results become misleading. According to the materiality principle, if any principle is not followed consistently, the net result of the related account does not significantly affec</w:t>
      </w:r>
      <w:r>
        <w:t>t i</w:t>
      </w:r>
      <w:r w:rsidR="00D84D80">
        <w:t>t. As a</w:t>
      </w:r>
      <w:r w:rsidR="0034298E">
        <w:t xml:space="preserve"> </w:t>
      </w:r>
      <w:r w:rsidR="00D84D80">
        <w:t xml:space="preserve">result, the financial statements are not impaired. </w:t>
      </w:r>
      <w:r w:rsidR="0034298E">
        <w:t>So, the materiality principle of accounting says that if the amount of the transaction seems to be immaterial for the business, the business need not treat the transaction in the same way as the material transactions</w:t>
      </w:r>
      <w:r w:rsidR="00726471">
        <w:t xml:space="preserve"> (</w:t>
      </w:r>
      <w:r w:rsidR="00726471" w:rsidRPr="0098588B">
        <w:rPr>
          <w:rFonts w:cs="Times New Roman"/>
          <w:color w:val="222222"/>
          <w:szCs w:val="24"/>
          <w:shd w:val="clear" w:color="auto" w:fill="FFFFFF"/>
        </w:rPr>
        <w:t>Thabit, and Abbas, 2017</w:t>
      </w:r>
      <w:r w:rsidR="00726471">
        <w:rPr>
          <w:rFonts w:cs="Times New Roman"/>
          <w:color w:val="222222"/>
          <w:szCs w:val="24"/>
          <w:shd w:val="clear" w:color="auto" w:fill="FFFFFF"/>
        </w:rPr>
        <w:t>)</w:t>
      </w:r>
      <w:r w:rsidR="0034298E">
        <w:t xml:space="preserve">. </w:t>
      </w:r>
    </w:p>
    <w:p w14:paraId="2AF4A253" w14:textId="77777777" w:rsidR="0034298E" w:rsidRDefault="0034298E" w:rsidP="00A5416A">
      <w:pPr>
        <w:rPr>
          <w:rFonts w:cs="Times New Roman"/>
          <w:szCs w:val="24"/>
          <w:shd w:val="clear" w:color="auto" w:fill="FFFFFF"/>
        </w:rPr>
      </w:pPr>
      <w:r>
        <w:lastRenderedPageBreak/>
        <w:t xml:space="preserve">For example, a chair of a </w:t>
      </w:r>
      <w:r w:rsidRPr="0034298E">
        <w:rPr>
          <w:szCs w:val="24"/>
        </w:rPr>
        <w:t xml:space="preserve">business </w:t>
      </w:r>
      <w:r w:rsidRPr="0034298E">
        <w:rPr>
          <w:rFonts w:cs="Times New Roman"/>
          <w:szCs w:val="24"/>
        </w:rPr>
        <w:t xml:space="preserve">costing </w:t>
      </w:r>
      <w:r w:rsidRPr="0034298E">
        <w:rPr>
          <w:rFonts w:cs="Times New Roman"/>
          <w:szCs w:val="24"/>
          <w:shd w:val="clear" w:color="auto" w:fill="FFFFFF"/>
        </w:rPr>
        <w:t>£10 is an asset</w:t>
      </w:r>
      <w:r>
        <w:rPr>
          <w:rFonts w:cs="Times New Roman"/>
          <w:szCs w:val="24"/>
          <w:shd w:val="clear" w:color="auto" w:fill="FFFFFF"/>
        </w:rPr>
        <w:t xml:space="preserve"> which has a useful life of 10 years. According to the matching principle, the chair should be recorded as an asset in the statement of financial position of the business and then it should be depreciated over the useful life of the chair. So, the annual depreciation expense for the chair will be £1 which will be shown in the income statement. But the materiality principle understands that the amount of the cost of the chair is negligible and the depreciation expenses for the chair are more negligible. Besides, it is more complex to show this negligible amount in different statements over several periods. That’s why; the cost of the chair should be expensed in the income statement of the business in the first year. </w:t>
      </w:r>
    </w:p>
    <w:p w14:paraId="06041995" w14:textId="77777777" w:rsidR="0034298E" w:rsidRDefault="0034298E" w:rsidP="00A5416A">
      <w:r>
        <w:rPr>
          <w:rFonts w:cs="Times New Roman"/>
          <w:szCs w:val="24"/>
          <w:shd w:val="clear" w:color="auto" w:fill="FFFFFF"/>
        </w:rPr>
        <w:t>So, it can be said that the materiality principle is relevant to the preparation and the presentation of the financial accounts of a business.</w:t>
      </w:r>
      <w:r w:rsidR="00912B99">
        <w:rPr>
          <w:rFonts w:cs="Times New Roman"/>
          <w:szCs w:val="24"/>
          <w:shd w:val="clear" w:color="auto" w:fill="FFFFFF"/>
        </w:rPr>
        <w:t xml:space="preserve"> But the users should be careful while applying the materiality principle in the accounting method because </w:t>
      </w:r>
      <w:r w:rsidR="00E937A0">
        <w:rPr>
          <w:rFonts w:cs="Times New Roman"/>
          <w:szCs w:val="24"/>
          <w:shd w:val="clear" w:color="auto" w:fill="FFFFFF"/>
        </w:rPr>
        <w:t xml:space="preserve">the </w:t>
      </w:r>
      <w:r w:rsidR="00912B99">
        <w:rPr>
          <w:rFonts w:cs="Times New Roman"/>
          <w:szCs w:val="24"/>
          <w:shd w:val="clear" w:color="auto" w:fill="FFFFFF"/>
        </w:rPr>
        <w:t xml:space="preserve">determination of the material or significant amount requires professional judgment. The reason is that </w:t>
      </w:r>
      <w:r w:rsidR="00912B99" w:rsidRPr="0034298E">
        <w:rPr>
          <w:rFonts w:cs="Times New Roman"/>
          <w:szCs w:val="24"/>
          <w:shd w:val="clear" w:color="auto" w:fill="FFFFFF"/>
        </w:rPr>
        <w:t>£10</w:t>
      </w:r>
      <w:r w:rsidR="00912B99">
        <w:rPr>
          <w:rFonts w:cs="Times New Roman"/>
          <w:szCs w:val="24"/>
          <w:shd w:val="clear" w:color="auto" w:fill="FFFFFF"/>
        </w:rPr>
        <w:t>00 may be immaterial for a multinational company but may be a significant or material amount for a sole proprietorship business. In this case</w:t>
      </w:r>
      <w:r w:rsidR="00E937A0">
        <w:rPr>
          <w:rFonts w:cs="Times New Roman"/>
          <w:szCs w:val="24"/>
          <w:shd w:val="clear" w:color="auto" w:fill="FFFFFF"/>
        </w:rPr>
        <w:t>,</w:t>
      </w:r>
      <w:r w:rsidR="00912B99">
        <w:rPr>
          <w:rFonts w:cs="Times New Roman"/>
          <w:szCs w:val="24"/>
          <w:shd w:val="clear" w:color="auto" w:fill="FFFFFF"/>
        </w:rPr>
        <w:t xml:space="preserve"> the application of </w:t>
      </w:r>
      <w:r w:rsidR="00E937A0">
        <w:rPr>
          <w:rFonts w:cs="Times New Roman"/>
          <w:szCs w:val="24"/>
          <w:shd w:val="clear" w:color="auto" w:fill="FFFFFF"/>
        </w:rPr>
        <w:t xml:space="preserve">the </w:t>
      </w:r>
      <w:r w:rsidR="00912B99">
        <w:rPr>
          <w:rFonts w:cs="Times New Roman"/>
          <w:szCs w:val="24"/>
          <w:shd w:val="clear" w:color="auto" w:fill="FFFFFF"/>
        </w:rPr>
        <w:t>materiality principle may create misleading results</w:t>
      </w:r>
      <w:r w:rsidR="00726471">
        <w:rPr>
          <w:rFonts w:cs="Times New Roman"/>
          <w:szCs w:val="24"/>
          <w:shd w:val="clear" w:color="auto" w:fill="FFFFFF"/>
        </w:rPr>
        <w:t xml:space="preserve"> (</w:t>
      </w:r>
      <w:r w:rsidR="00726471" w:rsidRPr="0098588B">
        <w:rPr>
          <w:rFonts w:cs="Times New Roman"/>
          <w:color w:val="222222"/>
          <w:szCs w:val="24"/>
          <w:shd w:val="clear" w:color="auto" w:fill="FFFFFF"/>
        </w:rPr>
        <w:t xml:space="preserve">Burger, and </w:t>
      </w:r>
      <w:proofErr w:type="spellStart"/>
      <w:r w:rsidR="00726471" w:rsidRPr="0098588B">
        <w:rPr>
          <w:rFonts w:cs="Times New Roman"/>
          <w:color w:val="222222"/>
          <w:szCs w:val="24"/>
          <w:shd w:val="clear" w:color="auto" w:fill="FFFFFF"/>
        </w:rPr>
        <w:t>Middelberg</w:t>
      </w:r>
      <w:proofErr w:type="spellEnd"/>
      <w:r w:rsidR="00726471" w:rsidRPr="0098588B">
        <w:rPr>
          <w:rFonts w:cs="Times New Roman"/>
          <w:color w:val="222222"/>
          <w:szCs w:val="24"/>
          <w:shd w:val="clear" w:color="auto" w:fill="FFFFFF"/>
        </w:rPr>
        <w:t>, 2018</w:t>
      </w:r>
      <w:r w:rsidR="00726471">
        <w:rPr>
          <w:rFonts w:cs="Times New Roman"/>
          <w:color w:val="222222"/>
          <w:szCs w:val="24"/>
          <w:shd w:val="clear" w:color="auto" w:fill="FFFFFF"/>
        </w:rPr>
        <w:t>)</w:t>
      </w:r>
      <w:r w:rsidR="00912B99">
        <w:rPr>
          <w:rFonts w:cs="Times New Roman"/>
          <w:szCs w:val="24"/>
          <w:shd w:val="clear" w:color="auto" w:fill="FFFFFF"/>
        </w:rPr>
        <w:t xml:space="preserve">. </w:t>
      </w:r>
    </w:p>
    <w:p w14:paraId="66560AEB" w14:textId="77777777" w:rsidR="00A5416A" w:rsidRPr="00A80B1B" w:rsidRDefault="00A5416A" w:rsidP="00A5416A">
      <w:pPr>
        <w:rPr>
          <w:b/>
        </w:rPr>
      </w:pPr>
      <w:r w:rsidRPr="00A80B1B">
        <w:rPr>
          <w:b/>
        </w:rPr>
        <w:t>Monetary Unit</w:t>
      </w:r>
      <w:r w:rsidR="00274428">
        <w:rPr>
          <w:b/>
        </w:rPr>
        <w:t xml:space="preserve"> Principle</w:t>
      </w:r>
    </w:p>
    <w:p w14:paraId="0DEDD681" w14:textId="77777777" w:rsidR="00274428" w:rsidRDefault="006B525E" w:rsidP="00A5416A">
      <w:r>
        <w:t xml:space="preserve">Money is treated as a unit of measurement. </w:t>
      </w:r>
      <w:r w:rsidR="00E937A0">
        <w:t>The m</w:t>
      </w:r>
      <w:r w:rsidR="00A80B1B">
        <w:t xml:space="preserve">onetary unit principle of accounting states that accountants should record only those business transactions that can be converted and expressed in monetary terms. </w:t>
      </w:r>
      <w:r w:rsidR="00274428">
        <w:t xml:space="preserve">All transactions of a business are measured in monetary units and are recorded in the financial books or accounting books. Without the application of </w:t>
      </w:r>
      <w:r w:rsidR="00E937A0">
        <w:t xml:space="preserve">the </w:t>
      </w:r>
      <w:r w:rsidR="00274428">
        <w:t>monetary unit principle, the modern bookkeeping system would be invalid</w:t>
      </w:r>
      <w:r w:rsidR="00726471">
        <w:t xml:space="preserve"> (</w:t>
      </w:r>
      <w:r w:rsidR="00726471" w:rsidRPr="0098588B">
        <w:rPr>
          <w:rFonts w:cs="Times New Roman"/>
          <w:color w:val="222222"/>
          <w:szCs w:val="24"/>
          <w:shd w:val="clear" w:color="auto" w:fill="FFFFFF"/>
        </w:rPr>
        <w:t>Ruppel, 2017</w:t>
      </w:r>
      <w:r w:rsidR="00726471">
        <w:rPr>
          <w:rFonts w:cs="Times New Roman"/>
          <w:color w:val="222222"/>
          <w:szCs w:val="24"/>
          <w:shd w:val="clear" w:color="auto" w:fill="FFFFFF"/>
        </w:rPr>
        <w:t>)</w:t>
      </w:r>
      <w:r w:rsidR="00274428">
        <w:t xml:space="preserve">. So, in the preparation and the presentation of financial statements, the monetary unit principle is relevant. </w:t>
      </w:r>
    </w:p>
    <w:p w14:paraId="784AD360" w14:textId="77777777" w:rsidR="00FE1042" w:rsidRDefault="00E937A0" w:rsidP="00A5416A">
      <w:r>
        <w:t>A m</w:t>
      </w:r>
      <w:r w:rsidR="00A80B1B">
        <w:t>onetary unit assumes that the value of the currency remains stable over time. But in the inflationary economic system in the world, the assumption of the monetary unit principl</w:t>
      </w:r>
      <w:r w:rsidR="006B525E">
        <w:t xml:space="preserve">e is not suitable and reliable because a unit of </w:t>
      </w:r>
      <w:r>
        <w:t xml:space="preserve">the </w:t>
      </w:r>
      <w:r w:rsidR="006B525E">
        <w:t xml:space="preserve">currency earned 15 years ago is not </w:t>
      </w:r>
      <w:proofErr w:type="gramStart"/>
      <w:r w:rsidR="006B525E">
        <w:t>similar to</w:t>
      </w:r>
      <w:proofErr w:type="gramEnd"/>
      <w:r w:rsidR="006B525E">
        <w:t xml:space="preserve"> the value of a unit of </w:t>
      </w:r>
      <w:r>
        <w:t xml:space="preserve">the </w:t>
      </w:r>
      <w:r w:rsidR="006B525E">
        <w:t xml:space="preserve">currency earned today. The reason is that the purchasing power of the unit of currency has decreased. So, in </w:t>
      </w:r>
      <w:r>
        <w:t>a</w:t>
      </w:r>
      <w:r w:rsidR="006B525E">
        <w:t xml:space="preserve"> hyperinflationary situation, the amount of assets needs to be adjusted </w:t>
      </w:r>
      <w:r>
        <w:t>regularly</w:t>
      </w:r>
      <w:r w:rsidR="006B525E">
        <w:t xml:space="preserve"> to get rid of the limitation of the monetary unit principle</w:t>
      </w:r>
      <w:r w:rsidR="00726471">
        <w:t xml:space="preserve"> (</w:t>
      </w:r>
      <w:r w:rsidR="00726471" w:rsidRPr="0098588B">
        <w:rPr>
          <w:rFonts w:cs="Times New Roman"/>
          <w:color w:val="222222"/>
          <w:szCs w:val="24"/>
          <w:shd w:val="clear" w:color="auto" w:fill="FFFFFF"/>
        </w:rPr>
        <w:t>Zeff, 2015</w:t>
      </w:r>
      <w:r w:rsidR="00726471">
        <w:rPr>
          <w:rFonts w:cs="Times New Roman"/>
          <w:color w:val="222222"/>
          <w:szCs w:val="24"/>
          <w:shd w:val="clear" w:color="auto" w:fill="FFFFFF"/>
        </w:rPr>
        <w:t>)</w:t>
      </w:r>
      <w:r w:rsidR="006B525E">
        <w:t xml:space="preserve">. </w:t>
      </w:r>
      <w:r w:rsidR="00274428">
        <w:lastRenderedPageBreak/>
        <w:t xml:space="preserve">Sometimes, the principle brings complexities when it </w:t>
      </w:r>
      <w:r w:rsidR="005D4D40">
        <w:t>cannot</w:t>
      </w:r>
      <w:r w:rsidR="00274428">
        <w:t xml:space="preserve"> be possible to express some valuable items in monetary terms. </w:t>
      </w:r>
    </w:p>
    <w:p w14:paraId="699BF2C6" w14:textId="77777777" w:rsidR="00A80B1B" w:rsidRDefault="00A80B1B" w:rsidP="00A5416A">
      <w:r>
        <w:t xml:space="preserve">Due to the monetary unit principle of accounting, many unquantifiable items which are valuable to the business </w:t>
      </w:r>
      <w:r w:rsidR="00274428">
        <w:t>cannot</w:t>
      </w:r>
      <w:r>
        <w:t xml:space="preserve"> be recorded in the accounting books. The items include the quality of customer service, employee skill, </w:t>
      </w:r>
      <w:r w:rsidR="00E937A0">
        <w:t xml:space="preserve">the </w:t>
      </w:r>
      <w:r>
        <w:t xml:space="preserve">ingenuity of the engineering staff, valuable speech given by the CEO that increases the efficiency of the employees </w:t>
      </w:r>
      <w:proofErr w:type="spellStart"/>
      <w:r>
        <w:t>etc</w:t>
      </w:r>
      <w:proofErr w:type="spellEnd"/>
      <w:r w:rsidR="00726471">
        <w:t xml:space="preserve"> (</w:t>
      </w:r>
      <w:proofErr w:type="spellStart"/>
      <w:r w:rsidR="00726471" w:rsidRPr="0098588B">
        <w:rPr>
          <w:rFonts w:cs="Times New Roman"/>
          <w:color w:val="222222"/>
          <w:szCs w:val="24"/>
          <w:shd w:val="clear" w:color="auto" w:fill="FFFFFF"/>
        </w:rPr>
        <w:t>Hermason</w:t>
      </w:r>
      <w:proofErr w:type="spellEnd"/>
      <w:r w:rsidR="00726471" w:rsidRPr="0098588B">
        <w:rPr>
          <w:rFonts w:cs="Times New Roman"/>
          <w:color w:val="222222"/>
          <w:szCs w:val="24"/>
          <w:shd w:val="clear" w:color="auto" w:fill="FFFFFF"/>
        </w:rPr>
        <w:t>, Edwards, and Maher, 2016</w:t>
      </w:r>
      <w:r w:rsidR="00726471">
        <w:rPr>
          <w:rFonts w:cs="Times New Roman"/>
          <w:color w:val="222222"/>
          <w:szCs w:val="24"/>
          <w:shd w:val="clear" w:color="auto" w:fill="FFFFFF"/>
        </w:rPr>
        <w:t>)</w:t>
      </w:r>
      <w:r>
        <w:t xml:space="preserve">. </w:t>
      </w:r>
    </w:p>
    <w:p w14:paraId="1EBD7B29" w14:textId="77777777" w:rsidR="006B525E" w:rsidRDefault="006B525E" w:rsidP="00A5416A">
      <w:r>
        <w:t xml:space="preserve">The monetary unit principle is a principle that is universally </w:t>
      </w:r>
      <w:proofErr w:type="spellStart"/>
      <w:r>
        <w:t>recogni</w:t>
      </w:r>
      <w:r w:rsidR="00274428">
        <w:t>sed</w:t>
      </w:r>
      <w:proofErr w:type="spellEnd"/>
      <w:r w:rsidR="00274428">
        <w:t xml:space="preserve"> to communicate financial information. So, it is necessary to comply with the monetary unit principle while recording the financial activities of the business in the financial statements</w:t>
      </w:r>
      <w:r w:rsidR="00726471">
        <w:t xml:space="preserve"> (</w:t>
      </w:r>
      <w:r w:rsidR="00726471" w:rsidRPr="0098588B">
        <w:rPr>
          <w:rFonts w:cs="Times New Roman"/>
          <w:color w:val="222222"/>
          <w:szCs w:val="24"/>
          <w:shd w:val="clear" w:color="auto" w:fill="FFFFFF"/>
        </w:rPr>
        <w:t xml:space="preserve">Al </w:t>
      </w:r>
      <w:proofErr w:type="spellStart"/>
      <w:r w:rsidR="00726471" w:rsidRPr="0098588B">
        <w:rPr>
          <w:rFonts w:cs="Times New Roman"/>
          <w:color w:val="222222"/>
          <w:szCs w:val="24"/>
          <w:shd w:val="clear" w:color="auto" w:fill="FFFFFF"/>
        </w:rPr>
        <w:t>Karaawy</w:t>
      </w:r>
      <w:proofErr w:type="spellEnd"/>
      <w:r w:rsidR="00726471" w:rsidRPr="0098588B">
        <w:rPr>
          <w:rFonts w:cs="Times New Roman"/>
          <w:color w:val="222222"/>
          <w:szCs w:val="24"/>
          <w:shd w:val="clear" w:color="auto" w:fill="FFFFFF"/>
        </w:rPr>
        <w:t xml:space="preserve">, and Al </w:t>
      </w:r>
      <w:proofErr w:type="spellStart"/>
      <w:r w:rsidR="00726471" w:rsidRPr="0098588B">
        <w:rPr>
          <w:rFonts w:cs="Times New Roman"/>
          <w:color w:val="222222"/>
          <w:szCs w:val="24"/>
          <w:shd w:val="clear" w:color="auto" w:fill="FFFFFF"/>
        </w:rPr>
        <w:t>Baaj</w:t>
      </w:r>
      <w:proofErr w:type="spellEnd"/>
      <w:r w:rsidR="00726471" w:rsidRPr="0098588B">
        <w:rPr>
          <w:rFonts w:cs="Times New Roman"/>
          <w:color w:val="222222"/>
          <w:szCs w:val="24"/>
          <w:shd w:val="clear" w:color="auto" w:fill="FFFFFF"/>
        </w:rPr>
        <w:t>, 2018</w:t>
      </w:r>
      <w:r w:rsidR="00726471">
        <w:rPr>
          <w:rFonts w:cs="Times New Roman"/>
          <w:color w:val="222222"/>
          <w:szCs w:val="24"/>
          <w:shd w:val="clear" w:color="auto" w:fill="FFFFFF"/>
        </w:rPr>
        <w:t>)</w:t>
      </w:r>
      <w:r w:rsidR="00274428">
        <w:t xml:space="preserve">. </w:t>
      </w:r>
    </w:p>
    <w:p w14:paraId="662A9694" w14:textId="77777777" w:rsidR="00A5416A" w:rsidRPr="00274428" w:rsidRDefault="00A5416A" w:rsidP="00A5416A">
      <w:pPr>
        <w:rPr>
          <w:b/>
        </w:rPr>
      </w:pPr>
      <w:r w:rsidRPr="00274428">
        <w:rPr>
          <w:b/>
        </w:rPr>
        <w:t>Going Concern</w:t>
      </w:r>
      <w:r w:rsidR="00274428" w:rsidRPr="00274428">
        <w:rPr>
          <w:b/>
        </w:rPr>
        <w:t xml:space="preserve"> Principle</w:t>
      </w:r>
    </w:p>
    <w:p w14:paraId="0ADF9EEF" w14:textId="77777777" w:rsidR="00274428" w:rsidRDefault="00AA01F1" w:rsidP="00A5416A">
      <w:r>
        <w:t>According to the going concern principle, it is assumed that an entity will continue its operations for the foreseeable future periods. In other term, the entity will not liquidate its business operations and assets. It is a fundamental principle of accounting. The principle assumes that the business will complete its current plans by using its current assets and meeting its business obligations during and beyond the upcoming fiscal period</w:t>
      </w:r>
      <w:r w:rsidR="00726471">
        <w:t xml:space="preserve"> (</w:t>
      </w:r>
      <w:r w:rsidR="00726471" w:rsidRPr="0098588B">
        <w:rPr>
          <w:rFonts w:cs="Times New Roman"/>
          <w:color w:val="222222"/>
          <w:szCs w:val="24"/>
          <w:shd w:val="clear" w:color="auto" w:fill="FFFFFF"/>
        </w:rPr>
        <w:t>Singleton-Green, 2016</w:t>
      </w:r>
      <w:r w:rsidR="00726471">
        <w:rPr>
          <w:rFonts w:cs="Times New Roman"/>
          <w:color w:val="222222"/>
          <w:szCs w:val="24"/>
          <w:shd w:val="clear" w:color="auto" w:fill="FFFFFF"/>
        </w:rPr>
        <w:t>)</w:t>
      </w:r>
      <w:r>
        <w:t xml:space="preserve">. </w:t>
      </w:r>
      <w:r w:rsidR="009A1B34">
        <w:t xml:space="preserve">The going concern principle is also known as the continuing concern principle. </w:t>
      </w:r>
      <w:r w:rsidR="00BE2C58">
        <w:t>It is an assumption that a business will continue to earn income, use assets and meet liabilities at least in the ne</w:t>
      </w:r>
      <w:r w:rsidR="00E937A0">
        <w:t>x</w:t>
      </w:r>
      <w:r w:rsidR="00BE2C58">
        <w:t>t coming year. A going concern principle allows the accountants to defer the prepaid expenses</w:t>
      </w:r>
      <w:r w:rsidR="00726471">
        <w:t xml:space="preserve"> (</w:t>
      </w:r>
      <w:proofErr w:type="spellStart"/>
      <w:r w:rsidR="00726471" w:rsidRPr="0098588B">
        <w:rPr>
          <w:rFonts w:cs="Times New Roman"/>
          <w:color w:val="222222"/>
          <w:szCs w:val="24"/>
          <w:shd w:val="clear" w:color="auto" w:fill="FFFFFF"/>
        </w:rPr>
        <w:t>Mamić-Sačer</w:t>
      </w:r>
      <w:proofErr w:type="spellEnd"/>
      <w:r w:rsidR="00726471" w:rsidRPr="0098588B">
        <w:rPr>
          <w:rFonts w:cs="Times New Roman"/>
          <w:color w:val="222222"/>
          <w:szCs w:val="24"/>
          <w:shd w:val="clear" w:color="auto" w:fill="FFFFFF"/>
        </w:rPr>
        <w:t>, 2015</w:t>
      </w:r>
      <w:r w:rsidR="00726471">
        <w:rPr>
          <w:rFonts w:cs="Times New Roman"/>
          <w:color w:val="222222"/>
          <w:szCs w:val="24"/>
          <w:shd w:val="clear" w:color="auto" w:fill="FFFFFF"/>
        </w:rPr>
        <w:t>)</w:t>
      </w:r>
      <w:r w:rsidR="00BE2C58">
        <w:t xml:space="preserve">. </w:t>
      </w:r>
    </w:p>
    <w:p w14:paraId="3FE0F145" w14:textId="77777777" w:rsidR="00AA01F1" w:rsidRDefault="00BE2C58" w:rsidP="00A5416A">
      <w:r>
        <w:t xml:space="preserve">Going concern principle has value in determining the value of the assets. If a business </w:t>
      </w:r>
      <w:proofErr w:type="gramStart"/>
      <w:r>
        <w:t>has to</w:t>
      </w:r>
      <w:proofErr w:type="gramEnd"/>
      <w:r>
        <w:t xml:space="preserve"> liquidate its operation in a hurry, it </w:t>
      </w:r>
      <w:r w:rsidR="000C0F40">
        <w:t>cannot</w:t>
      </w:r>
      <w:r>
        <w:t xml:space="preserve"> sell the assets at </w:t>
      </w:r>
      <w:r w:rsidR="00E937A0">
        <w:t>their</w:t>
      </w:r>
      <w:r>
        <w:t xml:space="preserve"> full value or at the optimal selling price. As a result, the company </w:t>
      </w:r>
      <w:proofErr w:type="gramStart"/>
      <w:r>
        <w:t>has to</w:t>
      </w:r>
      <w:proofErr w:type="gramEnd"/>
      <w:r>
        <w:t xml:space="preserve"> sell the assets or business units at </w:t>
      </w:r>
      <w:r w:rsidR="00E937A0">
        <w:t xml:space="preserve">a </w:t>
      </w:r>
      <w:r>
        <w:t xml:space="preserve">lower cost which decreases the value of the business in the absence of </w:t>
      </w:r>
      <w:r w:rsidR="00E937A0">
        <w:t xml:space="preserve">the </w:t>
      </w:r>
      <w:r>
        <w:t>going concern principle of accounting</w:t>
      </w:r>
      <w:r w:rsidR="00726471">
        <w:t xml:space="preserve"> (</w:t>
      </w:r>
      <w:proofErr w:type="spellStart"/>
      <w:r w:rsidR="00726471" w:rsidRPr="0098588B">
        <w:rPr>
          <w:rFonts w:cs="Times New Roman"/>
          <w:color w:val="222222"/>
          <w:szCs w:val="24"/>
          <w:shd w:val="clear" w:color="auto" w:fill="FFFFFF"/>
        </w:rPr>
        <w:t>Hajimoradkhani</w:t>
      </w:r>
      <w:proofErr w:type="spellEnd"/>
      <w:r w:rsidR="00726471" w:rsidRPr="0098588B">
        <w:rPr>
          <w:rFonts w:cs="Times New Roman"/>
          <w:color w:val="222222"/>
          <w:szCs w:val="24"/>
          <w:shd w:val="clear" w:color="auto" w:fill="FFFFFF"/>
        </w:rPr>
        <w:t xml:space="preserve">, and </w:t>
      </w:r>
      <w:proofErr w:type="spellStart"/>
      <w:r w:rsidR="00726471" w:rsidRPr="0098588B">
        <w:rPr>
          <w:rFonts w:cs="Times New Roman"/>
          <w:color w:val="222222"/>
          <w:szCs w:val="24"/>
          <w:shd w:val="clear" w:color="auto" w:fill="FFFFFF"/>
        </w:rPr>
        <w:t>Zare</w:t>
      </w:r>
      <w:proofErr w:type="spellEnd"/>
      <w:r w:rsidR="00726471" w:rsidRPr="0098588B">
        <w:rPr>
          <w:rFonts w:cs="Times New Roman"/>
          <w:color w:val="222222"/>
          <w:szCs w:val="24"/>
          <w:shd w:val="clear" w:color="auto" w:fill="FFFFFF"/>
        </w:rPr>
        <w:t xml:space="preserve"> </w:t>
      </w:r>
      <w:proofErr w:type="spellStart"/>
      <w:r w:rsidR="00726471" w:rsidRPr="0098588B">
        <w:rPr>
          <w:rFonts w:cs="Times New Roman"/>
          <w:color w:val="222222"/>
          <w:szCs w:val="24"/>
          <w:shd w:val="clear" w:color="auto" w:fill="FFFFFF"/>
        </w:rPr>
        <w:t>Ahan</w:t>
      </w:r>
      <w:proofErr w:type="spellEnd"/>
      <w:r w:rsidR="00726471" w:rsidRPr="0098588B">
        <w:rPr>
          <w:rFonts w:cs="Times New Roman"/>
          <w:color w:val="222222"/>
          <w:szCs w:val="24"/>
          <w:shd w:val="clear" w:color="auto" w:fill="FFFFFF"/>
        </w:rPr>
        <w:t xml:space="preserve"> </w:t>
      </w:r>
      <w:proofErr w:type="spellStart"/>
      <w:r w:rsidR="00726471" w:rsidRPr="0098588B">
        <w:rPr>
          <w:rFonts w:cs="Times New Roman"/>
          <w:color w:val="222222"/>
          <w:szCs w:val="24"/>
          <w:shd w:val="clear" w:color="auto" w:fill="FFFFFF"/>
        </w:rPr>
        <w:t>Panjeh</w:t>
      </w:r>
      <w:proofErr w:type="spellEnd"/>
      <w:r w:rsidR="00726471" w:rsidRPr="0098588B">
        <w:rPr>
          <w:rFonts w:cs="Times New Roman"/>
          <w:color w:val="222222"/>
          <w:szCs w:val="24"/>
          <w:shd w:val="clear" w:color="auto" w:fill="FFFFFF"/>
        </w:rPr>
        <w:t>, 2021</w:t>
      </w:r>
      <w:r w:rsidR="00726471">
        <w:rPr>
          <w:rFonts w:cs="Times New Roman"/>
          <w:color w:val="222222"/>
          <w:szCs w:val="24"/>
          <w:shd w:val="clear" w:color="auto" w:fill="FFFFFF"/>
        </w:rPr>
        <w:t>)</w:t>
      </w:r>
      <w:r>
        <w:t xml:space="preserve">. So, the going concern principle is relevant to the preparation and the presentation of the financial accounts of a business. </w:t>
      </w:r>
    </w:p>
    <w:p w14:paraId="3394B19E" w14:textId="77777777" w:rsidR="00AA01F1" w:rsidRDefault="00AA01F1" w:rsidP="00A5416A">
      <w:r>
        <w:t xml:space="preserve">But the auditors may have </w:t>
      </w:r>
      <w:r w:rsidR="00E937A0">
        <w:t xml:space="preserve">a </w:t>
      </w:r>
      <w:r>
        <w:t>question regarding the going concern principle of a business if the auditor finds negative trends in the operating results, denial of trade credit by the suppliers of the company, loan defaults by the company, legal proceedings against the company</w:t>
      </w:r>
      <w:r w:rsidR="00CA1C5F">
        <w:t xml:space="preserve">, declining market </w:t>
      </w:r>
      <w:r w:rsidR="00CA1C5F">
        <w:lastRenderedPageBreak/>
        <w:t>share, inability to get a loan, low current ratio etc. T</w:t>
      </w:r>
      <w:r>
        <w:t xml:space="preserve">hese doubtful transactions may hamper the going concern principle of a business entity. </w:t>
      </w:r>
      <w:r w:rsidR="00CA1C5F">
        <w:t xml:space="preserve">The Securities and Exchange Commission requires the auditors to disclose the going concern status </w:t>
      </w:r>
      <w:r w:rsidR="00D36433">
        <w:t xml:space="preserve">of </w:t>
      </w:r>
      <w:r w:rsidR="00E937A0">
        <w:t xml:space="preserve">the </w:t>
      </w:r>
      <w:r w:rsidR="00D36433">
        <w:t>business</w:t>
      </w:r>
      <w:r w:rsidR="00CA1C5F">
        <w:t xml:space="preserve"> in the financial statements of a publicly traded company</w:t>
      </w:r>
      <w:r w:rsidR="00726471">
        <w:t xml:space="preserve"> (</w:t>
      </w:r>
      <w:proofErr w:type="spellStart"/>
      <w:r w:rsidR="00726471" w:rsidRPr="0098588B">
        <w:rPr>
          <w:rFonts w:cs="Times New Roman"/>
          <w:color w:val="222222"/>
          <w:szCs w:val="24"/>
          <w:shd w:val="clear" w:color="auto" w:fill="FFFFFF"/>
        </w:rPr>
        <w:t>Sahaf</w:t>
      </w:r>
      <w:proofErr w:type="spellEnd"/>
      <w:r w:rsidR="00726471" w:rsidRPr="0098588B">
        <w:rPr>
          <w:rFonts w:cs="Times New Roman"/>
          <w:color w:val="222222"/>
          <w:szCs w:val="24"/>
          <w:shd w:val="clear" w:color="auto" w:fill="FFFFFF"/>
        </w:rPr>
        <w:t>, 2018</w:t>
      </w:r>
      <w:r w:rsidR="00726471">
        <w:rPr>
          <w:rFonts w:cs="Times New Roman"/>
          <w:color w:val="222222"/>
          <w:szCs w:val="24"/>
          <w:shd w:val="clear" w:color="auto" w:fill="FFFFFF"/>
        </w:rPr>
        <w:t>)</w:t>
      </w:r>
      <w:r w:rsidR="00CA1C5F">
        <w:t xml:space="preserve">. </w:t>
      </w:r>
      <w:r w:rsidR="00D36433">
        <w:t xml:space="preserve">The same rule is applicable </w:t>
      </w:r>
      <w:r w:rsidR="00E937A0">
        <w:t>to</w:t>
      </w:r>
      <w:r w:rsidR="00D36433">
        <w:t xml:space="preserve"> private companies also. The auditor needs to disclose the information in the audit report. Due to the doubt or absence of the going concern principle, a business may face different challenges. For example, a business may find that the investors of the company are withdrawing their investments; the business may find that its creditworthiness has declined. Sometimes, the business may need to liquidate its operations early due to the non-cooperation of the related parties</w:t>
      </w:r>
      <w:r w:rsidR="00726471">
        <w:t xml:space="preserve"> (</w:t>
      </w:r>
      <w:proofErr w:type="spellStart"/>
      <w:r w:rsidR="00726471" w:rsidRPr="0098588B">
        <w:rPr>
          <w:rFonts w:cs="Times New Roman"/>
          <w:color w:val="222222"/>
          <w:szCs w:val="24"/>
          <w:shd w:val="clear" w:color="auto" w:fill="FFFFFF"/>
        </w:rPr>
        <w:t>Oyewo</w:t>
      </w:r>
      <w:proofErr w:type="spellEnd"/>
      <w:r w:rsidR="00726471" w:rsidRPr="0098588B">
        <w:rPr>
          <w:rFonts w:cs="Times New Roman"/>
          <w:color w:val="222222"/>
          <w:szCs w:val="24"/>
          <w:shd w:val="clear" w:color="auto" w:fill="FFFFFF"/>
        </w:rPr>
        <w:t>, Vo, and Akinsanmi, 2021</w:t>
      </w:r>
      <w:r w:rsidR="00726471">
        <w:rPr>
          <w:rFonts w:cs="Times New Roman"/>
          <w:color w:val="222222"/>
          <w:szCs w:val="24"/>
          <w:shd w:val="clear" w:color="auto" w:fill="FFFFFF"/>
        </w:rPr>
        <w:t>)</w:t>
      </w:r>
      <w:r w:rsidR="00D36433">
        <w:t>.</w:t>
      </w:r>
    </w:p>
    <w:p w14:paraId="6A6ED429" w14:textId="77777777" w:rsidR="00D36433" w:rsidRDefault="00D36433" w:rsidP="00A5416A">
      <w:r>
        <w:t xml:space="preserve">So, it can be said that </w:t>
      </w:r>
      <w:r w:rsidR="00E937A0">
        <w:t xml:space="preserve">the </w:t>
      </w:r>
      <w:r>
        <w:t xml:space="preserve">going concern principle is one of the most useful and essential principles which are used in </w:t>
      </w:r>
      <w:r w:rsidR="00E937A0">
        <w:t xml:space="preserve">the </w:t>
      </w:r>
      <w:r>
        <w:t xml:space="preserve">accounting process of businesses. From the above discussion, </w:t>
      </w:r>
      <w:proofErr w:type="gramStart"/>
      <w:r>
        <w:t xml:space="preserve">it </w:t>
      </w:r>
      <w:r w:rsidR="0017296D">
        <w:t>is clear that t</w:t>
      </w:r>
      <w:r>
        <w:t>his</w:t>
      </w:r>
      <w:proofErr w:type="gramEnd"/>
      <w:r>
        <w:t xml:space="preserve"> principle affects </w:t>
      </w:r>
      <w:r w:rsidR="0017296D">
        <w:t xml:space="preserve">financial statements greatly. So, the principle is relevant to the preparation and the presentation of the financial accounts of </w:t>
      </w:r>
      <w:r w:rsidR="008244FB">
        <w:t>a business</w:t>
      </w:r>
      <w:r w:rsidR="0017296D">
        <w:t xml:space="preserve">. </w:t>
      </w:r>
    </w:p>
    <w:p w14:paraId="38CE19F6" w14:textId="77777777" w:rsidR="008244FB" w:rsidRPr="008244FB" w:rsidRDefault="008244FB" w:rsidP="00A5416A">
      <w:pPr>
        <w:rPr>
          <w:b/>
          <w:sz w:val="28"/>
          <w:szCs w:val="28"/>
        </w:rPr>
      </w:pPr>
      <w:r w:rsidRPr="008244FB">
        <w:rPr>
          <w:b/>
          <w:sz w:val="28"/>
          <w:szCs w:val="28"/>
        </w:rPr>
        <w:t>Uses of Software in Accounting</w:t>
      </w:r>
    </w:p>
    <w:p w14:paraId="55C6CFE0" w14:textId="77777777" w:rsidR="008244FB" w:rsidRDefault="008244FB" w:rsidP="00A5416A">
      <w:r>
        <w:t>With the expansion of the business, the financial data gets more complex. The management of business accounts becomes prone to errors, time</w:t>
      </w:r>
      <w:r w:rsidR="00E937A0">
        <w:t>-</w:t>
      </w:r>
      <w:r>
        <w:t xml:space="preserve">consuming and confusing in spreadsheets. These problems have been solved by using accounting software. Using accounting software, financial reports can be </w:t>
      </w:r>
      <w:proofErr w:type="gramStart"/>
      <w:r>
        <w:t>auto-generated</w:t>
      </w:r>
      <w:proofErr w:type="gramEnd"/>
      <w:r>
        <w:t xml:space="preserve">. Accounting software can be used in invoicing and billing, online payments, expense tracking, bank reconciliation, project management, inventory management, tax compliance </w:t>
      </w:r>
      <w:proofErr w:type="spellStart"/>
      <w:r>
        <w:t>etc</w:t>
      </w:r>
      <w:proofErr w:type="spellEnd"/>
      <w:r w:rsidR="00726471">
        <w:t xml:space="preserve"> (</w:t>
      </w:r>
      <w:proofErr w:type="spellStart"/>
      <w:r w:rsidR="00726471" w:rsidRPr="0098588B">
        <w:rPr>
          <w:rFonts w:cs="Times New Roman"/>
          <w:color w:val="222222"/>
          <w:szCs w:val="24"/>
          <w:shd w:val="clear" w:color="auto" w:fill="FFFFFF"/>
        </w:rPr>
        <w:t>Borker</w:t>
      </w:r>
      <w:proofErr w:type="spellEnd"/>
      <w:r w:rsidR="00726471" w:rsidRPr="0098588B">
        <w:rPr>
          <w:rFonts w:cs="Times New Roman"/>
          <w:color w:val="222222"/>
          <w:szCs w:val="24"/>
          <w:shd w:val="clear" w:color="auto" w:fill="FFFFFF"/>
        </w:rPr>
        <w:t>, 2016</w:t>
      </w:r>
      <w:r w:rsidR="00726471">
        <w:rPr>
          <w:rFonts w:cs="Times New Roman"/>
          <w:color w:val="222222"/>
          <w:szCs w:val="24"/>
          <w:shd w:val="clear" w:color="auto" w:fill="FFFFFF"/>
        </w:rPr>
        <w:t>)</w:t>
      </w:r>
      <w:r>
        <w:t xml:space="preserve">. All these tasks have been easier than before. </w:t>
      </w:r>
      <w:r w:rsidR="00605B05">
        <w:t xml:space="preserve">The popular accounting software </w:t>
      </w:r>
      <w:r w:rsidR="00E937A0">
        <w:t>is</w:t>
      </w:r>
      <w:r w:rsidR="00605B05">
        <w:t xml:space="preserve"> Oracle </w:t>
      </w:r>
      <w:proofErr w:type="spellStart"/>
      <w:r w:rsidR="00605B05">
        <w:t>Netsuite</w:t>
      </w:r>
      <w:proofErr w:type="spellEnd"/>
      <w:r w:rsidR="00605B05">
        <w:t xml:space="preserve">, Fresh Books, </w:t>
      </w:r>
      <w:proofErr w:type="spellStart"/>
      <w:r w:rsidR="00605B05">
        <w:t>Zoho</w:t>
      </w:r>
      <w:proofErr w:type="spellEnd"/>
      <w:r w:rsidR="00605B05">
        <w:t xml:space="preserve"> Books, GoDaddy, Xero, </w:t>
      </w:r>
      <w:proofErr w:type="spellStart"/>
      <w:r w:rsidR="00605B05">
        <w:t>Melio</w:t>
      </w:r>
      <w:proofErr w:type="spellEnd"/>
      <w:r w:rsidR="00605B05">
        <w:t xml:space="preserve"> etc. </w:t>
      </w:r>
    </w:p>
    <w:p w14:paraId="4721B897" w14:textId="77777777" w:rsidR="00605B05" w:rsidRDefault="00605B05" w:rsidP="00A5416A"/>
    <w:p w14:paraId="73B34820" w14:textId="77777777" w:rsidR="00605B05" w:rsidRDefault="00605B05" w:rsidP="00605B05">
      <w:pPr>
        <w:sectPr w:rsidR="00605B05">
          <w:pgSz w:w="12240" w:h="15840"/>
          <w:pgMar w:top="1440" w:right="1440" w:bottom="1440" w:left="1440" w:header="720" w:footer="720" w:gutter="0"/>
          <w:cols w:space="720"/>
          <w:docGrid w:linePitch="360"/>
        </w:sectPr>
      </w:pPr>
    </w:p>
    <w:p w14:paraId="3FE2FA92" w14:textId="77777777" w:rsidR="00605B05" w:rsidRDefault="00605B05" w:rsidP="00605B05">
      <w:pPr>
        <w:pStyle w:val="Heading1"/>
      </w:pPr>
      <w:bookmarkStart w:id="5" w:name="_Toc107782125"/>
      <w:r>
        <w:lastRenderedPageBreak/>
        <w:t>Conclusion</w:t>
      </w:r>
      <w:bookmarkEnd w:id="5"/>
    </w:p>
    <w:p w14:paraId="01B39221" w14:textId="77777777" w:rsidR="00605B05" w:rsidRDefault="00605B05" w:rsidP="00605B05">
      <w:r>
        <w:t>Accounting is the process of measuring, processing and communicating financial and non-financial information to the interested parties.</w:t>
      </w:r>
      <w:r w:rsidRPr="00501E3D">
        <w:t xml:space="preserve"> </w:t>
      </w:r>
      <w:r>
        <w:t>The goal of accounting is to record and report the financial transactions, financial performance and cash flows of the business.</w:t>
      </w:r>
      <w:r w:rsidRPr="00501E3D">
        <w:t xml:space="preserve"> </w:t>
      </w:r>
      <w:r>
        <w:t>To make the financial statements complete, comparable and consistent, some conventional accounting principles must be followed. Some of the principles are consistency principle, Materiality principle, Monetary Unit Principle, Going Concern Principle etc. The consistency principle of accounting states that once a manager adopts an accounting method to use in recordkeeping, he must stick to follow</w:t>
      </w:r>
      <w:r w:rsidR="00E937A0">
        <w:t>ing</w:t>
      </w:r>
      <w:r>
        <w:t xml:space="preserve"> the method consistently throughout future accounting periods.</w:t>
      </w:r>
      <w:r w:rsidRPr="00501E3D">
        <w:t xml:space="preserve"> </w:t>
      </w:r>
      <w:r w:rsidR="00E937A0">
        <w:t>The m</w:t>
      </w:r>
      <w:r>
        <w:t xml:space="preserve">ateriality principle states that a business is allowed to violate another accounting principle if the amount related to the principle is so small that it hardly affects the financial </w:t>
      </w:r>
      <w:proofErr w:type="gramStart"/>
      <w:r>
        <w:t>results</w:t>
      </w:r>
      <w:proofErr w:type="gramEnd"/>
      <w:r>
        <w:t xml:space="preserve"> and the financial statements don’t become misleading.</w:t>
      </w:r>
      <w:r w:rsidRPr="00501E3D">
        <w:t xml:space="preserve"> </w:t>
      </w:r>
      <w:r w:rsidR="00E937A0">
        <w:t>The m</w:t>
      </w:r>
      <w:r>
        <w:t>onetary unit principle of accounting states that accountants should record only those business transactions that can be converted and expressed in monetary terms.</w:t>
      </w:r>
      <w:r w:rsidRPr="00501E3D">
        <w:t xml:space="preserve"> </w:t>
      </w:r>
      <w:r>
        <w:t xml:space="preserve">The going concern principle assumes that the business will complete its current plans by using its current assets and meeting its business obligations during and beyond the upcoming fiscal period. The tasks of accounting have been easier to be done with the use of different accounting software. </w:t>
      </w:r>
    </w:p>
    <w:p w14:paraId="60F99C5B" w14:textId="77777777" w:rsidR="00605B05" w:rsidRDefault="00605B05" w:rsidP="00A5416A"/>
    <w:p w14:paraId="62F03AE2" w14:textId="77777777" w:rsidR="00726471" w:rsidRDefault="00726471" w:rsidP="00726471">
      <w:pPr>
        <w:pStyle w:val="Heading1"/>
        <w:sectPr w:rsidR="00726471">
          <w:pgSz w:w="12240" w:h="15840"/>
          <w:pgMar w:top="1440" w:right="1440" w:bottom="1440" w:left="1440" w:header="720" w:footer="720" w:gutter="0"/>
          <w:cols w:space="720"/>
          <w:docGrid w:linePitch="360"/>
        </w:sectPr>
      </w:pPr>
    </w:p>
    <w:p w14:paraId="350FC931" w14:textId="77777777" w:rsidR="00726471" w:rsidRDefault="00726471" w:rsidP="00726471">
      <w:pPr>
        <w:pStyle w:val="Heading1"/>
      </w:pPr>
      <w:bookmarkStart w:id="6" w:name="_Toc107782126"/>
      <w:r>
        <w:lastRenderedPageBreak/>
        <w:t>References</w:t>
      </w:r>
      <w:bookmarkEnd w:id="6"/>
    </w:p>
    <w:p w14:paraId="39A63584" w14:textId="77777777" w:rsidR="00726471" w:rsidRPr="0098588B" w:rsidRDefault="00726471" w:rsidP="00726471">
      <w:pPr>
        <w:ind w:left="720" w:hanging="720"/>
        <w:rPr>
          <w:rFonts w:cs="Times New Roman"/>
          <w:color w:val="222222"/>
          <w:szCs w:val="24"/>
          <w:shd w:val="clear" w:color="auto" w:fill="FFFFFF"/>
        </w:rPr>
      </w:pPr>
      <w:r w:rsidRPr="0098588B">
        <w:rPr>
          <w:rFonts w:cs="Times New Roman"/>
          <w:color w:val="222222"/>
          <w:szCs w:val="24"/>
          <w:shd w:val="clear" w:color="auto" w:fill="FFFFFF"/>
        </w:rPr>
        <w:t xml:space="preserve">Al </w:t>
      </w:r>
      <w:proofErr w:type="spellStart"/>
      <w:r w:rsidRPr="0098588B">
        <w:rPr>
          <w:rFonts w:cs="Times New Roman"/>
          <w:color w:val="222222"/>
          <w:szCs w:val="24"/>
          <w:shd w:val="clear" w:color="auto" w:fill="FFFFFF"/>
        </w:rPr>
        <w:t>Karaawy</w:t>
      </w:r>
      <w:proofErr w:type="spellEnd"/>
      <w:r w:rsidRPr="0098588B">
        <w:rPr>
          <w:rFonts w:cs="Times New Roman"/>
          <w:color w:val="222222"/>
          <w:szCs w:val="24"/>
          <w:shd w:val="clear" w:color="auto" w:fill="FFFFFF"/>
        </w:rPr>
        <w:t xml:space="preserve">, N.A.A. and Al </w:t>
      </w:r>
      <w:proofErr w:type="spellStart"/>
      <w:r w:rsidRPr="0098588B">
        <w:rPr>
          <w:rFonts w:cs="Times New Roman"/>
          <w:color w:val="222222"/>
          <w:szCs w:val="24"/>
          <w:shd w:val="clear" w:color="auto" w:fill="FFFFFF"/>
        </w:rPr>
        <w:t>Baaj</w:t>
      </w:r>
      <w:proofErr w:type="spellEnd"/>
      <w:r w:rsidRPr="0098588B">
        <w:rPr>
          <w:rFonts w:cs="Times New Roman"/>
          <w:color w:val="222222"/>
          <w:szCs w:val="24"/>
          <w:shd w:val="clear" w:color="auto" w:fill="FFFFFF"/>
        </w:rPr>
        <w:t>, Q.M.A., 2018. The impact of international taxation systems variations on the application of financial accounting principles. </w:t>
      </w:r>
      <w:r w:rsidRPr="0098588B">
        <w:rPr>
          <w:rFonts w:cs="Times New Roman"/>
          <w:i/>
          <w:iCs/>
          <w:color w:val="222222"/>
          <w:szCs w:val="24"/>
          <w:shd w:val="clear" w:color="auto" w:fill="FFFFFF"/>
        </w:rPr>
        <w:t>Academy of Accounting and Financial Studies Journal</w:t>
      </w:r>
      <w:r w:rsidRPr="0098588B">
        <w:rPr>
          <w:rFonts w:cs="Times New Roman"/>
          <w:color w:val="222222"/>
          <w:szCs w:val="24"/>
          <w:shd w:val="clear" w:color="auto" w:fill="FFFFFF"/>
        </w:rPr>
        <w:t>, </w:t>
      </w:r>
      <w:r w:rsidRPr="0098588B">
        <w:rPr>
          <w:rFonts w:cs="Times New Roman"/>
          <w:i/>
          <w:iCs/>
          <w:color w:val="222222"/>
          <w:szCs w:val="24"/>
          <w:shd w:val="clear" w:color="auto" w:fill="FFFFFF"/>
        </w:rPr>
        <w:t>22</w:t>
      </w:r>
      <w:r w:rsidRPr="0098588B">
        <w:rPr>
          <w:rFonts w:cs="Times New Roman"/>
          <w:color w:val="222222"/>
          <w:szCs w:val="24"/>
          <w:shd w:val="clear" w:color="auto" w:fill="FFFFFF"/>
        </w:rPr>
        <w:t>(2), pp.1-11.</w:t>
      </w:r>
    </w:p>
    <w:p w14:paraId="385FE531" w14:textId="77777777" w:rsidR="00726471" w:rsidRPr="0098588B" w:rsidRDefault="00726471" w:rsidP="00726471">
      <w:pPr>
        <w:ind w:left="720" w:hanging="720"/>
        <w:rPr>
          <w:rFonts w:cs="Times New Roman"/>
          <w:color w:val="222222"/>
          <w:szCs w:val="24"/>
          <w:shd w:val="clear" w:color="auto" w:fill="FFFFFF"/>
        </w:rPr>
      </w:pPr>
      <w:proofErr w:type="spellStart"/>
      <w:r w:rsidRPr="0098588B">
        <w:rPr>
          <w:rFonts w:cs="Times New Roman"/>
          <w:color w:val="222222"/>
          <w:szCs w:val="24"/>
          <w:shd w:val="clear" w:color="auto" w:fill="FFFFFF"/>
        </w:rPr>
        <w:t>Borker</w:t>
      </w:r>
      <w:proofErr w:type="spellEnd"/>
      <w:r w:rsidRPr="0098588B">
        <w:rPr>
          <w:rFonts w:cs="Times New Roman"/>
          <w:color w:val="222222"/>
          <w:szCs w:val="24"/>
          <w:shd w:val="clear" w:color="auto" w:fill="FFFFFF"/>
        </w:rPr>
        <w:t>, D.R., 2016. Global management accounting principles and the worldwide proliferation of IFRS. </w:t>
      </w:r>
      <w:r w:rsidRPr="0098588B">
        <w:rPr>
          <w:rFonts w:cs="Times New Roman"/>
          <w:i/>
          <w:iCs/>
          <w:color w:val="222222"/>
          <w:szCs w:val="24"/>
          <w:shd w:val="clear" w:color="auto" w:fill="FFFFFF"/>
        </w:rPr>
        <w:t>The Business &amp; Management Review</w:t>
      </w:r>
      <w:r w:rsidRPr="0098588B">
        <w:rPr>
          <w:rFonts w:cs="Times New Roman"/>
          <w:color w:val="222222"/>
          <w:szCs w:val="24"/>
          <w:shd w:val="clear" w:color="auto" w:fill="FFFFFF"/>
        </w:rPr>
        <w:t>, </w:t>
      </w:r>
      <w:r w:rsidRPr="0098588B">
        <w:rPr>
          <w:rFonts w:cs="Times New Roman"/>
          <w:i/>
          <w:iCs/>
          <w:color w:val="222222"/>
          <w:szCs w:val="24"/>
          <w:shd w:val="clear" w:color="auto" w:fill="FFFFFF"/>
        </w:rPr>
        <w:t>7</w:t>
      </w:r>
      <w:r w:rsidRPr="0098588B">
        <w:rPr>
          <w:rFonts w:cs="Times New Roman"/>
          <w:color w:val="222222"/>
          <w:szCs w:val="24"/>
          <w:shd w:val="clear" w:color="auto" w:fill="FFFFFF"/>
        </w:rPr>
        <w:t>(3), p.258.</w:t>
      </w:r>
    </w:p>
    <w:p w14:paraId="51E85347" w14:textId="77777777" w:rsidR="00726471" w:rsidRPr="0098588B" w:rsidRDefault="00726471" w:rsidP="00726471">
      <w:pPr>
        <w:ind w:left="720" w:hanging="720"/>
        <w:rPr>
          <w:rFonts w:cs="Times New Roman"/>
          <w:color w:val="222222"/>
          <w:szCs w:val="24"/>
          <w:shd w:val="clear" w:color="auto" w:fill="FFFFFF"/>
        </w:rPr>
      </w:pPr>
      <w:r w:rsidRPr="0098588B">
        <w:rPr>
          <w:rFonts w:cs="Times New Roman"/>
          <w:color w:val="222222"/>
          <w:szCs w:val="24"/>
          <w:shd w:val="clear" w:color="auto" w:fill="FFFFFF"/>
        </w:rPr>
        <w:t xml:space="preserve">Burger, A.B. and </w:t>
      </w:r>
      <w:proofErr w:type="spellStart"/>
      <w:r w:rsidRPr="0098588B">
        <w:rPr>
          <w:rFonts w:cs="Times New Roman"/>
          <w:color w:val="222222"/>
          <w:szCs w:val="24"/>
          <w:shd w:val="clear" w:color="auto" w:fill="FFFFFF"/>
        </w:rPr>
        <w:t>Middelberg</w:t>
      </w:r>
      <w:proofErr w:type="spellEnd"/>
      <w:r w:rsidRPr="0098588B">
        <w:rPr>
          <w:rFonts w:cs="Times New Roman"/>
          <w:color w:val="222222"/>
          <w:szCs w:val="24"/>
          <w:shd w:val="clear" w:color="auto" w:fill="FFFFFF"/>
        </w:rPr>
        <w:t xml:space="preserve">, S.L., 2018. An evaluation of Global Management Accounting Principles in the sustainability of a South African </w:t>
      </w:r>
      <w:proofErr w:type="spellStart"/>
      <w:r w:rsidRPr="0098588B">
        <w:rPr>
          <w:rFonts w:cs="Times New Roman"/>
          <w:color w:val="222222"/>
          <w:szCs w:val="24"/>
          <w:shd w:val="clear" w:color="auto" w:fill="FFFFFF"/>
        </w:rPr>
        <w:t>mechanised</w:t>
      </w:r>
      <w:proofErr w:type="spellEnd"/>
      <w:r w:rsidRPr="0098588B">
        <w:rPr>
          <w:rFonts w:cs="Times New Roman"/>
          <w:color w:val="222222"/>
          <w:szCs w:val="24"/>
          <w:shd w:val="clear" w:color="auto" w:fill="FFFFFF"/>
        </w:rPr>
        <w:t xml:space="preserve"> piggery. </w:t>
      </w:r>
      <w:r w:rsidRPr="0098588B">
        <w:rPr>
          <w:rFonts w:cs="Times New Roman"/>
          <w:i/>
          <w:iCs/>
          <w:color w:val="222222"/>
          <w:szCs w:val="24"/>
          <w:shd w:val="clear" w:color="auto" w:fill="FFFFFF"/>
        </w:rPr>
        <w:t>Journal of Economic and Financial Sciences</w:t>
      </w:r>
      <w:r w:rsidRPr="0098588B">
        <w:rPr>
          <w:rFonts w:cs="Times New Roman"/>
          <w:color w:val="222222"/>
          <w:szCs w:val="24"/>
          <w:shd w:val="clear" w:color="auto" w:fill="FFFFFF"/>
        </w:rPr>
        <w:t>, </w:t>
      </w:r>
      <w:r w:rsidRPr="0098588B">
        <w:rPr>
          <w:rFonts w:cs="Times New Roman"/>
          <w:i/>
          <w:iCs/>
          <w:color w:val="222222"/>
          <w:szCs w:val="24"/>
          <w:shd w:val="clear" w:color="auto" w:fill="FFFFFF"/>
        </w:rPr>
        <w:t>11</w:t>
      </w:r>
      <w:r w:rsidRPr="0098588B">
        <w:rPr>
          <w:rFonts w:cs="Times New Roman"/>
          <w:color w:val="222222"/>
          <w:szCs w:val="24"/>
          <w:shd w:val="clear" w:color="auto" w:fill="FFFFFF"/>
        </w:rPr>
        <w:t>(1), pp.1-9.</w:t>
      </w:r>
    </w:p>
    <w:p w14:paraId="58CFB9C3" w14:textId="77777777" w:rsidR="00726471" w:rsidRPr="0098588B" w:rsidRDefault="00726471" w:rsidP="00726471">
      <w:pPr>
        <w:ind w:left="720" w:hanging="720"/>
        <w:rPr>
          <w:rFonts w:cs="Times New Roman"/>
          <w:szCs w:val="24"/>
        </w:rPr>
      </w:pPr>
      <w:r w:rsidRPr="0098588B">
        <w:rPr>
          <w:rFonts w:cs="Times New Roman"/>
          <w:color w:val="222222"/>
          <w:szCs w:val="24"/>
          <w:shd w:val="clear" w:color="auto" w:fill="FFFFFF"/>
        </w:rPr>
        <w:t>Choi, Y.S. and Young, S., 2015. Transitory earnings components and the two faces of non‐generally accepted accounting principles earnings. </w:t>
      </w:r>
      <w:r w:rsidRPr="0098588B">
        <w:rPr>
          <w:rFonts w:cs="Times New Roman"/>
          <w:i/>
          <w:iCs/>
          <w:color w:val="222222"/>
          <w:szCs w:val="24"/>
          <w:shd w:val="clear" w:color="auto" w:fill="FFFFFF"/>
        </w:rPr>
        <w:t>Accounting &amp; Finance</w:t>
      </w:r>
      <w:r w:rsidRPr="0098588B">
        <w:rPr>
          <w:rFonts w:cs="Times New Roman"/>
          <w:color w:val="222222"/>
          <w:szCs w:val="24"/>
          <w:shd w:val="clear" w:color="auto" w:fill="FFFFFF"/>
        </w:rPr>
        <w:t>, </w:t>
      </w:r>
      <w:r w:rsidRPr="0098588B">
        <w:rPr>
          <w:rFonts w:cs="Times New Roman"/>
          <w:i/>
          <w:iCs/>
          <w:color w:val="222222"/>
          <w:szCs w:val="24"/>
          <w:shd w:val="clear" w:color="auto" w:fill="FFFFFF"/>
        </w:rPr>
        <w:t>55</w:t>
      </w:r>
      <w:r w:rsidRPr="0098588B">
        <w:rPr>
          <w:rFonts w:cs="Times New Roman"/>
          <w:color w:val="222222"/>
          <w:szCs w:val="24"/>
          <w:shd w:val="clear" w:color="auto" w:fill="FFFFFF"/>
        </w:rPr>
        <w:t>(1), pp.75-103.</w:t>
      </w:r>
    </w:p>
    <w:p w14:paraId="3416480E" w14:textId="77777777" w:rsidR="00726471" w:rsidRPr="0098588B" w:rsidRDefault="00726471" w:rsidP="00726471">
      <w:pPr>
        <w:ind w:left="720" w:hanging="720"/>
        <w:rPr>
          <w:rFonts w:cs="Times New Roman"/>
          <w:color w:val="222222"/>
          <w:szCs w:val="24"/>
          <w:shd w:val="clear" w:color="auto" w:fill="FFFFFF"/>
        </w:rPr>
      </w:pPr>
      <w:r w:rsidRPr="0098588B">
        <w:rPr>
          <w:rFonts w:cs="Times New Roman"/>
          <w:color w:val="222222"/>
          <w:szCs w:val="24"/>
          <w:shd w:val="clear" w:color="auto" w:fill="FFFFFF"/>
        </w:rPr>
        <w:t xml:space="preserve">Diep, D.N., </w:t>
      </w:r>
      <w:proofErr w:type="spellStart"/>
      <w:r w:rsidRPr="0098588B">
        <w:rPr>
          <w:rFonts w:cs="Times New Roman"/>
          <w:color w:val="222222"/>
          <w:szCs w:val="24"/>
          <w:shd w:val="clear" w:color="auto" w:fill="FFFFFF"/>
        </w:rPr>
        <w:t>Giang</w:t>
      </w:r>
      <w:proofErr w:type="spellEnd"/>
      <w:r w:rsidRPr="0098588B">
        <w:rPr>
          <w:rFonts w:cs="Times New Roman"/>
          <w:color w:val="222222"/>
          <w:szCs w:val="24"/>
          <w:shd w:val="clear" w:color="auto" w:fill="FFFFFF"/>
        </w:rPr>
        <w:t>, D.H. and Van Minh, N., 2017. Quantum Gauss-Jordan elimination and simulation of accounting principles on quantum computers. </w:t>
      </w:r>
      <w:r w:rsidRPr="0098588B">
        <w:rPr>
          <w:rFonts w:cs="Times New Roman"/>
          <w:i/>
          <w:iCs/>
          <w:color w:val="222222"/>
          <w:szCs w:val="24"/>
          <w:shd w:val="clear" w:color="auto" w:fill="FFFFFF"/>
        </w:rPr>
        <w:t>International Journal of Theoretical Physics</w:t>
      </w:r>
      <w:r w:rsidRPr="0098588B">
        <w:rPr>
          <w:rFonts w:cs="Times New Roman"/>
          <w:color w:val="222222"/>
          <w:szCs w:val="24"/>
          <w:shd w:val="clear" w:color="auto" w:fill="FFFFFF"/>
        </w:rPr>
        <w:t>, </w:t>
      </w:r>
      <w:r w:rsidRPr="0098588B">
        <w:rPr>
          <w:rFonts w:cs="Times New Roman"/>
          <w:i/>
          <w:iCs/>
          <w:color w:val="222222"/>
          <w:szCs w:val="24"/>
          <w:shd w:val="clear" w:color="auto" w:fill="FFFFFF"/>
        </w:rPr>
        <w:t>56</w:t>
      </w:r>
      <w:r w:rsidRPr="0098588B">
        <w:rPr>
          <w:rFonts w:cs="Times New Roman"/>
          <w:color w:val="222222"/>
          <w:szCs w:val="24"/>
          <w:shd w:val="clear" w:color="auto" w:fill="FFFFFF"/>
        </w:rPr>
        <w:t>(6), pp.1948-1960.</w:t>
      </w:r>
    </w:p>
    <w:p w14:paraId="55D70F3C" w14:textId="77777777" w:rsidR="00726471" w:rsidRPr="0098588B" w:rsidRDefault="00726471" w:rsidP="00726471">
      <w:pPr>
        <w:ind w:left="720" w:hanging="720"/>
        <w:rPr>
          <w:rFonts w:cs="Times New Roman"/>
          <w:color w:val="222222"/>
          <w:szCs w:val="24"/>
          <w:shd w:val="clear" w:color="auto" w:fill="FFFFFF"/>
        </w:rPr>
      </w:pPr>
      <w:r w:rsidRPr="0098588B">
        <w:rPr>
          <w:rFonts w:cs="Times New Roman"/>
          <w:color w:val="222222"/>
          <w:szCs w:val="24"/>
          <w:shd w:val="clear" w:color="auto" w:fill="FFFFFF"/>
        </w:rPr>
        <w:t>Flood, J.M., 2015. </w:t>
      </w:r>
      <w:r w:rsidRPr="0098588B">
        <w:rPr>
          <w:rFonts w:cs="Times New Roman"/>
          <w:i/>
          <w:iCs/>
          <w:color w:val="222222"/>
          <w:szCs w:val="24"/>
          <w:shd w:val="clear" w:color="auto" w:fill="FFFFFF"/>
        </w:rPr>
        <w:t>Wiley GAAP 2016: Interpretation and application of generally accepted accounting principles</w:t>
      </w:r>
      <w:r w:rsidRPr="0098588B">
        <w:rPr>
          <w:rFonts w:cs="Times New Roman"/>
          <w:color w:val="222222"/>
          <w:szCs w:val="24"/>
          <w:shd w:val="clear" w:color="auto" w:fill="FFFFFF"/>
        </w:rPr>
        <w:t>. John Wiley &amp; Sons.</w:t>
      </w:r>
    </w:p>
    <w:p w14:paraId="0F842304" w14:textId="77777777" w:rsidR="00726471" w:rsidRPr="0098588B" w:rsidRDefault="00726471" w:rsidP="00726471">
      <w:pPr>
        <w:ind w:left="720" w:hanging="720"/>
        <w:rPr>
          <w:rFonts w:cs="Times New Roman"/>
          <w:color w:val="222222"/>
          <w:szCs w:val="24"/>
          <w:shd w:val="clear" w:color="auto" w:fill="FFFFFF"/>
        </w:rPr>
      </w:pPr>
      <w:proofErr w:type="spellStart"/>
      <w:r w:rsidRPr="0098588B">
        <w:rPr>
          <w:rFonts w:cs="Times New Roman"/>
          <w:color w:val="222222"/>
          <w:szCs w:val="24"/>
          <w:shd w:val="clear" w:color="auto" w:fill="FFFFFF"/>
        </w:rPr>
        <w:t>Hermason</w:t>
      </w:r>
      <w:proofErr w:type="spellEnd"/>
      <w:r w:rsidRPr="0098588B">
        <w:rPr>
          <w:rFonts w:cs="Times New Roman"/>
          <w:color w:val="222222"/>
          <w:szCs w:val="24"/>
          <w:shd w:val="clear" w:color="auto" w:fill="FFFFFF"/>
        </w:rPr>
        <w:t>, R., Edwards, J. and Maher, M., 2016. Accounting Principles: Managerial Accounting.</w:t>
      </w:r>
    </w:p>
    <w:p w14:paraId="5B400A99" w14:textId="77777777" w:rsidR="00726471" w:rsidRPr="0098588B" w:rsidRDefault="00726471" w:rsidP="00726471">
      <w:pPr>
        <w:ind w:left="720" w:hanging="720"/>
        <w:rPr>
          <w:rFonts w:cs="Times New Roman"/>
          <w:color w:val="222222"/>
          <w:szCs w:val="24"/>
          <w:shd w:val="clear" w:color="auto" w:fill="FFFFFF"/>
        </w:rPr>
      </w:pPr>
      <w:proofErr w:type="spellStart"/>
      <w:r w:rsidRPr="0098588B">
        <w:rPr>
          <w:rFonts w:cs="Times New Roman"/>
          <w:color w:val="222222"/>
          <w:szCs w:val="24"/>
          <w:shd w:val="clear" w:color="auto" w:fill="FFFFFF"/>
        </w:rPr>
        <w:t>Mamić-Sačer</w:t>
      </w:r>
      <w:proofErr w:type="spellEnd"/>
      <w:r w:rsidRPr="0098588B">
        <w:rPr>
          <w:rFonts w:cs="Times New Roman"/>
          <w:color w:val="222222"/>
          <w:szCs w:val="24"/>
          <w:shd w:val="clear" w:color="auto" w:fill="FFFFFF"/>
        </w:rPr>
        <w:t>, I., 2015. The regulatory framework of accounting and accounting standard-setting bodies in the European Union member states. </w:t>
      </w:r>
      <w:r w:rsidRPr="0098588B">
        <w:rPr>
          <w:rFonts w:cs="Times New Roman"/>
          <w:i/>
          <w:iCs/>
          <w:color w:val="222222"/>
          <w:szCs w:val="24"/>
          <w:shd w:val="clear" w:color="auto" w:fill="FFFFFF"/>
        </w:rPr>
        <w:t>Financial theory and practice</w:t>
      </w:r>
      <w:r w:rsidRPr="0098588B">
        <w:rPr>
          <w:rFonts w:cs="Times New Roman"/>
          <w:color w:val="222222"/>
          <w:szCs w:val="24"/>
          <w:shd w:val="clear" w:color="auto" w:fill="FFFFFF"/>
        </w:rPr>
        <w:t>, </w:t>
      </w:r>
      <w:r w:rsidRPr="0098588B">
        <w:rPr>
          <w:rFonts w:cs="Times New Roman"/>
          <w:i/>
          <w:iCs/>
          <w:color w:val="222222"/>
          <w:szCs w:val="24"/>
          <w:shd w:val="clear" w:color="auto" w:fill="FFFFFF"/>
        </w:rPr>
        <w:t>39</w:t>
      </w:r>
      <w:r w:rsidRPr="0098588B">
        <w:rPr>
          <w:rFonts w:cs="Times New Roman"/>
          <w:color w:val="222222"/>
          <w:szCs w:val="24"/>
          <w:shd w:val="clear" w:color="auto" w:fill="FFFFFF"/>
        </w:rPr>
        <w:t>(4), pp.393-410.</w:t>
      </w:r>
    </w:p>
    <w:p w14:paraId="290B2903" w14:textId="77777777" w:rsidR="00726471" w:rsidRPr="0098588B" w:rsidRDefault="00726471" w:rsidP="00726471">
      <w:pPr>
        <w:ind w:left="720" w:hanging="720"/>
        <w:rPr>
          <w:rFonts w:cs="Times New Roman"/>
          <w:color w:val="222222"/>
          <w:szCs w:val="24"/>
          <w:shd w:val="clear" w:color="auto" w:fill="FFFFFF"/>
        </w:rPr>
      </w:pPr>
      <w:r w:rsidRPr="0098588B">
        <w:rPr>
          <w:rFonts w:cs="Times New Roman"/>
          <w:color w:val="222222"/>
          <w:szCs w:val="24"/>
          <w:shd w:val="clear" w:color="auto" w:fill="FFFFFF"/>
        </w:rPr>
        <w:t>Ruppel, W., 2017. </w:t>
      </w:r>
      <w:r w:rsidRPr="0098588B">
        <w:rPr>
          <w:rFonts w:cs="Times New Roman"/>
          <w:i/>
          <w:iCs/>
          <w:color w:val="222222"/>
          <w:szCs w:val="24"/>
          <w:shd w:val="clear" w:color="auto" w:fill="FFFFFF"/>
        </w:rPr>
        <w:t>Wiley GAAP for Governments 2017: Interpretation and Application of Generally Accepted Accounting Principles for State and Local Governments</w:t>
      </w:r>
      <w:r w:rsidRPr="0098588B">
        <w:rPr>
          <w:rFonts w:cs="Times New Roman"/>
          <w:color w:val="222222"/>
          <w:szCs w:val="24"/>
          <w:shd w:val="clear" w:color="auto" w:fill="FFFFFF"/>
        </w:rPr>
        <w:t>. John Wiley &amp; Sons.</w:t>
      </w:r>
    </w:p>
    <w:p w14:paraId="2C31214C" w14:textId="77777777" w:rsidR="00726471" w:rsidRPr="0098588B" w:rsidRDefault="00726471" w:rsidP="00726471">
      <w:pPr>
        <w:ind w:left="720" w:hanging="720"/>
        <w:rPr>
          <w:rFonts w:cs="Times New Roman"/>
          <w:color w:val="222222"/>
          <w:szCs w:val="24"/>
          <w:shd w:val="clear" w:color="auto" w:fill="FFFFFF"/>
        </w:rPr>
      </w:pPr>
      <w:r w:rsidRPr="0098588B">
        <w:rPr>
          <w:rFonts w:cs="Times New Roman"/>
          <w:color w:val="222222"/>
          <w:szCs w:val="24"/>
          <w:shd w:val="clear" w:color="auto" w:fill="FFFFFF"/>
        </w:rPr>
        <w:lastRenderedPageBreak/>
        <w:t>Rutherford, B.A., 2016. Articulating accounting principles: Classical accounting theory as the pursuit of “explanation by embodiment”. </w:t>
      </w:r>
      <w:r w:rsidRPr="0098588B">
        <w:rPr>
          <w:rFonts w:cs="Times New Roman"/>
          <w:i/>
          <w:iCs/>
          <w:color w:val="222222"/>
          <w:szCs w:val="24"/>
          <w:shd w:val="clear" w:color="auto" w:fill="FFFFFF"/>
        </w:rPr>
        <w:t>Journal of Applied Accounting Research</w:t>
      </w:r>
      <w:r w:rsidRPr="0098588B">
        <w:rPr>
          <w:rFonts w:cs="Times New Roman"/>
          <w:color w:val="222222"/>
          <w:szCs w:val="24"/>
          <w:shd w:val="clear" w:color="auto" w:fill="FFFFFF"/>
        </w:rPr>
        <w:t>.</w:t>
      </w:r>
    </w:p>
    <w:p w14:paraId="73D725D7" w14:textId="77777777" w:rsidR="00726471" w:rsidRPr="0098588B" w:rsidRDefault="00726471" w:rsidP="00726471">
      <w:pPr>
        <w:ind w:left="720" w:hanging="720"/>
        <w:rPr>
          <w:rFonts w:cs="Times New Roman"/>
          <w:szCs w:val="24"/>
        </w:rPr>
      </w:pPr>
      <w:proofErr w:type="spellStart"/>
      <w:r w:rsidRPr="0098588B">
        <w:rPr>
          <w:rFonts w:cs="Times New Roman"/>
          <w:color w:val="222222"/>
          <w:szCs w:val="24"/>
          <w:shd w:val="clear" w:color="auto" w:fill="FFFFFF"/>
        </w:rPr>
        <w:t>Sahaf</w:t>
      </w:r>
      <w:proofErr w:type="spellEnd"/>
      <w:r w:rsidRPr="0098588B">
        <w:rPr>
          <w:rFonts w:cs="Times New Roman"/>
          <w:color w:val="222222"/>
          <w:szCs w:val="24"/>
          <w:shd w:val="clear" w:color="auto" w:fill="FFFFFF"/>
        </w:rPr>
        <w:t>, M.A., 2018. </w:t>
      </w:r>
      <w:r w:rsidRPr="0098588B">
        <w:rPr>
          <w:rFonts w:cs="Times New Roman"/>
          <w:i/>
          <w:iCs/>
          <w:color w:val="222222"/>
          <w:szCs w:val="24"/>
          <w:shd w:val="clear" w:color="auto" w:fill="FFFFFF"/>
        </w:rPr>
        <w:t>Management Accounting: Principles &amp; Practice</w:t>
      </w:r>
      <w:r w:rsidRPr="0098588B">
        <w:rPr>
          <w:rFonts w:cs="Times New Roman"/>
          <w:color w:val="222222"/>
          <w:szCs w:val="24"/>
          <w:shd w:val="clear" w:color="auto" w:fill="FFFFFF"/>
        </w:rPr>
        <w:t>. Vikas Publishing House.</w:t>
      </w:r>
    </w:p>
    <w:p w14:paraId="1FD3A304" w14:textId="77777777" w:rsidR="00726471" w:rsidRPr="0098588B" w:rsidRDefault="00726471" w:rsidP="00726471">
      <w:pPr>
        <w:ind w:left="720" w:hanging="720"/>
        <w:rPr>
          <w:rFonts w:cs="Times New Roman"/>
          <w:color w:val="222222"/>
          <w:szCs w:val="24"/>
          <w:shd w:val="clear" w:color="auto" w:fill="FFFFFF"/>
        </w:rPr>
      </w:pPr>
      <w:r w:rsidRPr="0098588B">
        <w:rPr>
          <w:rFonts w:cs="Times New Roman"/>
          <w:color w:val="222222"/>
          <w:szCs w:val="24"/>
          <w:shd w:val="clear" w:color="auto" w:fill="FFFFFF"/>
        </w:rPr>
        <w:t>Singleton-Green, B., 2016. Discussion of “articulating accounting principles: Classical accounting theory as the pursuit of ‘explanation by embodiment’”. </w:t>
      </w:r>
      <w:r w:rsidRPr="0098588B">
        <w:rPr>
          <w:rFonts w:cs="Times New Roman"/>
          <w:i/>
          <w:iCs/>
          <w:color w:val="222222"/>
          <w:szCs w:val="24"/>
          <w:shd w:val="clear" w:color="auto" w:fill="FFFFFF"/>
        </w:rPr>
        <w:t>Journal of Applied Accounting Research</w:t>
      </w:r>
      <w:r w:rsidRPr="0098588B">
        <w:rPr>
          <w:rFonts w:cs="Times New Roman"/>
          <w:color w:val="222222"/>
          <w:szCs w:val="24"/>
          <w:shd w:val="clear" w:color="auto" w:fill="FFFFFF"/>
        </w:rPr>
        <w:t>.</w:t>
      </w:r>
    </w:p>
    <w:p w14:paraId="15219850" w14:textId="6D469D3F" w:rsidR="00726471" w:rsidRPr="0098588B" w:rsidRDefault="00726471" w:rsidP="00726471">
      <w:pPr>
        <w:ind w:left="720" w:hanging="720"/>
        <w:rPr>
          <w:rFonts w:cs="Times New Roman"/>
          <w:color w:val="222222"/>
          <w:szCs w:val="24"/>
          <w:shd w:val="clear" w:color="auto" w:fill="FFFFFF"/>
        </w:rPr>
      </w:pPr>
      <w:r w:rsidRPr="0098588B">
        <w:rPr>
          <w:rFonts w:cs="Times New Roman"/>
          <w:color w:val="222222"/>
          <w:szCs w:val="24"/>
          <w:shd w:val="clear" w:color="auto" w:fill="FFFFFF"/>
        </w:rPr>
        <w:t>for accounting risks. </w:t>
      </w:r>
      <w:r w:rsidRPr="0098588B">
        <w:rPr>
          <w:rFonts w:cs="Times New Roman"/>
          <w:i/>
          <w:iCs/>
          <w:color w:val="222222"/>
          <w:szCs w:val="24"/>
          <w:shd w:val="clear" w:color="auto" w:fill="FFFFFF"/>
        </w:rPr>
        <w:t>The Social Sciences (Pakistan)</w:t>
      </w:r>
      <w:r w:rsidRPr="0098588B">
        <w:rPr>
          <w:rFonts w:cs="Times New Roman"/>
          <w:color w:val="222222"/>
          <w:szCs w:val="24"/>
          <w:shd w:val="clear" w:color="auto" w:fill="FFFFFF"/>
        </w:rPr>
        <w:t>, </w:t>
      </w:r>
      <w:r w:rsidRPr="0098588B">
        <w:rPr>
          <w:rFonts w:cs="Times New Roman"/>
          <w:i/>
          <w:iCs/>
          <w:color w:val="222222"/>
          <w:szCs w:val="24"/>
          <w:shd w:val="clear" w:color="auto" w:fill="FFFFFF"/>
        </w:rPr>
        <w:t>11</w:t>
      </w:r>
      <w:r w:rsidRPr="0098588B">
        <w:rPr>
          <w:rFonts w:cs="Times New Roman"/>
          <w:color w:val="222222"/>
          <w:szCs w:val="24"/>
          <w:shd w:val="clear" w:color="auto" w:fill="FFFFFF"/>
        </w:rPr>
        <w:t>(8), pp.1776-1779.</w:t>
      </w:r>
    </w:p>
    <w:p w14:paraId="6AEE5B00" w14:textId="77777777" w:rsidR="00726471" w:rsidRPr="0098588B" w:rsidRDefault="00726471" w:rsidP="00726471">
      <w:pPr>
        <w:ind w:left="720" w:hanging="720"/>
        <w:rPr>
          <w:rFonts w:cs="Times New Roman"/>
          <w:szCs w:val="24"/>
        </w:rPr>
      </w:pPr>
      <w:r w:rsidRPr="0098588B">
        <w:rPr>
          <w:rFonts w:cs="Times New Roman"/>
          <w:color w:val="222222"/>
          <w:szCs w:val="24"/>
          <w:shd w:val="clear" w:color="auto" w:fill="FFFFFF"/>
        </w:rPr>
        <w:t xml:space="preserve">Weygandt, J.J., </w:t>
      </w:r>
      <w:proofErr w:type="spellStart"/>
      <w:r w:rsidRPr="0098588B">
        <w:rPr>
          <w:rFonts w:cs="Times New Roman"/>
          <w:color w:val="222222"/>
          <w:szCs w:val="24"/>
          <w:shd w:val="clear" w:color="auto" w:fill="FFFFFF"/>
        </w:rPr>
        <w:t>Kieso</w:t>
      </w:r>
      <w:proofErr w:type="spellEnd"/>
      <w:r w:rsidRPr="0098588B">
        <w:rPr>
          <w:rFonts w:cs="Times New Roman"/>
          <w:color w:val="222222"/>
          <w:szCs w:val="24"/>
          <w:shd w:val="clear" w:color="auto" w:fill="FFFFFF"/>
        </w:rPr>
        <w:t>, D.E., Kimmel, P.D., Trenholm, B., Warren, V. and Novak, L., 2019. </w:t>
      </w:r>
      <w:r w:rsidRPr="0098588B">
        <w:rPr>
          <w:rFonts w:cs="Times New Roman"/>
          <w:i/>
          <w:iCs/>
          <w:color w:val="222222"/>
          <w:szCs w:val="24"/>
          <w:shd w:val="clear" w:color="auto" w:fill="FFFFFF"/>
        </w:rPr>
        <w:t>Accounting Principles, Volume 2</w:t>
      </w:r>
      <w:r w:rsidRPr="0098588B">
        <w:rPr>
          <w:rFonts w:cs="Times New Roman"/>
          <w:color w:val="222222"/>
          <w:szCs w:val="24"/>
          <w:shd w:val="clear" w:color="auto" w:fill="FFFFFF"/>
        </w:rPr>
        <w:t>. John Wiley &amp; Sons.</w:t>
      </w:r>
    </w:p>
    <w:p w14:paraId="5525F666" w14:textId="77777777" w:rsidR="00726471" w:rsidRPr="0098588B" w:rsidRDefault="00726471" w:rsidP="00726471">
      <w:pPr>
        <w:ind w:left="720" w:hanging="720"/>
        <w:rPr>
          <w:rFonts w:cs="Times New Roman"/>
          <w:color w:val="222222"/>
          <w:szCs w:val="24"/>
          <w:shd w:val="clear" w:color="auto" w:fill="FFFFFF"/>
        </w:rPr>
      </w:pPr>
      <w:r w:rsidRPr="0098588B">
        <w:rPr>
          <w:rFonts w:cs="Times New Roman"/>
          <w:color w:val="222222"/>
          <w:szCs w:val="24"/>
          <w:shd w:val="clear" w:color="auto" w:fill="FFFFFF"/>
        </w:rPr>
        <w:t>Zeff, S.A., 2015. Funds statements: The Accounting Principles Board was twice behind the curve. </w:t>
      </w:r>
      <w:r w:rsidRPr="0098588B">
        <w:rPr>
          <w:rFonts w:cs="Times New Roman"/>
          <w:i/>
          <w:iCs/>
          <w:color w:val="222222"/>
          <w:szCs w:val="24"/>
          <w:shd w:val="clear" w:color="auto" w:fill="FFFFFF"/>
        </w:rPr>
        <w:t>Accounting Historians Journal</w:t>
      </w:r>
      <w:r w:rsidRPr="0098588B">
        <w:rPr>
          <w:rFonts w:cs="Times New Roman"/>
          <w:color w:val="222222"/>
          <w:szCs w:val="24"/>
          <w:shd w:val="clear" w:color="auto" w:fill="FFFFFF"/>
        </w:rPr>
        <w:t>, </w:t>
      </w:r>
      <w:r w:rsidRPr="0098588B">
        <w:rPr>
          <w:rFonts w:cs="Times New Roman"/>
          <w:i/>
          <w:iCs/>
          <w:color w:val="222222"/>
          <w:szCs w:val="24"/>
          <w:shd w:val="clear" w:color="auto" w:fill="FFFFFF"/>
        </w:rPr>
        <w:t>42</w:t>
      </w:r>
      <w:r w:rsidRPr="0098588B">
        <w:rPr>
          <w:rFonts w:cs="Times New Roman"/>
          <w:color w:val="222222"/>
          <w:szCs w:val="24"/>
          <w:shd w:val="clear" w:color="auto" w:fill="FFFFFF"/>
        </w:rPr>
        <w:t>(2), pp.91-102.</w:t>
      </w:r>
    </w:p>
    <w:p w14:paraId="2C6A9A5F" w14:textId="77777777" w:rsidR="00726471" w:rsidRPr="0098588B" w:rsidRDefault="00726471" w:rsidP="00726471">
      <w:pPr>
        <w:ind w:left="720" w:hanging="720"/>
        <w:rPr>
          <w:rFonts w:cs="Times New Roman"/>
          <w:szCs w:val="24"/>
        </w:rPr>
      </w:pPr>
      <w:r w:rsidRPr="0098588B">
        <w:rPr>
          <w:rFonts w:cs="Times New Roman"/>
          <w:color w:val="222222"/>
          <w:szCs w:val="24"/>
          <w:shd w:val="clear" w:color="auto" w:fill="FFFFFF"/>
        </w:rPr>
        <w:t>Zeff, S.A., 2015. The Wheat Study on establishment of accounting principles (1971–72): A historical study. </w:t>
      </w:r>
      <w:r w:rsidRPr="0098588B">
        <w:rPr>
          <w:rFonts w:cs="Times New Roman"/>
          <w:i/>
          <w:iCs/>
          <w:color w:val="222222"/>
          <w:szCs w:val="24"/>
          <w:shd w:val="clear" w:color="auto" w:fill="FFFFFF"/>
        </w:rPr>
        <w:t>Journal of Accounting and Public Policy</w:t>
      </w:r>
      <w:r w:rsidRPr="0098588B">
        <w:rPr>
          <w:rFonts w:cs="Times New Roman"/>
          <w:color w:val="222222"/>
          <w:szCs w:val="24"/>
          <w:shd w:val="clear" w:color="auto" w:fill="FFFFFF"/>
        </w:rPr>
        <w:t>, </w:t>
      </w:r>
      <w:r w:rsidRPr="0098588B">
        <w:rPr>
          <w:rFonts w:cs="Times New Roman"/>
          <w:i/>
          <w:iCs/>
          <w:color w:val="222222"/>
          <w:szCs w:val="24"/>
          <w:shd w:val="clear" w:color="auto" w:fill="FFFFFF"/>
        </w:rPr>
        <w:t>34</w:t>
      </w:r>
      <w:r w:rsidRPr="0098588B">
        <w:rPr>
          <w:rFonts w:cs="Times New Roman"/>
          <w:color w:val="222222"/>
          <w:szCs w:val="24"/>
          <w:shd w:val="clear" w:color="auto" w:fill="FFFFFF"/>
        </w:rPr>
        <w:t>(2), pp.146-174.</w:t>
      </w:r>
    </w:p>
    <w:p w14:paraId="6FFC747F" w14:textId="77777777" w:rsidR="00726471" w:rsidRPr="00A5416A" w:rsidRDefault="00726471" w:rsidP="00A5416A"/>
    <w:sectPr w:rsidR="00726471" w:rsidRPr="00A5416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2B7C6" w14:textId="77777777" w:rsidR="005B1837" w:rsidRDefault="005B1837" w:rsidP="007E5A27">
      <w:pPr>
        <w:spacing w:after="0" w:line="240" w:lineRule="auto"/>
      </w:pPr>
      <w:r>
        <w:separator/>
      </w:r>
    </w:p>
  </w:endnote>
  <w:endnote w:type="continuationSeparator" w:id="0">
    <w:p w14:paraId="75DFF6D9" w14:textId="77777777" w:rsidR="005B1837" w:rsidRDefault="005B1837" w:rsidP="007E5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4283694"/>
      <w:docPartObj>
        <w:docPartGallery w:val="Page Numbers (Bottom of Page)"/>
        <w:docPartUnique/>
      </w:docPartObj>
    </w:sdtPr>
    <w:sdtEndPr>
      <w:rPr>
        <w:noProof/>
      </w:rPr>
    </w:sdtEndPr>
    <w:sdtContent>
      <w:p w14:paraId="5DE12365" w14:textId="77777777" w:rsidR="007E5A27" w:rsidRDefault="007E5A27">
        <w:pPr>
          <w:pStyle w:val="Footer"/>
          <w:jc w:val="right"/>
        </w:pPr>
        <w:r>
          <w:fldChar w:fldCharType="begin"/>
        </w:r>
        <w:r>
          <w:instrText xml:space="preserve"> PAGE   \* MERGEFORMAT </w:instrText>
        </w:r>
        <w:r>
          <w:fldChar w:fldCharType="separate"/>
        </w:r>
        <w:r w:rsidR="00E937A0">
          <w:rPr>
            <w:noProof/>
          </w:rPr>
          <w:t>12</w:t>
        </w:r>
        <w:r>
          <w:rPr>
            <w:noProof/>
          </w:rPr>
          <w:fldChar w:fldCharType="end"/>
        </w:r>
      </w:p>
    </w:sdtContent>
  </w:sdt>
  <w:p w14:paraId="2117B362" w14:textId="77777777" w:rsidR="007E5A27" w:rsidRDefault="007E5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B3691" w14:textId="77777777" w:rsidR="005B1837" w:rsidRDefault="005B1837" w:rsidP="007E5A27">
      <w:pPr>
        <w:spacing w:after="0" w:line="240" w:lineRule="auto"/>
      </w:pPr>
      <w:r>
        <w:separator/>
      </w:r>
    </w:p>
  </w:footnote>
  <w:footnote w:type="continuationSeparator" w:id="0">
    <w:p w14:paraId="7B41ACBF" w14:textId="77777777" w:rsidR="005B1837" w:rsidRDefault="005B1837" w:rsidP="007E5A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94E7D"/>
    <w:multiLevelType w:val="hybridMultilevel"/>
    <w:tmpl w:val="5D54E09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37604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yNDEyNTcysTQ1MTBU0lEKTi0uzszPAykwrQUAmkRR8CwAAAA="/>
  </w:docVars>
  <w:rsids>
    <w:rsidRoot w:val="001D34D5"/>
    <w:rsid w:val="00027B86"/>
    <w:rsid w:val="000C0F40"/>
    <w:rsid w:val="000C5687"/>
    <w:rsid w:val="000E20BB"/>
    <w:rsid w:val="0017296D"/>
    <w:rsid w:val="001D34D5"/>
    <w:rsid w:val="00274428"/>
    <w:rsid w:val="002C1721"/>
    <w:rsid w:val="0034298E"/>
    <w:rsid w:val="003C06D8"/>
    <w:rsid w:val="0042495D"/>
    <w:rsid w:val="005170BA"/>
    <w:rsid w:val="005804C4"/>
    <w:rsid w:val="005B1837"/>
    <w:rsid w:val="005D4D40"/>
    <w:rsid w:val="0060022C"/>
    <w:rsid w:val="00605B05"/>
    <w:rsid w:val="00622005"/>
    <w:rsid w:val="00634AB9"/>
    <w:rsid w:val="006B525E"/>
    <w:rsid w:val="007231DD"/>
    <w:rsid w:val="00726471"/>
    <w:rsid w:val="007E5A27"/>
    <w:rsid w:val="008244FB"/>
    <w:rsid w:val="00912B99"/>
    <w:rsid w:val="00943F18"/>
    <w:rsid w:val="00987BFA"/>
    <w:rsid w:val="009A1B34"/>
    <w:rsid w:val="00A23412"/>
    <w:rsid w:val="00A5416A"/>
    <w:rsid w:val="00A57D87"/>
    <w:rsid w:val="00A72CB2"/>
    <w:rsid w:val="00A80B1B"/>
    <w:rsid w:val="00AA01F1"/>
    <w:rsid w:val="00B8505F"/>
    <w:rsid w:val="00BA3816"/>
    <w:rsid w:val="00BE2C58"/>
    <w:rsid w:val="00CA1C5F"/>
    <w:rsid w:val="00D36433"/>
    <w:rsid w:val="00D8474A"/>
    <w:rsid w:val="00D84D80"/>
    <w:rsid w:val="00DA22D0"/>
    <w:rsid w:val="00E20F15"/>
    <w:rsid w:val="00E937A0"/>
    <w:rsid w:val="00EE549B"/>
    <w:rsid w:val="00FD1B34"/>
    <w:rsid w:val="00FE10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7E9FE"/>
  <w15:docId w15:val="{4DBEBEE9-0901-824B-B1CB-5700B1B43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D8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416A"/>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5416A"/>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416A"/>
    <w:pPr>
      <w:ind w:left="720"/>
      <w:contextualSpacing/>
    </w:pPr>
  </w:style>
  <w:style w:type="character" w:customStyle="1" w:styleId="Heading1Char">
    <w:name w:val="Heading 1 Char"/>
    <w:basedOn w:val="DefaultParagraphFont"/>
    <w:link w:val="Heading1"/>
    <w:uiPriority w:val="9"/>
    <w:rsid w:val="00A5416A"/>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5416A"/>
    <w:rPr>
      <w:rFonts w:ascii="Times New Roman" w:eastAsiaTheme="majorEastAsia" w:hAnsi="Times New Roman" w:cstheme="majorBidi"/>
      <w:b/>
      <w:bCs/>
      <w:color w:val="4F81BD" w:themeColor="accent1"/>
      <w:sz w:val="26"/>
      <w:szCs w:val="26"/>
    </w:rPr>
  </w:style>
  <w:style w:type="paragraph" w:styleId="Header">
    <w:name w:val="header"/>
    <w:basedOn w:val="Normal"/>
    <w:link w:val="HeaderChar"/>
    <w:uiPriority w:val="99"/>
    <w:unhideWhenUsed/>
    <w:rsid w:val="007E5A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5A27"/>
    <w:rPr>
      <w:rFonts w:ascii="Times New Roman" w:hAnsi="Times New Roman"/>
      <w:sz w:val="24"/>
    </w:rPr>
  </w:style>
  <w:style w:type="paragraph" w:styleId="Footer">
    <w:name w:val="footer"/>
    <w:basedOn w:val="Normal"/>
    <w:link w:val="FooterChar"/>
    <w:uiPriority w:val="99"/>
    <w:unhideWhenUsed/>
    <w:rsid w:val="007E5A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5A27"/>
    <w:rPr>
      <w:rFonts w:ascii="Times New Roman" w:hAnsi="Times New Roman"/>
      <w:sz w:val="24"/>
    </w:rPr>
  </w:style>
  <w:style w:type="paragraph" w:styleId="TOCHeading">
    <w:name w:val="TOC Heading"/>
    <w:basedOn w:val="Heading1"/>
    <w:next w:val="Normal"/>
    <w:uiPriority w:val="39"/>
    <w:semiHidden/>
    <w:unhideWhenUsed/>
    <w:qFormat/>
    <w:rsid w:val="007E5A27"/>
    <w:pPr>
      <w:spacing w:line="276" w:lineRule="auto"/>
      <w:jc w:val="left"/>
      <w:outlineLvl w:val="9"/>
    </w:pPr>
    <w:rPr>
      <w:rFonts w:asciiTheme="majorHAnsi" w:hAnsiTheme="majorHAnsi"/>
      <w:lang w:eastAsia="ja-JP"/>
    </w:rPr>
  </w:style>
  <w:style w:type="paragraph" w:styleId="TOC1">
    <w:name w:val="toc 1"/>
    <w:basedOn w:val="Normal"/>
    <w:next w:val="Normal"/>
    <w:autoRedefine/>
    <w:uiPriority w:val="39"/>
    <w:unhideWhenUsed/>
    <w:rsid w:val="007E5A27"/>
    <w:pPr>
      <w:spacing w:after="100"/>
    </w:pPr>
  </w:style>
  <w:style w:type="paragraph" w:styleId="TOC2">
    <w:name w:val="toc 2"/>
    <w:basedOn w:val="Normal"/>
    <w:next w:val="Normal"/>
    <w:autoRedefine/>
    <w:uiPriority w:val="39"/>
    <w:unhideWhenUsed/>
    <w:rsid w:val="007E5A27"/>
    <w:pPr>
      <w:spacing w:after="100"/>
      <w:ind w:left="240"/>
    </w:pPr>
  </w:style>
  <w:style w:type="character" w:styleId="Hyperlink">
    <w:name w:val="Hyperlink"/>
    <w:basedOn w:val="DefaultParagraphFont"/>
    <w:uiPriority w:val="99"/>
    <w:unhideWhenUsed/>
    <w:rsid w:val="007E5A27"/>
    <w:rPr>
      <w:color w:val="0000FF" w:themeColor="hyperlink"/>
      <w:u w:val="single"/>
    </w:rPr>
  </w:style>
  <w:style w:type="paragraph" w:styleId="BalloonText">
    <w:name w:val="Balloon Text"/>
    <w:basedOn w:val="Normal"/>
    <w:link w:val="BalloonTextChar"/>
    <w:uiPriority w:val="99"/>
    <w:semiHidden/>
    <w:unhideWhenUsed/>
    <w:rsid w:val="007E5A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5A2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616717">
      <w:bodyDiv w:val="1"/>
      <w:marLeft w:val="0"/>
      <w:marRight w:val="0"/>
      <w:marTop w:val="0"/>
      <w:marBottom w:val="0"/>
      <w:divBdr>
        <w:top w:val="none" w:sz="0" w:space="0" w:color="auto"/>
        <w:left w:val="none" w:sz="0" w:space="0" w:color="auto"/>
        <w:bottom w:val="none" w:sz="0" w:space="0" w:color="auto"/>
        <w:right w:val="none" w:sz="0" w:space="0" w:color="auto"/>
      </w:divBdr>
    </w:div>
    <w:div w:id="731192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8A7B5B-D403-4295-8468-B69959239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2864</Words>
  <Characters>16328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Sergiu Marian Diaconu (2126929)</cp:lastModifiedBy>
  <cp:revision>3</cp:revision>
  <dcterms:created xsi:type="dcterms:W3CDTF">2022-07-06T20:01:00Z</dcterms:created>
  <dcterms:modified xsi:type="dcterms:W3CDTF">2022-07-10T07:49:00Z</dcterms:modified>
</cp:coreProperties>
</file>