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7CF1D" w14:textId="77777777" w:rsidR="00213D6E" w:rsidRPr="00922363" w:rsidRDefault="00213D6E" w:rsidP="00922363">
      <w:pPr>
        <w:spacing w:line="360" w:lineRule="auto"/>
        <w:jc w:val="center"/>
        <w:rPr>
          <w:rFonts w:ascii="Arial" w:hAnsi="Arial" w:cs="Arial"/>
        </w:rPr>
      </w:pPr>
      <w:r w:rsidRPr="00922363">
        <w:rPr>
          <w:rFonts w:ascii="Arial" w:hAnsi="Arial" w:cs="Arial"/>
          <w:noProof/>
        </w:rPr>
        <w:drawing>
          <wp:inline distT="0" distB="0" distL="0" distR="0" wp14:anchorId="6F37D1D5" wp14:editId="7097B88C">
            <wp:extent cx="2867025" cy="15906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2A333B1A" w14:textId="77777777" w:rsidR="00213D6E" w:rsidRPr="00922363" w:rsidRDefault="00213D6E" w:rsidP="00922363">
      <w:pPr>
        <w:spacing w:line="360" w:lineRule="auto"/>
        <w:jc w:val="center"/>
        <w:rPr>
          <w:rFonts w:ascii="Arial" w:hAnsi="Arial" w:cs="Arial"/>
          <w:sz w:val="28"/>
          <w:szCs w:val="28"/>
        </w:rPr>
      </w:pPr>
      <w:proofErr w:type="spellStart"/>
      <w:r w:rsidRPr="00922363">
        <w:rPr>
          <w:rFonts w:ascii="Arial" w:hAnsi="Arial" w:cs="Arial"/>
          <w:sz w:val="28"/>
          <w:szCs w:val="28"/>
        </w:rPr>
        <w:t>Programme</w:t>
      </w:r>
      <w:proofErr w:type="spellEnd"/>
      <w:r w:rsidRPr="00922363">
        <w:rPr>
          <w:rFonts w:ascii="Arial" w:hAnsi="Arial" w:cs="Arial"/>
          <w:sz w:val="28"/>
          <w:szCs w:val="28"/>
        </w:rPr>
        <w:t xml:space="preserve">: Master of Business Administration </w:t>
      </w:r>
    </w:p>
    <w:p w14:paraId="62C600ED" w14:textId="77777777" w:rsidR="00213D6E" w:rsidRPr="00922363" w:rsidRDefault="00213D6E" w:rsidP="00922363">
      <w:pPr>
        <w:spacing w:line="360" w:lineRule="auto"/>
        <w:jc w:val="center"/>
        <w:rPr>
          <w:rFonts w:ascii="Arial" w:hAnsi="Arial" w:cs="Arial"/>
          <w:sz w:val="28"/>
          <w:szCs w:val="28"/>
        </w:rPr>
      </w:pPr>
      <w:r w:rsidRPr="00922363">
        <w:rPr>
          <w:rFonts w:ascii="Arial" w:hAnsi="Arial" w:cs="Arial"/>
          <w:sz w:val="28"/>
          <w:szCs w:val="28"/>
        </w:rPr>
        <w:t xml:space="preserve">Module: Financial Management </w:t>
      </w:r>
    </w:p>
    <w:p w14:paraId="69C67B27" w14:textId="77777777" w:rsidR="00213D6E" w:rsidRPr="00922363" w:rsidRDefault="00213D6E" w:rsidP="00922363">
      <w:pPr>
        <w:spacing w:line="360" w:lineRule="auto"/>
        <w:jc w:val="center"/>
        <w:rPr>
          <w:rFonts w:ascii="Arial" w:hAnsi="Arial" w:cs="Arial"/>
          <w:sz w:val="28"/>
          <w:szCs w:val="28"/>
        </w:rPr>
      </w:pPr>
      <w:r w:rsidRPr="00922363">
        <w:rPr>
          <w:rFonts w:ascii="Arial" w:hAnsi="Arial" w:cs="Arial"/>
          <w:sz w:val="28"/>
          <w:szCs w:val="28"/>
        </w:rPr>
        <w:t xml:space="preserve">Module code: LCMB7002 </w:t>
      </w:r>
    </w:p>
    <w:p w14:paraId="15111710" w14:textId="77777777" w:rsidR="00213D6E" w:rsidRPr="00922363" w:rsidRDefault="00213D6E" w:rsidP="00922363">
      <w:pPr>
        <w:spacing w:line="360" w:lineRule="auto"/>
        <w:jc w:val="center"/>
        <w:rPr>
          <w:rFonts w:ascii="Arial" w:hAnsi="Arial" w:cs="Arial"/>
          <w:sz w:val="28"/>
          <w:szCs w:val="28"/>
        </w:rPr>
      </w:pPr>
    </w:p>
    <w:p w14:paraId="5D7A3FCA" w14:textId="171A5B0E" w:rsidR="00213D6E" w:rsidRPr="00922363" w:rsidRDefault="00D953A0" w:rsidP="00D953A0">
      <w:pPr>
        <w:spacing w:line="360" w:lineRule="auto"/>
        <w:jc w:val="center"/>
        <w:rPr>
          <w:rFonts w:ascii="Arial" w:hAnsi="Arial" w:cs="Arial"/>
          <w:sz w:val="28"/>
          <w:szCs w:val="28"/>
        </w:rPr>
      </w:pPr>
      <w:r>
        <w:rPr>
          <w:rFonts w:ascii="Arial" w:hAnsi="Arial" w:cs="Arial"/>
          <w:sz w:val="28"/>
          <w:szCs w:val="28"/>
        </w:rPr>
        <w:t xml:space="preserve">Assignment Title: </w:t>
      </w:r>
      <w:r w:rsidR="00213D6E" w:rsidRPr="00922363">
        <w:rPr>
          <w:rFonts w:ascii="Arial" w:hAnsi="Arial" w:cs="Arial"/>
          <w:sz w:val="28"/>
          <w:szCs w:val="28"/>
        </w:rPr>
        <w:t>Financial Analysis of General Electronics</w:t>
      </w:r>
    </w:p>
    <w:p w14:paraId="09BAD525" w14:textId="77777777" w:rsidR="00213D6E" w:rsidRPr="00922363" w:rsidRDefault="00213D6E" w:rsidP="00922363">
      <w:pPr>
        <w:spacing w:line="360" w:lineRule="auto"/>
        <w:jc w:val="center"/>
        <w:rPr>
          <w:rFonts w:ascii="Arial" w:hAnsi="Arial" w:cs="Arial"/>
          <w:sz w:val="28"/>
          <w:szCs w:val="28"/>
        </w:rPr>
      </w:pPr>
    </w:p>
    <w:p w14:paraId="0EB2BB02" w14:textId="3E1D7465" w:rsidR="00213D6E" w:rsidRPr="00922363" w:rsidRDefault="00213D6E" w:rsidP="00922363">
      <w:pPr>
        <w:spacing w:line="360" w:lineRule="auto"/>
        <w:jc w:val="center"/>
        <w:rPr>
          <w:rFonts w:ascii="Arial" w:hAnsi="Arial" w:cs="Arial"/>
          <w:sz w:val="28"/>
          <w:szCs w:val="28"/>
        </w:rPr>
      </w:pPr>
      <w:r w:rsidRPr="00922363">
        <w:rPr>
          <w:rFonts w:ascii="Arial" w:hAnsi="Arial" w:cs="Arial"/>
          <w:sz w:val="28"/>
          <w:szCs w:val="28"/>
        </w:rPr>
        <w:t>Student Name:</w:t>
      </w:r>
      <w:r w:rsidR="00E46A2B">
        <w:rPr>
          <w:rFonts w:ascii="Arial" w:hAnsi="Arial" w:cs="Arial"/>
          <w:sz w:val="28"/>
          <w:szCs w:val="28"/>
        </w:rPr>
        <w:t xml:space="preserve"> </w:t>
      </w:r>
      <w:r w:rsidR="00E46A2B" w:rsidRPr="00E46A2B">
        <w:rPr>
          <w:rFonts w:ascii="Arial" w:hAnsi="Arial" w:cs="Arial"/>
          <w:sz w:val="28"/>
          <w:szCs w:val="28"/>
        </w:rPr>
        <w:t xml:space="preserve">Md </w:t>
      </w:r>
      <w:proofErr w:type="spellStart"/>
      <w:r w:rsidR="00E46A2B" w:rsidRPr="00E46A2B">
        <w:rPr>
          <w:rFonts w:ascii="Arial" w:hAnsi="Arial" w:cs="Arial"/>
          <w:sz w:val="28"/>
          <w:szCs w:val="28"/>
        </w:rPr>
        <w:t>Rabiul</w:t>
      </w:r>
      <w:proofErr w:type="spellEnd"/>
      <w:r w:rsidR="00E46A2B" w:rsidRPr="00E46A2B">
        <w:rPr>
          <w:rFonts w:ascii="Arial" w:hAnsi="Arial" w:cs="Arial"/>
          <w:sz w:val="28"/>
          <w:szCs w:val="28"/>
        </w:rPr>
        <w:t xml:space="preserve"> Hassan</w:t>
      </w:r>
    </w:p>
    <w:p w14:paraId="602BAFD2" w14:textId="77777777" w:rsidR="00213D6E" w:rsidRPr="00922363" w:rsidRDefault="00213D6E" w:rsidP="00922363">
      <w:pPr>
        <w:spacing w:line="360" w:lineRule="auto"/>
        <w:jc w:val="center"/>
        <w:rPr>
          <w:rFonts w:ascii="Arial" w:hAnsi="Arial" w:cs="Arial"/>
          <w:sz w:val="28"/>
          <w:szCs w:val="28"/>
        </w:rPr>
      </w:pPr>
    </w:p>
    <w:p w14:paraId="306B5A3B" w14:textId="5D25D6DD" w:rsidR="00213D6E" w:rsidRPr="00922363" w:rsidRDefault="00213D6E" w:rsidP="00922363">
      <w:pPr>
        <w:spacing w:line="360" w:lineRule="auto"/>
        <w:jc w:val="center"/>
        <w:rPr>
          <w:rFonts w:ascii="Arial" w:hAnsi="Arial" w:cs="Arial"/>
          <w:sz w:val="28"/>
          <w:szCs w:val="28"/>
        </w:rPr>
      </w:pPr>
      <w:r w:rsidRPr="00922363">
        <w:rPr>
          <w:rFonts w:ascii="Arial" w:hAnsi="Arial" w:cs="Arial"/>
          <w:sz w:val="28"/>
          <w:szCs w:val="28"/>
        </w:rPr>
        <w:t>Student ID:</w:t>
      </w:r>
      <w:r w:rsidR="00E46A2B">
        <w:rPr>
          <w:rFonts w:ascii="Arial" w:hAnsi="Arial" w:cs="Arial"/>
          <w:sz w:val="28"/>
          <w:szCs w:val="28"/>
        </w:rPr>
        <w:t xml:space="preserve"> </w:t>
      </w:r>
      <w:r w:rsidR="00E46A2B" w:rsidRPr="00E46A2B">
        <w:rPr>
          <w:rFonts w:ascii="Arial" w:hAnsi="Arial" w:cs="Arial"/>
          <w:sz w:val="28"/>
          <w:szCs w:val="28"/>
        </w:rPr>
        <w:t>2504429</w:t>
      </w:r>
    </w:p>
    <w:p w14:paraId="25231D76" w14:textId="77777777" w:rsidR="00E46A2B" w:rsidRDefault="00E46A2B" w:rsidP="00922363">
      <w:pPr>
        <w:spacing w:line="360" w:lineRule="auto"/>
        <w:jc w:val="center"/>
        <w:rPr>
          <w:rFonts w:ascii="Arial" w:hAnsi="Arial" w:cs="Arial"/>
          <w:sz w:val="28"/>
          <w:szCs w:val="28"/>
        </w:rPr>
      </w:pPr>
    </w:p>
    <w:p w14:paraId="4FE48224" w14:textId="6700CF71" w:rsidR="00213D6E" w:rsidRPr="00922363" w:rsidRDefault="00213D6E" w:rsidP="00922363">
      <w:pPr>
        <w:spacing w:line="360" w:lineRule="auto"/>
        <w:jc w:val="center"/>
        <w:rPr>
          <w:rFonts w:ascii="Arial" w:hAnsi="Arial" w:cs="Arial"/>
          <w:sz w:val="28"/>
          <w:szCs w:val="28"/>
        </w:rPr>
      </w:pPr>
      <w:r w:rsidRPr="00922363">
        <w:rPr>
          <w:rFonts w:ascii="Arial" w:hAnsi="Arial" w:cs="Arial"/>
          <w:sz w:val="28"/>
          <w:szCs w:val="28"/>
        </w:rPr>
        <w:t xml:space="preserve">Lecturer: </w:t>
      </w:r>
      <w:r w:rsidR="00E46A2B" w:rsidRPr="00E46A2B">
        <w:rPr>
          <w:rFonts w:ascii="Arial" w:hAnsi="Arial" w:cs="Arial"/>
          <w:sz w:val="28"/>
          <w:szCs w:val="28"/>
        </w:rPr>
        <w:t xml:space="preserve">Isaiah </w:t>
      </w:r>
      <w:proofErr w:type="spellStart"/>
      <w:r w:rsidR="00E46A2B" w:rsidRPr="00E46A2B">
        <w:rPr>
          <w:rFonts w:ascii="Arial" w:hAnsi="Arial" w:cs="Arial"/>
          <w:sz w:val="28"/>
          <w:szCs w:val="28"/>
        </w:rPr>
        <w:t>Oino</w:t>
      </w:r>
      <w:proofErr w:type="spellEnd"/>
      <w:r w:rsidR="00E46A2B">
        <w:rPr>
          <w:rFonts w:ascii="Arial" w:hAnsi="Arial" w:cs="Arial"/>
          <w:sz w:val="28"/>
          <w:szCs w:val="28"/>
        </w:rPr>
        <w:t xml:space="preserve"> </w:t>
      </w:r>
    </w:p>
    <w:p w14:paraId="14C725C2" w14:textId="77777777" w:rsidR="00213D6E" w:rsidRPr="00922363" w:rsidRDefault="00213D6E" w:rsidP="00922363">
      <w:pPr>
        <w:spacing w:line="360" w:lineRule="auto"/>
        <w:jc w:val="center"/>
        <w:rPr>
          <w:rFonts w:ascii="Arial" w:hAnsi="Arial" w:cs="Arial"/>
          <w:sz w:val="28"/>
          <w:szCs w:val="28"/>
        </w:rPr>
      </w:pPr>
    </w:p>
    <w:p w14:paraId="428869EA" w14:textId="77777777" w:rsidR="00213D6E" w:rsidRPr="00922363" w:rsidRDefault="00213D6E" w:rsidP="00922363">
      <w:pPr>
        <w:spacing w:line="360" w:lineRule="auto"/>
        <w:jc w:val="center"/>
        <w:rPr>
          <w:rFonts w:ascii="Arial" w:hAnsi="Arial" w:cs="Arial"/>
          <w:sz w:val="28"/>
          <w:szCs w:val="28"/>
        </w:rPr>
      </w:pPr>
      <w:r w:rsidRPr="00922363">
        <w:rPr>
          <w:rFonts w:ascii="Arial" w:hAnsi="Arial" w:cs="Arial"/>
          <w:sz w:val="28"/>
          <w:szCs w:val="28"/>
        </w:rPr>
        <w:t>Word Count:</w:t>
      </w:r>
    </w:p>
    <w:p w14:paraId="5F9244CA" w14:textId="77777777" w:rsidR="00213D6E" w:rsidRPr="00922363" w:rsidRDefault="00213D6E" w:rsidP="00922363">
      <w:pPr>
        <w:spacing w:line="360" w:lineRule="auto"/>
        <w:jc w:val="center"/>
        <w:rPr>
          <w:rFonts w:ascii="Arial" w:hAnsi="Arial" w:cs="Arial"/>
        </w:rPr>
      </w:pPr>
    </w:p>
    <w:p w14:paraId="7F46AB0E" w14:textId="77777777" w:rsidR="00432D56" w:rsidRDefault="00432D56">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rPr>
        <w:id w:val="-297079966"/>
        <w:docPartObj>
          <w:docPartGallery w:val="Table of Contents"/>
          <w:docPartUnique/>
        </w:docPartObj>
      </w:sdtPr>
      <w:sdtEndPr>
        <w:rPr>
          <w:b/>
          <w:bCs/>
          <w:noProof/>
        </w:rPr>
      </w:sdtEndPr>
      <w:sdtContent>
        <w:p w14:paraId="1C32427F" w14:textId="36F1D92E" w:rsidR="00432D56" w:rsidRPr="00432D56" w:rsidRDefault="00432D56" w:rsidP="00432D56">
          <w:pPr>
            <w:pStyle w:val="TOCHeading"/>
            <w:spacing w:line="240" w:lineRule="auto"/>
            <w:rPr>
              <w:rFonts w:ascii="Arial" w:hAnsi="Arial" w:cs="Arial"/>
              <w:sz w:val="22"/>
              <w:szCs w:val="22"/>
            </w:rPr>
          </w:pPr>
          <w:r w:rsidRPr="00432D56">
            <w:rPr>
              <w:rFonts w:ascii="Arial" w:hAnsi="Arial" w:cs="Arial"/>
              <w:sz w:val="22"/>
              <w:szCs w:val="22"/>
            </w:rPr>
            <w:t>Table of Contents</w:t>
          </w:r>
        </w:p>
        <w:p w14:paraId="5C86108F" w14:textId="2DBA3BF4" w:rsidR="00432D56" w:rsidRPr="00432D56" w:rsidRDefault="00432D56" w:rsidP="00432D56">
          <w:pPr>
            <w:pStyle w:val="TOC1"/>
            <w:tabs>
              <w:tab w:val="right" w:leader="dot" w:pos="9350"/>
            </w:tabs>
            <w:spacing w:line="240" w:lineRule="auto"/>
            <w:rPr>
              <w:rFonts w:ascii="Arial" w:hAnsi="Arial" w:cs="Arial"/>
              <w:noProof/>
            </w:rPr>
          </w:pPr>
          <w:r w:rsidRPr="00432D56">
            <w:rPr>
              <w:rFonts w:ascii="Arial" w:hAnsi="Arial" w:cs="Arial"/>
            </w:rPr>
            <w:fldChar w:fldCharType="begin"/>
          </w:r>
          <w:r w:rsidRPr="00432D56">
            <w:rPr>
              <w:rFonts w:ascii="Arial" w:hAnsi="Arial" w:cs="Arial"/>
            </w:rPr>
            <w:instrText xml:space="preserve"> TOC \o "1-3" \h \z \u </w:instrText>
          </w:r>
          <w:r w:rsidRPr="00432D56">
            <w:rPr>
              <w:rFonts w:ascii="Arial" w:hAnsi="Arial" w:cs="Arial"/>
            </w:rPr>
            <w:fldChar w:fldCharType="separate"/>
          </w:r>
          <w:hyperlink w:anchor="_Toc216755944" w:history="1">
            <w:r w:rsidRPr="00432D56">
              <w:rPr>
                <w:rStyle w:val="Hyperlink"/>
                <w:rFonts w:ascii="Arial" w:hAnsi="Arial" w:cs="Arial"/>
                <w:noProof/>
              </w:rPr>
              <w:t>Introduction</w:t>
            </w:r>
            <w:r w:rsidRPr="00432D56">
              <w:rPr>
                <w:rFonts w:ascii="Arial" w:hAnsi="Arial" w:cs="Arial"/>
                <w:noProof/>
                <w:webHidden/>
              </w:rPr>
              <w:tab/>
            </w:r>
            <w:r w:rsidRPr="00432D56">
              <w:rPr>
                <w:rFonts w:ascii="Arial" w:hAnsi="Arial" w:cs="Arial"/>
                <w:noProof/>
                <w:webHidden/>
              </w:rPr>
              <w:fldChar w:fldCharType="begin"/>
            </w:r>
            <w:r w:rsidRPr="00432D56">
              <w:rPr>
                <w:rFonts w:ascii="Arial" w:hAnsi="Arial" w:cs="Arial"/>
                <w:noProof/>
                <w:webHidden/>
              </w:rPr>
              <w:instrText xml:space="preserve"> PAGEREF _Toc216755944 \h </w:instrText>
            </w:r>
            <w:r w:rsidRPr="00432D56">
              <w:rPr>
                <w:rFonts w:ascii="Arial" w:hAnsi="Arial" w:cs="Arial"/>
                <w:noProof/>
                <w:webHidden/>
              </w:rPr>
            </w:r>
            <w:r w:rsidRPr="00432D56">
              <w:rPr>
                <w:rFonts w:ascii="Arial" w:hAnsi="Arial" w:cs="Arial"/>
                <w:noProof/>
                <w:webHidden/>
              </w:rPr>
              <w:fldChar w:fldCharType="separate"/>
            </w:r>
            <w:r w:rsidR="00F52944">
              <w:rPr>
                <w:rFonts w:ascii="Arial" w:hAnsi="Arial" w:cs="Arial"/>
                <w:noProof/>
                <w:webHidden/>
              </w:rPr>
              <w:t>4</w:t>
            </w:r>
            <w:r w:rsidRPr="00432D56">
              <w:rPr>
                <w:rFonts w:ascii="Arial" w:hAnsi="Arial" w:cs="Arial"/>
                <w:noProof/>
                <w:webHidden/>
              </w:rPr>
              <w:fldChar w:fldCharType="end"/>
            </w:r>
          </w:hyperlink>
        </w:p>
        <w:p w14:paraId="1E3633D0" w14:textId="39F827FB" w:rsidR="00432D56" w:rsidRPr="00432D56" w:rsidRDefault="00502468" w:rsidP="00432D56">
          <w:pPr>
            <w:pStyle w:val="TOC1"/>
            <w:tabs>
              <w:tab w:val="right" w:leader="dot" w:pos="9350"/>
            </w:tabs>
            <w:spacing w:line="240" w:lineRule="auto"/>
            <w:rPr>
              <w:rFonts w:ascii="Arial" w:hAnsi="Arial" w:cs="Arial"/>
              <w:noProof/>
            </w:rPr>
          </w:pPr>
          <w:hyperlink w:anchor="_Toc216755945" w:history="1">
            <w:r w:rsidR="00432D56" w:rsidRPr="00432D56">
              <w:rPr>
                <w:rStyle w:val="Hyperlink"/>
                <w:rFonts w:ascii="Arial" w:hAnsi="Arial" w:cs="Arial"/>
                <w:noProof/>
              </w:rPr>
              <w:t>1.</w:t>
            </w:r>
            <w:r w:rsidR="00432D56">
              <w:rPr>
                <w:rStyle w:val="Hyperlink"/>
                <w:rFonts w:ascii="Arial" w:hAnsi="Arial" w:cs="Arial"/>
                <w:noProof/>
              </w:rPr>
              <w:t>0</w:t>
            </w:r>
            <w:r w:rsidR="00432D56" w:rsidRPr="00432D56">
              <w:rPr>
                <w:rStyle w:val="Hyperlink"/>
                <w:rFonts w:ascii="Arial" w:hAnsi="Arial" w:cs="Arial"/>
                <w:noProof/>
              </w:rPr>
              <w:t xml:space="preserve"> Financial Health Check of General Electronics (2020–2024)</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_Toc216755945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5</w:t>
            </w:r>
            <w:r w:rsidR="00432D56" w:rsidRPr="00432D56">
              <w:rPr>
                <w:rFonts w:ascii="Arial" w:hAnsi="Arial" w:cs="Arial"/>
                <w:noProof/>
                <w:webHidden/>
              </w:rPr>
              <w:fldChar w:fldCharType="end"/>
            </w:r>
          </w:hyperlink>
        </w:p>
        <w:p w14:paraId="206E81B0" w14:textId="488F75CE" w:rsidR="00432D56" w:rsidRPr="00432D56" w:rsidRDefault="00502468" w:rsidP="00432D56">
          <w:pPr>
            <w:pStyle w:val="TOC2"/>
            <w:tabs>
              <w:tab w:val="right" w:leader="dot" w:pos="9350"/>
            </w:tabs>
            <w:spacing w:line="240" w:lineRule="auto"/>
            <w:rPr>
              <w:rFonts w:ascii="Arial" w:hAnsi="Arial" w:cs="Arial"/>
              <w:noProof/>
            </w:rPr>
          </w:pPr>
          <w:hyperlink w:anchor="_Toc216755946" w:history="1">
            <w:r w:rsidR="00432D56" w:rsidRPr="00432D56">
              <w:rPr>
                <w:rStyle w:val="Hyperlink"/>
                <w:rFonts w:ascii="Arial" w:hAnsi="Arial" w:cs="Arial"/>
                <w:noProof/>
              </w:rPr>
              <w:t>1.1 Introduction and scope of analysis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_Toc216755946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5</w:t>
            </w:r>
            <w:r w:rsidR="00432D56" w:rsidRPr="00432D56">
              <w:rPr>
                <w:rFonts w:ascii="Arial" w:hAnsi="Arial" w:cs="Arial"/>
                <w:noProof/>
                <w:webHidden/>
              </w:rPr>
              <w:fldChar w:fldCharType="end"/>
            </w:r>
          </w:hyperlink>
        </w:p>
        <w:p w14:paraId="4A720F95" w14:textId="23820BBD" w:rsidR="00432D56" w:rsidRPr="00432D56" w:rsidRDefault="00502468" w:rsidP="00432D56">
          <w:pPr>
            <w:pStyle w:val="TOC2"/>
            <w:tabs>
              <w:tab w:val="right" w:leader="dot" w:pos="9350"/>
            </w:tabs>
            <w:spacing w:line="240" w:lineRule="auto"/>
            <w:rPr>
              <w:rFonts w:ascii="Arial" w:hAnsi="Arial" w:cs="Arial"/>
              <w:noProof/>
            </w:rPr>
          </w:pPr>
          <w:hyperlink w:anchor="_Toc216755947" w:history="1">
            <w:r w:rsidR="00432D56" w:rsidRPr="00432D56">
              <w:rPr>
                <w:rStyle w:val="Hyperlink"/>
                <w:rFonts w:ascii="Arial" w:hAnsi="Arial" w:cs="Arial"/>
                <w:noProof/>
              </w:rPr>
              <w:t>1.2 Overall financial performance trends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_Toc216755947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5</w:t>
            </w:r>
            <w:r w:rsidR="00432D56" w:rsidRPr="00432D56">
              <w:rPr>
                <w:rFonts w:ascii="Arial" w:hAnsi="Arial" w:cs="Arial"/>
                <w:noProof/>
                <w:webHidden/>
              </w:rPr>
              <w:fldChar w:fldCharType="end"/>
            </w:r>
          </w:hyperlink>
        </w:p>
        <w:p w14:paraId="14CCAE62" w14:textId="283F1F94" w:rsidR="00432D56" w:rsidRPr="00432D56" w:rsidRDefault="00502468" w:rsidP="00432D56">
          <w:pPr>
            <w:pStyle w:val="TOC2"/>
            <w:tabs>
              <w:tab w:val="right" w:leader="dot" w:pos="9350"/>
            </w:tabs>
            <w:spacing w:line="240" w:lineRule="auto"/>
            <w:rPr>
              <w:rFonts w:ascii="Arial" w:hAnsi="Arial" w:cs="Arial"/>
              <w:noProof/>
            </w:rPr>
          </w:pPr>
          <w:hyperlink w:anchor="_Toc216755948" w:history="1">
            <w:r w:rsidR="00432D56" w:rsidRPr="00432D56">
              <w:rPr>
                <w:rStyle w:val="Hyperlink"/>
                <w:rFonts w:ascii="Arial" w:hAnsi="Arial" w:cs="Arial"/>
                <w:noProof/>
              </w:rPr>
              <w:t>1.3 Profitability analysis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_Toc216755948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5</w:t>
            </w:r>
            <w:r w:rsidR="00432D56" w:rsidRPr="00432D56">
              <w:rPr>
                <w:rFonts w:ascii="Arial" w:hAnsi="Arial" w:cs="Arial"/>
                <w:noProof/>
                <w:webHidden/>
              </w:rPr>
              <w:fldChar w:fldCharType="end"/>
            </w:r>
          </w:hyperlink>
        </w:p>
        <w:p w14:paraId="0B4AA49F" w14:textId="7B63101F" w:rsidR="00432D56" w:rsidRPr="00432D56" w:rsidRDefault="00502468" w:rsidP="00432D56">
          <w:pPr>
            <w:pStyle w:val="TOC2"/>
            <w:tabs>
              <w:tab w:val="right" w:leader="dot" w:pos="9350"/>
            </w:tabs>
            <w:spacing w:line="240" w:lineRule="auto"/>
            <w:rPr>
              <w:rFonts w:ascii="Arial" w:hAnsi="Arial" w:cs="Arial"/>
              <w:noProof/>
            </w:rPr>
          </w:pPr>
          <w:hyperlink w:anchor="_Toc216755949" w:history="1">
            <w:r w:rsidR="00432D56" w:rsidRPr="00432D56">
              <w:rPr>
                <w:rStyle w:val="Hyperlink"/>
                <w:rFonts w:ascii="Arial" w:hAnsi="Arial" w:cs="Arial"/>
                <w:noProof/>
              </w:rPr>
              <w:t>1.4 Liquidity analysis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_Toc216755949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6</w:t>
            </w:r>
            <w:r w:rsidR="00432D56" w:rsidRPr="00432D56">
              <w:rPr>
                <w:rFonts w:ascii="Arial" w:hAnsi="Arial" w:cs="Arial"/>
                <w:noProof/>
                <w:webHidden/>
              </w:rPr>
              <w:fldChar w:fldCharType="end"/>
            </w:r>
          </w:hyperlink>
        </w:p>
        <w:p w14:paraId="499A1205" w14:textId="7EDD132B" w:rsidR="00432D56" w:rsidRPr="00432D56" w:rsidRDefault="00502468" w:rsidP="00432D56">
          <w:pPr>
            <w:pStyle w:val="TOC2"/>
            <w:tabs>
              <w:tab w:val="right" w:leader="dot" w:pos="9350"/>
            </w:tabs>
            <w:spacing w:line="240" w:lineRule="auto"/>
            <w:rPr>
              <w:rFonts w:ascii="Arial" w:hAnsi="Arial" w:cs="Arial"/>
              <w:noProof/>
            </w:rPr>
          </w:pPr>
          <w:hyperlink w:anchor="_Toc216755950" w:history="1">
            <w:r w:rsidR="00432D56" w:rsidRPr="00432D56">
              <w:rPr>
                <w:rStyle w:val="Hyperlink"/>
                <w:rFonts w:ascii="Arial" w:hAnsi="Arial" w:cs="Arial"/>
                <w:noProof/>
              </w:rPr>
              <w:t>1.5 Efficiency and working capital analysis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_Toc216755950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6</w:t>
            </w:r>
            <w:r w:rsidR="00432D56" w:rsidRPr="00432D56">
              <w:rPr>
                <w:rFonts w:ascii="Arial" w:hAnsi="Arial" w:cs="Arial"/>
                <w:noProof/>
                <w:webHidden/>
              </w:rPr>
              <w:fldChar w:fldCharType="end"/>
            </w:r>
          </w:hyperlink>
        </w:p>
        <w:p w14:paraId="36B234BD" w14:textId="53E54517" w:rsidR="00432D56" w:rsidRPr="00432D56" w:rsidRDefault="00502468" w:rsidP="00432D56">
          <w:pPr>
            <w:pStyle w:val="TOC2"/>
            <w:tabs>
              <w:tab w:val="right" w:leader="dot" w:pos="9350"/>
            </w:tabs>
            <w:spacing w:line="240" w:lineRule="auto"/>
            <w:rPr>
              <w:rFonts w:ascii="Arial" w:hAnsi="Arial" w:cs="Arial"/>
              <w:noProof/>
            </w:rPr>
          </w:pPr>
          <w:hyperlink w:anchor="_Toc216755951" w:history="1">
            <w:r w:rsidR="00432D56" w:rsidRPr="00432D56">
              <w:rPr>
                <w:rStyle w:val="Hyperlink"/>
                <w:rFonts w:ascii="Arial" w:hAnsi="Arial" w:cs="Arial"/>
                <w:noProof/>
              </w:rPr>
              <w:t>1.6 Gearing and leverage analysis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_Toc216755951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7</w:t>
            </w:r>
            <w:r w:rsidR="00432D56" w:rsidRPr="00432D56">
              <w:rPr>
                <w:rFonts w:ascii="Arial" w:hAnsi="Arial" w:cs="Arial"/>
                <w:noProof/>
                <w:webHidden/>
              </w:rPr>
              <w:fldChar w:fldCharType="end"/>
            </w:r>
          </w:hyperlink>
        </w:p>
        <w:p w14:paraId="6D9E1837" w14:textId="7AF9BBCA" w:rsidR="00432D56" w:rsidRPr="00432D56" w:rsidRDefault="00502468" w:rsidP="00432D56">
          <w:pPr>
            <w:pStyle w:val="TOC2"/>
            <w:tabs>
              <w:tab w:val="right" w:leader="dot" w:pos="9350"/>
            </w:tabs>
            <w:spacing w:line="240" w:lineRule="auto"/>
            <w:rPr>
              <w:rFonts w:ascii="Arial" w:hAnsi="Arial" w:cs="Arial"/>
              <w:noProof/>
            </w:rPr>
          </w:pPr>
          <w:hyperlink w:anchor="_Toc216755952" w:history="1">
            <w:r w:rsidR="00432D56" w:rsidRPr="00432D56">
              <w:rPr>
                <w:rStyle w:val="Hyperlink"/>
                <w:rFonts w:ascii="Arial" w:hAnsi="Arial" w:cs="Arial"/>
                <w:noProof/>
              </w:rPr>
              <w:t>1.7 Investment and market-based ratio analysis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_Toc216755952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7</w:t>
            </w:r>
            <w:r w:rsidR="00432D56" w:rsidRPr="00432D56">
              <w:rPr>
                <w:rFonts w:ascii="Arial" w:hAnsi="Arial" w:cs="Arial"/>
                <w:noProof/>
                <w:webHidden/>
              </w:rPr>
              <w:fldChar w:fldCharType="end"/>
            </w:r>
          </w:hyperlink>
        </w:p>
        <w:p w14:paraId="6513E2D9" w14:textId="58D1A983" w:rsidR="00432D56" w:rsidRPr="00432D56" w:rsidRDefault="00502468" w:rsidP="00432D56">
          <w:pPr>
            <w:pStyle w:val="TOC2"/>
            <w:tabs>
              <w:tab w:val="right" w:leader="dot" w:pos="9350"/>
            </w:tabs>
            <w:spacing w:line="240" w:lineRule="auto"/>
            <w:rPr>
              <w:rFonts w:ascii="Arial" w:hAnsi="Arial" w:cs="Arial"/>
              <w:noProof/>
            </w:rPr>
          </w:pPr>
          <w:hyperlink w:anchor="_Toc216755953" w:history="1">
            <w:r w:rsidR="00432D56" w:rsidRPr="00432D56">
              <w:rPr>
                <w:rStyle w:val="Hyperlink"/>
                <w:rFonts w:ascii="Arial" w:hAnsi="Arial" w:cs="Arial"/>
                <w:noProof/>
              </w:rPr>
              <w:t>1.8 Cash flow analysis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_Toc216755953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8</w:t>
            </w:r>
            <w:r w:rsidR="00432D56" w:rsidRPr="00432D56">
              <w:rPr>
                <w:rFonts w:ascii="Arial" w:hAnsi="Arial" w:cs="Arial"/>
                <w:noProof/>
                <w:webHidden/>
              </w:rPr>
              <w:fldChar w:fldCharType="end"/>
            </w:r>
          </w:hyperlink>
        </w:p>
        <w:p w14:paraId="46F29C30" w14:textId="68EA26F6" w:rsidR="00432D56" w:rsidRPr="00432D56" w:rsidRDefault="00502468" w:rsidP="00432D56">
          <w:pPr>
            <w:pStyle w:val="TOC2"/>
            <w:tabs>
              <w:tab w:val="right" w:leader="dot" w:pos="9350"/>
            </w:tabs>
            <w:spacing w:line="240" w:lineRule="auto"/>
            <w:rPr>
              <w:rFonts w:ascii="Arial" w:hAnsi="Arial" w:cs="Arial"/>
              <w:noProof/>
            </w:rPr>
          </w:pPr>
          <w:hyperlink w:anchor="_Toc216755954" w:history="1">
            <w:r w:rsidR="00432D56" w:rsidRPr="00432D56">
              <w:rPr>
                <w:rStyle w:val="Hyperlink"/>
                <w:rFonts w:ascii="Arial" w:hAnsi="Arial" w:cs="Arial"/>
                <w:noProof/>
              </w:rPr>
              <w:t>1.9 Corporate failure prediction using the Altman Z-Score</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_Toc216755954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8</w:t>
            </w:r>
            <w:r w:rsidR="00432D56" w:rsidRPr="00432D56">
              <w:rPr>
                <w:rFonts w:ascii="Arial" w:hAnsi="Arial" w:cs="Arial"/>
                <w:noProof/>
                <w:webHidden/>
              </w:rPr>
              <w:fldChar w:fldCharType="end"/>
            </w:r>
          </w:hyperlink>
        </w:p>
        <w:p w14:paraId="645EB2DB" w14:textId="7A361A3E" w:rsidR="00432D56" w:rsidRPr="00432D56" w:rsidRDefault="00502468" w:rsidP="00432D56">
          <w:pPr>
            <w:pStyle w:val="TOC2"/>
            <w:tabs>
              <w:tab w:val="right" w:leader="dot" w:pos="9350"/>
            </w:tabs>
            <w:spacing w:line="240" w:lineRule="auto"/>
            <w:rPr>
              <w:rFonts w:ascii="Arial" w:hAnsi="Arial" w:cs="Arial"/>
              <w:noProof/>
            </w:rPr>
          </w:pPr>
          <w:hyperlink w:anchor="_Toc216755955" w:history="1">
            <w:r w:rsidR="00432D56" w:rsidRPr="00432D56">
              <w:rPr>
                <w:rStyle w:val="Hyperlink"/>
                <w:rFonts w:ascii="Arial" w:hAnsi="Arial" w:cs="Arial"/>
                <w:noProof/>
              </w:rPr>
              <w:t>1.10 Strengths, weaknesses, and risk outlook</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_Toc216755955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9</w:t>
            </w:r>
            <w:r w:rsidR="00432D56" w:rsidRPr="00432D56">
              <w:rPr>
                <w:rFonts w:ascii="Arial" w:hAnsi="Arial" w:cs="Arial"/>
                <w:noProof/>
                <w:webHidden/>
              </w:rPr>
              <w:fldChar w:fldCharType="end"/>
            </w:r>
          </w:hyperlink>
        </w:p>
        <w:p w14:paraId="20005819" w14:textId="0D5CF826" w:rsidR="00432D56" w:rsidRPr="00432D56" w:rsidRDefault="00502468" w:rsidP="00432D56">
          <w:pPr>
            <w:pStyle w:val="TOC2"/>
            <w:tabs>
              <w:tab w:val="right" w:leader="dot" w:pos="9350"/>
            </w:tabs>
            <w:spacing w:line="240" w:lineRule="auto"/>
            <w:rPr>
              <w:rFonts w:ascii="Arial" w:hAnsi="Arial" w:cs="Arial"/>
              <w:noProof/>
            </w:rPr>
          </w:pPr>
          <w:hyperlink w:anchor="_Toc216755956" w:history="1">
            <w:r w:rsidR="00432D56" w:rsidRPr="00432D56">
              <w:rPr>
                <w:rStyle w:val="Hyperlink"/>
                <w:rFonts w:ascii="Arial" w:hAnsi="Arial" w:cs="Arial"/>
                <w:noProof/>
              </w:rPr>
              <w:t>1.11 Overall Summary</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_Toc216755956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9</w:t>
            </w:r>
            <w:r w:rsidR="00432D56" w:rsidRPr="00432D56">
              <w:rPr>
                <w:rFonts w:ascii="Arial" w:hAnsi="Arial" w:cs="Arial"/>
                <w:noProof/>
                <w:webHidden/>
              </w:rPr>
              <w:fldChar w:fldCharType="end"/>
            </w:r>
          </w:hyperlink>
        </w:p>
        <w:p w14:paraId="48407712" w14:textId="54202D3C" w:rsidR="00432D56" w:rsidRPr="00432D56" w:rsidRDefault="00502468" w:rsidP="00432D56">
          <w:pPr>
            <w:pStyle w:val="TOC1"/>
            <w:tabs>
              <w:tab w:val="right" w:leader="dot" w:pos="9350"/>
            </w:tabs>
            <w:spacing w:line="240" w:lineRule="auto"/>
            <w:rPr>
              <w:rFonts w:ascii="Arial" w:hAnsi="Arial" w:cs="Arial"/>
              <w:noProof/>
            </w:rPr>
          </w:pPr>
          <w:hyperlink w:anchor="_Toc216755957" w:history="1">
            <w:r w:rsidR="00432D56" w:rsidRPr="00432D56">
              <w:rPr>
                <w:rStyle w:val="Hyperlink"/>
                <w:rFonts w:ascii="Arial" w:eastAsia="Times New Roman" w:hAnsi="Arial" w:cs="Arial"/>
                <w:noProof/>
              </w:rPr>
              <w:t>2.0 Working Capital Management Analysis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_Toc216755957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9</w:t>
            </w:r>
            <w:r w:rsidR="00432D56" w:rsidRPr="00432D56">
              <w:rPr>
                <w:rFonts w:ascii="Arial" w:hAnsi="Arial" w:cs="Arial"/>
                <w:noProof/>
                <w:webHidden/>
              </w:rPr>
              <w:fldChar w:fldCharType="end"/>
            </w:r>
          </w:hyperlink>
        </w:p>
        <w:p w14:paraId="6C24CC05" w14:textId="114F90D4" w:rsidR="00432D56" w:rsidRPr="00432D56" w:rsidRDefault="00502468" w:rsidP="00432D56">
          <w:pPr>
            <w:pStyle w:val="TOC2"/>
            <w:tabs>
              <w:tab w:val="right" w:leader="dot" w:pos="9350"/>
            </w:tabs>
            <w:spacing w:line="240" w:lineRule="auto"/>
            <w:rPr>
              <w:rFonts w:ascii="Arial" w:hAnsi="Arial" w:cs="Arial"/>
              <w:noProof/>
            </w:rPr>
          </w:pPr>
          <w:hyperlink w:anchor="_Toc216755958" w:history="1">
            <w:r w:rsidR="00432D56" w:rsidRPr="00432D56">
              <w:rPr>
                <w:rStyle w:val="Hyperlink"/>
                <w:rFonts w:ascii="Arial" w:hAnsi="Arial" w:cs="Arial"/>
                <w:noProof/>
              </w:rPr>
              <w:t>2.1 Introduction</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_Toc216755958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9</w:t>
            </w:r>
            <w:r w:rsidR="00432D56" w:rsidRPr="00432D56">
              <w:rPr>
                <w:rFonts w:ascii="Arial" w:hAnsi="Arial" w:cs="Arial"/>
                <w:noProof/>
                <w:webHidden/>
              </w:rPr>
              <w:fldChar w:fldCharType="end"/>
            </w:r>
          </w:hyperlink>
        </w:p>
        <w:p w14:paraId="5AB3DDE4" w14:textId="5C54B39D" w:rsidR="00432D56" w:rsidRPr="00432D56" w:rsidRDefault="00502468" w:rsidP="00432D56">
          <w:pPr>
            <w:pStyle w:val="TOC2"/>
            <w:tabs>
              <w:tab w:val="right" w:leader="dot" w:pos="9350"/>
            </w:tabs>
            <w:spacing w:line="240" w:lineRule="auto"/>
            <w:rPr>
              <w:rFonts w:ascii="Arial" w:hAnsi="Arial" w:cs="Arial"/>
              <w:noProof/>
            </w:rPr>
          </w:pPr>
          <w:hyperlink w:anchor="_Toc216755959" w:history="1">
            <w:r w:rsidR="00432D56" w:rsidRPr="00432D56">
              <w:rPr>
                <w:rStyle w:val="Hyperlink"/>
                <w:rFonts w:ascii="Arial" w:hAnsi="Arial" w:cs="Arial"/>
                <w:noProof/>
              </w:rPr>
              <w:t>2.2 Assessment of the cash operating cycle</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_Toc216755959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10</w:t>
            </w:r>
            <w:r w:rsidR="00432D56" w:rsidRPr="00432D56">
              <w:rPr>
                <w:rFonts w:ascii="Arial" w:hAnsi="Arial" w:cs="Arial"/>
                <w:noProof/>
                <w:webHidden/>
              </w:rPr>
              <w:fldChar w:fldCharType="end"/>
            </w:r>
          </w:hyperlink>
        </w:p>
        <w:p w14:paraId="41545A41" w14:textId="70BD1483" w:rsidR="00432D56" w:rsidRPr="00432D56" w:rsidRDefault="00502468" w:rsidP="00432D56">
          <w:pPr>
            <w:pStyle w:val="TOC2"/>
            <w:tabs>
              <w:tab w:val="right" w:leader="dot" w:pos="9350"/>
            </w:tabs>
            <w:spacing w:line="240" w:lineRule="auto"/>
            <w:rPr>
              <w:rFonts w:ascii="Arial" w:hAnsi="Arial" w:cs="Arial"/>
              <w:noProof/>
            </w:rPr>
          </w:pPr>
          <w:hyperlink w:anchor="_Toc216755960" w:history="1">
            <w:r w:rsidR="00432D56" w:rsidRPr="00432D56">
              <w:rPr>
                <w:rStyle w:val="Hyperlink"/>
                <w:rFonts w:ascii="Arial" w:hAnsi="Arial" w:cs="Arial"/>
                <w:noProof/>
              </w:rPr>
              <w:t>2.3 Implications for liquidity and operational risk</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_Toc216755960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10</w:t>
            </w:r>
            <w:r w:rsidR="00432D56" w:rsidRPr="00432D56">
              <w:rPr>
                <w:rFonts w:ascii="Arial" w:hAnsi="Arial" w:cs="Arial"/>
                <w:noProof/>
                <w:webHidden/>
              </w:rPr>
              <w:fldChar w:fldCharType="end"/>
            </w:r>
          </w:hyperlink>
        </w:p>
        <w:p w14:paraId="5C175511" w14:textId="527598E9" w:rsidR="00432D56" w:rsidRPr="00432D56" w:rsidRDefault="00502468" w:rsidP="00432D56">
          <w:pPr>
            <w:pStyle w:val="TOC2"/>
            <w:tabs>
              <w:tab w:val="right" w:leader="dot" w:pos="9350"/>
            </w:tabs>
            <w:spacing w:line="240" w:lineRule="auto"/>
            <w:rPr>
              <w:rFonts w:ascii="Arial" w:hAnsi="Arial" w:cs="Arial"/>
              <w:noProof/>
            </w:rPr>
          </w:pPr>
          <w:hyperlink w:anchor="_Toc216755961" w:history="1">
            <w:r w:rsidR="00432D56" w:rsidRPr="00432D56">
              <w:rPr>
                <w:rStyle w:val="Hyperlink"/>
                <w:rFonts w:ascii="Arial" w:hAnsi="Arial" w:cs="Arial"/>
                <w:noProof/>
              </w:rPr>
              <w:t>2.4 Recommended working capital reform strategies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_Toc216755961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11</w:t>
            </w:r>
            <w:r w:rsidR="00432D56" w:rsidRPr="00432D56">
              <w:rPr>
                <w:rFonts w:ascii="Arial" w:hAnsi="Arial" w:cs="Arial"/>
                <w:noProof/>
                <w:webHidden/>
              </w:rPr>
              <w:fldChar w:fldCharType="end"/>
            </w:r>
          </w:hyperlink>
        </w:p>
        <w:p w14:paraId="062744C5" w14:textId="0C70F7F4" w:rsidR="00432D56" w:rsidRPr="00432D56" w:rsidRDefault="00502468" w:rsidP="00432D56">
          <w:pPr>
            <w:pStyle w:val="TOC2"/>
            <w:tabs>
              <w:tab w:val="right" w:leader="dot" w:pos="9350"/>
            </w:tabs>
            <w:spacing w:line="240" w:lineRule="auto"/>
            <w:rPr>
              <w:rFonts w:ascii="Arial" w:hAnsi="Arial" w:cs="Arial"/>
              <w:noProof/>
            </w:rPr>
          </w:pPr>
          <w:hyperlink w:anchor="_Toc216755962" w:history="1">
            <w:r w:rsidR="00432D56" w:rsidRPr="00432D56">
              <w:rPr>
                <w:rStyle w:val="Hyperlink"/>
                <w:rFonts w:ascii="Arial" w:hAnsi="Arial" w:cs="Arial"/>
                <w:noProof/>
              </w:rPr>
              <w:t>2.5 Comparison of Short term versus long term financing options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_Toc216755962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11</w:t>
            </w:r>
            <w:r w:rsidR="00432D56" w:rsidRPr="00432D56">
              <w:rPr>
                <w:rFonts w:ascii="Arial" w:hAnsi="Arial" w:cs="Arial"/>
                <w:noProof/>
                <w:webHidden/>
              </w:rPr>
              <w:fldChar w:fldCharType="end"/>
            </w:r>
          </w:hyperlink>
        </w:p>
        <w:p w14:paraId="2B85FA02" w14:textId="3EAEE3FF" w:rsidR="00432D56" w:rsidRPr="00432D56" w:rsidRDefault="00502468" w:rsidP="00432D56">
          <w:pPr>
            <w:pStyle w:val="TOC2"/>
            <w:tabs>
              <w:tab w:val="right" w:leader="dot" w:pos="9350"/>
            </w:tabs>
            <w:spacing w:line="240" w:lineRule="auto"/>
            <w:rPr>
              <w:rFonts w:ascii="Arial" w:hAnsi="Arial" w:cs="Arial"/>
              <w:noProof/>
            </w:rPr>
          </w:pPr>
          <w:hyperlink w:anchor="_Toc216755963" w:history="1">
            <w:r w:rsidR="00432D56" w:rsidRPr="00432D56">
              <w:rPr>
                <w:rStyle w:val="Hyperlink"/>
                <w:rFonts w:ascii="Arial" w:hAnsi="Arial" w:cs="Arial"/>
                <w:noProof/>
              </w:rPr>
              <w:t>2.6 Overall evaluation</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_Toc216755963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12</w:t>
            </w:r>
            <w:r w:rsidR="00432D56" w:rsidRPr="00432D56">
              <w:rPr>
                <w:rFonts w:ascii="Arial" w:hAnsi="Arial" w:cs="Arial"/>
                <w:noProof/>
                <w:webHidden/>
              </w:rPr>
              <w:fldChar w:fldCharType="end"/>
            </w:r>
          </w:hyperlink>
        </w:p>
        <w:p w14:paraId="4DD4DA4B" w14:textId="40D3DD6F" w:rsidR="00432D56" w:rsidRPr="00432D56" w:rsidRDefault="00502468" w:rsidP="00432D56">
          <w:pPr>
            <w:pStyle w:val="TOC1"/>
            <w:tabs>
              <w:tab w:val="right" w:leader="dot" w:pos="9350"/>
            </w:tabs>
            <w:spacing w:line="240" w:lineRule="auto"/>
            <w:rPr>
              <w:rFonts w:ascii="Arial" w:hAnsi="Arial" w:cs="Arial"/>
              <w:noProof/>
            </w:rPr>
          </w:pPr>
          <w:hyperlink w:anchor="_Toc216755964" w:history="1">
            <w:r w:rsidR="00432D56" w:rsidRPr="00432D56">
              <w:rPr>
                <w:rStyle w:val="Hyperlink"/>
                <w:rFonts w:ascii="Arial" w:hAnsi="Arial" w:cs="Arial"/>
                <w:noProof/>
              </w:rPr>
              <w:t>3.0 Strategic Financial Restructuring Plan</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_Toc216755964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12</w:t>
            </w:r>
            <w:r w:rsidR="00432D56" w:rsidRPr="00432D56">
              <w:rPr>
                <w:rFonts w:ascii="Arial" w:hAnsi="Arial" w:cs="Arial"/>
                <w:noProof/>
                <w:webHidden/>
              </w:rPr>
              <w:fldChar w:fldCharType="end"/>
            </w:r>
          </w:hyperlink>
        </w:p>
        <w:p w14:paraId="79C75898" w14:textId="0A5EFAAA" w:rsidR="00432D56" w:rsidRPr="00432D56" w:rsidRDefault="00502468" w:rsidP="00432D56">
          <w:pPr>
            <w:pStyle w:val="TOC2"/>
            <w:tabs>
              <w:tab w:val="right" w:leader="dot" w:pos="9350"/>
            </w:tabs>
            <w:spacing w:line="240" w:lineRule="auto"/>
            <w:rPr>
              <w:rFonts w:ascii="Arial" w:hAnsi="Arial" w:cs="Arial"/>
              <w:noProof/>
            </w:rPr>
          </w:pPr>
          <w:hyperlink w:anchor="_Toc216755965" w:history="1">
            <w:r w:rsidR="00432D56" w:rsidRPr="00432D56">
              <w:rPr>
                <w:rStyle w:val="Hyperlink"/>
                <w:rFonts w:ascii="Arial" w:hAnsi="Arial" w:cs="Arial"/>
                <w:noProof/>
              </w:rPr>
              <w:t>3.1 Objectives and constraints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_Toc216755965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12</w:t>
            </w:r>
            <w:r w:rsidR="00432D56" w:rsidRPr="00432D56">
              <w:rPr>
                <w:rFonts w:ascii="Arial" w:hAnsi="Arial" w:cs="Arial"/>
                <w:noProof/>
                <w:webHidden/>
              </w:rPr>
              <w:fldChar w:fldCharType="end"/>
            </w:r>
          </w:hyperlink>
        </w:p>
        <w:p w14:paraId="6F9EA7E4" w14:textId="6BAC93A1" w:rsidR="00432D56" w:rsidRPr="00432D56" w:rsidRDefault="00502468" w:rsidP="00432D56">
          <w:pPr>
            <w:pStyle w:val="TOC2"/>
            <w:tabs>
              <w:tab w:val="right" w:leader="dot" w:pos="9350"/>
            </w:tabs>
            <w:spacing w:line="240" w:lineRule="auto"/>
            <w:rPr>
              <w:rFonts w:ascii="Arial" w:hAnsi="Arial" w:cs="Arial"/>
              <w:noProof/>
            </w:rPr>
          </w:pPr>
          <w:hyperlink w:anchor="_Toc216755966" w:history="1">
            <w:r w:rsidR="00432D56" w:rsidRPr="00432D56">
              <w:rPr>
                <w:rStyle w:val="Hyperlink"/>
                <w:rFonts w:ascii="Arial" w:hAnsi="Arial" w:cs="Arial"/>
                <w:noProof/>
              </w:rPr>
              <w:t>3.2 Recommended restructuring options (prioritised)</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_Toc216755966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12</w:t>
            </w:r>
            <w:r w:rsidR="00432D56" w:rsidRPr="00432D56">
              <w:rPr>
                <w:rFonts w:ascii="Arial" w:hAnsi="Arial" w:cs="Arial"/>
                <w:noProof/>
                <w:webHidden/>
              </w:rPr>
              <w:fldChar w:fldCharType="end"/>
            </w:r>
          </w:hyperlink>
        </w:p>
        <w:p w14:paraId="349BCC97" w14:textId="1A2B25E5" w:rsidR="00432D56" w:rsidRPr="00432D56" w:rsidRDefault="00502468" w:rsidP="00432D56">
          <w:pPr>
            <w:pStyle w:val="TOC2"/>
            <w:tabs>
              <w:tab w:val="right" w:leader="dot" w:pos="9350"/>
            </w:tabs>
            <w:spacing w:line="240" w:lineRule="auto"/>
            <w:rPr>
              <w:rFonts w:ascii="Arial" w:hAnsi="Arial" w:cs="Arial"/>
              <w:noProof/>
            </w:rPr>
          </w:pPr>
          <w:hyperlink w:anchor="_Toc216755967" w:history="1">
            <w:r w:rsidR="00432D56" w:rsidRPr="00432D56">
              <w:rPr>
                <w:rStyle w:val="Hyperlink"/>
                <w:rFonts w:ascii="Arial" w:hAnsi="Arial" w:cs="Arial"/>
                <w:noProof/>
              </w:rPr>
              <w:t>Option A: Selective divestiture of non-core assets and underperforming units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_Toc216755967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13</w:t>
            </w:r>
            <w:r w:rsidR="00432D56" w:rsidRPr="00432D56">
              <w:rPr>
                <w:rFonts w:ascii="Arial" w:hAnsi="Arial" w:cs="Arial"/>
                <w:noProof/>
                <w:webHidden/>
              </w:rPr>
              <w:fldChar w:fldCharType="end"/>
            </w:r>
          </w:hyperlink>
        </w:p>
        <w:p w14:paraId="580492F2" w14:textId="7A14AF7C" w:rsidR="00432D56" w:rsidRPr="00432D56" w:rsidRDefault="00502468" w:rsidP="00432D56">
          <w:pPr>
            <w:pStyle w:val="TOC2"/>
            <w:tabs>
              <w:tab w:val="right" w:leader="dot" w:pos="9350"/>
            </w:tabs>
            <w:spacing w:line="240" w:lineRule="auto"/>
            <w:rPr>
              <w:rFonts w:ascii="Arial" w:hAnsi="Arial" w:cs="Arial"/>
              <w:noProof/>
            </w:rPr>
          </w:pPr>
          <w:hyperlink w:anchor="_Toc216755968" w:history="1">
            <w:r w:rsidR="00432D56" w:rsidRPr="00432D56">
              <w:rPr>
                <w:rStyle w:val="Hyperlink"/>
                <w:rFonts w:ascii="Arial" w:hAnsi="Arial" w:cs="Arial"/>
                <w:noProof/>
              </w:rPr>
              <w:t>Option B: Equity injection combined with debt re-profiling (rights issue plus covenant renegotiation)</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_Toc216755968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13</w:t>
            </w:r>
            <w:r w:rsidR="00432D56" w:rsidRPr="00432D56">
              <w:rPr>
                <w:rFonts w:ascii="Arial" w:hAnsi="Arial" w:cs="Arial"/>
                <w:noProof/>
                <w:webHidden/>
              </w:rPr>
              <w:fldChar w:fldCharType="end"/>
            </w:r>
          </w:hyperlink>
        </w:p>
        <w:p w14:paraId="428642CD" w14:textId="542CA772" w:rsidR="00432D56" w:rsidRPr="00432D56" w:rsidRDefault="00502468" w:rsidP="00432D56">
          <w:pPr>
            <w:pStyle w:val="TOC2"/>
            <w:tabs>
              <w:tab w:val="right" w:leader="dot" w:pos="9350"/>
            </w:tabs>
            <w:spacing w:line="240" w:lineRule="auto"/>
            <w:rPr>
              <w:rFonts w:ascii="Arial" w:hAnsi="Arial" w:cs="Arial"/>
              <w:noProof/>
            </w:rPr>
          </w:pPr>
          <w:hyperlink w:anchor="_Toc216755969" w:history="1">
            <w:r w:rsidR="00432D56" w:rsidRPr="00432D56">
              <w:rPr>
                <w:rStyle w:val="Hyperlink"/>
                <w:rFonts w:ascii="Arial" w:hAnsi="Arial" w:cs="Arial"/>
                <w:noProof/>
              </w:rPr>
              <w:t>Option C: Strategic merger, joint venture or asset swap for scale and capability</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_Toc216755969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14</w:t>
            </w:r>
            <w:r w:rsidR="00432D56" w:rsidRPr="00432D56">
              <w:rPr>
                <w:rFonts w:ascii="Arial" w:hAnsi="Arial" w:cs="Arial"/>
                <w:noProof/>
                <w:webHidden/>
              </w:rPr>
              <w:fldChar w:fldCharType="end"/>
            </w:r>
          </w:hyperlink>
        </w:p>
        <w:p w14:paraId="33BD9A19" w14:textId="0D6BA58E" w:rsidR="00432D56" w:rsidRPr="00432D56" w:rsidRDefault="00502468" w:rsidP="00432D56">
          <w:pPr>
            <w:pStyle w:val="TOC2"/>
            <w:tabs>
              <w:tab w:val="right" w:leader="dot" w:pos="9350"/>
            </w:tabs>
            <w:spacing w:line="240" w:lineRule="auto"/>
            <w:rPr>
              <w:rFonts w:ascii="Arial" w:hAnsi="Arial" w:cs="Arial"/>
              <w:noProof/>
            </w:rPr>
          </w:pPr>
          <w:hyperlink w:anchor="_Toc216755970" w:history="1">
            <w:r w:rsidR="00432D56" w:rsidRPr="00432D56">
              <w:rPr>
                <w:rStyle w:val="Hyperlink"/>
                <w:rFonts w:ascii="Arial" w:hAnsi="Arial" w:cs="Arial"/>
                <w:noProof/>
              </w:rPr>
              <w:t>3.3 Evaluating impact on shareholder value, debt structure and operational flexibility</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_Toc216755970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14</w:t>
            </w:r>
            <w:r w:rsidR="00432D56" w:rsidRPr="00432D56">
              <w:rPr>
                <w:rFonts w:ascii="Arial" w:hAnsi="Arial" w:cs="Arial"/>
                <w:noProof/>
                <w:webHidden/>
              </w:rPr>
              <w:fldChar w:fldCharType="end"/>
            </w:r>
          </w:hyperlink>
        </w:p>
        <w:p w14:paraId="0BCD92F1" w14:textId="220FB02E" w:rsidR="00432D56" w:rsidRPr="00432D56" w:rsidRDefault="00502468" w:rsidP="00432D56">
          <w:pPr>
            <w:pStyle w:val="TOC2"/>
            <w:tabs>
              <w:tab w:val="right" w:leader="dot" w:pos="9350"/>
            </w:tabs>
            <w:spacing w:line="240" w:lineRule="auto"/>
            <w:rPr>
              <w:rFonts w:ascii="Arial" w:hAnsi="Arial" w:cs="Arial"/>
              <w:noProof/>
            </w:rPr>
          </w:pPr>
          <w:hyperlink w:anchor="_Toc216755971" w:history="1">
            <w:r w:rsidR="00432D56" w:rsidRPr="00432D56">
              <w:rPr>
                <w:rStyle w:val="Hyperlink"/>
                <w:rFonts w:ascii="Arial" w:hAnsi="Arial" w:cs="Arial"/>
                <w:noProof/>
              </w:rPr>
              <w:t>3.4 International and ethical considerations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_Toc216755971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15</w:t>
            </w:r>
            <w:r w:rsidR="00432D56" w:rsidRPr="00432D56">
              <w:rPr>
                <w:rFonts w:ascii="Arial" w:hAnsi="Arial" w:cs="Arial"/>
                <w:noProof/>
                <w:webHidden/>
              </w:rPr>
              <w:fldChar w:fldCharType="end"/>
            </w:r>
          </w:hyperlink>
        </w:p>
        <w:p w14:paraId="688AE391" w14:textId="00D4BF25" w:rsidR="00432D56" w:rsidRPr="00432D56" w:rsidRDefault="00502468" w:rsidP="00432D56">
          <w:pPr>
            <w:pStyle w:val="TOC2"/>
            <w:tabs>
              <w:tab w:val="right" w:leader="dot" w:pos="9350"/>
            </w:tabs>
            <w:spacing w:line="240" w:lineRule="auto"/>
            <w:rPr>
              <w:rFonts w:ascii="Arial" w:hAnsi="Arial" w:cs="Arial"/>
              <w:noProof/>
            </w:rPr>
          </w:pPr>
          <w:hyperlink w:anchor="_Toc216755972" w:history="1">
            <w:r w:rsidR="00432D56" w:rsidRPr="00432D56">
              <w:rPr>
                <w:rStyle w:val="Hyperlink"/>
                <w:rFonts w:ascii="Arial" w:hAnsi="Arial" w:cs="Arial"/>
                <w:noProof/>
              </w:rPr>
              <w:t>3.5 Implementation roadmap and metrics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_Toc216755972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15</w:t>
            </w:r>
            <w:r w:rsidR="00432D56" w:rsidRPr="00432D56">
              <w:rPr>
                <w:rFonts w:ascii="Arial" w:hAnsi="Arial" w:cs="Arial"/>
                <w:noProof/>
                <w:webHidden/>
              </w:rPr>
              <w:fldChar w:fldCharType="end"/>
            </w:r>
          </w:hyperlink>
        </w:p>
        <w:p w14:paraId="33491E79" w14:textId="5BFDE97A" w:rsidR="00432D56" w:rsidRPr="00432D56" w:rsidRDefault="00502468" w:rsidP="00432D56">
          <w:pPr>
            <w:pStyle w:val="TOC1"/>
            <w:tabs>
              <w:tab w:val="right" w:leader="dot" w:pos="9350"/>
            </w:tabs>
            <w:spacing w:line="240" w:lineRule="auto"/>
            <w:rPr>
              <w:rFonts w:ascii="Arial" w:hAnsi="Arial" w:cs="Arial"/>
              <w:noProof/>
            </w:rPr>
          </w:pPr>
          <w:hyperlink w:anchor="_Toc216755973" w:history="1">
            <w:r w:rsidR="00432D56" w:rsidRPr="00432D56">
              <w:rPr>
                <w:rStyle w:val="Hyperlink"/>
                <w:rFonts w:ascii="Arial" w:hAnsi="Arial" w:cs="Arial"/>
                <w:noProof/>
              </w:rPr>
              <w:t>4.0 Investment Appraisal and Capital Budgeting of General Electronics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_Toc216755973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16</w:t>
            </w:r>
            <w:r w:rsidR="00432D56" w:rsidRPr="00432D56">
              <w:rPr>
                <w:rFonts w:ascii="Arial" w:hAnsi="Arial" w:cs="Arial"/>
                <w:noProof/>
                <w:webHidden/>
              </w:rPr>
              <w:fldChar w:fldCharType="end"/>
            </w:r>
          </w:hyperlink>
        </w:p>
        <w:p w14:paraId="1722D7E9" w14:textId="1EF6D1B8" w:rsidR="00432D56" w:rsidRPr="00432D56" w:rsidRDefault="00502468" w:rsidP="00432D56">
          <w:pPr>
            <w:pStyle w:val="TOC2"/>
            <w:tabs>
              <w:tab w:val="right" w:leader="dot" w:pos="9350"/>
            </w:tabs>
            <w:spacing w:line="240" w:lineRule="auto"/>
            <w:rPr>
              <w:rFonts w:ascii="Arial" w:hAnsi="Arial" w:cs="Arial"/>
              <w:noProof/>
            </w:rPr>
          </w:pPr>
          <w:hyperlink w:anchor="_Toc216755974" w:history="1">
            <w:r w:rsidR="00432D56" w:rsidRPr="00432D56">
              <w:rPr>
                <w:rStyle w:val="Hyperlink"/>
                <w:rFonts w:ascii="Arial" w:hAnsi="Arial" w:cs="Arial"/>
                <w:noProof/>
              </w:rPr>
              <w:t>4.1 Introduction</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_Toc216755974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16</w:t>
            </w:r>
            <w:r w:rsidR="00432D56" w:rsidRPr="00432D56">
              <w:rPr>
                <w:rFonts w:ascii="Arial" w:hAnsi="Arial" w:cs="Arial"/>
                <w:noProof/>
                <w:webHidden/>
              </w:rPr>
              <w:fldChar w:fldCharType="end"/>
            </w:r>
          </w:hyperlink>
        </w:p>
        <w:p w14:paraId="2EC1B1DB" w14:textId="6B9A126C" w:rsidR="00432D56" w:rsidRPr="00432D56" w:rsidRDefault="00502468" w:rsidP="00432D56">
          <w:pPr>
            <w:pStyle w:val="TOC2"/>
            <w:tabs>
              <w:tab w:val="right" w:leader="dot" w:pos="9350"/>
            </w:tabs>
            <w:spacing w:line="240" w:lineRule="auto"/>
            <w:rPr>
              <w:rFonts w:ascii="Arial" w:hAnsi="Arial" w:cs="Arial"/>
              <w:noProof/>
            </w:rPr>
          </w:pPr>
          <w:hyperlink w:anchor="_Toc216755975" w:history="1">
            <w:r w:rsidR="00432D56" w:rsidRPr="00432D56">
              <w:rPr>
                <w:rStyle w:val="Hyperlink"/>
                <w:rFonts w:ascii="Arial" w:hAnsi="Arial" w:cs="Arial"/>
                <w:noProof/>
              </w:rPr>
              <w:t>4.2 Project Details and Assumptions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_Toc216755975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16</w:t>
            </w:r>
            <w:r w:rsidR="00432D56" w:rsidRPr="00432D56">
              <w:rPr>
                <w:rFonts w:ascii="Arial" w:hAnsi="Arial" w:cs="Arial"/>
                <w:noProof/>
                <w:webHidden/>
              </w:rPr>
              <w:fldChar w:fldCharType="end"/>
            </w:r>
          </w:hyperlink>
        </w:p>
        <w:p w14:paraId="57D0D87A" w14:textId="7110E529" w:rsidR="00432D56" w:rsidRPr="00432D56" w:rsidRDefault="00502468" w:rsidP="00432D56">
          <w:pPr>
            <w:pStyle w:val="TOC2"/>
            <w:tabs>
              <w:tab w:val="right" w:leader="dot" w:pos="9350"/>
            </w:tabs>
            <w:spacing w:line="240" w:lineRule="auto"/>
            <w:rPr>
              <w:rFonts w:ascii="Arial" w:hAnsi="Arial" w:cs="Arial"/>
              <w:noProof/>
            </w:rPr>
          </w:pPr>
          <w:hyperlink w:anchor="_Toc216755976" w:history="1">
            <w:r w:rsidR="00432D56" w:rsidRPr="00432D56">
              <w:rPr>
                <w:rStyle w:val="Hyperlink"/>
                <w:rFonts w:ascii="Arial" w:hAnsi="Arial" w:cs="Arial"/>
                <w:noProof/>
              </w:rPr>
              <w:t>4.3 Payback Period (PBP)</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_Toc216755976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17</w:t>
            </w:r>
            <w:r w:rsidR="00432D56" w:rsidRPr="00432D56">
              <w:rPr>
                <w:rFonts w:ascii="Arial" w:hAnsi="Arial" w:cs="Arial"/>
                <w:noProof/>
                <w:webHidden/>
              </w:rPr>
              <w:fldChar w:fldCharType="end"/>
            </w:r>
          </w:hyperlink>
        </w:p>
        <w:p w14:paraId="020DA9D3" w14:textId="5E5722C3" w:rsidR="00432D56" w:rsidRPr="00432D56" w:rsidRDefault="00502468" w:rsidP="00432D56">
          <w:pPr>
            <w:pStyle w:val="TOC2"/>
            <w:tabs>
              <w:tab w:val="right" w:leader="dot" w:pos="9350"/>
            </w:tabs>
            <w:spacing w:line="240" w:lineRule="auto"/>
            <w:rPr>
              <w:rFonts w:ascii="Arial" w:hAnsi="Arial" w:cs="Arial"/>
              <w:noProof/>
            </w:rPr>
          </w:pPr>
          <w:hyperlink w:anchor="_Toc216755977" w:history="1">
            <w:r w:rsidR="00432D56" w:rsidRPr="00432D56">
              <w:rPr>
                <w:rStyle w:val="Hyperlink"/>
                <w:rFonts w:ascii="Arial" w:hAnsi="Arial" w:cs="Arial"/>
                <w:noProof/>
              </w:rPr>
              <w:t>4.4 Accounting Rate of Return (ARR)</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_Toc216755977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17</w:t>
            </w:r>
            <w:r w:rsidR="00432D56" w:rsidRPr="00432D56">
              <w:rPr>
                <w:rFonts w:ascii="Arial" w:hAnsi="Arial" w:cs="Arial"/>
                <w:noProof/>
                <w:webHidden/>
              </w:rPr>
              <w:fldChar w:fldCharType="end"/>
            </w:r>
          </w:hyperlink>
        </w:p>
        <w:p w14:paraId="6138AD89" w14:textId="7F14A48F" w:rsidR="00432D56" w:rsidRPr="00432D56" w:rsidRDefault="00502468" w:rsidP="00432D56">
          <w:pPr>
            <w:pStyle w:val="TOC2"/>
            <w:tabs>
              <w:tab w:val="right" w:leader="dot" w:pos="9350"/>
            </w:tabs>
            <w:spacing w:line="240" w:lineRule="auto"/>
            <w:rPr>
              <w:rFonts w:ascii="Arial" w:hAnsi="Arial" w:cs="Arial"/>
              <w:noProof/>
            </w:rPr>
          </w:pPr>
          <w:hyperlink w:anchor="_Toc216755978" w:history="1">
            <w:r w:rsidR="00432D56" w:rsidRPr="00432D56">
              <w:rPr>
                <w:rStyle w:val="Hyperlink"/>
                <w:rFonts w:ascii="Arial" w:hAnsi="Arial" w:cs="Arial"/>
                <w:noProof/>
              </w:rPr>
              <w:t>4.5 Net Present Value (NPV)</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_Toc216755978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18</w:t>
            </w:r>
            <w:r w:rsidR="00432D56" w:rsidRPr="00432D56">
              <w:rPr>
                <w:rFonts w:ascii="Arial" w:hAnsi="Arial" w:cs="Arial"/>
                <w:noProof/>
                <w:webHidden/>
              </w:rPr>
              <w:fldChar w:fldCharType="end"/>
            </w:r>
          </w:hyperlink>
        </w:p>
        <w:p w14:paraId="56664F37" w14:textId="701AE767" w:rsidR="00432D56" w:rsidRPr="00432D56" w:rsidRDefault="00502468" w:rsidP="00432D56">
          <w:pPr>
            <w:pStyle w:val="TOC2"/>
            <w:tabs>
              <w:tab w:val="right" w:leader="dot" w:pos="9350"/>
            </w:tabs>
            <w:spacing w:line="240" w:lineRule="auto"/>
            <w:rPr>
              <w:rFonts w:ascii="Arial" w:hAnsi="Arial" w:cs="Arial"/>
              <w:noProof/>
            </w:rPr>
          </w:pPr>
          <w:hyperlink w:anchor="_Toc216755979" w:history="1">
            <w:r w:rsidR="00432D56" w:rsidRPr="00432D56">
              <w:rPr>
                <w:rStyle w:val="Hyperlink"/>
                <w:rFonts w:ascii="Arial" w:hAnsi="Arial" w:cs="Arial"/>
                <w:noProof/>
              </w:rPr>
              <w:t>4.6 Profitability Index (PI)</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_Toc216755979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18</w:t>
            </w:r>
            <w:r w:rsidR="00432D56" w:rsidRPr="00432D56">
              <w:rPr>
                <w:rFonts w:ascii="Arial" w:hAnsi="Arial" w:cs="Arial"/>
                <w:noProof/>
                <w:webHidden/>
              </w:rPr>
              <w:fldChar w:fldCharType="end"/>
            </w:r>
          </w:hyperlink>
        </w:p>
        <w:p w14:paraId="2DF9D7C9" w14:textId="64E896C0" w:rsidR="00432D56" w:rsidRPr="00432D56" w:rsidRDefault="00502468" w:rsidP="00432D56">
          <w:pPr>
            <w:pStyle w:val="TOC2"/>
            <w:tabs>
              <w:tab w:val="right" w:leader="dot" w:pos="9350"/>
            </w:tabs>
            <w:spacing w:line="240" w:lineRule="auto"/>
            <w:rPr>
              <w:rFonts w:ascii="Arial" w:hAnsi="Arial" w:cs="Arial"/>
              <w:noProof/>
            </w:rPr>
          </w:pPr>
          <w:hyperlink w:anchor="_Toc216755980" w:history="1">
            <w:r w:rsidR="00432D56" w:rsidRPr="00432D56">
              <w:rPr>
                <w:rStyle w:val="Hyperlink"/>
                <w:rFonts w:ascii="Arial" w:hAnsi="Arial" w:cs="Arial"/>
                <w:noProof/>
              </w:rPr>
              <w:t>4.7 Internal Rate of Return (IRR)</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_Toc216755980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18</w:t>
            </w:r>
            <w:r w:rsidR="00432D56" w:rsidRPr="00432D56">
              <w:rPr>
                <w:rFonts w:ascii="Arial" w:hAnsi="Arial" w:cs="Arial"/>
                <w:noProof/>
                <w:webHidden/>
              </w:rPr>
              <w:fldChar w:fldCharType="end"/>
            </w:r>
          </w:hyperlink>
        </w:p>
        <w:p w14:paraId="64D7F596" w14:textId="03998BA0" w:rsidR="00432D56" w:rsidRPr="00432D56" w:rsidRDefault="00502468" w:rsidP="00432D56">
          <w:pPr>
            <w:pStyle w:val="TOC2"/>
            <w:tabs>
              <w:tab w:val="right" w:leader="dot" w:pos="9350"/>
            </w:tabs>
            <w:spacing w:line="240" w:lineRule="auto"/>
            <w:rPr>
              <w:rFonts w:ascii="Arial" w:hAnsi="Arial" w:cs="Arial"/>
              <w:noProof/>
            </w:rPr>
          </w:pPr>
          <w:hyperlink w:anchor="_Toc216755981" w:history="1">
            <w:r w:rsidR="00432D56" w:rsidRPr="00432D56">
              <w:rPr>
                <w:rStyle w:val="Hyperlink"/>
                <w:rFonts w:ascii="Arial" w:hAnsi="Arial" w:cs="Arial"/>
                <w:noProof/>
              </w:rPr>
              <w:t>4.8 Capital Rationing and Project Selection</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_Toc216755981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19</w:t>
            </w:r>
            <w:r w:rsidR="00432D56" w:rsidRPr="00432D56">
              <w:rPr>
                <w:rFonts w:ascii="Arial" w:hAnsi="Arial" w:cs="Arial"/>
                <w:noProof/>
                <w:webHidden/>
              </w:rPr>
              <w:fldChar w:fldCharType="end"/>
            </w:r>
          </w:hyperlink>
        </w:p>
        <w:p w14:paraId="4BF564D7" w14:textId="4C07507D" w:rsidR="00432D56" w:rsidRPr="00432D56" w:rsidRDefault="00502468" w:rsidP="00432D56">
          <w:pPr>
            <w:pStyle w:val="TOC2"/>
            <w:tabs>
              <w:tab w:val="right" w:leader="dot" w:pos="9350"/>
            </w:tabs>
            <w:spacing w:line="240" w:lineRule="auto"/>
            <w:rPr>
              <w:rFonts w:ascii="Arial" w:hAnsi="Arial" w:cs="Arial"/>
              <w:noProof/>
            </w:rPr>
          </w:pPr>
          <w:hyperlink w:anchor="_Toc216755982" w:history="1">
            <w:r w:rsidR="00432D56" w:rsidRPr="00432D56">
              <w:rPr>
                <w:rStyle w:val="Hyperlink"/>
                <w:rFonts w:ascii="Arial" w:hAnsi="Arial" w:cs="Arial"/>
                <w:noProof/>
              </w:rPr>
              <w:t>4.9 Justification Based on Financial Performance and Project Risk Characteristics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_Toc216755982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19</w:t>
            </w:r>
            <w:r w:rsidR="00432D56" w:rsidRPr="00432D56">
              <w:rPr>
                <w:rFonts w:ascii="Arial" w:hAnsi="Arial" w:cs="Arial"/>
                <w:noProof/>
                <w:webHidden/>
              </w:rPr>
              <w:fldChar w:fldCharType="end"/>
            </w:r>
          </w:hyperlink>
        </w:p>
        <w:p w14:paraId="202A74C8" w14:textId="6F72634A" w:rsidR="00432D56" w:rsidRPr="00432D56" w:rsidRDefault="00502468" w:rsidP="00432D56">
          <w:pPr>
            <w:pStyle w:val="TOC2"/>
            <w:tabs>
              <w:tab w:val="right" w:leader="dot" w:pos="9350"/>
            </w:tabs>
            <w:spacing w:line="240" w:lineRule="auto"/>
            <w:rPr>
              <w:rFonts w:ascii="Arial" w:hAnsi="Arial" w:cs="Arial"/>
              <w:noProof/>
            </w:rPr>
          </w:pPr>
          <w:hyperlink w:anchor="_Toc216755983" w:history="1">
            <w:r w:rsidR="00432D56" w:rsidRPr="00432D56">
              <w:rPr>
                <w:rStyle w:val="Hyperlink"/>
                <w:rFonts w:ascii="Arial" w:hAnsi="Arial" w:cs="Arial"/>
                <w:noProof/>
              </w:rPr>
              <w:t>4.10 Summary</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_Toc216755983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20</w:t>
            </w:r>
            <w:r w:rsidR="00432D56" w:rsidRPr="00432D56">
              <w:rPr>
                <w:rFonts w:ascii="Arial" w:hAnsi="Arial" w:cs="Arial"/>
                <w:noProof/>
                <w:webHidden/>
              </w:rPr>
              <w:fldChar w:fldCharType="end"/>
            </w:r>
          </w:hyperlink>
        </w:p>
        <w:p w14:paraId="17CEECFB" w14:textId="52784955" w:rsidR="00432D56" w:rsidRPr="00432D56" w:rsidRDefault="00502468" w:rsidP="00432D56">
          <w:pPr>
            <w:pStyle w:val="TOC1"/>
            <w:tabs>
              <w:tab w:val="right" w:leader="dot" w:pos="9350"/>
            </w:tabs>
            <w:spacing w:line="240" w:lineRule="auto"/>
            <w:rPr>
              <w:rFonts w:ascii="Arial" w:hAnsi="Arial" w:cs="Arial"/>
              <w:noProof/>
            </w:rPr>
          </w:pPr>
          <w:hyperlink w:anchor="_Toc216755984" w:history="1">
            <w:r w:rsidR="00432D56" w:rsidRPr="00432D56">
              <w:rPr>
                <w:rStyle w:val="Hyperlink"/>
                <w:rFonts w:ascii="Arial" w:hAnsi="Arial" w:cs="Arial"/>
                <w:noProof/>
              </w:rPr>
              <w:t>5.0 Conclusion</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_Toc216755984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20</w:t>
            </w:r>
            <w:r w:rsidR="00432D56" w:rsidRPr="00432D56">
              <w:rPr>
                <w:rFonts w:ascii="Arial" w:hAnsi="Arial" w:cs="Arial"/>
                <w:noProof/>
                <w:webHidden/>
              </w:rPr>
              <w:fldChar w:fldCharType="end"/>
            </w:r>
          </w:hyperlink>
        </w:p>
        <w:p w14:paraId="7866283B" w14:textId="4852ADE2" w:rsidR="00432D56" w:rsidRPr="00432D56" w:rsidRDefault="00502468" w:rsidP="00432D56">
          <w:pPr>
            <w:pStyle w:val="TOC2"/>
            <w:tabs>
              <w:tab w:val="right" w:leader="dot" w:pos="9350"/>
            </w:tabs>
            <w:spacing w:line="240" w:lineRule="auto"/>
            <w:ind w:left="0"/>
            <w:rPr>
              <w:rFonts w:ascii="Arial" w:hAnsi="Arial" w:cs="Arial"/>
              <w:noProof/>
            </w:rPr>
          </w:pPr>
          <w:hyperlink w:anchor="_Toc216755985" w:history="1">
            <w:r w:rsidR="00432D56" w:rsidRPr="00432D56">
              <w:rPr>
                <w:rStyle w:val="Hyperlink"/>
                <w:rFonts w:ascii="Arial" w:hAnsi="Arial" w:cs="Arial"/>
                <w:noProof/>
              </w:rPr>
              <w:t>6.0 References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_Toc216755985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22</w:t>
            </w:r>
            <w:r w:rsidR="00432D56" w:rsidRPr="00432D56">
              <w:rPr>
                <w:rFonts w:ascii="Arial" w:hAnsi="Arial" w:cs="Arial"/>
                <w:noProof/>
                <w:webHidden/>
              </w:rPr>
              <w:fldChar w:fldCharType="end"/>
            </w:r>
          </w:hyperlink>
        </w:p>
        <w:p w14:paraId="4F2DBEAE" w14:textId="4E699112" w:rsidR="00432D56" w:rsidRDefault="00502468" w:rsidP="00432D56">
          <w:pPr>
            <w:pStyle w:val="TOC1"/>
            <w:tabs>
              <w:tab w:val="right" w:leader="dot" w:pos="9350"/>
            </w:tabs>
            <w:spacing w:line="240" w:lineRule="auto"/>
            <w:rPr>
              <w:noProof/>
            </w:rPr>
          </w:pPr>
          <w:hyperlink w:anchor="_Toc216755986" w:history="1">
            <w:r w:rsidR="00432D56" w:rsidRPr="00432D56">
              <w:rPr>
                <w:rStyle w:val="Hyperlink"/>
                <w:rFonts w:ascii="Arial" w:eastAsia="Times New Roman" w:hAnsi="Arial" w:cs="Arial"/>
                <w:noProof/>
              </w:rPr>
              <w:t>7.0 Appendices</w:t>
            </w:r>
            <w:r w:rsidR="00432D56" w:rsidRPr="00432D56">
              <w:rPr>
                <w:rFonts w:ascii="Arial" w:hAnsi="Arial" w:cs="Arial"/>
                <w:noProof/>
                <w:webHidden/>
              </w:rPr>
              <w:tab/>
            </w:r>
            <w:r w:rsidR="00432D56" w:rsidRPr="00432D56">
              <w:rPr>
                <w:rFonts w:ascii="Arial" w:hAnsi="Arial" w:cs="Arial"/>
                <w:noProof/>
                <w:webHidden/>
              </w:rPr>
              <w:fldChar w:fldCharType="begin"/>
            </w:r>
            <w:r w:rsidR="00432D56" w:rsidRPr="00432D56">
              <w:rPr>
                <w:rFonts w:ascii="Arial" w:hAnsi="Arial" w:cs="Arial"/>
                <w:noProof/>
                <w:webHidden/>
              </w:rPr>
              <w:instrText xml:space="preserve"> PAGEREF _Toc216755986 \h </w:instrText>
            </w:r>
            <w:r w:rsidR="00432D56" w:rsidRPr="00432D56">
              <w:rPr>
                <w:rFonts w:ascii="Arial" w:hAnsi="Arial" w:cs="Arial"/>
                <w:noProof/>
                <w:webHidden/>
              </w:rPr>
            </w:r>
            <w:r w:rsidR="00432D56" w:rsidRPr="00432D56">
              <w:rPr>
                <w:rFonts w:ascii="Arial" w:hAnsi="Arial" w:cs="Arial"/>
                <w:noProof/>
                <w:webHidden/>
              </w:rPr>
              <w:fldChar w:fldCharType="separate"/>
            </w:r>
            <w:r w:rsidR="00F52944">
              <w:rPr>
                <w:rFonts w:ascii="Arial" w:hAnsi="Arial" w:cs="Arial"/>
                <w:noProof/>
                <w:webHidden/>
              </w:rPr>
              <w:t>24</w:t>
            </w:r>
            <w:r w:rsidR="00432D56" w:rsidRPr="00432D56">
              <w:rPr>
                <w:rFonts w:ascii="Arial" w:hAnsi="Arial" w:cs="Arial"/>
                <w:noProof/>
                <w:webHidden/>
              </w:rPr>
              <w:fldChar w:fldCharType="end"/>
            </w:r>
          </w:hyperlink>
          <w:r w:rsidR="00432D56" w:rsidRPr="00432D56">
            <w:rPr>
              <w:rFonts w:ascii="Arial" w:hAnsi="Arial" w:cs="Arial"/>
              <w:b/>
              <w:bCs/>
              <w:noProof/>
            </w:rPr>
            <w:fldChar w:fldCharType="end"/>
          </w:r>
        </w:p>
      </w:sdtContent>
    </w:sdt>
    <w:p w14:paraId="5EAA9BAD" w14:textId="76142E71" w:rsidR="00213D6E" w:rsidRPr="00922363" w:rsidRDefault="00213D6E" w:rsidP="00922363">
      <w:pPr>
        <w:spacing w:line="360" w:lineRule="auto"/>
        <w:jc w:val="center"/>
        <w:rPr>
          <w:rFonts w:ascii="Arial" w:eastAsia="Times New Roman" w:hAnsi="Arial" w:cs="Arial"/>
          <w:b/>
          <w:bCs/>
          <w:sz w:val="36"/>
          <w:szCs w:val="36"/>
        </w:rPr>
      </w:pPr>
      <w:r w:rsidRPr="00922363">
        <w:rPr>
          <w:rFonts w:ascii="Arial" w:hAnsi="Arial" w:cs="Arial"/>
        </w:rPr>
        <w:br w:type="page"/>
      </w:r>
    </w:p>
    <w:p w14:paraId="2F0A5FC2" w14:textId="091AA7F8" w:rsidR="00871311" w:rsidRPr="00922363" w:rsidRDefault="00871311" w:rsidP="00922363">
      <w:pPr>
        <w:pStyle w:val="Heading1"/>
        <w:spacing w:line="360" w:lineRule="auto"/>
        <w:rPr>
          <w:rFonts w:cs="Arial"/>
        </w:rPr>
      </w:pPr>
      <w:bookmarkStart w:id="0" w:name="_Toc216755944"/>
      <w:r w:rsidRPr="00922363">
        <w:rPr>
          <w:rFonts w:cs="Arial"/>
        </w:rPr>
        <w:lastRenderedPageBreak/>
        <w:t>Introduction</w:t>
      </w:r>
      <w:bookmarkEnd w:id="0"/>
      <w:r w:rsidRPr="00922363">
        <w:rPr>
          <w:rFonts w:cs="Arial"/>
        </w:rPr>
        <w:t xml:space="preserve"> </w:t>
      </w:r>
    </w:p>
    <w:p w14:paraId="2B7DBE45" w14:textId="4C468741" w:rsidR="00871311" w:rsidRPr="00922363" w:rsidRDefault="00871311" w:rsidP="00922363">
      <w:pPr>
        <w:pStyle w:val="NormalWeb"/>
        <w:spacing w:line="360" w:lineRule="auto"/>
        <w:jc w:val="both"/>
        <w:rPr>
          <w:rFonts w:ascii="Arial" w:hAnsi="Arial" w:cs="Arial"/>
        </w:rPr>
      </w:pPr>
      <w:r w:rsidRPr="00922363">
        <w:rPr>
          <w:rFonts w:ascii="Arial" w:hAnsi="Arial" w:cs="Arial"/>
        </w:rPr>
        <w:t xml:space="preserve">This report evaluates the financial condition and strategic recovery prospects of </w:t>
      </w:r>
      <w:r w:rsidRPr="00922363">
        <w:rPr>
          <w:rStyle w:val="Strong"/>
          <w:rFonts w:ascii="Arial" w:hAnsi="Arial" w:cs="Arial"/>
          <w:b w:val="0"/>
          <w:bCs w:val="0"/>
        </w:rPr>
        <w:t>General Electronics</w:t>
      </w:r>
      <w:r w:rsidRPr="00922363">
        <w:rPr>
          <w:rFonts w:ascii="Arial" w:hAnsi="Arial" w:cs="Arial"/>
        </w:rPr>
        <w:t xml:space="preserve"> over the period </w:t>
      </w:r>
      <w:r w:rsidRPr="00922363">
        <w:rPr>
          <w:rStyle w:val="Strong"/>
          <w:rFonts w:ascii="Arial" w:hAnsi="Arial" w:cs="Arial"/>
          <w:b w:val="0"/>
          <w:bCs w:val="0"/>
        </w:rPr>
        <w:t>2020–2024</w:t>
      </w:r>
      <w:r w:rsidRPr="00922363">
        <w:rPr>
          <w:rFonts w:ascii="Arial" w:hAnsi="Arial" w:cs="Arial"/>
        </w:rPr>
        <w:t xml:space="preserve"> using established financial management frameworks. The primary focus is to assess the firm’s financial health through ratio analysis, cash flow evaluation, working capital management, and corporate failure prediction, before developing informed strategic and investment recommendations. Financial statement analysis remains a cornerstone of corporate decision-making, as it enables stakeholders to diagnose profitability, liquidity, efficiency, and solvency risks using systematic and comparable measures (</w:t>
      </w:r>
      <w:proofErr w:type="spellStart"/>
      <w:r w:rsidRPr="00922363">
        <w:rPr>
          <w:rFonts w:ascii="Arial" w:hAnsi="Arial" w:cs="Arial"/>
        </w:rPr>
        <w:t>Atrill</w:t>
      </w:r>
      <w:proofErr w:type="spellEnd"/>
      <w:r w:rsidRPr="00922363">
        <w:rPr>
          <w:rFonts w:ascii="Arial" w:hAnsi="Arial" w:cs="Arial"/>
        </w:rPr>
        <w:t xml:space="preserve"> &amp; McLaney, 2017; Berk &amp; </w:t>
      </w:r>
      <w:proofErr w:type="spellStart"/>
      <w:r w:rsidRPr="00922363">
        <w:rPr>
          <w:rFonts w:ascii="Arial" w:hAnsi="Arial" w:cs="Arial"/>
        </w:rPr>
        <w:t>DeMarzo</w:t>
      </w:r>
      <w:proofErr w:type="spellEnd"/>
      <w:r w:rsidRPr="00922363">
        <w:rPr>
          <w:rFonts w:ascii="Arial" w:hAnsi="Arial" w:cs="Arial"/>
        </w:rPr>
        <w:t>, 2020).</w:t>
      </w:r>
      <w:r w:rsidR="00213D6E" w:rsidRPr="00922363">
        <w:rPr>
          <w:rFonts w:ascii="Arial" w:hAnsi="Arial" w:cs="Arial"/>
        </w:rPr>
        <w:t xml:space="preserve"> </w:t>
      </w:r>
      <w:r w:rsidRPr="00922363">
        <w:rPr>
          <w:rFonts w:ascii="Arial" w:hAnsi="Arial" w:cs="Arial"/>
        </w:rPr>
        <w:t xml:space="preserve">The background to this analysis is General Electronics’ sustained revenue decline, deteriorating profitability, and rising leverage, which raise concerns regarding long-term financial sustainability despite the absence of immediate bankruptcy risk. Accordingly, the </w:t>
      </w:r>
      <w:r w:rsidRPr="00922363">
        <w:rPr>
          <w:rStyle w:val="Strong"/>
          <w:rFonts w:ascii="Arial" w:hAnsi="Arial" w:cs="Arial"/>
          <w:b w:val="0"/>
          <w:bCs w:val="0"/>
        </w:rPr>
        <w:t>objectives of this report</w:t>
      </w:r>
      <w:r w:rsidRPr="00922363">
        <w:rPr>
          <w:rFonts w:ascii="Arial" w:hAnsi="Arial" w:cs="Arial"/>
        </w:rPr>
        <w:t xml:space="preserve"> are threefold: first, to evaluate historical financial performance and distress risk; second, to assess the effectiveness of working capital management; and third, to appraise strategic restructuring and capital investment options capable of restoring value and financial resilience.</w:t>
      </w:r>
    </w:p>
    <w:p w14:paraId="01BD867D" w14:textId="77777777" w:rsidR="00871311" w:rsidRPr="00922363" w:rsidRDefault="00871311" w:rsidP="00922363">
      <w:pPr>
        <w:pStyle w:val="Heading2"/>
        <w:spacing w:line="360" w:lineRule="auto"/>
        <w:jc w:val="both"/>
        <w:rPr>
          <w:rFonts w:cs="Arial"/>
        </w:rPr>
      </w:pPr>
    </w:p>
    <w:p w14:paraId="4B22A435" w14:textId="77777777" w:rsidR="00871311" w:rsidRPr="00922363" w:rsidRDefault="00871311" w:rsidP="00922363">
      <w:pPr>
        <w:spacing w:line="360" w:lineRule="auto"/>
        <w:rPr>
          <w:rFonts w:ascii="Arial" w:eastAsia="Times New Roman" w:hAnsi="Arial" w:cs="Arial"/>
          <w:b/>
          <w:bCs/>
          <w:sz w:val="36"/>
          <w:szCs w:val="36"/>
        </w:rPr>
      </w:pPr>
      <w:r w:rsidRPr="00922363">
        <w:rPr>
          <w:rFonts w:ascii="Arial" w:hAnsi="Arial" w:cs="Arial"/>
        </w:rPr>
        <w:br w:type="page"/>
      </w:r>
    </w:p>
    <w:p w14:paraId="0629A664" w14:textId="586FDFB4" w:rsidR="00B8703A" w:rsidRPr="00922363" w:rsidRDefault="00B8703A" w:rsidP="00922363">
      <w:pPr>
        <w:pStyle w:val="Heading1"/>
        <w:spacing w:line="360" w:lineRule="auto"/>
        <w:rPr>
          <w:rFonts w:cs="Arial"/>
        </w:rPr>
      </w:pPr>
      <w:bookmarkStart w:id="1" w:name="_Toc216755945"/>
      <w:r w:rsidRPr="00922363">
        <w:rPr>
          <w:rFonts w:cs="Arial"/>
        </w:rPr>
        <w:lastRenderedPageBreak/>
        <w:t>1.</w:t>
      </w:r>
      <w:r w:rsidR="00432D56">
        <w:rPr>
          <w:rFonts w:cs="Arial"/>
        </w:rPr>
        <w:t>0</w:t>
      </w:r>
      <w:r w:rsidRPr="00922363">
        <w:rPr>
          <w:rFonts w:cs="Arial"/>
        </w:rPr>
        <w:t xml:space="preserve"> Financial Health Check of General Electronics (2020–2024)</w:t>
      </w:r>
      <w:bookmarkEnd w:id="1"/>
    </w:p>
    <w:p w14:paraId="06E107FF" w14:textId="77777777" w:rsidR="00B8703A" w:rsidRPr="00922363" w:rsidRDefault="00B8703A" w:rsidP="00922363">
      <w:pPr>
        <w:pStyle w:val="Heading2"/>
      </w:pPr>
      <w:bookmarkStart w:id="2" w:name="_Toc216755946"/>
      <w:r w:rsidRPr="00922363">
        <w:t>1.1 Introduction and scope of analysis</w:t>
      </w:r>
      <w:bookmarkEnd w:id="2"/>
    </w:p>
    <w:p w14:paraId="01FC87EC"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t>This section evaluates the financial health of General Electronics over the five-year period from 2020 to 2024 using the consolidated income statement, statement of financial position, and cash flow statement provided in the assignment brief. The analysis assesses profitability, liquidity, efficiency, gearing, investment performance, and cash flow strength through systematic ratio analysis. All ratio calculations strictly follow the formulae provided in the supplied ratio formula sheet, and all numerical inputs are drawn directly from the dataset in the brief. To assess financial distress risk, the Altman Z-Score model for manufacturing firms is applied. Detailed ratio calculations are presented in Appendix A (Tables A1–A7), while this section focuses on interpretation, trends, strengths, and risks (</w:t>
      </w:r>
      <w:proofErr w:type="spellStart"/>
      <w:r w:rsidRPr="00922363">
        <w:rPr>
          <w:rFonts w:ascii="Arial" w:hAnsi="Arial" w:cs="Arial"/>
        </w:rPr>
        <w:t>Atrill</w:t>
      </w:r>
      <w:proofErr w:type="spellEnd"/>
      <w:r w:rsidRPr="00922363">
        <w:rPr>
          <w:rFonts w:ascii="Arial" w:hAnsi="Arial" w:cs="Arial"/>
        </w:rPr>
        <w:t xml:space="preserve"> &amp; McLaney, 2017; Berk &amp; </w:t>
      </w:r>
      <w:proofErr w:type="spellStart"/>
      <w:r w:rsidRPr="00922363">
        <w:rPr>
          <w:rFonts w:ascii="Arial" w:hAnsi="Arial" w:cs="Arial"/>
        </w:rPr>
        <w:t>DeMarzo</w:t>
      </w:r>
      <w:proofErr w:type="spellEnd"/>
      <w:r w:rsidRPr="00922363">
        <w:rPr>
          <w:rFonts w:ascii="Arial" w:hAnsi="Arial" w:cs="Arial"/>
        </w:rPr>
        <w:t>, 2020).</w:t>
      </w:r>
    </w:p>
    <w:p w14:paraId="4FF72ABF" w14:textId="77777777" w:rsidR="00B8703A" w:rsidRPr="00922363" w:rsidRDefault="00B8703A" w:rsidP="00922363">
      <w:pPr>
        <w:pStyle w:val="Heading2"/>
      </w:pPr>
      <w:bookmarkStart w:id="3" w:name="_Toc216755947"/>
      <w:r w:rsidRPr="00922363">
        <w:t>1.2 Overall financial performance trends</w:t>
      </w:r>
      <w:bookmarkEnd w:id="3"/>
    </w:p>
    <w:p w14:paraId="582FBC33"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t>General Electronics experienced a significant contraction in revenue over the review period, with net sales declining from £614,680 million in 2020 to £394,879 million in 2024. This sustained fall indicates prolonged demand weakness rather than a short-term cyclical downturn. As shown in Appendix A, Table A1, gross profit margins remained relatively resilient, fluctuating between 23.2 percent and 28.9 percent. However, operating and net profitability deteriorated sharply after 2021. Operating income turned negative in 2023 and remained negative in 2024, reflecting an inability to align operating costs with declining revenues. Net income followed the same trajectory, moving from a net margin of 6.28 percent in 2020 to losses exceeding 23 percent of sales in 2023. This divergence between stable gross margins and collapsing net performance highlights structural inefficiencies in overhead and operating cost management.</w:t>
      </w:r>
    </w:p>
    <w:p w14:paraId="3A53E711" w14:textId="77777777" w:rsidR="00B8703A" w:rsidRPr="00922363" w:rsidRDefault="00B8703A" w:rsidP="00922363">
      <w:pPr>
        <w:pStyle w:val="Heading2"/>
      </w:pPr>
      <w:bookmarkStart w:id="4" w:name="_Toc216755948"/>
      <w:r w:rsidRPr="00922363">
        <w:t>1.3 Profitability analysis</w:t>
      </w:r>
      <w:bookmarkEnd w:id="4"/>
    </w:p>
    <w:p w14:paraId="3FD4384A"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lastRenderedPageBreak/>
        <w:t>Profitability ratios evaluate the firm’s capacity to generate earnings from sales, assets, and equity. Appendix A, Table A1 shows that gross profit margin remained consistently strong, above 28 percent in most years, suggesting that product pricing and direct cost control remained effective despite declining sales. However, operating profit margin fell sharply from 6.06 percent in 2020 to negative 20.29 percent in 2023, before improving slightly but remaining negative in 2024. This reflects escalating operating expenses relative to revenue.</w:t>
      </w:r>
    </w:p>
    <w:p w14:paraId="4B8042CD"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t>Net profit margin mirrored this deterioration, falling from 6.28 percent in 2020 to negative 6.09 percent in 2024. Return on assets declined from 7.56 percent in 2020 to negative values in the final two years, indicating a severe erosion in asset productivity. Return on equity deteriorated even more sharply, falling from 12.31 percent to negative 15.69 percent by 2024. This pattern indicates that shareholders absorbed a disproportionate share of performance deterioration, consistent with declining earnings and shrinking equity (Keown et al., 2024).</w:t>
      </w:r>
    </w:p>
    <w:p w14:paraId="128F9D19" w14:textId="77777777" w:rsidR="00B8703A" w:rsidRPr="00922363" w:rsidRDefault="00B8703A" w:rsidP="00922363">
      <w:pPr>
        <w:pStyle w:val="Heading2"/>
      </w:pPr>
      <w:bookmarkStart w:id="5" w:name="_Toc216755949"/>
      <w:r w:rsidRPr="00922363">
        <w:t>1.4 Liquidity analysis</w:t>
      </w:r>
      <w:bookmarkEnd w:id="5"/>
    </w:p>
    <w:p w14:paraId="2A8A8DC4"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t>Liquidity ratios assess the firm’s ability to meet short-term obligations. As reported in Appendix A, Table A2, the current ratio remained above 1 throughout the period, declining from 1.82 in 2020 to 1.53 in 2024. While this indicates that current assets continued to exceed current liabilities, the downward trend signals a gradual weakening of short-term financial buffers.</w:t>
      </w:r>
    </w:p>
    <w:p w14:paraId="206D6F32"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t>The quick ratio declined from 1.15 in 2020 to just above 1.0 in 2024, demonstrating increasing reliance on inventory to support liquidity. This is a concern in the electronics sector, where inventory can become obsolete rapidly. The cash ratio fell more sharply, from 0.32 to 0.17 over the same period, indicating that immediate liquidity increasingly depended on receivables rather than cash holdings. Although no immediate liquidity crisis is evident, the declining trend heightens exposure to short-term shocks (</w:t>
      </w:r>
      <w:proofErr w:type="spellStart"/>
      <w:r w:rsidRPr="00922363">
        <w:rPr>
          <w:rFonts w:ascii="Arial" w:hAnsi="Arial" w:cs="Arial"/>
        </w:rPr>
        <w:t>Atrill</w:t>
      </w:r>
      <w:proofErr w:type="spellEnd"/>
      <w:r w:rsidRPr="00922363">
        <w:rPr>
          <w:rFonts w:ascii="Arial" w:hAnsi="Arial" w:cs="Arial"/>
        </w:rPr>
        <w:t xml:space="preserve"> &amp; McLaney, 2017).</w:t>
      </w:r>
    </w:p>
    <w:p w14:paraId="214FA696" w14:textId="77777777" w:rsidR="00B8703A" w:rsidRPr="00922363" w:rsidRDefault="00B8703A" w:rsidP="00922363">
      <w:pPr>
        <w:pStyle w:val="Heading2"/>
      </w:pPr>
      <w:bookmarkStart w:id="6" w:name="_Toc216755950"/>
      <w:r w:rsidRPr="00922363">
        <w:t>1.5 Efficiency and working capital analysis</w:t>
      </w:r>
      <w:bookmarkEnd w:id="6"/>
    </w:p>
    <w:p w14:paraId="07B67EAB"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lastRenderedPageBreak/>
        <w:t xml:space="preserve">Efficiency ratios assess how effectively assets and working capital are </w:t>
      </w:r>
      <w:proofErr w:type="spellStart"/>
      <w:r w:rsidRPr="00922363">
        <w:rPr>
          <w:rFonts w:ascii="Arial" w:hAnsi="Arial" w:cs="Arial"/>
        </w:rPr>
        <w:t>utilised</w:t>
      </w:r>
      <w:proofErr w:type="spellEnd"/>
      <w:r w:rsidRPr="00922363">
        <w:rPr>
          <w:rFonts w:ascii="Arial" w:hAnsi="Arial" w:cs="Arial"/>
        </w:rPr>
        <w:t>. Appendix A, Table A3 shows that asset turnover declined from 1.20 in 2020 to 1.08 in 2022 before recovering to 1.22 in 2024. This recovery reflects aggressive asset reduction rather than improved sales performance. Fixed asset turnover increased steadily from 7.04 to 11.54 over the period, indicating that the remaining asset base was used more intensively following divestments and write-downs.</w:t>
      </w:r>
    </w:p>
    <w:p w14:paraId="7F26261B" w14:textId="59E07076" w:rsidR="00B8703A" w:rsidRPr="00922363" w:rsidRDefault="00B8703A" w:rsidP="00922363">
      <w:pPr>
        <w:pStyle w:val="NormalWeb"/>
        <w:spacing w:line="360" w:lineRule="auto"/>
        <w:jc w:val="both"/>
        <w:rPr>
          <w:rFonts w:ascii="Arial" w:hAnsi="Arial" w:cs="Arial"/>
        </w:rPr>
      </w:pPr>
      <w:r w:rsidRPr="00922363">
        <w:rPr>
          <w:rFonts w:ascii="Arial" w:hAnsi="Arial" w:cs="Arial"/>
        </w:rPr>
        <w:t xml:space="preserve">Receivable days increased significantly, rising from 76.86 days in 2020 to over 105 days in 2024, </w:t>
      </w:r>
      <w:r w:rsidR="00747935" w:rsidRPr="00922363">
        <w:rPr>
          <w:rFonts w:ascii="Arial" w:hAnsi="Arial" w:cs="Arial"/>
        </w:rPr>
        <w:t>signaling</w:t>
      </w:r>
      <w:r w:rsidRPr="00922363">
        <w:rPr>
          <w:rFonts w:ascii="Arial" w:hAnsi="Arial" w:cs="Arial"/>
        </w:rPr>
        <w:t xml:space="preserve"> deteriorating credit control and slower customer collections. Inventory days peaked at 131 days in 2022 before declining to approximately 103 days in 2024. While this reduction suggests active inventory management, it coincided with declining sales volumes, implying that inventory improvements were partly demand-driven rather than efficiency-led.</w:t>
      </w:r>
    </w:p>
    <w:p w14:paraId="7590DEA7" w14:textId="77777777" w:rsidR="00B8703A" w:rsidRPr="00922363" w:rsidRDefault="00B8703A" w:rsidP="00922363">
      <w:pPr>
        <w:pStyle w:val="Heading2"/>
      </w:pPr>
      <w:bookmarkStart w:id="7" w:name="_Toc216755951"/>
      <w:r w:rsidRPr="00922363">
        <w:t>1.6 Gearing and leverage analysis</w:t>
      </w:r>
      <w:bookmarkEnd w:id="7"/>
    </w:p>
    <w:p w14:paraId="51BAAED1"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t>Gearing ratios highlight financial risk arising from debt usage. Appendix A, Table A4 shows that interest coverage was strong in the early years, exceeding 26 times in 2020 and 41 times in 2021. However, it collapsed in 2023 and 2024 as EBIT turned negative, indicating that operating earnings were insufficient to meet interest obligations. This substantially increased financial risk.</w:t>
      </w:r>
    </w:p>
    <w:p w14:paraId="01D17566"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t xml:space="preserve">The debt-to-equity ratio rose steadily from 0.63 in 2020 to 1.11 in 2024, reflecting declining equity rather than excessive new borrowing. The equity multiplier increased from 1.63 to 2.11, confirming rising financial leverage and heightened exposure for shareholders. Although total liabilities declined slightly after 2022, equity erosion magnified overall gearing risk (Berk &amp; </w:t>
      </w:r>
      <w:proofErr w:type="spellStart"/>
      <w:r w:rsidRPr="00922363">
        <w:rPr>
          <w:rFonts w:ascii="Arial" w:hAnsi="Arial" w:cs="Arial"/>
        </w:rPr>
        <w:t>DeMarzo</w:t>
      </w:r>
      <w:proofErr w:type="spellEnd"/>
      <w:r w:rsidRPr="00922363">
        <w:rPr>
          <w:rFonts w:ascii="Arial" w:hAnsi="Arial" w:cs="Arial"/>
        </w:rPr>
        <w:t>, 2020).</w:t>
      </w:r>
    </w:p>
    <w:p w14:paraId="5B918BFD" w14:textId="77777777" w:rsidR="00B8703A" w:rsidRPr="00922363" w:rsidRDefault="00B8703A" w:rsidP="00922363">
      <w:pPr>
        <w:pStyle w:val="Heading2"/>
      </w:pPr>
      <w:bookmarkStart w:id="8" w:name="_Toc216755952"/>
      <w:r w:rsidRPr="00922363">
        <w:t>1.7 Investment and market-based ratio analysis</w:t>
      </w:r>
      <w:bookmarkEnd w:id="8"/>
    </w:p>
    <w:p w14:paraId="79B4631E"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t xml:space="preserve">Investment ratios reflect shareholder returns and market perceptions. Market-based ratios are calculated using an assumed market price per share of £120, applied consistently across all years for academic transparency. Appendix A, Table A5 shows that earnings per share declined sharply from £2.78 in 2020 to negative values in 2023 </w:t>
      </w:r>
      <w:r w:rsidRPr="00922363">
        <w:rPr>
          <w:rFonts w:ascii="Arial" w:hAnsi="Arial" w:cs="Arial"/>
        </w:rPr>
        <w:lastRenderedPageBreak/>
        <w:t>and 2024. As a result, the price–earnings ratio became not meaningful in loss-making years, which typically signals elevated investment risk.</w:t>
      </w:r>
    </w:p>
    <w:p w14:paraId="184B708F"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t>Return on equity based on operating income declined from 11.89 percent in 2020 to negative 9.99 percent in 2024. This reinforces evidence that shareholder value creation deteriorated significantly over the period, driven by falling profitability and reduced equity levels (Keown et al., 2024).</w:t>
      </w:r>
    </w:p>
    <w:p w14:paraId="2129DEC4" w14:textId="77777777" w:rsidR="00B8703A" w:rsidRPr="00922363" w:rsidRDefault="00B8703A" w:rsidP="00922363">
      <w:pPr>
        <w:pStyle w:val="Heading2"/>
      </w:pPr>
      <w:bookmarkStart w:id="9" w:name="_Toc216755953"/>
      <w:r w:rsidRPr="00922363">
        <w:t>1.8 Cash flow analysis</w:t>
      </w:r>
      <w:bookmarkEnd w:id="9"/>
    </w:p>
    <w:p w14:paraId="5E53BD3F"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t>Cash flow ratios provide insight beyond accrual-based profitability. As shown in Appendix A, Table A6, the operating cash flow ratio declined from 0.41 in 2020 to 0.09 in 2024, indicating a reduced ability to cover short-term liabilities through operating cash generation. The cash flow to debt ratio also weakened, falling from 0.37 to 0.09 over the period.</w:t>
      </w:r>
    </w:p>
    <w:p w14:paraId="4D9014FE"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t>Despite these declines, operating cash flows remained positive in all years, distinguishing General Electronics from firms experiencing immediate cash insolvency. However, cash flow margins fell sharply after 2020, highlighting diminishing cash conversion efficiency and rising solvency risk if losses persist.</w:t>
      </w:r>
    </w:p>
    <w:p w14:paraId="2B823ED3" w14:textId="77777777" w:rsidR="00B8703A" w:rsidRPr="00922363" w:rsidRDefault="00B8703A" w:rsidP="00922363">
      <w:pPr>
        <w:pStyle w:val="Heading2"/>
      </w:pPr>
      <w:bookmarkStart w:id="10" w:name="_Toc216755954"/>
      <w:r w:rsidRPr="00922363">
        <w:t>1.9 Corporate failure prediction using the Altman Z-Score</w:t>
      </w:r>
      <w:bookmarkEnd w:id="10"/>
    </w:p>
    <w:p w14:paraId="3EB0E35E" w14:textId="77777777" w:rsidR="00B8703A" w:rsidRPr="00922363" w:rsidRDefault="00B8703A" w:rsidP="00922363">
      <w:pPr>
        <w:pStyle w:val="NormalWeb"/>
        <w:spacing w:line="360" w:lineRule="auto"/>
        <w:jc w:val="both"/>
        <w:rPr>
          <w:rFonts w:ascii="Arial" w:hAnsi="Arial" w:cs="Arial"/>
        </w:rPr>
      </w:pPr>
      <w:r w:rsidRPr="00922363">
        <w:rPr>
          <w:rFonts w:ascii="Arial" w:hAnsi="Arial" w:cs="Arial"/>
        </w:rPr>
        <w:t>The Altman Z-Score model is applied using the manufacturing firm formulation. Appendix A, Table A7 shows that General Electronics maintained Z-Scores well above the distress threshold of 1.81 throughout the period, with values ranging between 6.26 and 7.76. According to Altman (1968), scores above 2.99 indicate a low probability of bankruptcy.</w:t>
      </w:r>
    </w:p>
    <w:p w14:paraId="1F42FB1D" w14:textId="124736D6" w:rsidR="00922363" w:rsidRPr="00922363" w:rsidRDefault="00B8703A" w:rsidP="00922363">
      <w:pPr>
        <w:pStyle w:val="NormalWeb"/>
        <w:spacing w:line="360" w:lineRule="auto"/>
        <w:jc w:val="both"/>
        <w:rPr>
          <w:rFonts w:ascii="Arial" w:hAnsi="Arial" w:cs="Arial"/>
        </w:rPr>
      </w:pPr>
      <w:r w:rsidRPr="00922363">
        <w:rPr>
          <w:rFonts w:ascii="Arial" w:hAnsi="Arial" w:cs="Arial"/>
        </w:rPr>
        <w:t>Although profitability and liquidity deteriorated, the consistently high Z-Scores reflect strong retained earnings relative to assets and a high market value of equity compared to liabilities. This suggests that, despite operational weakness, General Electronics did not face immediate bankruptcy risk during the period. However, the sustainability of this position depends on restoring profitability.</w:t>
      </w:r>
    </w:p>
    <w:p w14:paraId="211FA763" w14:textId="77777777" w:rsidR="00B8703A" w:rsidRPr="00922363" w:rsidRDefault="00B8703A" w:rsidP="00922363">
      <w:pPr>
        <w:pStyle w:val="Heading2"/>
      </w:pPr>
      <w:bookmarkStart w:id="11" w:name="_Toc216755955"/>
      <w:r w:rsidRPr="00922363">
        <w:lastRenderedPageBreak/>
        <w:t>1.10 Strengths, weaknesses, and risk outlook</w:t>
      </w:r>
      <w:bookmarkEnd w:id="11"/>
    </w:p>
    <w:p w14:paraId="048839FE" w14:textId="55F30281" w:rsidR="00B8703A" w:rsidRPr="00922363" w:rsidRDefault="00B8703A" w:rsidP="00922363">
      <w:pPr>
        <w:pStyle w:val="NormalWeb"/>
        <w:spacing w:line="360" w:lineRule="auto"/>
        <w:jc w:val="both"/>
        <w:rPr>
          <w:rFonts w:ascii="Arial" w:hAnsi="Arial" w:cs="Arial"/>
        </w:rPr>
      </w:pPr>
      <w:r w:rsidRPr="00922363">
        <w:rPr>
          <w:rFonts w:ascii="Arial" w:hAnsi="Arial" w:cs="Arial"/>
        </w:rPr>
        <w:t xml:space="preserve">The analysis identifies several strengths, including resilient gross margins, positive operating cash flows, and consistently strong Altman Z-Scores indicating low short-term default risk. However, these strengths are outweighed by material weaknesses such as declining revenues, persistent operating losses, weakening liquidity, deteriorating interest coverage, rising leverage, and slower receivables collection. Overall, while General Electronics remained solvent during 2020–2024, its financial health weakened substantially, underscoring the need for strategic cost restructuring, revenue </w:t>
      </w:r>
      <w:proofErr w:type="spellStart"/>
      <w:r w:rsidRPr="00922363">
        <w:rPr>
          <w:rFonts w:ascii="Arial" w:hAnsi="Arial" w:cs="Arial"/>
        </w:rPr>
        <w:t>stabilisation</w:t>
      </w:r>
      <w:proofErr w:type="spellEnd"/>
      <w:r w:rsidRPr="00922363">
        <w:rPr>
          <w:rFonts w:ascii="Arial" w:hAnsi="Arial" w:cs="Arial"/>
        </w:rPr>
        <w:t>, and tighter working capital control.</w:t>
      </w:r>
    </w:p>
    <w:p w14:paraId="79257B85" w14:textId="3FB2E2FD" w:rsidR="00B8703A" w:rsidRPr="00922363" w:rsidRDefault="00922363" w:rsidP="00922363">
      <w:pPr>
        <w:pStyle w:val="Heading2"/>
      </w:pPr>
      <w:bookmarkStart w:id="12" w:name="_Toc216755956"/>
      <w:r>
        <w:t xml:space="preserve">1.11 </w:t>
      </w:r>
      <w:r w:rsidR="00B8703A" w:rsidRPr="00922363">
        <w:t>Overall Summary</w:t>
      </w:r>
      <w:bookmarkEnd w:id="12"/>
    </w:p>
    <w:p w14:paraId="2E008AA3" w14:textId="697E0423" w:rsidR="00B8703A" w:rsidRPr="00922363" w:rsidRDefault="00B8703A" w:rsidP="00922363">
      <w:pPr>
        <w:pStyle w:val="NormalWeb"/>
        <w:spacing w:line="360" w:lineRule="auto"/>
        <w:jc w:val="both"/>
        <w:rPr>
          <w:rFonts w:ascii="Arial" w:hAnsi="Arial" w:cs="Arial"/>
        </w:rPr>
      </w:pPr>
      <w:r w:rsidRPr="00922363">
        <w:rPr>
          <w:rFonts w:ascii="Arial" w:hAnsi="Arial" w:cs="Arial"/>
        </w:rPr>
        <w:t>Between 2020 and 2024, General Electronics experienced declining revenues and severe profitability deterioration despite stable gross margins. Liquidity and cash flow positions weakened gradually, while leverage increased due to equity erosion. Although Altman Z-Scores indicate low immediate bankruptcy risk, continued losses threaten long-term financial sustainability unless corrective strategic and financial measures are implemented.</w:t>
      </w:r>
    </w:p>
    <w:p w14:paraId="7A3DE8D7" w14:textId="4CBAECF6" w:rsidR="00572609" w:rsidRPr="005C4783" w:rsidRDefault="00572609" w:rsidP="00922363">
      <w:pPr>
        <w:pStyle w:val="Heading1"/>
        <w:rPr>
          <w:rFonts w:eastAsia="Times New Roman"/>
        </w:rPr>
      </w:pPr>
      <w:bookmarkStart w:id="13" w:name="_Toc216755957"/>
      <w:r w:rsidRPr="005C4783">
        <w:rPr>
          <w:rFonts w:eastAsia="Times New Roman"/>
        </w:rPr>
        <w:t>2.</w:t>
      </w:r>
      <w:r w:rsidR="00922363">
        <w:rPr>
          <w:rFonts w:eastAsia="Times New Roman"/>
        </w:rPr>
        <w:t>0</w:t>
      </w:r>
      <w:r w:rsidRPr="005C4783">
        <w:rPr>
          <w:rFonts w:eastAsia="Times New Roman"/>
        </w:rPr>
        <w:t xml:space="preserve"> Working Capital Management Analysis</w:t>
      </w:r>
      <w:bookmarkEnd w:id="13"/>
    </w:p>
    <w:p w14:paraId="341A73DF" w14:textId="77777777" w:rsidR="00572609" w:rsidRPr="005C4783" w:rsidRDefault="00572609" w:rsidP="00922363">
      <w:pPr>
        <w:pStyle w:val="Heading2"/>
      </w:pPr>
      <w:bookmarkStart w:id="14" w:name="_Toc216755958"/>
      <w:r w:rsidRPr="005C4783">
        <w:t>2.1 Introduction</w:t>
      </w:r>
      <w:bookmarkEnd w:id="14"/>
    </w:p>
    <w:p w14:paraId="75DBFDE9" w14:textId="3A21662B" w:rsidR="00572609" w:rsidRDefault="00572609" w:rsidP="00922363">
      <w:pPr>
        <w:spacing w:before="100" w:beforeAutospacing="1" w:after="100" w:afterAutospacing="1" w:line="360" w:lineRule="auto"/>
        <w:jc w:val="both"/>
        <w:rPr>
          <w:rFonts w:ascii="Arial" w:eastAsia="Times New Roman" w:hAnsi="Arial" w:cs="Arial"/>
          <w:sz w:val="24"/>
          <w:szCs w:val="24"/>
        </w:rPr>
      </w:pPr>
      <w:r w:rsidRPr="005C4783">
        <w:rPr>
          <w:rFonts w:ascii="Arial" w:eastAsia="Times New Roman" w:hAnsi="Arial" w:cs="Arial"/>
          <w:sz w:val="24"/>
          <w:szCs w:val="24"/>
        </w:rPr>
        <w:t xml:space="preserve">This section evaluates the working capital management of General Electronics over the period 2020 to 2024 using the financial dataset provided in the assignment brief and the ratio outcomes reported in Appendix A. The analysis focuses on the cash operating cycle, identifies weaknesses in working capital efficiency, and proposes reforms to improve liquidity. In addition, a comparison of short term and </w:t>
      </w:r>
      <w:r w:rsidRPr="00922363">
        <w:rPr>
          <w:rFonts w:ascii="Arial" w:eastAsia="Times New Roman" w:hAnsi="Arial" w:cs="Arial"/>
          <w:sz w:val="24"/>
          <w:szCs w:val="24"/>
        </w:rPr>
        <w:t>long-term</w:t>
      </w:r>
      <w:r w:rsidRPr="005C4783">
        <w:rPr>
          <w:rFonts w:ascii="Arial" w:eastAsia="Times New Roman" w:hAnsi="Arial" w:cs="Arial"/>
          <w:sz w:val="24"/>
          <w:szCs w:val="24"/>
        </w:rPr>
        <w:t xml:space="preserve"> financing options is presented to support sustainable working capital funding decisions. Supporting calculations are provided in Appendix B.</w:t>
      </w:r>
    </w:p>
    <w:p w14:paraId="2E59606E" w14:textId="77777777" w:rsidR="00922363" w:rsidRPr="005C4783" w:rsidRDefault="00922363" w:rsidP="00922363">
      <w:pPr>
        <w:spacing w:before="100" w:beforeAutospacing="1" w:after="100" w:afterAutospacing="1" w:line="360" w:lineRule="auto"/>
        <w:jc w:val="both"/>
        <w:rPr>
          <w:rFonts w:ascii="Arial" w:eastAsia="Times New Roman" w:hAnsi="Arial" w:cs="Arial"/>
          <w:sz w:val="24"/>
          <w:szCs w:val="24"/>
        </w:rPr>
      </w:pPr>
    </w:p>
    <w:p w14:paraId="13A8D3ED" w14:textId="77777777" w:rsidR="00572609" w:rsidRPr="005C4783" w:rsidRDefault="00572609" w:rsidP="00922363">
      <w:pPr>
        <w:pStyle w:val="Heading2"/>
      </w:pPr>
      <w:bookmarkStart w:id="15" w:name="_Toc216755959"/>
      <w:r w:rsidRPr="005C4783">
        <w:lastRenderedPageBreak/>
        <w:t>2.2 Assessment of the cash operating cycle</w:t>
      </w:r>
      <w:bookmarkEnd w:id="15"/>
    </w:p>
    <w:p w14:paraId="4ED6DD60" w14:textId="13A05017" w:rsidR="00572609" w:rsidRPr="005C4783" w:rsidRDefault="00572609" w:rsidP="00922363">
      <w:pPr>
        <w:spacing w:before="100" w:beforeAutospacing="1" w:after="100" w:afterAutospacing="1" w:line="360" w:lineRule="auto"/>
        <w:jc w:val="both"/>
        <w:rPr>
          <w:rFonts w:ascii="Arial" w:eastAsia="Times New Roman" w:hAnsi="Arial" w:cs="Arial"/>
          <w:sz w:val="24"/>
          <w:szCs w:val="24"/>
        </w:rPr>
      </w:pPr>
      <w:r w:rsidRPr="005C4783">
        <w:rPr>
          <w:rFonts w:ascii="Arial" w:eastAsia="Times New Roman" w:hAnsi="Arial" w:cs="Arial"/>
          <w:sz w:val="24"/>
          <w:szCs w:val="24"/>
        </w:rPr>
        <w:t xml:space="preserve">The cash operating cycle measures the time taken to convert cash invested in operations back into cash inflows and is a key indicator of </w:t>
      </w:r>
      <w:r w:rsidRPr="00922363">
        <w:rPr>
          <w:rFonts w:ascii="Arial" w:eastAsia="Times New Roman" w:hAnsi="Arial" w:cs="Arial"/>
          <w:sz w:val="24"/>
          <w:szCs w:val="24"/>
        </w:rPr>
        <w:t>short-term</w:t>
      </w:r>
      <w:r w:rsidRPr="005C4783">
        <w:rPr>
          <w:rFonts w:ascii="Arial" w:eastAsia="Times New Roman" w:hAnsi="Arial" w:cs="Arial"/>
          <w:sz w:val="24"/>
          <w:szCs w:val="24"/>
        </w:rPr>
        <w:t xml:space="preserve"> liquidity efficiency. It is calculated as receivables days plus inventory days minus payables days (</w:t>
      </w:r>
      <w:proofErr w:type="spellStart"/>
      <w:r w:rsidRPr="005C4783">
        <w:rPr>
          <w:rFonts w:ascii="Arial" w:eastAsia="Times New Roman" w:hAnsi="Arial" w:cs="Arial"/>
          <w:sz w:val="24"/>
          <w:szCs w:val="24"/>
        </w:rPr>
        <w:t>Atrill</w:t>
      </w:r>
      <w:proofErr w:type="spellEnd"/>
      <w:r w:rsidRPr="005C4783">
        <w:rPr>
          <w:rFonts w:ascii="Arial" w:eastAsia="Times New Roman" w:hAnsi="Arial" w:cs="Arial"/>
          <w:sz w:val="24"/>
          <w:szCs w:val="24"/>
        </w:rPr>
        <w:t xml:space="preserve"> &amp; McLaney, 2017).</w:t>
      </w:r>
    </w:p>
    <w:p w14:paraId="23F78125" w14:textId="77777777" w:rsidR="00572609" w:rsidRPr="005C4783" w:rsidRDefault="00572609" w:rsidP="00922363">
      <w:pPr>
        <w:spacing w:before="100" w:beforeAutospacing="1" w:after="100" w:afterAutospacing="1" w:line="360" w:lineRule="auto"/>
        <w:jc w:val="both"/>
        <w:rPr>
          <w:rFonts w:ascii="Arial" w:eastAsia="Times New Roman" w:hAnsi="Arial" w:cs="Arial"/>
          <w:sz w:val="24"/>
          <w:szCs w:val="24"/>
        </w:rPr>
      </w:pPr>
      <w:r w:rsidRPr="005C4783">
        <w:rPr>
          <w:rFonts w:ascii="Arial" w:eastAsia="Times New Roman" w:hAnsi="Arial" w:cs="Arial"/>
          <w:sz w:val="24"/>
          <w:szCs w:val="24"/>
        </w:rPr>
        <w:t>As shown in Appendix B, Table B1, receivables days increased materially from 76.86 days in 2020 to 105.54 days in 2024, indicating progressively weaker credit control and slower customer collections. This trend ties directly to the deterioration in liquidity ratios observed in Appendix A, Table A2, particularly the decline in the cash ratio from 0.32 to 0.17. Inventory days were volatile, peaking at 131.04 days in 2022 before declining to approximately 103 days in 2024. While this reduction suggests some improvement in inventory management, it coincided with declining sales volumes, implying that inventory reduction was partly demand driven rather than efficiency driven.</w:t>
      </w:r>
    </w:p>
    <w:p w14:paraId="6922370A" w14:textId="45072A3F" w:rsidR="00572609" w:rsidRPr="005C4783" w:rsidRDefault="00572609" w:rsidP="00922363">
      <w:pPr>
        <w:spacing w:before="100" w:beforeAutospacing="1" w:after="100" w:afterAutospacing="1" w:line="360" w:lineRule="auto"/>
        <w:jc w:val="both"/>
        <w:rPr>
          <w:rFonts w:ascii="Arial" w:eastAsia="Times New Roman" w:hAnsi="Arial" w:cs="Arial"/>
          <w:sz w:val="24"/>
          <w:szCs w:val="24"/>
        </w:rPr>
      </w:pPr>
      <w:r w:rsidRPr="005C4783">
        <w:rPr>
          <w:rFonts w:ascii="Arial" w:eastAsia="Times New Roman" w:hAnsi="Arial" w:cs="Arial"/>
          <w:sz w:val="24"/>
          <w:szCs w:val="24"/>
        </w:rPr>
        <w:t xml:space="preserve">Trade payables days, calculated using trade payables disclosed in the dataset and cost of sales, remained relatively stable at around 65 to 70 days over the period, as shown in Appendix B, Table B1. This stability indicates that suppliers were not used aggressively as a source of </w:t>
      </w:r>
      <w:r w:rsidRPr="00922363">
        <w:rPr>
          <w:rFonts w:ascii="Arial" w:eastAsia="Times New Roman" w:hAnsi="Arial" w:cs="Arial"/>
          <w:sz w:val="24"/>
          <w:szCs w:val="24"/>
        </w:rPr>
        <w:t>short-term</w:t>
      </w:r>
      <w:r w:rsidRPr="005C4783">
        <w:rPr>
          <w:rFonts w:ascii="Arial" w:eastAsia="Times New Roman" w:hAnsi="Arial" w:cs="Arial"/>
          <w:sz w:val="24"/>
          <w:szCs w:val="24"/>
        </w:rPr>
        <w:t xml:space="preserve"> financing. Combining these components, the cash operating cycle lengthened from approximately 112 days in 2020 to over 138 days in 2024. A lengthening cycle implies that more cash was tied up in working capital for longer periods, placing additional pressure on liquidity.</w:t>
      </w:r>
    </w:p>
    <w:p w14:paraId="60A6693A" w14:textId="77777777" w:rsidR="00572609" w:rsidRPr="005C4783" w:rsidRDefault="00572609" w:rsidP="00922363">
      <w:pPr>
        <w:pStyle w:val="Heading2"/>
      </w:pPr>
      <w:bookmarkStart w:id="16" w:name="_Toc216755960"/>
      <w:r w:rsidRPr="005C4783">
        <w:t>2.3 Implications for liquidity and operational risk</w:t>
      </w:r>
      <w:bookmarkEnd w:id="16"/>
    </w:p>
    <w:p w14:paraId="6B1FB3CE" w14:textId="77777777" w:rsidR="00572609" w:rsidRPr="005C4783" w:rsidRDefault="00572609" w:rsidP="00922363">
      <w:pPr>
        <w:spacing w:before="100" w:beforeAutospacing="1" w:after="100" w:afterAutospacing="1" w:line="360" w:lineRule="auto"/>
        <w:jc w:val="both"/>
        <w:rPr>
          <w:rFonts w:ascii="Arial" w:eastAsia="Times New Roman" w:hAnsi="Arial" w:cs="Arial"/>
          <w:sz w:val="24"/>
          <w:szCs w:val="24"/>
        </w:rPr>
      </w:pPr>
      <w:r w:rsidRPr="005C4783">
        <w:rPr>
          <w:rFonts w:ascii="Arial" w:eastAsia="Times New Roman" w:hAnsi="Arial" w:cs="Arial"/>
          <w:sz w:val="24"/>
          <w:szCs w:val="24"/>
        </w:rPr>
        <w:t xml:space="preserve">The extended cash operating cycle has several adverse implications. First, slower receivables collection increases exposure to bad debts and raises financing needs during periods of revenue decline. Second, high inventory holding periods increase storage costs and obsolescence risk, particularly in the electronics sector where product life cycles are short (Berk &amp; </w:t>
      </w:r>
      <w:proofErr w:type="spellStart"/>
      <w:r w:rsidRPr="005C4783">
        <w:rPr>
          <w:rFonts w:ascii="Arial" w:eastAsia="Times New Roman" w:hAnsi="Arial" w:cs="Arial"/>
          <w:sz w:val="24"/>
          <w:szCs w:val="24"/>
        </w:rPr>
        <w:t>DeMarzo</w:t>
      </w:r>
      <w:proofErr w:type="spellEnd"/>
      <w:r w:rsidRPr="005C4783">
        <w:rPr>
          <w:rFonts w:ascii="Arial" w:eastAsia="Times New Roman" w:hAnsi="Arial" w:cs="Arial"/>
          <w:sz w:val="24"/>
          <w:szCs w:val="24"/>
        </w:rPr>
        <w:t xml:space="preserve">, 2020). Third, the absence of extended payables financing limits the firm’s ability to offset weaknesses elsewhere in the cycle. Together, </w:t>
      </w:r>
      <w:r w:rsidRPr="005C4783">
        <w:rPr>
          <w:rFonts w:ascii="Arial" w:eastAsia="Times New Roman" w:hAnsi="Arial" w:cs="Arial"/>
          <w:sz w:val="24"/>
          <w:szCs w:val="24"/>
        </w:rPr>
        <w:lastRenderedPageBreak/>
        <w:t>these factors help explain the declining operating cash flow ratios observed in Appendix A, Table A6.</w:t>
      </w:r>
    </w:p>
    <w:p w14:paraId="3A41C898" w14:textId="77777777" w:rsidR="00572609" w:rsidRPr="005C4783" w:rsidRDefault="00572609" w:rsidP="00922363">
      <w:pPr>
        <w:pStyle w:val="Heading2"/>
      </w:pPr>
      <w:bookmarkStart w:id="17" w:name="_Toc216755961"/>
      <w:r w:rsidRPr="005C4783">
        <w:t>2.4 Recommended working capital reform strategies</w:t>
      </w:r>
      <w:bookmarkEnd w:id="17"/>
    </w:p>
    <w:p w14:paraId="08B93249" w14:textId="77777777" w:rsidR="00572609" w:rsidRPr="005C4783" w:rsidRDefault="00572609" w:rsidP="00922363">
      <w:pPr>
        <w:spacing w:before="100" w:beforeAutospacing="1" w:after="100" w:afterAutospacing="1" w:line="360" w:lineRule="auto"/>
        <w:jc w:val="both"/>
        <w:rPr>
          <w:rFonts w:ascii="Arial" w:eastAsia="Times New Roman" w:hAnsi="Arial" w:cs="Arial"/>
          <w:sz w:val="24"/>
          <w:szCs w:val="24"/>
        </w:rPr>
      </w:pPr>
      <w:r w:rsidRPr="005C4783">
        <w:rPr>
          <w:rFonts w:ascii="Arial" w:eastAsia="Times New Roman" w:hAnsi="Arial" w:cs="Arial"/>
          <w:sz w:val="24"/>
          <w:szCs w:val="24"/>
        </w:rPr>
        <w:t xml:space="preserve">To improve liquidity, General Electronics should </w:t>
      </w:r>
      <w:proofErr w:type="spellStart"/>
      <w:r w:rsidRPr="005C4783">
        <w:rPr>
          <w:rFonts w:ascii="Arial" w:eastAsia="Times New Roman" w:hAnsi="Arial" w:cs="Arial"/>
          <w:sz w:val="24"/>
          <w:szCs w:val="24"/>
        </w:rPr>
        <w:t>prioritise</w:t>
      </w:r>
      <w:proofErr w:type="spellEnd"/>
      <w:r w:rsidRPr="005C4783">
        <w:rPr>
          <w:rFonts w:ascii="Arial" w:eastAsia="Times New Roman" w:hAnsi="Arial" w:cs="Arial"/>
          <w:sz w:val="24"/>
          <w:szCs w:val="24"/>
        </w:rPr>
        <w:t xml:space="preserve"> receivables management reform. This includes tightening credit assessment procedures, segmenting customers by risk, and offering early payment discounts to accelerate cash inflows. Empirical evidence suggests that improved receivables governance can materially reduce the cash conversion cycle without harming sales (</w:t>
      </w:r>
      <w:proofErr w:type="spellStart"/>
      <w:r w:rsidRPr="005C4783">
        <w:rPr>
          <w:rFonts w:ascii="Arial" w:eastAsia="Times New Roman" w:hAnsi="Arial" w:cs="Arial"/>
          <w:sz w:val="24"/>
          <w:szCs w:val="24"/>
        </w:rPr>
        <w:t>Deloof</w:t>
      </w:r>
      <w:proofErr w:type="spellEnd"/>
      <w:r w:rsidRPr="005C4783">
        <w:rPr>
          <w:rFonts w:ascii="Arial" w:eastAsia="Times New Roman" w:hAnsi="Arial" w:cs="Arial"/>
          <w:sz w:val="24"/>
          <w:szCs w:val="24"/>
        </w:rPr>
        <w:t>, 2003).</w:t>
      </w:r>
    </w:p>
    <w:p w14:paraId="43CABD70" w14:textId="77777777" w:rsidR="00572609" w:rsidRPr="005C4783" w:rsidRDefault="00572609" w:rsidP="00922363">
      <w:pPr>
        <w:spacing w:before="100" w:beforeAutospacing="1" w:after="100" w:afterAutospacing="1" w:line="360" w:lineRule="auto"/>
        <w:jc w:val="both"/>
        <w:rPr>
          <w:rFonts w:ascii="Arial" w:eastAsia="Times New Roman" w:hAnsi="Arial" w:cs="Arial"/>
          <w:sz w:val="24"/>
          <w:szCs w:val="24"/>
        </w:rPr>
      </w:pPr>
      <w:r w:rsidRPr="005C4783">
        <w:rPr>
          <w:rFonts w:ascii="Arial" w:eastAsia="Times New Roman" w:hAnsi="Arial" w:cs="Arial"/>
          <w:sz w:val="24"/>
          <w:szCs w:val="24"/>
        </w:rPr>
        <w:t xml:space="preserve">Inventory management should also be strengthened through demand forecasting, just in time replenishment, and greater use of data analytics to align stock levels with actual sales patterns. Industry studies show that technology enabled inventory </w:t>
      </w:r>
      <w:proofErr w:type="spellStart"/>
      <w:r w:rsidRPr="005C4783">
        <w:rPr>
          <w:rFonts w:ascii="Arial" w:eastAsia="Times New Roman" w:hAnsi="Arial" w:cs="Arial"/>
          <w:sz w:val="24"/>
          <w:szCs w:val="24"/>
        </w:rPr>
        <w:t>optimisation</w:t>
      </w:r>
      <w:proofErr w:type="spellEnd"/>
      <w:r w:rsidRPr="005C4783">
        <w:rPr>
          <w:rFonts w:ascii="Arial" w:eastAsia="Times New Roman" w:hAnsi="Arial" w:cs="Arial"/>
          <w:sz w:val="24"/>
          <w:szCs w:val="24"/>
        </w:rPr>
        <w:t xml:space="preserve"> can reduce inventory days by 15 to 25 percent in manufacturing firms (McKinsey &amp; Company, 2023).</w:t>
      </w:r>
    </w:p>
    <w:p w14:paraId="53D23DE4" w14:textId="77777777" w:rsidR="00572609" w:rsidRPr="005C4783" w:rsidRDefault="00572609" w:rsidP="00922363">
      <w:pPr>
        <w:spacing w:before="100" w:beforeAutospacing="1" w:after="100" w:afterAutospacing="1" w:line="360" w:lineRule="auto"/>
        <w:jc w:val="both"/>
        <w:rPr>
          <w:rFonts w:ascii="Arial" w:eastAsia="Times New Roman" w:hAnsi="Arial" w:cs="Arial"/>
          <w:sz w:val="24"/>
          <w:szCs w:val="24"/>
        </w:rPr>
      </w:pPr>
      <w:r w:rsidRPr="005C4783">
        <w:rPr>
          <w:rFonts w:ascii="Arial" w:eastAsia="Times New Roman" w:hAnsi="Arial" w:cs="Arial"/>
          <w:sz w:val="24"/>
          <w:szCs w:val="24"/>
        </w:rPr>
        <w:t>On the payables side, General Electronics should renegotiate supplier terms where possible, particularly with large and financially resilient suppliers. Extending payment terms modestly, without damaging supplier relationships, would help offset long receivables cycles and reduce reliance on external financing.</w:t>
      </w:r>
    </w:p>
    <w:p w14:paraId="439D2341" w14:textId="25E2CA42" w:rsidR="00572609" w:rsidRPr="005C4783" w:rsidRDefault="00572609" w:rsidP="00922363">
      <w:pPr>
        <w:pStyle w:val="Heading2"/>
      </w:pPr>
      <w:bookmarkStart w:id="18" w:name="_Toc216755962"/>
      <w:r w:rsidRPr="005C4783">
        <w:t xml:space="preserve">2.5 </w:t>
      </w:r>
      <w:r w:rsidRPr="00922363">
        <w:t xml:space="preserve">Comparison of </w:t>
      </w:r>
      <w:r w:rsidRPr="005C4783">
        <w:t>Short term versus long term financing options</w:t>
      </w:r>
      <w:bookmarkEnd w:id="18"/>
    </w:p>
    <w:p w14:paraId="7E5E3CC4" w14:textId="1FFAE6DF" w:rsidR="00572609" w:rsidRPr="005C4783" w:rsidRDefault="00572609" w:rsidP="00922363">
      <w:pPr>
        <w:spacing w:before="100" w:beforeAutospacing="1" w:after="100" w:afterAutospacing="1" w:line="360" w:lineRule="auto"/>
        <w:jc w:val="both"/>
        <w:rPr>
          <w:rFonts w:ascii="Arial" w:eastAsia="Times New Roman" w:hAnsi="Arial" w:cs="Arial"/>
          <w:sz w:val="24"/>
          <w:szCs w:val="24"/>
        </w:rPr>
      </w:pPr>
      <w:r w:rsidRPr="005C4783">
        <w:rPr>
          <w:rFonts w:ascii="Arial" w:eastAsia="Times New Roman" w:hAnsi="Arial" w:cs="Arial"/>
          <w:sz w:val="24"/>
          <w:szCs w:val="24"/>
        </w:rPr>
        <w:t xml:space="preserve">Working capital deficits can be financed using either short term or </w:t>
      </w:r>
      <w:r w:rsidRPr="00922363">
        <w:rPr>
          <w:rFonts w:ascii="Arial" w:eastAsia="Times New Roman" w:hAnsi="Arial" w:cs="Arial"/>
          <w:sz w:val="24"/>
          <w:szCs w:val="24"/>
        </w:rPr>
        <w:t>long-term</w:t>
      </w:r>
      <w:r w:rsidRPr="005C4783">
        <w:rPr>
          <w:rFonts w:ascii="Arial" w:eastAsia="Times New Roman" w:hAnsi="Arial" w:cs="Arial"/>
          <w:sz w:val="24"/>
          <w:szCs w:val="24"/>
        </w:rPr>
        <w:t xml:space="preserve"> funding sources. Short term financing options include bank overdrafts, revolving credit facilities, and commercial paper. These instruments are flexible and typically carry lower nominal costs, but they expose the firm to refinancing risk, particularly when profitability is weak (Keown et al., 2024).</w:t>
      </w:r>
    </w:p>
    <w:p w14:paraId="004E2856" w14:textId="77777777" w:rsidR="00572609" w:rsidRPr="005C4783" w:rsidRDefault="00572609" w:rsidP="00922363">
      <w:pPr>
        <w:spacing w:before="100" w:beforeAutospacing="1" w:after="100" w:afterAutospacing="1" w:line="360" w:lineRule="auto"/>
        <w:jc w:val="both"/>
        <w:rPr>
          <w:rFonts w:ascii="Arial" w:eastAsia="Times New Roman" w:hAnsi="Arial" w:cs="Arial"/>
          <w:sz w:val="24"/>
          <w:szCs w:val="24"/>
        </w:rPr>
      </w:pPr>
      <w:r w:rsidRPr="005C4783">
        <w:rPr>
          <w:rFonts w:ascii="Arial" w:eastAsia="Times New Roman" w:hAnsi="Arial" w:cs="Arial"/>
          <w:sz w:val="24"/>
          <w:szCs w:val="24"/>
        </w:rPr>
        <w:t xml:space="preserve">Long term financing options include term loans and bond issuance. While these instruments carry higher interest costs, they provide funding stability and reduce rollover risk. Given General Electronics’ declining interest coverage in 2023 and 2024, excessive reliance on short term debt would heighten liquidity risk. A balanced approach is therefore </w:t>
      </w:r>
      <w:r w:rsidRPr="005C4783">
        <w:rPr>
          <w:rFonts w:ascii="Arial" w:eastAsia="Times New Roman" w:hAnsi="Arial" w:cs="Arial"/>
          <w:sz w:val="24"/>
          <w:szCs w:val="24"/>
        </w:rPr>
        <w:lastRenderedPageBreak/>
        <w:t>recommended, where core working capital requirements are financed with longer term funds, while seasonal fluctuations are managed through short term facilities.</w:t>
      </w:r>
    </w:p>
    <w:p w14:paraId="516E2BE8" w14:textId="77777777" w:rsidR="00572609" w:rsidRPr="005C4783" w:rsidRDefault="00572609" w:rsidP="00922363">
      <w:pPr>
        <w:pStyle w:val="Heading2"/>
      </w:pPr>
      <w:bookmarkStart w:id="19" w:name="_Toc216755963"/>
      <w:r w:rsidRPr="005C4783">
        <w:t>2.6 Overall evaluation</w:t>
      </w:r>
      <w:bookmarkEnd w:id="19"/>
    </w:p>
    <w:p w14:paraId="22D0A77E" w14:textId="71FFFE6D" w:rsidR="00EB1AD8" w:rsidRPr="00922363" w:rsidRDefault="00572609" w:rsidP="00922363">
      <w:pPr>
        <w:spacing w:before="100" w:beforeAutospacing="1" w:after="100" w:afterAutospacing="1" w:line="360" w:lineRule="auto"/>
        <w:jc w:val="both"/>
        <w:rPr>
          <w:rFonts w:ascii="Arial" w:eastAsia="Times New Roman" w:hAnsi="Arial" w:cs="Arial"/>
          <w:sz w:val="24"/>
          <w:szCs w:val="24"/>
        </w:rPr>
      </w:pPr>
      <w:r w:rsidRPr="005C4783">
        <w:rPr>
          <w:rFonts w:ascii="Arial" w:eastAsia="Times New Roman" w:hAnsi="Arial" w:cs="Arial"/>
          <w:sz w:val="24"/>
          <w:szCs w:val="24"/>
        </w:rPr>
        <w:t>Overall, General Electronics’ working capital management weakened between 2020 and 2024, as evidenced by a lengthening cash operating cycle and declining liquidity ratios. While the firm remained solvent, inefficient working capital practices amplified liquidity pressure during a period of declining profitability. Implementing targeted reforms in receivables, inventory, and payables management, combined with a prudent financing mix, would materially strengthen short term financial resilience.</w:t>
      </w:r>
    </w:p>
    <w:p w14:paraId="39B64113" w14:textId="35D52983" w:rsidR="00EB1AD8" w:rsidRPr="00922363" w:rsidRDefault="00EB1AD8" w:rsidP="00922363">
      <w:pPr>
        <w:pStyle w:val="Heading1"/>
      </w:pPr>
      <w:bookmarkStart w:id="20" w:name="_Toc216755964"/>
      <w:r w:rsidRPr="00922363">
        <w:t>3.</w:t>
      </w:r>
      <w:r w:rsidR="00922363">
        <w:t>0</w:t>
      </w:r>
      <w:r w:rsidRPr="00922363">
        <w:t xml:space="preserve"> Strategic Financial Restructuring Plan</w:t>
      </w:r>
      <w:bookmarkEnd w:id="20"/>
    </w:p>
    <w:p w14:paraId="1FEB4780" w14:textId="77777777" w:rsidR="00EB1AD8" w:rsidRPr="00922363" w:rsidRDefault="00EB1AD8" w:rsidP="00922363">
      <w:pPr>
        <w:pStyle w:val="Heading2"/>
      </w:pPr>
      <w:bookmarkStart w:id="21" w:name="_Toc216755965"/>
      <w:r w:rsidRPr="00922363">
        <w:t>3.1 Objectives and constraints</w:t>
      </w:r>
      <w:bookmarkEnd w:id="21"/>
    </w:p>
    <w:p w14:paraId="2022CBEC" w14:textId="776A421D" w:rsidR="00EB1AD8" w:rsidRPr="00922363" w:rsidRDefault="00EB1AD8" w:rsidP="00922363">
      <w:pPr>
        <w:pStyle w:val="NormalWeb"/>
        <w:spacing w:line="360" w:lineRule="auto"/>
        <w:jc w:val="both"/>
        <w:rPr>
          <w:rFonts w:ascii="Arial" w:hAnsi="Arial" w:cs="Arial"/>
        </w:rPr>
      </w:pPr>
      <w:r w:rsidRPr="00922363">
        <w:rPr>
          <w:rFonts w:ascii="Arial" w:hAnsi="Arial" w:cs="Arial"/>
        </w:rPr>
        <w:t xml:space="preserve">The restructuring plan’s primary objectives are to (a) restore sustainable profitability, (b) </w:t>
      </w:r>
      <w:proofErr w:type="spellStart"/>
      <w:r w:rsidRPr="00922363">
        <w:rPr>
          <w:rFonts w:ascii="Arial" w:hAnsi="Arial" w:cs="Arial"/>
        </w:rPr>
        <w:t>stabilise</w:t>
      </w:r>
      <w:proofErr w:type="spellEnd"/>
      <w:r w:rsidRPr="00922363">
        <w:rPr>
          <w:rFonts w:ascii="Arial" w:hAnsi="Arial" w:cs="Arial"/>
        </w:rPr>
        <w:t xml:space="preserve"> liquidity and reduce rollover risk, (c) rebalance capital structure to acceptable leverage levels, and (d) preserve operational flexibility to support recovery. Any recommended actions must respect legal and ethical obligations to employees, suppliers, customers and wider stakeholders while remaining feasible given the firm’s market position and the deteriorated operating performance.</w:t>
      </w:r>
    </w:p>
    <w:p w14:paraId="71F5EF14" w14:textId="77777777" w:rsidR="00EB1AD8" w:rsidRPr="00922363" w:rsidRDefault="00EB1AD8" w:rsidP="00922363">
      <w:pPr>
        <w:pStyle w:val="Heading2"/>
      </w:pPr>
      <w:bookmarkStart w:id="22" w:name="_Toc216755966"/>
      <w:r w:rsidRPr="00922363">
        <w:t>3.2 Recommended restructuring options (</w:t>
      </w:r>
      <w:proofErr w:type="spellStart"/>
      <w:r w:rsidRPr="00922363">
        <w:t>prioritised</w:t>
      </w:r>
      <w:proofErr w:type="spellEnd"/>
      <w:r w:rsidRPr="00922363">
        <w:t>)</w:t>
      </w:r>
      <w:bookmarkEnd w:id="22"/>
    </w:p>
    <w:p w14:paraId="02E1C403" w14:textId="77777777" w:rsidR="00EB1AD8" w:rsidRPr="00922363" w:rsidRDefault="00EB1AD8" w:rsidP="00922363">
      <w:pPr>
        <w:pStyle w:val="NormalWeb"/>
        <w:spacing w:line="360" w:lineRule="auto"/>
        <w:jc w:val="both"/>
        <w:rPr>
          <w:rFonts w:ascii="Arial" w:hAnsi="Arial" w:cs="Arial"/>
        </w:rPr>
      </w:pPr>
      <w:r w:rsidRPr="00922363">
        <w:rPr>
          <w:rFonts w:ascii="Arial" w:hAnsi="Arial" w:cs="Arial"/>
        </w:rPr>
        <w:t>Based on the firm’s financial profile (declining sales, negative operating income in 2023–24, stretched working capital and rising leverage), a combination of three coordinated measures is recommended: selective divestiture, equity injection combined with debt re-profiling, and a targeted strategic alliance or merger at the business-unit level.</w:t>
      </w:r>
    </w:p>
    <w:p w14:paraId="2A295061" w14:textId="77777777" w:rsidR="00EB1AD8" w:rsidRPr="00922363" w:rsidRDefault="00EB1AD8" w:rsidP="00922363">
      <w:pPr>
        <w:pStyle w:val="Heading2"/>
      </w:pPr>
      <w:bookmarkStart w:id="23" w:name="_Toc216755967"/>
      <w:r w:rsidRPr="00922363">
        <w:t>Option A: Selective divestiture of non-core assets and underperforming units</w:t>
      </w:r>
      <w:bookmarkEnd w:id="23"/>
    </w:p>
    <w:p w14:paraId="50DF05D7" w14:textId="5E398618" w:rsidR="00EB1AD8" w:rsidRPr="00922363" w:rsidRDefault="00EB1AD8" w:rsidP="00922363">
      <w:pPr>
        <w:pStyle w:val="NormalWeb"/>
        <w:spacing w:line="360" w:lineRule="auto"/>
        <w:jc w:val="both"/>
        <w:rPr>
          <w:rFonts w:ascii="Arial" w:hAnsi="Arial" w:cs="Arial"/>
        </w:rPr>
      </w:pPr>
      <w:r w:rsidRPr="00922363">
        <w:rPr>
          <w:rFonts w:ascii="Arial" w:hAnsi="Arial" w:cs="Arial"/>
          <w:b/>
          <w:bCs/>
        </w:rPr>
        <w:t>Rationale:</w:t>
      </w:r>
      <w:r w:rsidRPr="00922363">
        <w:rPr>
          <w:rFonts w:ascii="Arial" w:hAnsi="Arial" w:cs="Arial"/>
        </w:rPr>
        <w:t xml:space="preserve"> Divestitures generate cash, allow management to focus on core profitable activities and can immediately reduce operating losses and asset carrying costs </w:t>
      </w:r>
      <w:r w:rsidRPr="00922363">
        <w:rPr>
          <w:rFonts w:ascii="Arial" w:hAnsi="Arial" w:cs="Arial"/>
        </w:rPr>
        <w:lastRenderedPageBreak/>
        <w:t>(</w:t>
      </w:r>
      <w:proofErr w:type="spellStart"/>
      <w:r w:rsidRPr="00922363">
        <w:rPr>
          <w:rFonts w:ascii="Arial" w:hAnsi="Arial" w:cs="Arial"/>
        </w:rPr>
        <w:t>Sudarsanam</w:t>
      </w:r>
      <w:proofErr w:type="spellEnd"/>
      <w:r w:rsidRPr="00922363">
        <w:rPr>
          <w:rFonts w:ascii="Arial" w:hAnsi="Arial" w:cs="Arial"/>
        </w:rPr>
        <w:t xml:space="preserve">, 2003; </w:t>
      </w:r>
      <w:proofErr w:type="spellStart"/>
      <w:r w:rsidRPr="00922363">
        <w:rPr>
          <w:rFonts w:ascii="Arial" w:hAnsi="Arial" w:cs="Arial"/>
        </w:rPr>
        <w:t>Gaughan</w:t>
      </w:r>
      <w:proofErr w:type="spellEnd"/>
      <w:r w:rsidRPr="00922363">
        <w:rPr>
          <w:rFonts w:ascii="Arial" w:hAnsi="Arial" w:cs="Arial"/>
        </w:rPr>
        <w:t>, 2017). Given declining PPE and intangible trends in the balance sheet, management should identify non-core product lines, underperforming geographic operations, or real estate holdings for sale.</w:t>
      </w:r>
      <w:r w:rsidRPr="00922363">
        <w:rPr>
          <w:rFonts w:ascii="Arial" w:hAnsi="Arial" w:cs="Arial"/>
        </w:rPr>
        <w:br/>
      </w:r>
      <w:r w:rsidRPr="00922363">
        <w:rPr>
          <w:rFonts w:ascii="Arial" w:hAnsi="Arial" w:cs="Arial"/>
          <w:b/>
          <w:bCs/>
        </w:rPr>
        <w:t>Execution:</w:t>
      </w:r>
      <w:r w:rsidRPr="00922363">
        <w:rPr>
          <w:rFonts w:ascii="Arial" w:hAnsi="Arial" w:cs="Arial"/>
        </w:rPr>
        <w:t xml:space="preserve"> Establish a divestiture taskforce to value units on an ex-ante basis, prepare sale documentation, and run an accelerated but market-tested sale process. </w:t>
      </w:r>
      <w:proofErr w:type="spellStart"/>
      <w:r w:rsidRPr="00922363">
        <w:rPr>
          <w:rFonts w:ascii="Arial" w:hAnsi="Arial" w:cs="Arial"/>
        </w:rPr>
        <w:t>Prioritise</w:t>
      </w:r>
      <w:proofErr w:type="spellEnd"/>
      <w:r w:rsidRPr="00922363">
        <w:rPr>
          <w:rFonts w:ascii="Arial" w:hAnsi="Arial" w:cs="Arial"/>
        </w:rPr>
        <w:t xml:space="preserve"> transactions that (</w:t>
      </w:r>
      <w:proofErr w:type="spellStart"/>
      <w:r w:rsidRPr="00922363">
        <w:rPr>
          <w:rFonts w:ascii="Arial" w:hAnsi="Arial" w:cs="Arial"/>
        </w:rPr>
        <w:t>i</w:t>
      </w:r>
      <w:proofErr w:type="spellEnd"/>
      <w:r w:rsidRPr="00922363">
        <w:rPr>
          <w:rFonts w:ascii="Arial" w:hAnsi="Arial" w:cs="Arial"/>
        </w:rPr>
        <w:t xml:space="preserve">) yield quick cash, (ii) remove recurring losses, and (iii) have minimal strategic value. Use auction processes to </w:t>
      </w:r>
      <w:proofErr w:type="spellStart"/>
      <w:r w:rsidRPr="00922363">
        <w:rPr>
          <w:rFonts w:ascii="Arial" w:hAnsi="Arial" w:cs="Arial"/>
        </w:rPr>
        <w:t>maximise</w:t>
      </w:r>
      <w:proofErr w:type="spellEnd"/>
      <w:r w:rsidRPr="00922363">
        <w:rPr>
          <w:rFonts w:ascii="Arial" w:hAnsi="Arial" w:cs="Arial"/>
        </w:rPr>
        <w:t xml:space="preserve"> proceeds.</w:t>
      </w:r>
    </w:p>
    <w:p w14:paraId="0DFD4FF1" w14:textId="33CF1F34" w:rsidR="00EB1AD8" w:rsidRPr="00922363" w:rsidRDefault="00EB1AD8" w:rsidP="00922363">
      <w:pPr>
        <w:pStyle w:val="NormalWeb"/>
        <w:spacing w:line="360" w:lineRule="auto"/>
        <w:jc w:val="both"/>
        <w:rPr>
          <w:rFonts w:ascii="Arial" w:hAnsi="Arial" w:cs="Arial"/>
        </w:rPr>
      </w:pPr>
      <w:r w:rsidRPr="00922363">
        <w:rPr>
          <w:rFonts w:ascii="Arial" w:hAnsi="Arial" w:cs="Arial"/>
          <w:b/>
          <w:bCs/>
        </w:rPr>
        <w:t>Impact:</w:t>
      </w:r>
      <w:r w:rsidRPr="00922363">
        <w:rPr>
          <w:rFonts w:ascii="Arial" w:hAnsi="Arial" w:cs="Arial"/>
        </w:rPr>
        <w:t xml:space="preserve"> Proceeds reduce net debt and improve liquidity metrics (operating cash flow to debt; Appendix C will show pro-forma debt ratios). Divestiture may be earnings-accretive if the sold units are loss-making after allocation of central costs. However, divestiture reduces scale and may lower long-term revenue potential</w:t>
      </w:r>
      <w:r w:rsidR="00747935">
        <w:rPr>
          <w:rFonts w:ascii="Arial" w:hAnsi="Arial" w:cs="Arial"/>
        </w:rPr>
        <w:t xml:space="preserve">, </w:t>
      </w:r>
      <w:r w:rsidRPr="00922363">
        <w:rPr>
          <w:rFonts w:ascii="Arial" w:hAnsi="Arial" w:cs="Arial"/>
        </w:rPr>
        <w:t>his trade-off is acceptable when core profitability and solvency are at risk (</w:t>
      </w:r>
      <w:proofErr w:type="spellStart"/>
      <w:r w:rsidRPr="00922363">
        <w:rPr>
          <w:rFonts w:ascii="Arial" w:hAnsi="Arial" w:cs="Arial"/>
        </w:rPr>
        <w:t>Servaes</w:t>
      </w:r>
      <w:proofErr w:type="spellEnd"/>
      <w:r w:rsidRPr="00922363">
        <w:rPr>
          <w:rFonts w:ascii="Arial" w:hAnsi="Arial" w:cs="Arial"/>
        </w:rPr>
        <w:t>, 1991).</w:t>
      </w:r>
    </w:p>
    <w:p w14:paraId="49F08B98" w14:textId="77777777" w:rsidR="00EB1AD8" w:rsidRPr="00922363" w:rsidRDefault="00EB1AD8" w:rsidP="00922363">
      <w:pPr>
        <w:pStyle w:val="Heading2"/>
      </w:pPr>
      <w:bookmarkStart w:id="24" w:name="_Toc216755968"/>
      <w:r w:rsidRPr="00922363">
        <w:t>Option B: Equity injection combined with debt re-profiling (rights issue plus covenant renegotiation)</w:t>
      </w:r>
      <w:bookmarkEnd w:id="24"/>
    </w:p>
    <w:p w14:paraId="2C282528" w14:textId="0E8DD91C" w:rsidR="00EB1AD8" w:rsidRPr="00922363" w:rsidRDefault="00EB1AD8" w:rsidP="00922363">
      <w:pPr>
        <w:pStyle w:val="NormalWeb"/>
        <w:spacing w:line="360" w:lineRule="auto"/>
        <w:jc w:val="both"/>
        <w:rPr>
          <w:rFonts w:ascii="Arial" w:hAnsi="Arial" w:cs="Arial"/>
        </w:rPr>
      </w:pPr>
      <w:r w:rsidRPr="00922363">
        <w:rPr>
          <w:rFonts w:ascii="Arial" w:hAnsi="Arial" w:cs="Arial"/>
        </w:rPr>
        <w:t>Rationale. Weak ROE, declining equity and rising debt/equity (Section 1) require capital reinforcement. A rights issue or strategic equity placement injects capital, reduces leverage, and restores creditor confidence; simultaneous debt re-profiling reduces near-term cash outflows (Jensen, 1986; Modigliani &amp; Miller, 1958, adjusted for real markets).</w:t>
      </w:r>
      <w:r w:rsidRPr="00922363">
        <w:rPr>
          <w:rFonts w:ascii="Arial" w:hAnsi="Arial" w:cs="Arial"/>
        </w:rPr>
        <w:br/>
        <w:t xml:space="preserve">Execution. Target an equity raise sized to reduce pro-forma debt to capital to a tolerable band </w:t>
      </w:r>
      <w:r w:rsidR="00747935">
        <w:rPr>
          <w:rFonts w:ascii="Arial" w:hAnsi="Arial" w:cs="Arial"/>
        </w:rPr>
        <w:t>such as</w:t>
      </w:r>
      <w:r w:rsidRPr="00922363">
        <w:rPr>
          <w:rFonts w:ascii="Arial" w:hAnsi="Arial" w:cs="Arial"/>
        </w:rPr>
        <w:t xml:space="preserve"> reduce debt-to-capital by 10–15 percentage points. Propose a </w:t>
      </w:r>
      <w:proofErr w:type="gramStart"/>
      <w:r w:rsidRPr="00922363">
        <w:rPr>
          <w:rFonts w:ascii="Arial" w:hAnsi="Arial" w:cs="Arial"/>
        </w:rPr>
        <w:t>rights</w:t>
      </w:r>
      <w:proofErr w:type="gramEnd"/>
      <w:r w:rsidRPr="00922363">
        <w:rPr>
          <w:rFonts w:ascii="Arial" w:hAnsi="Arial" w:cs="Arial"/>
        </w:rPr>
        <w:t xml:space="preserve"> offering to existing shareholders first, supplemented by strategic investors if uptake is insufficient. Concurrently, negotiate with bank lenders to convert a portion of short-term lines to term facilities and extend maturities; consider covenant forbearance tied to the restructuring plan and performance milestones. Appendix C will provide a sample pro-forma showing the impact of a £22,966m injection</w:t>
      </w:r>
      <w:r w:rsidR="00747935">
        <w:rPr>
          <w:rFonts w:ascii="Arial" w:hAnsi="Arial" w:cs="Arial"/>
        </w:rPr>
        <w:t xml:space="preserve"> </w:t>
      </w:r>
      <w:r w:rsidRPr="00922363">
        <w:rPr>
          <w:rFonts w:ascii="Arial" w:hAnsi="Arial" w:cs="Arial"/>
        </w:rPr>
        <w:t>15% of 2024 equity on debt/equity and EPS dilution.</w:t>
      </w:r>
      <w:r w:rsidRPr="00922363">
        <w:rPr>
          <w:rFonts w:ascii="Arial" w:hAnsi="Arial" w:cs="Arial"/>
        </w:rPr>
        <w:br/>
        <w:t xml:space="preserve">Impact. Equity infusion strengthens the balance sheet, reduces bankruptcy risk perceptions, and lowers effective leverage. It dilutes existing shareholders but preserves going-concern value relative to forced distress or fire sales. Debt re-profiling reduces </w:t>
      </w:r>
      <w:r w:rsidRPr="00922363">
        <w:rPr>
          <w:rFonts w:ascii="Arial" w:hAnsi="Arial" w:cs="Arial"/>
        </w:rPr>
        <w:lastRenderedPageBreak/>
        <w:t>refinancing risk and interest coverage pressure, improving operational flexibility (Kay, 2005; Brander &amp; Lewis, 1986).</w:t>
      </w:r>
    </w:p>
    <w:p w14:paraId="1B262854" w14:textId="77777777" w:rsidR="00EB1AD8" w:rsidRPr="00922363" w:rsidRDefault="00EB1AD8" w:rsidP="00922363">
      <w:pPr>
        <w:pStyle w:val="Heading2"/>
      </w:pPr>
      <w:bookmarkStart w:id="25" w:name="_Toc216755969"/>
      <w:r w:rsidRPr="00922363">
        <w:t>Option C: Strategic merger, joint venture or asset swap for scale and capability</w:t>
      </w:r>
      <w:bookmarkEnd w:id="25"/>
    </w:p>
    <w:p w14:paraId="21E5EC38" w14:textId="15848BB4" w:rsidR="00EB1AD8" w:rsidRPr="00922363" w:rsidRDefault="00EB1AD8" w:rsidP="00922363">
      <w:pPr>
        <w:pStyle w:val="NormalWeb"/>
        <w:spacing w:line="360" w:lineRule="auto"/>
        <w:jc w:val="both"/>
        <w:rPr>
          <w:rFonts w:ascii="Arial" w:hAnsi="Arial" w:cs="Arial"/>
        </w:rPr>
      </w:pPr>
      <w:r w:rsidRPr="00747935">
        <w:rPr>
          <w:rFonts w:ascii="Arial" w:hAnsi="Arial" w:cs="Arial"/>
          <w:b/>
          <w:bCs/>
        </w:rPr>
        <w:t>Rationale</w:t>
      </w:r>
      <w:r w:rsidR="00747935" w:rsidRPr="00747935">
        <w:rPr>
          <w:rFonts w:ascii="Arial" w:hAnsi="Arial" w:cs="Arial"/>
          <w:b/>
          <w:bCs/>
        </w:rPr>
        <w:t>:</w:t>
      </w:r>
      <w:r w:rsidRPr="00922363">
        <w:rPr>
          <w:rFonts w:ascii="Arial" w:hAnsi="Arial" w:cs="Arial"/>
        </w:rPr>
        <w:t xml:space="preserve"> A merger or JV with a complementary firm can restore scale economies, broaden distribution and share R&amp;D costs</w:t>
      </w:r>
      <w:r w:rsidR="00747935">
        <w:rPr>
          <w:rFonts w:ascii="Arial" w:hAnsi="Arial" w:cs="Arial"/>
        </w:rPr>
        <w:t xml:space="preserve"> which is </w:t>
      </w:r>
      <w:r w:rsidRPr="00922363">
        <w:rPr>
          <w:rFonts w:ascii="Arial" w:hAnsi="Arial" w:cs="Arial"/>
        </w:rPr>
        <w:t>critical in consumer electronics where scale and product cycles matter (</w:t>
      </w:r>
      <w:proofErr w:type="spellStart"/>
      <w:r w:rsidRPr="00922363">
        <w:rPr>
          <w:rFonts w:ascii="Arial" w:hAnsi="Arial" w:cs="Arial"/>
        </w:rPr>
        <w:t>Sudarsanam</w:t>
      </w:r>
      <w:proofErr w:type="spellEnd"/>
      <w:r w:rsidRPr="00922363">
        <w:rPr>
          <w:rFonts w:ascii="Arial" w:hAnsi="Arial" w:cs="Arial"/>
        </w:rPr>
        <w:t xml:space="preserve">, 2003; </w:t>
      </w:r>
      <w:proofErr w:type="spellStart"/>
      <w:r w:rsidRPr="00922363">
        <w:rPr>
          <w:rFonts w:ascii="Arial" w:hAnsi="Arial" w:cs="Arial"/>
        </w:rPr>
        <w:t>Gaughan</w:t>
      </w:r>
      <w:proofErr w:type="spellEnd"/>
      <w:r w:rsidRPr="00922363">
        <w:rPr>
          <w:rFonts w:ascii="Arial" w:hAnsi="Arial" w:cs="Arial"/>
        </w:rPr>
        <w:t>, 2017).</w:t>
      </w:r>
      <w:r w:rsidRPr="00922363">
        <w:rPr>
          <w:rFonts w:ascii="Arial" w:hAnsi="Arial" w:cs="Arial"/>
        </w:rPr>
        <w:br/>
      </w:r>
      <w:r w:rsidRPr="00747935">
        <w:rPr>
          <w:rFonts w:ascii="Arial" w:hAnsi="Arial" w:cs="Arial"/>
          <w:b/>
          <w:bCs/>
        </w:rPr>
        <w:t>Execution</w:t>
      </w:r>
      <w:r w:rsidR="00747935" w:rsidRPr="00747935">
        <w:rPr>
          <w:rFonts w:ascii="Arial" w:hAnsi="Arial" w:cs="Arial"/>
          <w:b/>
          <w:bCs/>
        </w:rPr>
        <w:t>:</w:t>
      </w:r>
      <w:r w:rsidRPr="00922363">
        <w:rPr>
          <w:rFonts w:ascii="Arial" w:hAnsi="Arial" w:cs="Arial"/>
        </w:rPr>
        <w:t xml:space="preserve"> Pursue bolt-on acquisitions or a joint venture with a stronger regional player to gain market share and distribution in specific markets. Prefer structured transactions (asset-purchase, revenue-sharing JV) that limit cash outlay and align incentives. Perform strict due diligence on synergies and integration costs.</w:t>
      </w:r>
      <w:r w:rsidRPr="00922363">
        <w:rPr>
          <w:rFonts w:ascii="Arial" w:hAnsi="Arial" w:cs="Arial"/>
        </w:rPr>
        <w:br/>
      </w:r>
      <w:r w:rsidRPr="00747935">
        <w:rPr>
          <w:rFonts w:ascii="Arial" w:hAnsi="Arial" w:cs="Arial"/>
          <w:b/>
          <w:bCs/>
        </w:rPr>
        <w:t>Impact</w:t>
      </w:r>
      <w:r w:rsidR="00747935" w:rsidRPr="00747935">
        <w:rPr>
          <w:rFonts w:ascii="Arial" w:hAnsi="Arial" w:cs="Arial"/>
          <w:b/>
          <w:bCs/>
        </w:rPr>
        <w:t>:</w:t>
      </w:r>
      <w:r w:rsidRPr="00922363">
        <w:rPr>
          <w:rFonts w:ascii="Arial" w:hAnsi="Arial" w:cs="Arial"/>
        </w:rPr>
        <w:t xml:space="preserve"> If value-creating synergies are </w:t>
      </w:r>
      <w:proofErr w:type="spellStart"/>
      <w:r w:rsidRPr="00922363">
        <w:rPr>
          <w:rFonts w:ascii="Arial" w:hAnsi="Arial" w:cs="Arial"/>
        </w:rPr>
        <w:t>realised</w:t>
      </w:r>
      <w:proofErr w:type="spellEnd"/>
      <w:r w:rsidRPr="00922363">
        <w:rPr>
          <w:rFonts w:ascii="Arial" w:hAnsi="Arial" w:cs="Arial"/>
        </w:rPr>
        <w:t>, shareholder value improves through higher future cash flows; however, M&amp;A entails execution risk and potential short-term cash demands. A JV preserves balance sheet flexibility while delivering strategic benefits (</w:t>
      </w:r>
      <w:proofErr w:type="spellStart"/>
      <w:r w:rsidRPr="00922363">
        <w:rPr>
          <w:rFonts w:ascii="Arial" w:hAnsi="Arial" w:cs="Arial"/>
        </w:rPr>
        <w:t>Mulherin</w:t>
      </w:r>
      <w:proofErr w:type="spellEnd"/>
      <w:r w:rsidRPr="00922363">
        <w:rPr>
          <w:rFonts w:ascii="Arial" w:hAnsi="Arial" w:cs="Arial"/>
        </w:rPr>
        <w:t xml:space="preserve"> &amp; Boone, 2000).</w:t>
      </w:r>
    </w:p>
    <w:p w14:paraId="0CA3E1AF" w14:textId="77777777" w:rsidR="00EB1AD8" w:rsidRPr="00922363" w:rsidRDefault="00EB1AD8" w:rsidP="00922363">
      <w:pPr>
        <w:pStyle w:val="Heading2"/>
      </w:pPr>
      <w:bookmarkStart w:id="26" w:name="_Toc216755970"/>
      <w:r w:rsidRPr="00922363">
        <w:t>3.3 Evaluating impact on shareholder value, debt structure and operational flexibility</w:t>
      </w:r>
      <w:bookmarkEnd w:id="26"/>
    </w:p>
    <w:p w14:paraId="0615B90A" w14:textId="77777777" w:rsidR="00EB1AD8" w:rsidRPr="00922363" w:rsidRDefault="00EB1AD8" w:rsidP="00922363">
      <w:pPr>
        <w:pStyle w:val="NormalWeb"/>
        <w:numPr>
          <w:ilvl w:val="0"/>
          <w:numId w:val="3"/>
        </w:numPr>
        <w:spacing w:line="360" w:lineRule="auto"/>
        <w:jc w:val="both"/>
        <w:rPr>
          <w:rFonts w:ascii="Arial" w:hAnsi="Arial" w:cs="Arial"/>
        </w:rPr>
      </w:pPr>
      <w:r w:rsidRPr="00922363">
        <w:rPr>
          <w:rStyle w:val="Strong"/>
          <w:rFonts w:ascii="Arial" w:hAnsi="Arial" w:cs="Arial"/>
        </w:rPr>
        <w:t>Shareholder value</w:t>
      </w:r>
      <w:r w:rsidRPr="00922363">
        <w:rPr>
          <w:rFonts w:ascii="Arial" w:hAnsi="Arial" w:cs="Arial"/>
        </w:rPr>
        <w:t>: Divestiture and debt reduction are generally value-preserving for equity holders in distressed situations because they lower bankruptcy risk and avoid value destructive fire sales. An equity injection dilutes existing owners but can be net-positive if it prevents insolvency and supports a sustainable recovery (Gompers et al., 2010). A well-executed merger/JV can be value-accretive if synergies exceed transaction and integration costs (</w:t>
      </w:r>
      <w:proofErr w:type="spellStart"/>
      <w:r w:rsidRPr="00922363">
        <w:rPr>
          <w:rFonts w:ascii="Arial" w:hAnsi="Arial" w:cs="Arial"/>
        </w:rPr>
        <w:t>Sudarsanam</w:t>
      </w:r>
      <w:proofErr w:type="spellEnd"/>
      <w:r w:rsidRPr="00922363">
        <w:rPr>
          <w:rFonts w:ascii="Arial" w:hAnsi="Arial" w:cs="Arial"/>
        </w:rPr>
        <w:t>, 2003).</w:t>
      </w:r>
    </w:p>
    <w:p w14:paraId="0A686C88" w14:textId="77777777" w:rsidR="00EB1AD8" w:rsidRPr="00922363" w:rsidRDefault="00EB1AD8" w:rsidP="00922363">
      <w:pPr>
        <w:pStyle w:val="NormalWeb"/>
        <w:numPr>
          <w:ilvl w:val="0"/>
          <w:numId w:val="3"/>
        </w:numPr>
        <w:spacing w:line="360" w:lineRule="auto"/>
        <w:jc w:val="both"/>
        <w:rPr>
          <w:rFonts w:ascii="Arial" w:hAnsi="Arial" w:cs="Arial"/>
        </w:rPr>
      </w:pPr>
      <w:r w:rsidRPr="00922363">
        <w:rPr>
          <w:rStyle w:val="Strong"/>
          <w:rFonts w:ascii="Arial" w:hAnsi="Arial" w:cs="Arial"/>
        </w:rPr>
        <w:t>Debt structure</w:t>
      </w:r>
      <w:r w:rsidRPr="00922363">
        <w:rPr>
          <w:rFonts w:ascii="Arial" w:hAnsi="Arial" w:cs="Arial"/>
        </w:rPr>
        <w:t>: Proceeds from divestiture and equity infusion would materially reduce leverage ratios and improve interest coverage; debt re-profiling lengthens maturities and reduces rollover risk. Appendix C provides numerical pro-</w:t>
      </w:r>
      <w:proofErr w:type="spellStart"/>
      <w:r w:rsidRPr="00922363">
        <w:rPr>
          <w:rFonts w:ascii="Arial" w:hAnsi="Arial" w:cs="Arial"/>
        </w:rPr>
        <w:t>formas</w:t>
      </w:r>
      <w:proofErr w:type="spellEnd"/>
      <w:r w:rsidRPr="00922363">
        <w:rPr>
          <w:rFonts w:ascii="Arial" w:hAnsi="Arial" w:cs="Arial"/>
        </w:rPr>
        <w:t xml:space="preserve"> demonstrating improvements in debt-to-equity and interest coverage under the proposed package.</w:t>
      </w:r>
    </w:p>
    <w:p w14:paraId="63186436" w14:textId="4C730F5A" w:rsidR="00EB1AD8" w:rsidRPr="00922363" w:rsidRDefault="00EB1AD8" w:rsidP="00922363">
      <w:pPr>
        <w:pStyle w:val="NormalWeb"/>
        <w:numPr>
          <w:ilvl w:val="0"/>
          <w:numId w:val="3"/>
        </w:numPr>
        <w:spacing w:line="360" w:lineRule="auto"/>
        <w:jc w:val="both"/>
        <w:rPr>
          <w:rFonts w:ascii="Arial" w:hAnsi="Arial" w:cs="Arial"/>
        </w:rPr>
      </w:pPr>
      <w:r w:rsidRPr="00922363">
        <w:rPr>
          <w:rStyle w:val="Strong"/>
          <w:rFonts w:ascii="Arial" w:hAnsi="Arial" w:cs="Arial"/>
        </w:rPr>
        <w:lastRenderedPageBreak/>
        <w:t>Operational flexibility</w:t>
      </w:r>
      <w:r w:rsidRPr="00922363">
        <w:rPr>
          <w:rFonts w:ascii="Arial" w:hAnsi="Arial" w:cs="Arial"/>
        </w:rPr>
        <w:t xml:space="preserve">: Divestitures can sharpen managerial focus and free cash for core operations but reduce scale. Equity capital supports capex and working capital needs, restoring flexibility. M&amp;A/JV can expand capability but requires management bandwidth; </w:t>
      </w:r>
      <w:r w:rsidR="00922363" w:rsidRPr="00922363">
        <w:rPr>
          <w:rFonts w:ascii="Arial" w:hAnsi="Arial" w:cs="Arial"/>
        </w:rPr>
        <w:t>therefore,</w:t>
      </w:r>
      <w:r w:rsidRPr="00922363">
        <w:rPr>
          <w:rFonts w:ascii="Arial" w:hAnsi="Arial" w:cs="Arial"/>
        </w:rPr>
        <w:t xml:space="preserve"> timing and scope must be conservative and staged.</w:t>
      </w:r>
    </w:p>
    <w:p w14:paraId="39C95E68" w14:textId="77777777" w:rsidR="00EB1AD8" w:rsidRPr="00922363" w:rsidRDefault="00EB1AD8" w:rsidP="00922363">
      <w:pPr>
        <w:pStyle w:val="Heading2"/>
      </w:pPr>
      <w:bookmarkStart w:id="27" w:name="_Toc216755971"/>
      <w:r w:rsidRPr="00922363">
        <w:t>3.4 International and ethical considerations</w:t>
      </w:r>
      <w:bookmarkEnd w:id="27"/>
    </w:p>
    <w:p w14:paraId="7D37A01B" w14:textId="77777777" w:rsidR="00EB1AD8" w:rsidRPr="00922363" w:rsidRDefault="00EB1AD8" w:rsidP="00922363">
      <w:pPr>
        <w:pStyle w:val="NormalWeb"/>
        <w:numPr>
          <w:ilvl w:val="0"/>
          <w:numId w:val="4"/>
        </w:numPr>
        <w:spacing w:line="360" w:lineRule="auto"/>
        <w:jc w:val="both"/>
        <w:rPr>
          <w:rFonts w:ascii="Arial" w:hAnsi="Arial" w:cs="Arial"/>
        </w:rPr>
      </w:pPr>
      <w:r w:rsidRPr="00922363">
        <w:rPr>
          <w:rStyle w:val="Strong"/>
          <w:rFonts w:ascii="Arial" w:hAnsi="Arial" w:cs="Arial"/>
        </w:rPr>
        <w:t>Taxation</w:t>
      </w:r>
      <w:r w:rsidRPr="00922363">
        <w:rPr>
          <w:rFonts w:ascii="Arial" w:hAnsi="Arial" w:cs="Arial"/>
        </w:rPr>
        <w:t xml:space="preserve">: Cross-border divestitures and capital injections must be structured to </w:t>
      </w:r>
      <w:proofErr w:type="spellStart"/>
      <w:r w:rsidRPr="00922363">
        <w:rPr>
          <w:rFonts w:ascii="Arial" w:hAnsi="Arial" w:cs="Arial"/>
        </w:rPr>
        <w:t>minimise</w:t>
      </w:r>
      <w:proofErr w:type="spellEnd"/>
      <w:r w:rsidRPr="00922363">
        <w:rPr>
          <w:rFonts w:ascii="Arial" w:hAnsi="Arial" w:cs="Arial"/>
        </w:rPr>
        <w:t xml:space="preserve"> adverse tax outcomes while complying with transfer pricing and anti-avoidance rules. Use tax rulings and local counsel to reduce withholding taxes on repatriated proceeds without aggressive tax avoidance (OECD BEPS guidance).</w:t>
      </w:r>
    </w:p>
    <w:p w14:paraId="5A063454" w14:textId="77777777" w:rsidR="00EB1AD8" w:rsidRPr="00922363" w:rsidRDefault="00EB1AD8" w:rsidP="00922363">
      <w:pPr>
        <w:pStyle w:val="NormalWeb"/>
        <w:numPr>
          <w:ilvl w:val="0"/>
          <w:numId w:val="4"/>
        </w:numPr>
        <w:spacing w:line="360" w:lineRule="auto"/>
        <w:jc w:val="both"/>
        <w:rPr>
          <w:rFonts w:ascii="Arial" w:hAnsi="Arial" w:cs="Arial"/>
        </w:rPr>
      </w:pPr>
      <w:r w:rsidRPr="00922363">
        <w:rPr>
          <w:rStyle w:val="Strong"/>
          <w:rFonts w:ascii="Arial" w:hAnsi="Arial" w:cs="Arial"/>
        </w:rPr>
        <w:t>Currency risk and inflation</w:t>
      </w:r>
      <w:r w:rsidRPr="00922363">
        <w:rPr>
          <w:rFonts w:ascii="Arial" w:hAnsi="Arial" w:cs="Arial"/>
        </w:rPr>
        <w:t>: Restructuring must consider currency mismatches. Hedging strategies (forwards, natural hedges via local financing) should be applied for material exposures. Inflation-linked cost pressures require scenario planning in the financial model (IMF, 2022).</w:t>
      </w:r>
    </w:p>
    <w:p w14:paraId="3B12528F" w14:textId="77777777" w:rsidR="00EB1AD8" w:rsidRPr="00922363" w:rsidRDefault="00EB1AD8" w:rsidP="00922363">
      <w:pPr>
        <w:pStyle w:val="NormalWeb"/>
        <w:numPr>
          <w:ilvl w:val="0"/>
          <w:numId w:val="4"/>
        </w:numPr>
        <w:spacing w:line="360" w:lineRule="auto"/>
        <w:jc w:val="both"/>
        <w:rPr>
          <w:rFonts w:ascii="Arial" w:hAnsi="Arial" w:cs="Arial"/>
        </w:rPr>
      </w:pPr>
      <w:r w:rsidRPr="00922363">
        <w:rPr>
          <w:rStyle w:val="Strong"/>
          <w:rFonts w:ascii="Arial" w:hAnsi="Arial" w:cs="Arial"/>
        </w:rPr>
        <w:t>CSR and workforce impact</w:t>
      </w:r>
      <w:r w:rsidRPr="00922363">
        <w:rPr>
          <w:rFonts w:ascii="Arial" w:hAnsi="Arial" w:cs="Arial"/>
        </w:rPr>
        <w:t xml:space="preserve">: Divestitures and cost restructuring have social impacts; transparent stakeholder engagement, fair severance policies, and redeployment assistance reduce reputational and regulatory risk (Freeman et al., 2010). Ethical restructuring </w:t>
      </w:r>
      <w:proofErr w:type="spellStart"/>
      <w:r w:rsidRPr="00922363">
        <w:rPr>
          <w:rFonts w:ascii="Arial" w:hAnsi="Arial" w:cs="Arial"/>
        </w:rPr>
        <w:t>emphasises</w:t>
      </w:r>
      <w:proofErr w:type="spellEnd"/>
      <w:r w:rsidRPr="00922363">
        <w:rPr>
          <w:rFonts w:ascii="Arial" w:hAnsi="Arial" w:cs="Arial"/>
        </w:rPr>
        <w:t xml:space="preserve"> long-term employment prospects and environmental compliance where asset sales include manufacturing sites.</w:t>
      </w:r>
    </w:p>
    <w:p w14:paraId="48F5FBD6" w14:textId="77777777" w:rsidR="00EB1AD8" w:rsidRPr="00922363" w:rsidRDefault="00EB1AD8" w:rsidP="00922363">
      <w:pPr>
        <w:pStyle w:val="NormalWeb"/>
        <w:numPr>
          <w:ilvl w:val="0"/>
          <w:numId w:val="4"/>
        </w:numPr>
        <w:spacing w:line="360" w:lineRule="auto"/>
        <w:jc w:val="both"/>
        <w:rPr>
          <w:rFonts w:ascii="Arial" w:hAnsi="Arial" w:cs="Arial"/>
        </w:rPr>
      </w:pPr>
      <w:r w:rsidRPr="00922363">
        <w:rPr>
          <w:rStyle w:val="Strong"/>
          <w:rFonts w:ascii="Arial" w:hAnsi="Arial" w:cs="Arial"/>
        </w:rPr>
        <w:t>Governance</w:t>
      </w:r>
      <w:r w:rsidRPr="00922363">
        <w:rPr>
          <w:rFonts w:ascii="Arial" w:hAnsi="Arial" w:cs="Arial"/>
        </w:rPr>
        <w:t>: Bring independent directors and creditor representatives into oversight (advisory committee) during the implementation phase to improve transparency and alignment with minority shareholders and bondholders (Klein, 2017).</w:t>
      </w:r>
    </w:p>
    <w:p w14:paraId="1FCB09F3" w14:textId="77777777" w:rsidR="00EB1AD8" w:rsidRPr="00922363" w:rsidRDefault="00EB1AD8" w:rsidP="00922363">
      <w:pPr>
        <w:pStyle w:val="Heading2"/>
      </w:pPr>
      <w:bookmarkStart w:id="28" w:name="_Toc216755972"/>
      <w:r w:rsidRPr="00922363">
        <w:t>3.5 Implementation roadmap and metrics</w:t>
      </w:r>
      <w:bookmarkEnd w:id="28"/>
    </w:p>
    <w:p w14:paraId="5B19EA5D" w14:textId="77777777" w:rsidR="00922363" w:rsidRDefault="00EB1AD8" w:rsidP="00922363">
      <w:pPr>
        <w:pStyle w:val="NormalWeb"/>
        <w:spacing w:line="360" w:lineRule="auto"/>
        <w:jc w:val="both"/>
        <w:rPr>
          <w:rFonts w:ascii="Arial" w:hAnsi="Arial" w:cs="Arial"/>
        </w:rPr>
      </w:pPr>
      <w:r w:rsidRPr="00922363">
        <w:rPr>
          <w:rFonts w:ascii="Arial" w:hAnsi="Arial" w:cs="Arial"/>
        </w:rPr>
        <w:t>Phase 1 (0–3 months): Immediate liquidity measures—negotiate short-term debt forbearance, launch divestiture of top two non-core assets, and set up investor roadshow for rights issue.</w:t>
      </w:r>
    </w:p>
    <w:p w14:paraId="4B497483" w14:textId="7D12F3A5" w:rsidR="00EB1AD8" w:rsidRPr="00922363" w:rsidRDefault="00EB1AD8" w:rsidP="00922363">
      <w:pPr>
        <w:pStyle w:val="NormalWeb"/>
        <w:spacing w:line="360" w:lineRule="auto"/>
        <w:jc w:val="both"/>
        <w:rPr>
          <w:rFonts w:ascii="Arial" w:hAnsi="Arial" w:cs="Arial"/>
        </w:rPr>
      </w:pPr>
      <w:r w:rsidRPr="00922363">
        <w:rPr>
          <w:rFonts w:ascii="Arial" w:hAnsi="Arial" w:cs="Arial"/>
        </w:rPr>
        <w:lastRenderedPageBreak/>
        <w:t>Phase 2 (3–9 months): Close divestitures, execute equity raise, complete debt re-profiling, and initiate targeted JV discussions.</w:t>
      </w:r>
      <w:r w:rsidR="00871311" w:rsidRPr="00922363">
        <w:rPr>
          <w:rFonts w:ascii="Arial" w:hAnsi="Arial" w:cs="Arial"/>
        </w:rPr>
        <w:t xml:space="preserve"> </w:t>
      </w:r>
      <w:r w:rsidRPr="00922363">
        <w:rPr>
          <w:rFonts w:ascii="Arial" w:hAnsi="Arial" w:cs="Arial"/>
        </w:rPr>
        <w:t>Phase 3 (9–24 months): Integration, capex for core product lines, operational KPIs (working capital days, interest coverage &gt;3x, debt to capital &lt;50%), and sustainability metrics (employee outcomes, environmental compliance). Success metrics are reported monthly to the board and quarterly to lenders.</w:t>
      </w:r>
    </w:p>
    <w:p w14:paraId="5C322A01" w14:textId="0C40E182" w:rsidR="00871311" w:rsidRPr="00922363" w:rsidRDefault="00871311" w:rsidP="00922363">
      <w:pPr>
        <w:pStyle w:val="Heading1"/>
      </w:pPr>
      <w:bookmarkStart w:id="29" w:name="_Toc216755973"/>
      <w:r w:rsidRPr="00922363">
        <w:t>4.</w:t>
      </w:r>
      <w:r w:rsidR="00922363">
        <w:t>0</w:t>
      </w:r>
      <w:r w:rsidRPr="00922363">
        <w:t xml:space="preserve"> Investment Appraisal and Capital Budgeting of General Electronics</w:t>
      </w:r>
      <w:bookmarkEnd w:id="29"/>
    </w:p>
    <w:p w14:paraId="0B825636" w14:textId="77777777" w:rsidR="00871311" w:rsidRPr="00922363" w:rsidRDefault="00871311" w:rsidP="00922363">
      <w:pPr>
        <w:pStyle w:val="Heading2"/>
      </w:pPr>
      <w:bookmarkStart w:id="30" w:name="_Toc216755974"/>
      <w:r w:rsidRPr="00922363">
        <w:t>4.1 Introduction</w:t>
      </w:r>
      <w:bookmarkEnd w:id="30"/>
    </w:p>
    <w:p w14:paraId="22321409"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 xml:space="preserve">Capital budgeting decisions are particularly critical for firms experiencing financial distress, as inappropriate investment choices can intensify liquidity pressure and accelerate value erosion. As established in Sections 1–3 of this report, General Electronics has experienced declining profitability, weakening liquidity ratios, deteriorating interest coverage, and an elevated probability of financial distress as indicated by the Altman Z-Score. Against this backdrop, investment appraisal must </w:t>
      </w:r>
      <w:proofErr w:type="spellStart"/>
      <w:r w:rsidRPr="00922363">
        <w:rPr>
          <w:rFonts w:ascii="Arial" w:hAnsi="Arial" w:cs="Arial"/>
        </w:rPr>
        <w:t>prioritise</w:t>
      </w:r>
      <w:proofErr w:type="spellEnd"/>
      <w:r w:rsidRPr="00922363">
        <w:rPr>
          <w:rFonts w:ascii="Arial" w:hAnsi="Arial" w:cs="Arial"/>
        </w:rPr>
        <w:t xml:space="preserve"> value creation, early cash recovery, and risk mitigation.</w:t>
      </w:r>
    </w:p>
    <w:p w14:paraId="76375C82"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This section evaluates three proposed investment projects using five standard capital budgeting techniques: Payback Period (PBP), Accounting Rate of Return (ARR), Net Present Value (NPV), Profitability Index (PI), and Internal Rate of Return (IRR). These methods collectively assess liquidity impact, accounting performance, discounted value creation, capital efficiency, and risk-adjusted returns (</w:t>
      </w:r>
      <w:proofErr w:type="spellStart"/>
      <w:r w:rsidRPr="00922363">
        <w:rPr>
          <w:rFonts w:ascii="Arial" w:hAnsi="Arial" w:cs="Arial"/>
        </w:rPr>
        <w:t>Atrill</w:t>
      </w:r>
      <w:proofErr w:type="spellEnd"/>
      <w:r w:rsidRPr="00922363">
        <w:rPr>
          <w:rFonts w:ascii="Arial" w:hAnsi="Arial" w:cs="Arial"/>
        </w:rPr>
        <w:t xml:space="preserve"> and McLaney, 2017; Berk and </w:t>
      </w:r>
      <w:proofErr w:type="spellStart"/>
      <w:r w:rsidRPr="00922363">
        <w:rPr>
          <w:rFonts w:ascii="Arial" w:hAnsi="Arial" w:cs="Arial"/>
        </w:rPr>
        <w:t>DeMarzo</w:t>
      </w:r>
      <w:proofErr w:type="spellEnd"/>
      <w:r w:rsidRPr="00922363">
        <w:rPr>
          <w:rFonts w:ascii="Arial" w:hAnsi="Arial" w:cs="Arial"/>
        </w:rPr>
        <w:t xml:space="preserve">, 2020). A final investment recommendation is made under a capital rationing constraint of £60 million, explicitly justified with reference to General Electronics’ financial performance and project-specific risk characteristics. Detailed calculations are provided separately in </w:t>
      </w:r>
      <w:r w:rsidRPr="00922363">
        <w:rPr>
          <w:rStyle w:val="Strong"/>
          <w:rFonts w:ascii="Arial" w:hAnsi="Arial" w:cs="Arial"/>
          <w:b w:val="0"/>
          <w:bCs w:val="0"/>
        </w:rPr>
        <w:t>Appendix D</w:t>
      </w:r>
      <w:r w:rsidRPr="00922363">
        <w:rPr>
          <w:rFonts w:ascii="Arial" w:hAnsi="Arial" w:cs="Arial"/>
          <w:b/>
          <w:bCs/>
        </w:rPr>
        <w:t>.</w:t>
      </w:r>
    </w:p>
    <w:p w14:paraId="44E4CCC1" w14:textId="77777777" w:rsidR="00871311" w:rsidRPr="00922363" w:rsidRDefault="00871311" w:rsidP="00922363">
      <w:pPr>
        <w:pStyle w:val="Heading2"/>
      </w:pPr>
      <w:bookmarkStart w:id="31" w:name="_Toc216755975"/>
      <w:r w:rsidRPr="00922363">
        <w:t>4.2 Project Details and Assumptions</w:t>
      </w:r>
      <w:bookmarkEnd w:id="31"/>
    </w:p>
    <w:p w14:paraId="188FE6C0"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 xml:space="preserve">Three mutually exclusive projects are evaluated, each with a five-year life and distinct cash flow profiles. The discount rate is set at 10 percent, reflecting a conservative estimate of the firm’s cost of capital given its increased leverage and declining operating </w:t>
      </w:r>
      <w:r w:rsidRPr="00922363">
        <w:rPr>
          <w:rFonts w:ascii="Arial" w:hAnsi="Arial" w:cs="Arial"/>
        </w:rPr>
        <w:lastRenderedPageBreak/>
        <w:t>profitability identified earlier. Straight-line depreciation to zero is assumed, and all net cash inflows are treated as post-tax, consistent with the assignment brief.</w:t>
      </w:r>
    </w:p>
    <w:p w14:paraId="63941709"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Capital rationing restricts total investment expenditure to £60 million, reflecting the firm’s constrained liquidity position and limited capacity to raise additional finance without increasing financial risk.</w:t>
      </w:r>
    </w:p>
    <w:p w14:paraId="43449274" w14:textId="77777777" w:rsidR="00871311" w:rsidRPr="00922363" w:rsidRDefault="00871311" w:rsidP="00922363">
      <w:pPr>
        <w:pStyle w:val="Heading2"/>
      </w:pPr>
      <w:bookmarkStart w:id="32" w:name="_Toc216755976"/>
      <w:r w:rsidRPr="00922363">
        <w:t>4.3 Payback Period (PBP)</w:t>
      </w:r>
      <w:bookmarkEnd w:id="32"/>
    </w:p>
    <w:p w14:paraId="38B35258" w14:textId="4F991791" w:rsidR="00871311" w:rsidRPr="00922363" w:rsidRDefault="00871311" w:rsidP="00922363">
      <w:pPr>
        <w:pStyle w:val="NormalWeb"/>
        <w:spacing w:line="360" w:lineRule="auto"/>
        <w:jc w:val="both"/>
        <w:rPr>
          <w:rFonts w:ascii="Arial" w:hAnsi="Arial" w:cs="Arial"/>
        </w:rPr>
      </w:pPr>
      <w:r w:rsidRPr="00922363">
        <w:rPr>
          <w:rFonts w:ascii="Arial" w:hAnsi="Arial" w:cs="Arial"/>
        </w:rPr>
        <w:t>The Payback Period measures the time required to recover the initial investment from cumulative cash inflows. Although it ignores the time value of money and post-payback returns, PBP is relevant for firms with liquidity constraints, such as General Electronics, whose cash ratios and operating cash flow coverage have deteriorated in recent years.</w:t>
      </w:r>
    </w:p>
    <w:p w14:paraId="526ACA84"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Based on cumulative cash flow analysis (Appendix D, Table D1), Project A achieves payback in approximately 3.4 years, Project C in around 3.6 years, while Project B requires the full five-year project life. From a liquidity perspective, Projects A and C are preferable to Project B, as they return capital more quickly, reducing exposure to prolonged cash lock-in. However, reliance on PBP alone would be inappropriate given its failure to account for value creation beyond the payback point.</w:t>
      </w:r>
    </w:p>
    <w:p w14:paraId="65E80DE8" w14:textId="77777777" w:rsidR="00871311" w:rsidRPr="00922363" w:rsidRDefault="00871311" w:rsidP="00922363">
      <w:pPr>
        <w:pStyle w:val="Heading2"/>
      </w:pPr>
      <w:bookmarkStart w:id="33" w:name="_Toc216755977"/>
      <w:r w:rsidRPr="00922363">
        <w:t>4.4 Accounting Rate of Return (ARR)</w:t>
      </w:r>
      <w:bookmarkEnd w:id="33"/>
    </w:p>
    <w:p w14:paraId="126A62F6"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ARR assesses average annual accounting profit relative to initial investment and provides insight into the impact of projects on reported profitability. This is relevant for General Electronics, which has reported operating losses in recent years and faces pressure to restore earnings credibility with investors and lenders.</w:t>
      </w:r>
    </w:p>
    <w:p w14:paraId="1FBA5593" w14:textId="62411F23" w:rsidR="00922363" w:rsidRPr="00922363" w:rsidRDefault="00871311" w:rsidP="00922363">
      <w:pPr>
        <w:pStyle w:val="NormalWeb"/>
        <w:spacing w:line="360" w:lineRule="auto"/>
        <w:jc w:val="both"/>
        <w:rPr>
          <w:rFonts w:ascii="Arial" w:hAnsi="Arial" w:cs="Arial"/>
        </w:rPr>
      </w:pPr>
      <w:r w:rsidRPr="00922363">
        <w:rPr>
          <w:rFonts w:ascii="Arial" w:hAnsi="Arial" w:cs="Arial"/>
        </w:rPr>
        <w:t>As shown in Appendix D, Project C produces the highest ARR at approximately 10 percent, followed by Project A at around 7 percent. Project B generates an ARR of zero, as annual cash inflows merely offset depreciation. These results indicate that Project C is most supportive of profitability recovery, while Project B contributes nothing to earnings improvement. However, ARR’s reliance on accounting profit and its neglect of timing effects limit its usefulness as a primary decision tool.</w:t>
      </w:r>
    </w:p>
    <w:p w14:paraId="783B31EF" w14:textId="77777777" w:rsidR="00871311" w:rsidRPr="00922363" w:rsidRDefault="00871311" w:rsidP="00922363">
      <w:pPr>
        <w:pStyle w:val="Heading2"/>
      </w:pPr>
      <w:bookmarkStart w:id="34" w:name="_Toc216755978"/>
      <w:r w:rsidRPr="00922363">
        <w:lastRenderedPageBreak/>
        <w:t>4.5 Net Present Value (NPV)</w:t>
      </w:r>
      <w:bookmarkEnd w:id="34"/>
    </w:p>
    <w:p w14:paraId="11F7A73F"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 xml:space="preserve">Net Present Value is the most theoretically robust appraisal technique, as it directly measures the contribution of a project to shareholder wealth by discounting future cash flows at the required rate of return (Berk and </w:t>
      </w:r>
      <w:proofErr w:type="spellStart"/>
      <w:r w:rsidRPr="00922363">
        <w:rPr>
          <w:rFonts w:ascii="Arial" w:hAnsi="Arial" w:cs="Arial"/>
        </w:rPr>
        <w:t>DeMarzo</w:t>
      </w:r>
      <w:proofErr w:type="spellEnd"/>
      <w:r w:rsidRPr="00922363">
        <w:rPr>
          <w:rFonts w:ascii="Arial" w:hAnsi="Arial" w:cs="Arial"/>
        </w:rPr>
        <w:t>, 2020).</w:t>
      </w:r>
    </w:p>
    <w:p w14:paraId="64D7D475"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Discounted cash flow analysis at 10 percent (Appendix D, Table D2) shows that Project C generates a substantial positive NPV of approximately £21.28 million. Project A yields a modest positive NPV of £1.92 million, while Project B produces a slightly negative NPV. These results indicate that only Projects A and C create value, with Project C overwhelmingly dominant.</w:t>
      </w:r>
    </w:p>
    <w:p w14:paraId="46FE6BAA"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 xml:space="preserve">Given General Electronics’ declining equity base and elevated distress risk, </w:t>
      </w:r>
      <w:proofErr w:type="spellStart"/>
      <w:r w:rsidRPr="00922363">
        <w:rPr>
          <w:rFonts w:ascii="Arial" w:hAnsi="Arial" w:cs="Arial"/>
        </w:rPr>
        <w:t>prioritising</w:t>
      </w:r>
      <w:proofErr w:type="spellEnd"/>
      <w:r w:rsidRPr="00922363">
        <w:rPr>
          <w:rFonts w:ascii="Arial" w:hAnsi="Arial" w:cs="Arial"/>
        </w:rPr>
        <w:t xml:space="preserve"> projects with strong positive NPVs is essential to </w:t>
      </w:r>
      <w:proofErr w:type="spellStart"/>
      <w:r w:rsidRPr="00922363">
        <w:rPr>
          <w:rFonts w:ascii="Arial" w:hAnsi="Arial" w:cs="Arial"/>
        </w:rPr>
        <w:t>stabilise</w:t>
      </w:r>
      <w:proofErr w:type="spellEnd"/>
      <w:r w:rsidRPr="00922363">
        <w:rPr>
          <w:rFonts w:ascii="Arial" w:hAnsi="Arial" w:cs="Arial"/>
        </w:rPr>
        <w:t xml:space="preserve"> firm value and restore financial resilience.</w:t>
      </w:r>
    </w:p>
    <w:p w14:paraId="29752676" w14:textId="77777777" w:rsidR="00871311" w:rsidRPr="00922363" w:rsidRDefault="00871311" w:rsidP="00922363">
      <w:pPr>
        <w:pStyle w:val="Heading2"/>
      </w:pPr>
      <w:bookmarkStart w:id="35" w:name="_Toc216755979"/>
      <w:r w:rsidRPr="00922363">
        <w:t>4.6 Profitability Index (PI)</w:t>
      </w:r>
      <w:bookmarkEnd w:id="35"/>
    </w:p>
    <w:p w14:paraId="0E513E35"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 xml:space="preserve">The Profitability Index measures value creation per pound invested and is particularly useful under capital rationing conditions (Peterson and </w:t>
      </w:r>
      <w:proofErr w:type="spellStart"/>
      <w:r w:rsidRPr="00922363">
        <w:rPr>
          <w:rFonts w:ascii="Arial" w:hAnsi="Arial" w:cs="Arial"/>
        </w:rPr>
        <w:t>Fabozzi</w:t>
      </w:r>
      <w:proofErr w:type="spellEnd"/>
      <w:r w:rsidRPr="00922363">
        <w:rPr>
          <w:rFonts w:ascii="Arial" w:hAnsi="Arial" w:cs="Arial"/>
        </w:rPr>
        <w:t>, 2019). As shown in Appendix D, Project C achieves a PI of 1.426, significantly higher than Project A’s marginal PI of 1.048. Project B’s PI is below unity, confirming that it destroys value.</w:t>
      </w:r>
    </w:p>
    <w:p w14:paraId="2B7C7FD7" w14:textId="08AC9C3A" w:rsidR="00220067" w:rsidRPr="00160940" w:rsidRDefault="00871311" w:rsidP="00160940">
      <w:pPr>
        <w:pStyle w:val="NormalWeb"/>
        <w:spacing w:line="360" w:lineRule="auto"/>
        <w:jc w:val="both"/>
        <w:rPr>
          <w:rFonts w:ascii="Arial" w:hAnsi="Arial" w:cs="Arial"/>
        </w:rPr>
      </w:pPr>
      <w:r w:rsidRPr="00922363">
        <w:rPr>
          <w:rFonts w:ascii="Arial" w:hAnsi="Arial" w:cs="Arial"/>
        </w:rPr>
        <w:t xml:space="preserve">Under capital constraints, Project C clearly dominates, as it </w:t>
      </w:r>
      <w:proofErr w:type="spellStart"/>
      <w:r w:rsidRPr="00922363">
        <w:rPr>
          <w:rFonts w:ascii="Arial" w:hAnsi="Arial" w:cs="Arial"/>
        </w:rPr>
        <w:t>maximises</w:t>
      </w:r>
      <w:proofErr w:type="spellEnd"/>
      <w:r w:rsidRPr="00922363">
        <w:rPr>
          <w:rFonts w:ascii="Arial" w:hAnsi="Arial" w:cs="Arial"/>
        </w:rPr>
        <w:t xml:space="preserve"> both absolute and relative value creation. This is especially important for General Electronics, which lacks the financial flexibility to fund multiple projects or absorb poor investment outcomes.</w:t>
      </w:r>
      <w:bookmarkStart w:id="36" w:name="_Toc216755980"/>
    </w:p>
    <w:p w14:paraId="7ECEFFBD" w14:textId="0356941B" w:rsidR="00871311" w:rsidRPr="00922363" w:rsidRDefault="00871311" w:rsidP="00922363">
      <w:pPr>
        <w:pStyle w:val="Heading2"/>
      </w:pPr>
      <w:r w:rsidRPr="00922363">
        <w:t>4.7 Internal Rate of Return (IRR)</w:t>
      </w:r>
      <w:bookmarkEnd w:id="36"/>
    </w:p>
    <w:p w14:paraId="6635E2D4"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The Internal Rate of Return represents the discount rate at which NPV equals zero and is often used as a proxy for risk-adjusted return. IRR estimates (Appendix D, Table D3) show that Project C achieves an IRR of approximately 28.6 percent, far exceeding the 10 percent cost of capital. Project A’s IRR marginally exceeds the hurdle rate, while Project B’s IRR falls below it.</w:t>
      </w:r>
    </w:p>
    <w:p w14:paraId="3C4BD1E2"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lastRenderedPageBreak/>
        <w:t>The large margin by which Project C’s IRR exceeds the cost of capital provides a substantial buffer against forecasting errors, cost overruns, or adverse market conditions—an important consideration given General Electronics’ fragile financial position.</w:t>
      </w:r>
    </w:p>
    <w:p w14:paraId="43BF9009" w14:textId="77777777" w:rsidR="00871311" w:rsidRPr="00922363" w:rsidRDefault="00871311" w:rsidP="00922363">
      <w:pPr>
        <w:pStyle w:val="Heading2"/>
      </w:pPr>
      <w:bookmarkStart w:id="37" w:name="_Toc216755981"/>
      <w:r w:rsidRPr="00922363">
        <w:t>4.8 Capital Rationing and Project Selection</w:t>
      </w:r>
      <w:bookmarkEnd w:id="37"/>
    </w:p>
    <w:p w14:paraId="2705874E"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With a maximum investment capacity of £60 million, General Electronics cannot undertake more than one project. Any combination of two projects exceeds the capital constraint. Consequently, the firm must select the single project that best supports value creation, liquidity recovery, and financial stability.</w:t>
      </w:r>
    </w:p>
    <w:p w14:paraId="1A24939B"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Project C, with an initial investment of £50 million, is the only project that fits within the capital limit while delivering superior performance across NPV, PI, ARR, and IRR. Projects A and B either offer insufficient value creation or fail to meet minimum return thresholds.</w:t>
      </w:r>
    </w:p>
    <w:p w14:paraId="083F53BD" w14:textId="77777777" w:rsidR="00871311" w:rsidRPr="00922363" w:rsidRDefault="00871311" w:rsidP="00922363">
      <w:pPr>
        <w:pStyle w:val="Heading2"/>
      </w:pPr>
      <w:bookmarkStart w:id="38" w:name="_Toc216755982"/>
      <w:r w:rsidRPr="00922363">
        <w:t>4.9 Justification Based on Financial Performance and Project Risk Characteristics</w:t>
      </w:r>
      <w:bookmarkEnd w:id="38"/>
    </w:p>
    <w:p w14:paraId="007C3682"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 xml:space="preserve">The recommendation to select </w:t>
      </w:r>
      <w:r w:rsidRPr="00922363">
        <w:rPr>
          <w:rStyle w:val="Strong"/>
          <w:rFonts w:ascii="Arial" w:hAnsi="Arial" w:cs="Arial"/>
        </w:rPr>
        <w:t>Project C</w:t>
      </w:r>
      <w:r w:rsidRPr="00922363">
        <w:rPr>
          <w:rFonts w:ascii="Arial" w:hAnsi="Arial" w:cs="Arial"/>
        </w:rPr>
        <w:t xml:space="preserve"> is strongly justified when evaluated against General Electronics’ financial performance and the risk characteristics of the projects.</w:t>
      </w:r>
    </w:p>
    <w:p w14:paraId="192588B1" w14:textId="220C9CCD" w:rsidR="00871311" w:rsidRPr="00922363" w:rsidRDefault="00871311" w:rsidP="00922363">
      <w:pPr>
        <w:spacing w:line="360" w:lineRule="auto"/>
        <w:jc w:val="both"/>
        <w:rPr>
          <w:rFonts w:ascii="Arial" w:hAnsi="Arial" w:cs="Arial"/>
          <w:b/>
          <w:bCs/>
          <w:sz w:val="24"/>
          <w:szCs w:val="24"/>
        </w:rPr>
      </w:pPr>
      <w:r w:rsidRPr="00922363">
        <w:rPr>
          <w:rFonts w:ascii="Arial" w:hAnsi="Arial" w:cs="Arial"/>
          <w:b/>
          <w:bCs/>
          <w:sz w:val="24"/>
          <w:szCs w:val="24"/>
        </w:rPr>
        <w:t>Financial Performance Alignment</w:t>
      </w:r>
      <w:r w:rsidR="00922363" w:rsidRPr="00922363">
        <w:rPr>
          <w:rFonts w:ascii="Arial" w:hAnsi="Arial" w:cs="Arial"/>
          <w:b/>
          <w:bCs/>
          <w:sz w:val="24"/>
          <w:szCs w:val="24"/>
        </w:rPr>
        <w:t xml:space="preserve">: </w:t>
      </w:r>
      <w:r w:rsidRPr="00922363">
        <w:rPr>
          <w:rFonts w:ascii="Arial" w:hAnsi="Arial" w:cs="Arial"/>
          <w:sz w:val="24"/>
          <w:szCs w:val="24"/>
        </w:rPr>
        <w:t>Sections 1–3 of this report identified declining profitability, weakening liquidity ratios, deteriorating interest coverage, and a movement into the Altman Z-Score distress zone. These conditions imply that General Electronics cannot afford investments with marginal returns or long capital recovery periods. Project C’s strong NPV and high IRR directly address the firm’s need to rebuild shareholder value and improve long-term profitability. Although its initial outlay is larger than Project A or B, its superior discounted returns provide a stronger foundation for financial recovery.</w:t>
      </w:r>
    </w:p>
    <w:p w14:paraId="4FF9AA18"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 xml:space="preserve">From a liquidity perspective, Project C generates increasingly strong cash inflows from Year 3 onwards, supporting future operating cash flows and reducing reliance on external financing. In contrast, Project B’s flat and modest inflows offer limited support to liquidity </w:t>
      </w:r>
      <w:r w:rsidRPr="00922363">
        <w:rPr>
          <w:rFonts w:ascii="Arial" w:hAnsi="Arial" w:cs="Arial"/>
        </w:rPr>
        <w:lastRenderedPageBreak/>
        <w:t>restoration, while Project A’s returns are insufficiently strong to materially alter the firm’s financial trajectory.</w:t>
      </w:r>
    </w:p>
    <w:p w14:paraId="544566FC" w14:textId="39906C42" w:rsidR="00871311" w:rsidRPr="00922363" w:rsidRDefault="00871311" w:rsidP="00922363">
      <w:pPr>
        <w:spacing w:line="360" w:lineRule="auto"/>
        <w:jc w:val="both"/>
        <w:rPr>
          <w:rFonts w:ascii="Arial" w:hAnsi="Arial" w:cs="Arial"/>
          <w:b/>
          <w:bCs/>
          <w:sz w:val="24"/>
          <w:szCs w:val="24"/>
        </w:rPr>
      </w:pPr>
      <w:r w:rsidRPr="00922363">
        <w:rPr>
          <w:rFonts w:ascii="Arial" w:hAnsi="Arial" w:cs="Arial"/>
          <w:b/>
          <w:bCs/>
          <w:sz w:val="24"/>
          <w:szCs w:val="24"/>
        </w:rPr>
        <w:t>Project Risk Characteristics</w:t>
      </w:r>
      <w:r w:rsidR="00922363" w:rsidRPr="00922363">
        <w:rPr>
          <w:rFonts w:ascii="Arial" w:hAnsi="Arial" w:cs="Arial"/>
          <w:b/>
          <w:bCs/>
          <w:sz w:val="24"/>
          <w:szCs w:val="24"/>
        </w:rPr>
        <w:t xml:space="preserve">:  </w:t>
      </w:r>
      <w:r w:rsidRPr="00922363">
        <w:rPr>
          <w:rFonts w:ascii="Arial" w:hAnsi="Arial" w:cs="Arial"/>
          <w:sz w:val="24"/>
          <w:szCs w:val="24"/>
        </w:rPr>
        <w:t>Project risk is assessed primarily through cash flow timing, volatility, and margin of safety. Project B exhibits low volatility but also low returns, resulting in value destruction once the cost of capital is considered. Project A presents moderate volatility but offers only marginal value creation, leaving little buffer against downside risk.</w:t>
      </w:r>
    </w:p>
    <w:p w14:paraId="058CA2FF"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 xml:space="preserve">Project C displays higher variability in annual cash flows; however, this risk is compensated by significantly higher returns, as evidenced by its NPV and IRR. The substantial excess of IRR over the discount rate provides resilience against adverse deviations in cash flow forecasts. In risk–return terms, Project C offers the most </w:t>
      </w:r>
      <w:proofErr w:type="spellStart"/>
      <w:r w:rsidRPr="00922363">
        <w:rPr>
          <w:rFonts w:ascii="Arial" w:hAnsi="Arial" w:cs="Arial"/>
        </w:rPr>
        <w:t>favourable</w:t>
      </w:r>
      <w:proofErr w:type="spellEnd"/>
      <w:r w:rsidRPr="00922363">
        <w:rPr>
          <w:rFonts w:ascii="Arial" w:hAnsi="Arial" w:cs="Arial"/>
        </w:rPr>
        <w:t xml:space="preserve"> trade-off, particularly important for a firm already exposed to financial distress risk.</w:t>
      </w:r>
    </w:p>
    <w:p w14:paraId="7F55D51E" w14:textId="57948FD0" w:rsidR="00871311" w:rsidRPr="00922363" w:rsidRDefault="00871311" w:rsidP="00922363">
      <w:pPr>
        <w:pStyle w:val="Heading2"/>
      </w:pPr>
      <w:bookmarkStart w:id="39" w:name="_Toc216755983"/>
      <w:r w:rsidRPr="00922363">
        <w:t>4.10 Summary</w:t>
      </w:r>
      <w:bookmarkEnd w:id="39"/>
    </w:p>
    <w:p w14:paraId="1ADDE0DA" w14:textId="77777777" w:rsidR="00871311" w:rsidRPr="00922363" w:rsidRDefault="00871311" w:rsidP="00922363">
      <w:pPr>
        <w:pStyle w:val="NormalWeb"/>
        <w:spacing w:line="360" w:lineRule="auto"/>
        <w:jc w:val="both"/>
        <w:rPr>
          <w:rFonts w:ascii="Arial" w:hAnsi="Arial" w:cs="Arial"/>
        </w:rPr>
      </w:pPr>
      <w:r w:rsidRPr="00922363">
        <w:rPr>
          <w:rFonts w:ascii="Arial" w:hAnsi="Arial" w:cs="Arial"/>
        </w:rPr>
        <w:t xml:space="preserve">This section evaluated three proposed investment projects for General Electronics using PBP, ARR, NPV, PI, and IRR under a capital rationing constraint. While Payback Period and ARR provide useful supplementary insights, value-based techniques clearly identify </w:t>
      </w:r>
      <w:r w:rsidRPr="00922363">
        <w:rPr>
          <w:rStyle w:val="Strong"/>
          <w:rFonts w:ascii="Arial" w:hAnsi="Arial" w:cs="Arial"/>
        </w:rPr>
        <w:t>Project C</w:t>
      </w:r>
      <w:r w:rsidRPr="00922363">
        <w:rPr>
          <w:rFonts w:ascii="Arial" w:hAnsi="Arial" w:cs="Arial"/>
        </w:rPr>
        <w:t xml:space="preserve"> as the optimal investment.</w:t>
      </w:r>
    </w:p>
    <w:p w14:paraId="37F6D831" w14:textId="02D6FF62" w:rsidR="00922363" w:rsidRPr="004D723F" w:rsidRDefault="00871311" w:rsidP="004D723F">
      <w:pPr>
        <w:pStyle w:val="NormalWeb"/>
        <w:spacing w:line="360" w:lineRule="auto"/>
        <w:jc w:val="both"/>
        <w:rPr>
          <w:rFonts w:ascii="Arial" w:hAnsi="Arial" w:cs="Arial"/>
          <w:b/>
          <w:bCs/>
        </w:rPr>
      </w:pPr>
      <w:r w:rsidRPr="00922363">
        <w:rPr>
          <w:rFonts w:ascii="Arial" w:hAnsi="Arial" w:cs="Arial"/>
        </w:rPr>
        <w:t xml:space="preserve">Project C delivers the highest NPV, the strongest profitability index, and an IRR substantially above the required rate of return, while remaining within the £60 million capital constraint. Crucially, it aligns with General Electronics’ need to restore profitability, strengthen liquidity, and manage risk during a period of financial vulnerability. Accordingly, </w:t>
      </w:r>
      <w:r w:rsidRPr="00922363">
        <w:rPr>
          <w:rStyle w:val="Strong"/>
          <w:rFonts w:ascii="Arial" w:hAnsi="Arial" w:cs="Arial"/>
          <w:b w:val="0"/>
          <w:bCs w:val="0"/>
        </w:rPr>
        <w:t>Project C is recommended as the most financially viable and strategically appropriate investment to support the firm’s turnaround strategy</w:t>
      </w:r>
      <w:r w:rsidRPr="00922363">
        <w:rPr>
          <w:rFonts w:ascii="Arial" w:hAnsi="Arial" w:cs="Arial"/>
          <w:b/>
          <w:bCs/>
        </w:rPr>
        <w:t>.</w:t>
      </w:r>
    </w:p>
    <w:p w14:paraId="146BD069" w14:textId="30E2C345" w:rsidR="00871311" w:rsidRPr="00922363" w:rsidRDefault="00922363" w:rsidP="00922363">
      <w:pPr>
        <w:pStyle w:val="Heading1"/>
      </w:pPr>
      <w:bookmarkStart w:id="40" w:name="_Toc216755984"/>
      <w:r>
        <w:t xml:space="preserve">5.0 </w:t>
      </w:r>
      <w:r w:rsidR="00871311" w:rsidRPr="00922363">
        <w:t>Conclusion</w:t>
      </w:r>
      <w:bookmarkEnd w:id="40"/>
      <w:r w:rsidR="00871311" w:rsidRPr="00922363">
        <w:t xml:space="preserve"> </w:t>
      </w:r>
    </w:p>
    <w:p w14:paraId="7FE9B441" w14:textId="25659536" w:rsidR="00871311" w:rsidRPr="00922363" w:rsidRDefault="00871311" w:rsidP="00922363">
      <w:pPr>
        <w:pStyle w:val="NormalWeb"/>
        <w:spacing w:line="360" w:lineRule="auto"/>
        <w:jc w:val="both"/>
        <w:rPr>
          <w:rFonts w:ascii="Arial" w:hAnsi="Arial" w:cs="Arial"/>
        </w:rPr>
      </w:pPr>
      <w:r w:rsidRPr="00922363">
        <w:rPr>
          <w:rFonts w:ascii="Arial" w:hAnsi="Arial" w:cs="Arial"/>
        </w:rPr>
        <w:t xml:space="preserve">This report has provided a comprehensive financial and strategic assessment of General Electronics over the 2020–2024 period. Ratio and cash flow analysis revealed a firm </w:t>
      </w:r>
      <w:r w:rsidRPr="00922363">
        <w:rPr>
          <w:rFonts w:ascii="Arial" w:hAnsi="Arial" w:cs="Arial"/>
        </w:rPr>
        <w:lastRenderedPageBreak/>
        <w:t xml:space="preserve">under increasing pressure, </w:t>
      </w:r>
      <w:proofErr w:type="spellStart"/>
      <w:r w:rsidRPr="00922363">
        <w:rPr>
          <w:rFonts w:ascii="Arial" w:hAnsi="Arial" w:cs="Arial"/>
        </w:rPr>
        <w:t>characterised</w:t>
      </w:r>
      <w:proofErr w:type="spellEnd"/>
      <w:r w:rsidRPr="00922363">
        <w:rPr>
          <w:rFonts w:ascii="Arial" w:hAnsi="Arial" w:cs="Arial"/>
        </w:rPr>
        <w:t xml:space="preserve"> by declining revenues, persistent operating losses, weakening liquidity, deteriorating interest coverage, and rising leverage driven by equity erosion. Although Altman Z-Score results indicate a low short-term probability of bankruptcy, continued losses pose a significant threat to long-term sustainability. Weak working capital efficiency further amplified liquidity risk during the downturn. In response, a structured financial restructuring plan and a rigorous capital budgeting evaluation were developed. Among the proposed investment options, </w:t>
      </w:r>
      <w:r w:rsidRPr="00922363">
        <w:rPr>
          <w:rStyle w:val="Strong"/>
          <w:rFonts w:ascii="Arial" w:hAnsi="Arial" w:cs="Arial"/>
        </w:rPr>
        <w:t>Project C</w:t>
      </w:r>
      <w:r w:rsidRPr="00922363">
        <w:rPr>
          <w:rFonts w:ascii="Arial" w:hAnsi="Arial" w:cs="Arial"/>
        </w:rPr>
        <w:t xml:space="preserve"> emerged as the most financially viable under capital rationing, offering superior value creation, stronger cash flow recovery, and a </w:t>
      </w:r>
      <w:proofErr w:type="spellStart"/>
      <w:r w:rsidRPr="00922363">
        <w:rPr>
          <w:rFonts w:ascii="Arial" w:hAnsi="Arial" w:cs="Arial"/>
        </w:rPr>
        <w:t>favourable</w:t>
      </w:r>
      <w:proofErr w:type="spellEnd"/>
      <w:r w:rsidRPr="00922363">
        <w:rPr>
          <w:rFonts w:ascii="Arial" w:hAnsi="Arial" w:cs="Arial"/>
        </w:rPr>
        <w:t xml:space="preserve"> risk–return profile. Overall, the analysis demonstrates that restoring profitability, improving liquidity discipline, and </w:t>
      </w:r>
      <w:proofErr w:type="spellStart"/>
      <w:r w:rsidRPr="00922363">
        <w:rPr>
          <w:rFonts w:ascii="Arial" w:hAnsi="Arial" w:cs="Arial"/>
        </w:rPr>
        <w:t>prioritising</w:t>
      </w:r>
      <w:proofErr w:type="spellEnd"/>
      <w:r w:rsidRPr="00922363">
        <w:rPr>
          <w:rFonts w:ascii="Arial" w:hAnsi="Arial" w:cs="Arial"/>
        </w:rPr>
        <w:t xml:space="preserve"> high-NPV investments are essential for </w:t>
      </w:r>
      <w:proofErr w:type="spellStart"/>
      <w:r w:rsidRPr="00922363">
        <w:rPr>
          <w:rFonts w:ascii="Arial" w:hAnsi="Arial" w:cs="Arial"/>
        </w:rPr>
        <w:t>stabilising</w:t>
      </w:r>
      <w:proofErr w:type="spellEnd"/>
      <w:r w:rsidRPr="00922363">
        <w:rPr>
          <w:rFonts w:ascii="Arial" w:hAnsi="Arial" w:cs="Arial"/>
        </w:rPr>
        <w:t xml:space="preserve"> General Electronics’ financial position and supporting a credible turnaround strategy in a challenging operating environment.</w:t>
      </w:r>
    </w:p>
    <w:p w14:paraId="73D07B5B" w14:textId="77777777" w:rsidR="00871311" w:rsidRPr="00922363" w:rsidRDefault="00871311" w:rsidP="00922363">
      <w:pPr>
        <w:pStyle w:val="NormalWeb"/>
        <w:spacing w:line="360" w:lineRule="auto"/>
        <w:jc w:val="both"/>
        <w:rPr>
          <w:rFonts w:ascii="Arial" w:hAnsi="Arial" w:cs="Arial"/>
          <w:b/>
          <w:bCs/>
        </w:rPr>
      </w:pPr>
    </w:p>
    <w:p w14:paraId="476DD932" w14:textId="77777777" w:rsidR="00871311" w:rsidRPr="00922363" w:rsidRDefault="00871311" w:rsidP="00922363">
      <w:pPr>
        <w:pStyle w:val="NormalWeb"/>
        <w:spacing w:line="360" w:lineRule="auto"/>
        <w:jc w:val="both"/>
        <w:rPr>
          <w:rFonts w:ascii="Arial" w:hAnsi="Arial" w:cs="Arial"/>
        </w:rPr>
      </w:pPr>
    </w:p>
    <w:p w14:paraId="1180F7B8" w14:textId="699FF399" w:rsidR="00EB1AD8" w:rsidRPr="00922363" w:rsidRDefault="00EB1AD8" w:rsidP="00922363">
      <w:pPr>
        <w:spacing w:line="360" w:lineRule="auto"/>
        <w:rPr>
          <w:rFonts w:ascii="Arial" w:hAnsi="Arial" w:cs="Arial"/>
        </w:rPr>
      </w:pPr>
    </w:p>
    <w:p w14:paraId="6B2FD96F" w14:textId="77777777" w:rsidR="00EB1AD8" w:rsidRPr="00922363" w:rsidRDefault="00EB1AD8" w:rsidP="00922363">
      <w:pPr>
        <w:spacing w:before="100" w:beforeAutospacing="1" w:after="100" w:afterAutospacing="1" w:line="360" w:lineRule="auto"/>
        <w:jc w:val="both"/>
        <w:rPr>
          <w:rFonts w:ascii="Arial" w:eastAsia="Times New Roman" w:hAnsi="Arial" w:cs="Arial"/>
          <w:sz w:val="24"/>
          <w:szCs w:val="24"/>
        </w:rPr>
      </w:pPr>
    </w:p>
    <w:p w14:paraId="65D369A7" w14:textId="3B2C5760" w:rsidR="00B8703A" w:rsidRPr="00922363" w:rsidRDefault="00B8703A" w:rsidP="00922363">
      <w:pPr>
        <w:spacing w:line="360" w:lineRule="auto"/>
        <w:rPr>
          <w:rFonts w:ascii="Arial" w:hAnsi="Arial" w:cs="Arial"/>
        </w:rPr>
      </w:pPr>
    </w:p>
    <w:p w14:paraId="08C31205" w14:textId="77777777" w:rsidR="00E024D9" w:rsidRDefault="00E024D9">
      <w:pPr>
        <w:rPr>
          <w:rFonts w:ascii="Arial" w:eastAsiaTheme="majorEastAsia" w:hAnsi="Arial" w:cstheme="majorBidi"/>
          <w:b/>
          <w:sz w:val="32"/>
          <w:szCs w:val="32"/>
        </w:rPr>
      </w:pPr>
      <w:bookmarkStart w:id="41" w:name="_Toc216755985"/>
      <w:r>
        <w:br w:type="page"/>
      </w:r>
    </w:p>
    <w:p w14:paraId="7A890EB8" w14:textId="54F9A886" w:rsidR="00B8703A" w:rsidRPr="00922363" w:rsidRDefault="00922363" w:rsidP="00432D56">
      <w:pPr>
        <w:pStyle w:val="Heading1"/>
      </w:pPr>
      <w:r>
        <w:lastRenderedPageBreak/>
        <w:t xml:space="preserve">6.0 </w:t>
      </w:r>
      <w:r w:rsidR="00B8703A" w:rsidRPr="00922363">
        <w:t>References</w:t>
      </w:r>
      <w:bookmarkEnd w:id="41"/>
      <w:r w:rsidR="00B8703A" w:rsidRPr="00922363">
        <w:t xml:space="preserve"> </w:t>
      </w:r>
    </w:p>
    <w:p w14:paraId="23CD315F"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Altman, E. I. (1968). Financial ratios, discriminant analysis and the prediction of corporate bankruptcy. </w:t>
      </w:r>
      <w:r w:rsidRPr="004D723F">
        <w:rPr>
          <w:rStyle w:val="Emphasis"/>
          <w:rFonts w:ascii="Arial" w:hAnsi="Arial" w:cs="Arial"/>
        </w:rPr>
        <w:t>Journal of Finance, 23</w:t>
      </w:r>
      <w:r w:rsidRPr="004D723F">
        <w:rPr>
          <w:rFonts w:ascii="Arial" w:hAnsi="Arial" w:cs="Arial"/>
        </w:rPr>
        <w:t>(4), 589–609.</w:t>
      </w:r>
    </w:p>
    <w:p w14:paraId="11EBD079" w14:textId="77777777" w:rsidR="004D723F" w:rsidRPr="004D723F" w:rsidRDefault="004D723F" w:rsidP="004D723F">
      <w:pPr>
        <w:pStyle w:val="NormalWeb"/>
        <w:spacing w:line="360" w:lineRule="auto"/>
        <w:ind w:left="720" w:hanging="720"/>
        <w:jc w:val="both"/>
        <w:rPr>
          <w:rFonts w:ascii="Arial" w:hAnsi="Arial" w:cs="Arial"/>
        </w:rPr>
      </w:pPr>
      <w:proofErr w:type="spellStart"/>
      <w:r w:rsidRPr="004D723F">
        <w:rPr>
          <w:rFonts w:ascii="Arial" w:hAnsi="Arial" w:cs="Arial"/>
        </w:rPr>
        <w:t>Atrill</w:t>
      </w:r>
      <w:proofErr w:type="spellEnd"/>
      <w:r w:rsidRPr="004D723F">
        <w:rPr>
          <w:rFonts w:ascii="Arial" w:hAnsi="Arial" w:cs="Arial"/>
        </w:rPr>
        <w:t xml:space="preserve">, P., &amp; McLaney, E. (2017). </w:t>
      </w:r>
      <w:r w:rsidRPr="004D723F">
        <w:rPr>
          <w:rStyle w:val="Emphasis"/>
          <w:rFonts w:ascii="Arial" w:hAnsi="Arial" w:cs="Arial"/>
        </w:rPr>
        <w:t>Accounting and finance for non-specialists</w:t>
      </w:r>
      <w:r w:rsidRPr="004D723F">
        <w:rPr>
          <w:rFonts w:ascii="Arial" w:hAnsi="Arial" w:cs="Arial"/>
        </w:rPr>
        <w:t xml:space="preserve"> (10th ed.). Pearson Education.</w:t>
      </w:r>
    </w:p>
    <w:p w14:paraId="1EA965F6"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Berk, J., &amp; </w:t>
      </w:r>
      <w:proofErr w:type="spellStart"/>
      <w:r w:rsidRPr="004D723F">
        <w:rPr>
          <w:rFonts w:ascii="Arial" w:hAnsi="Arial" w:cs="Arial"/>
        </w:rPr>
        <w:t>DeMarzo</w:t>
      </w:r>
      <w:proofErr w:type="spellEnd"/>
      <w:r w:rsidRPr="004D723F">
        <w:rPr>
          <w:rFonts w:ascii="Arial" w:hAnsi="Arial" w:cs="Arial"/>
        </w:rPr>
        <w:t xml:space="preserve">, P. (2020). </w:t>
      </w:r>
      <w:r w:rsidRPr="004D723F">
        <w:rPr>
          <w:rStyle w:val="Emphasis"/>
          <w:rFonts w:ascii="Arial" w:hAnsi="Arial" w:cs="Arial"/>
        </w:rPr>
        <w:t>Corporate finance</w:t>
      </w:r>
      <w:r w:rsidRPr="004D723F">
        <w:rPr>
          <w:rFonts w:ascii="Arial" w:hAnsi="Arial" w:cs="Arial"/>
        </w:rPr>
        <w:t xml:space="preserve"> (5th global ed.). Pearson Education.</w:t>
      </w:r>
    </w:p>
    <w:p w14:paraId="63B94417"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Brander, J., &amp; Lewis, T. (1986). Oligopoly and financial structure: The limited liability effect. </w:t>
      </w:r>
      <w:r w:rsidRPr="004D723F">
        <w:rPr>
          <w:rStyle w:val="Emphasis"/>
          <w:rFonts w:ascii="Arial" w:hAnsi="Arial" w:cs="Arial"/>
        </w:rPr>
        <w:t>American Economic Review, 76</w:t>
      </w:r>
      <w:r w:rsidRPr="004D723F">
        <w:rPr>
          <w:rFonts w:ascii="Arial" w:hAnsi="Arial" w:cs="Arial"/>
        </w:rPr>
        <w:t>(5), 956–970.</w:t>
      </w:r>
    </w:p>
    <w:p w14:paraId="55760943"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Brealey, R. A., Myers, S. C., &amp; Allen, F. (2020). </w:t>
      </w:r>
      <w:r w:rsidRPr="004D723F">
        <w:rPr>
          <w:rStyle w:val="Emphasis"/>
          <w:rFonts w:ascii="Arial" w:hAnsi="Arial" w:cs="Arial"/>
        </w:rPr>
        <w:t>Principles of corporate finance</w:t>
      </w:r>
      <w:r w:rsidRPr="004D723F">
        <w:rPr>
          <w:rFonts w:ascii="Arial" w:hAnsi="Arial" w:cs="Arial"/>
        </w:rPr>
        <w:t xml:space="preserve"> (13th ed.). McGraw-Hill Education.</w:t>
      </w:r>
    </w:p>
    <w:p w14:paraId="2C4E2030"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Damodaran, A. (2021). </w:t>
      </w:r>
      <w:r w:rsidRPr="004D723F">
        <w:rPr>
          <w:rStyle w:val="Emphasis"/>
          <w:rFonts w:ascii="Arial" w:hAnsi="Arial" w:cs="Arial"/>
        </w:rPr>
        <w:t>Investment valuation: Tools and techniques for determining the value of any asset</w:t>
      </w:r>
      <w:r w:rsidRPr="004D723F">
        <w:rPr>
          <w:rFonts w:ascii="Arial" w:hAnsi="Arial" w:cs="Arial"/>
        </w:rPr>
        <w:t xml:space="preserve"> (3rd ed.). Wiley.</w:t>
      </w:r>
    </w:p>
    <w:p w14:paraId="4C35AAE7" w14:textId="77777777" w:rsidR="004D723F" w:rsidRPr="004D723F" w:rsidRDefault="004D723F" w:rsidP="004D723F">
      <w:pPr>
        <w:pStyle w:val="NormalWeb"/>
        <w:spacing w:line="360" w:lineRule="auto"/>
        <w:ind w:left="720" w:hanging="720"/>
        <w:jc w:val="both"/>
        <w:rPr>
          <w:rFonts w:ascii="Arial" w:hAnsi="Arial" w:cs="Arial"/>
        </w:rPr>
      </w:pPr>
      <w:proofErr w:type="spellStart"/>
      <w:r w:rsidRPr="004D723F">
        <w:rPr>
          <w:rFonts w:ascii="Arial" w:hAnsi="Arial" w:cs="Arial"/>
        </w:rPr>
        <w:t>Deloof</w:t>
      </w:r>
      <w:proofErr w:type="spellEnd"/>
      <w:r w:rsidRPr="004D723F">
        <w:rPr>
          <w:rFonts w:ascii="Arial" w:hAnsi="Arial" w:cs="Arial"/>
        </w:rPr>
        <w:t xml:space="preserve">, M. (2003). Does working capital management affect profitability of Belgian firms. </w:t>
      </w:r>
      <w:r w:rsidRPr="004D723F">
        <w:rPr>
          <w:rStyle w:val="Emphasis"/>
          <w:rFonts w:ascii="Arial" w:hAnsi="Arial" w:cs="Arial"/>
        </w:rPr>
        <w:t>Journal of Business Finance and Accounting, 30</w:t>
      </w:r>
      <w:r w:rsidRPr="004D723F">
        <w:rPr>
          <w:rFonts w:ascii="Arial" w:hAnsi="Arial" w:cs="Arial"/>
        </w:rPr>
        <w:t>(3–4), 573–588.</w:t>
      </w:r>
    </w:p>
    <w:p w14:paraId="41EA351D"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Freeman, R. E., Harrison, J. S., Wicks, A. C., Parmar, B. L., &amp; De Colle, S. (2010). </w:t>
      </w:r>
      <w:r w:rsidRPr="004D723F">
        <w:rPr>
          <w:rStyle w:val="Emphasis"/>
          <w:rFonts w:ascii="Arial" w:hAnsi="Arial" w:cs="Arial"/>
        </w:rPr>
        <w:t>Stakeholder theory: The state of the art</w:t>
      </w:r>
      <w:r w:rsidRPr="004D723F">
        <w:rPr>
          <w:rFonts w:ascii="Arial" w:hAnsi="Arial" w:cs="Arial"/>
        </w:rPr>
        <w:t>. Cambridge University Press.</w:t>
      </w:r>
    </w:p>
    <w:p w14:paraId="5104612A" w14:textId="77777777" w:rsidR="004D723F" w:rsidRPr="004D723F" w:rsidRDefault="004D723F" w:rsidP="004D723F">
      <w:pPr>
        <w:pStyle w:val="NormalWeb"/>
        <w:spacing w:line="360" w:lineRule="auto"/>
        <w:ind w:left="720" w:hanging="720"/>
        <w:jc w:val="both"/>
        <w:rPr>
          <w:rFonts w:ascii="Arial" w:hAnsi="Arial" w:cs="Arial"/>
        </w:rPr>
      </w:pPr>
      <w:proofErr w:type="spellStart"/>
      <w:r w:rsidRPr="004D723F">
        <w:rPr>
          <w:rFonts w:ascii="Arial" w:hAnsi="Arial" w:cs="Arial"/>
        </w:rPr>
        <w:t>Gaughan</w:t>
      </w:r>
      <w:proofErr w:type="spellEnd"/>
      <w:r w:rsidRPr="004D723F">
        <w:rPr>
          <w:rFonts w:ascii="Arial" w:hAnsi="Arial" w:cs="Arial"/>
        </w:rPr>
        <w:t xml:space="preserve">, P. A. (2017). </w:t>
      </w:r>
      <w:r w:rsidRPr="004D723F">
        <w:rPr>
          <w:rStyle w:val="Emphasis"/>
          <w:rFonts w:ascii="Arial" w:hAnsi="Arial" w:cs="Arial"/>
        </w:rPr>
        <w:t>Mergers, acquisitions, and corporate restructurings</w:t>
      </w:r>
      <w:r w:rsidRPr="004D723F">
        <w:rPr>
          <w:rFonts w:ascii="Arial" w:hAnsi="Arial" w:cs="Arial"/>
        </w:rPr>
        <w:t xml:space="preserve"> (7th ed.). Wiley.</w:t>
      </w:r>
    </w:p>
    <w:p w14:paraId="30107AF9"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Gompers, P., Kaplan, S. N., &amp; </w:t>
      </w:r>
      <w:proofErr w:type="spellStart"/>
      <w:r w:rsidRPr="004D723F">
        <w:rPr>
          <w:rFonts w:ascii="Arial" w:hAnsi="Arial" w:cs="Arial"/>
        </w:rPr>
        <w:t>Mukharlyamov</w:t>
      </w:r>
      <w:proofErr w:type="spellEnd"/>
      <w:r w:rsidRPr="004D723F">
        <w:rPr>
          <w:rFonts w:ascii="Arial" w:hAnsi="Arial" w:cs="Arial"/>
        </w:rPr>
        <w:t xml:space="preserve">, V. (2010). What do firms do with cash windfalls? </w:t>
      </w:r>
      <w:r w:rsidRPr="004D723F">
        <w:rPr>
          <w:rStyle w:val="Emphasis"/>
          <w:rFonts w:ascii="Arial" w:hAnsi="Arial" w:cs="Arial"/>
        </w:rPr>
        <w:t>Journal of Financial Economics, 99</w:t>
      </w:r>
      <w:r w:rsidRPr="004D723F">
        <w:rPr>
          <w:rFonts w:ascii="Arial" w:hAnsi="Arial" w:cs="Arial"/>
        </w:rPr>
        <w:t>(3), 605–622.</w:t>
      </w:r>
    </w:p>
    <w:p w14:paraId="034A7FD2"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Higgins, R. C. (2012). </w:t>
      </w:r>
      <w:r w:rsidRPr="004D723F">
        <w:rPr>
          <w:rStyle w:val="Emphasis"/>
          <w:rFonts w:ascii="Arial" w:hAnsi="Arial" w:cs="Arial"/>
        </w:rPr>
        <w:t>Analysis for financial management</w:t>
      </w:r>
      <w:r w:rsidRPr="004D723F">
        <w:rPr>
          <w:rFonts w:ascii="Arial" w:hAnsi="Arial" w:cs="Arial"/>
        </w:rPr>
        <w:t xml:space="preserve"> (10th ed.). McGraw-Hill Education.</w:t>
      </w:r>
    </w:p>
    <w:p w14:paraId="5C165B34"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lastRenderedPageBreak/>
        <w:t xml:space="preserve">Jensen, M. C. (1986). Agency costs of free cash flow, corporate finance, and takeovers. </w:t>
      </w:r>
      <w:r w:rsidRPr="004D723F">
        <w:rPr>
          <w:rStyle w:val="Emphasis"/>
          <w:rFonts w:ascii="Arial" w:hAnsi="Arial" w:cs="Arial"/>
        </w:rPr>
        <w:t>American Economic Review, 76</w:t>
      </w:r>
      <w:r w:rsidRPr="004D723F">
        <w:rPr>
          <w:rFonts w:ascii="Arial" w:hAnsi="Arial" w:cs="Arial"/>
        </w:rPr>
        <w:t>(2), 323–329.</w:t>
      </w:r>
    </w:p>
    <w:p w14:paraId="60B5B168"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Kay, J. (2005). Culture and performance. </w:t>
      </w:r>
      <w:r w:rsidRPr="004D723F">
        <w:rPr>
          <w:rStyle w:val="Emphasis"/>
          <w:rFonts w:ascii="Arial" w:hAnsi="Arial" w:cs="Arial"/>
        </w:rPr>
        <w:t>Oxford Review of Economic Policy, 21</w:t>
      </w:r>
      <w:r w:rsidRPr="004D723F">
        <w:rPr>
          <w:rFonts w:ascii="Arial" w:hAnsi="Arial" w:cs="Arial"/>
        </w:rPr>
        <w:t>(2), 241–257.</w:t>
      </w:r>
    </w:p>
    <w:p w14:paraId="3563D99E"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Keown, A. J., Martin, J. D., &amp; Petty, J. W. (2024). </w:t>
      </w:r>
      <w:r w:rsidRPr="004D723F">
        <w:rPr>
          <w:rStyle w:val="Emphasis"/>
          <w:rFonts w:ascii="Arial" w:hAnsi="Arial" w:cs="Arial"/>
        </w:rPr>
        <w:t>Foundations of finance</w:t>
      </w:r>
      <w:r w:rsidRPr="004D723F">
        <w:rPr>
          <w:rFonts w:ascii="Arial" w:hAnsi="Arial" w:cs="Arial"/>
        </w:rPr>
        <w:t xml:space="preserve"> (10th global ed.). Pearson Education.</w:t>
      </w:r>
    </w:p>
    <w:p w14:paraId="52A05F62"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KPMG. (2021). </w:t>
      </w:r>
      <w:r w:rsidRPr="004D723F">
        <w:rPr>
          <w:rStyle w:val="Emphasis"/>
          <w:rFonts w:ascii="Arial" w:hAnsi="Arial" w:cs="Arial"/>
        </w:rPr>
        <w:t>Restructuring and turnaround 2021: Lessons from the market</w:t>
      </w:r>
      <w:r w:rsidRPr="004D723F">
        <w:rPr>
          <w:rFonts w:ascii="Arial" w:hAnsi="Arial" w:cs="Arial"/>
        </w:rPr>
        <w:t>. KPMG Insights.</w:t>
      </w:r>
    </w:p>
    <w:p w14:paraId="6D781C66"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McKinsey &amp; Company. (2023). </w:t>
      </w:r>
      <w:r w:rsidRPr="004D723F">
        <w:rPr>
          <w:rStyle w:val="Emphasis"/>
          <w:rFonts w:ascii="Arial" w:hAnsi="Arial" w:cs="Arial"/>
        </w:rPr>
        <w:t>Working capital excellence in manufacturing</w:t>
      </w:r>
      <w:r w:rsidRPr="004D723F">
        <w:rPr>
          <w:rFonts w:ascii="Arial" w:hAnsi="Arial" w:cs="Arial"/>
        </w:rPr>
        <w:t>. Industry report.</w:t>
      </w:r>
    </w:p>
    <w:p w14:paraId="33E6612D"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Modigliani, F., &amp; Miller, M. H. (1958). The cost of capital, corporation finance and the theory of investment. </w:t>
      </w:r>
      <w:r w:rsidRPr="004D723F">
        <w:rPr>
          <w:rStyle w:val="Emphasis"/>
          <w:rFonts w:ascii="Arial" w:hAnsi="Arial" w:cs="Arial"/>
        </w:rPr>
        <w:t>American Economic Review, 48</w:t>
      </w:r>
      <w:r w:rsidRPr="004D723F">
        <w:rPr>
          <w:rFonts w:ascii="Arial" w:hAnsi="Arial" w:cs="Arial"/>
        </w:rPr>
        <w:t>(3), 261–297.</w:t>
      </w:r>
    </w:p>
    <w:p w14:paraId="282AD962" w14:textId="77777777" w:rsidR="004D723F" w:rsidRPr="004D723F" w:rsidRDefault="004D723F" w:rsidP="004D723F">
      <w:pPr>
        <w:pStyle w:val="NormalWeb"/>
        <w:spacing w:line="360" w:lineRule="auto"/>
        <w:ind w:left="720" w:hanging="720"/>
        <w:jc w:val="both"/>
        <w:rPr>
          <w:rFonts w:ascii="Arial" w:hAnsi="Arial" w:cs="Arial"/>
        </w:rPr>
      </w:pPr>
      <w:proofErr w:type="spellStart"/>
      <w:r w:rsidRPr="004D723F">
        <w:rPr>
          <w:rFonts w:ascii="Arial" w:hAnsi="Arial" w:cs="Arial"/>
        </w:rPr>
        <w:t>Mulherin</w:t>
      </w:r>
      <w:proofErr w:type="spellEnd"/>
      <w:r w:rsidRPr="004D723F">
        <w:rPr>
          <w:rFonts w:ascii="Arial" w:hAnsi="Arial" w:cs="Arial"/>
        </w:rPr>
        <w:t xml:space="preserve">, J. H., &amp; Boone, A. L. (2000). Comparing acquisitions and divestitures. </w:t>
      </w:r>
      <w:r w:rsidRPr="004D723F">
        <w:rPr>
          <w:rStyle w:val="Emphasis"/>
          <w:rFonts w:ascii="Arial" w:hAnsi="Arial" w:cs="Arial"/>
        </w:rPr>
        <w:t>Journal of Corporate Finance, 6</w:t>
      </w:r>
      <w:r w:rsidRPr="004D723F">
        <w:rPr>
          <w:rFonts w:ascii="Arial" w:hAnsi="Arial" w:cs="Arial"/>
        </w:rPr>
        <w:t>(2), 117–139.</w:t>
      </w:r>
    </w:p>
    <w:p w14:paraId="0EE25CDF"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OECD. (2020). </w:t>
      </w:r>
      <w:r w:rsidRPr="004D723F">
        <w:rPr>
          <w:rStyle w:val="Emphasis"/>
          <w:rFonts w:ascii="Arial" w:hAnsi="Arial" w:cs="Arial"/>
        </w:rPr>
        <w:t>Corporate restructuring and insolvency: Policy options and best practices</w:t>
      </w:r>
      <w:r w:rsidRPr="004D723F">
        <w:rPr>
          <w:rFonts w:ascii="Arial" w:hAnsi="Arial" w:cs="Arial"/>
        </w:rPr>
        <w:t>. OECD Publishing.</w:t>
      </w:r>
    </w:p>
    <w:p w14:paraId="1D118971"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Peterson, P. P., &amp; </w:t>
      </w:r>
      <w:proofErr w:type="spellStart"/>
      <w:r w:rsidRPr="004D723F">
        <w:rPr>
          <w:rFonts w:ascii="Arial" w:hAnsi="Arial" w:cs="Arial"/>
        </w:rPr>
        <w:t>Fabozzi</w:t>
      </w:r>
      <w:proofErr w:type="spellEnd"/>
      <w:r w:rsidRPr="004D723F">
        <w:rPr>
          <w:rFonts w:ascii="Arial" w:hAnsi="Arial" w:cs="Arial"/>
        </w:rPr>
        <w:t xml:space="preserve">, F. J. (2019). </w:t>
      </w:r>
      <w:r w:rsidRPr="004D723F">
        <w:rPr>
          <w:rStyle w:val="Emphasis"/>
          <w:rFonts w:ascii="Arial" w:hAnsi="Arial" w:cs="Arial"/>
        </w:rPr>
        <w:t>Capital budgeting: Theory and practice</w:t>
      </w:r>
      <w:r w:rsidRPr="004D723F">
        <w:rPr>
          <w:rFonts w:ascii="Arial" w:hAnsi="Arial" w:cs="Arial"/>
        </w:rPr>
        <w:t xml:space="preserve"> (6th ed.). Wiley.</w:t>
      </w:r>
    </w:p>
    <w:p w14:paraId="44D270E5" w14:textId="77777777" w:rsidR="004D723F" w:rsidRPr="004D723F" w:rsidRDefault="004D723F" w:rsidP="004D723F">
      <w:pPr>
        <w:pStyle w:val="NormalWeb"/>
        <w:spacing w:line="360" w:lineRule="auto"/>
        <w:ind w:left="720" w:hanging="720"/>
        <w:jc w:val="both"/>
        <w:rPr>
          <w:rFonts w:ascii="Arial" w:hAnsi="Arial" w:cs="Arial"/>
        </w:rPr>
      </w:pPr>
      <w:r w:rsidRPr="004D723F">
        <w:rPr>
          <w:rFonts w:ascii="Arial" w:hAnsi="Arial" w:cs="Arial"/>
        </w:rPr>
        <w:t xml:space="preserve">Ross, S. A., </w:t>
      </w:r>
      <w:proofErr w:type="spellStart"/>
      <w:r w:rsidRPr="004D723F">
        <w:rPr>
          <w:rFonts w:ascii="Arial" w:hAnsi="Arial" w:cs="Arial"/>
        </w:rPr>
        <w:t>Westerfield</w:t>
      </w:r>
      <w:proofErr w:type="spellEnd"/>
      <w:r w:rsidRPr="004D723F">
        <w:rPr>
          <w:rFonts w:ascii="Arial" w:hAnsi="Arial" w:cs="Arial"/>
        </w:rPr>
        <w:t xml:space="preserve">, R., &amp; Jordan, B. D. (2022). </w:t>
      </w:r>
      <w:r w:rsidRPr="004D723F">
        <w:rPr>
          <w:rStyle w:val="Emphasis"/>
          <w:rFonts w:ascii="Arial" w:hAnsi="Arial" w:cs="Arial"/>
        </w:rPr>
        <w:t>Fundamentals of corporate finance</w:t>
      </w:r>
      <w:r w:rsidRPr="004D723F">
        <w:rPr>
          <w:rFonts w:ascii="Arial" w:hAnsi="Arial" w:cs="Arial"/>
        </w:rPr>
        <w:t xml:space="preserve"> (13th Global ed.). McGraw-Hill Education.</w:t>
      </w:r>
    </w:p>
    <w:p w14:paraId="5841C78C" w14:textId="77777777" w:rsidR="004D723F" w:rsidRPr="004D723F" w:rsidRDefault="004D723F" w:rsidP="004D723F">
      <w:pPr>
        <w:pStyle w:val="NormalWeb"/>
        <w:spacing w:line="360" w:lineRule="auto"/>
        <w:ind w:left="720" w:hanging="720"/>
        <w:jc w:val="both"/>
        <w:rPr>
          <w:rFonts w:ascii="Arial" w:hAnsi="Arial" w:cs="Arial"/>
        </w:rPr>
      </w:pPr>
      <w:proofErr w:type="spellStart"/>
      <w:r w:rsidRPr="004D723F">
        <w:rPr>
          <w:rFonts w:ascii="Arial" w:hAnsi="Arial" w:cs="Arial"/>
        </w:rPr>
        <w:t>Servaes</w:t>
      </w:r>
      <w:proofErr w:type="spellEnd"/>
      <w:r w:rsidRPr="004D723F">
        <w:rPr>
          <w:rFonts w:ascii="Arial" w:hAnsi="Arial" w:cs="Arial"/>
        </w:rPr>
        <w:t xml:space="preserve">, H. (1991). Tobin’s q and the gains from takeovers. </w:t>
      </w:r>
      <w:r w:rsidRPr="004D723F">
        <w:rPr>
          <w:rStyle w:val="Emphasis"/>
          <w:rFonts w:ascii="Arial" w:hAnsi="Arial" w:cs="Arial"/>
        </w:rPr>
        <w:t>Journal of Finance, 46</w:t>
      </w:r>
      <w:r w:rsidRPr="004D723F">
        <w:rPr>
          <w:rFonts w:ascii="Arial" w:hAnsi="Arial" w:cs="Arial"/>
        </w:rPr>
        <w:t>(1), 409–419.</w:t>
      </w:r>
    </w:p>
    <w:p w14:paraId="1720666C" w14:textId="7065FD46" w:rsidR="00212101" w:rsidRPr="00922363" w:rsidRDefault="004D723F" w:rsidP="004D723F">
      <w:pPr>
        <w:pStyle w:val="NormalWeb"/>
        <w:spacing w:line="360" w:lineRule="auto"/>
        <w:ind w:left="720" w:hanging="720"/>
        <w:jc w:val="both"/>
        <w:rPr>
          <w:rFonts w:ascii="Arial" w:hAnsi="Arial" w:cs="Arial"/>
        </w:rPr>
      </w:pPr>
      <w:proofErr w:type="spellStart"/>
      <w:r w:rsidRPr="004D723F">
        <w:rPr>
          <w:rFonts w:ascii="Arial" w:hAnsi="Arial" w:cs="Arial"/>
        </w:rPr>
        <w:t>Sudarsanam</w:t>
      </w:r>
      <w:proofErr w:type="spellEnd"/>
      <w:r w:rsidRPr="004D723F">
        <w:rPr>
          <w:rFonts w:ascii="Arial" w:hAnsi="Arial" w:cs="Arial"/>
        </w:rPr>
        <w:t xml:space="preserve">, S. (2003). </w:t>
      </w:r>
      <w:r w:rsidRPr="004D723F">
        <w:rPr>
          <w:rStyle w:val="Emphasis"/>
          <w:rFonts w:ascii="Arial" w:hAnsi="Arial" w:cs="Arial"/>
        </w:rPr>
        <w:t>Creating value from mergers and acquisitions: The challenges</w:t>
      </w:r>
      <w:r w:rsidRPr="004D723F">
        <w:rPr>
          <w:rFonts w:ascii="Arial" w:hAnsi="Arial" w:cs="Arial"/>
        </w:rPr>
        <w:t>. FT Prentice Hall.</w:t>
      </w:r>
    </w:p>
    <w:p w14:paraId="370C53A6" w14:textId="127B6873" w:rsidR="00E10B4D" w:rsidRPr="00922363" w:rsidRDefault="00922363" w:rsidP="00922363">
      <w:pPr>
        <w:pStyle w:val="Heading1"/>
        <w:rPr>
          <w:rFonts w:eastAsia="Times New Roman"/>
        </w:rPr>
      </w:pPr>
      <w:bookmarkStart w:id="42" w:name="_Toc216755986"/>
      <w:r>
        <w:rPr>
          <w:rFonts w:eastAsia="Times New Roman"/>
        </w:rPr>
        <w:lastRenderedPageBreak/>
        <w:t xml:space="preserve">7.0 </w:t>
      </w:r>
      <w:r w:rsidR="00E10B4D" w:rsidRPr="00922363">
        <w:rPr>
          <w:rFonts w:eastAsia="Times New Roman"/>
        </w:rPr>
        <w:t>Appendices</w:t>
      </w:r>
      <w:bookmarkEnd w:id="42"/>
    </w:p>
    <w:p w14:paraId="7EFB8129" w14:textId="79D337B0" w:rsidR="00484D13" w:rsidRPr="00484D13" w:rsidRDefault="00484D13" w:rsidP="00922363">
      <w:pPr>
        <w:pStyle w:val="Heading2"/>
      </w:pPr>
      <w:bookmarkStart w:id="43" w:name="_Toc216755987"/>
      <w:r w:rsidRPr="00484D13">
        <w:t>Appendix A: Detailed Ratio Calculations</w:t>
      </w:r>
      <w:bookmarkEnd w:id="43"/>
    </w:p>
    <w:p w14:paraId="11970A1E" w14:textId="77777777" w:rsidR="00484D13" w:rsidRPr="00484D13" w:rsidRDefault="00484D13" w:rsidP="00922363">
      <w:pPr>
        <w:spacing w:before="100" w:beforeAutospacing="1" w:after="100" w:afterAutospacing="1" w:line="360" w:lineRule="auto"/>
        <w:outlineLvl w:val="2"/>
        <w:rPr>
          <w:rFonts w:ascii="Arial" w:eastAsia="Times New Roman" w:hAnsi="Arial" w:cs="Arial"/>
          <w:b/>
          <w:bCs/>
          <w:sz w:val="27"/>
          <w:szCs w:val="27"/>
        </w:rPr>
      </w:pPr>
      <w:bookmarkStart w:id="44" w:name="_Toc216755988"/>
      <w:bookmarkStart w:id="45" w:name="_Hlk216756620"/>
      <w:r w:rsidRPr="00484D13">
        <w:rPr>
          <w:rFonts w:ascii="Arial" w:eastAsia="Times New Roman" w:hAnsi="Arial" w:cs="Arial"/>
          <w:b/>
          <w:bCs/>
          <w:sz w:val="27"/>
          <w:szCs w:val="27"/>
        </w:rPr>
        <w:t>Table A1: Profitability Ratios (2020–2024)</w:t>
      </w:r>
      <w:bookmarkEnd w:id="44"/>
    </w:p>
    <w:p w14:paraId="6A6BDD10" w14:textId="77777777" w:rsidR="00484D13" w:rsidRPr="00484D1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Gross profit margin = Gross profit / Net sales</w:t>
      </w:r>
      <w:r w:rsidRPr="00484D13">
        <w:rPr>
          <w:rFonts w:ascii="Arial" w:eastAsia="Times New Roman" w:hAnsi="Arial" w:cs="Arial"/>
          <w:sz w:val="24"/>
          <w:szCs w:val="24"/>
        </w:rPr>
        <w:br/>
        <w:t>Operating profit margin = Operating income / Net sales</w:t>
      </w:r>
      <w:r w:rsidRPr="00484D13">
        <w:rPr>
          <w:rFonts w:ascii="Arial" w:eastAsia="Times New Roman" w:hAnsi="Arial" w:cs="Arial"/>
          <w:sz w:val="24"/>
          <w:szCs w:val="24"/>
        </w:rPr>
        <w:br/>
        <w:t>Net profit margin = Net income / Net sales</w:t>
      </w:r>
      <w:r w:rsidRPr="00484D13">
        <w:rPr>
          <w:rFonts w:ascii="Arial" w:eastAsia="Times New Roman" w:hAnsi="Arial" w:cs="Arial"/>
          <w:sz w:val="24"/>
          <w:szCs w:val="24"/>
        </w:rPr>
        <w:br/>
        <w:t>Return on capital employed = EBIT / (Total assets – Current liabilities)</w:t>
      </w:r>
    </w:p>
    <w:p w14:paraId="470CA98C" w14:textId="59F07C08" w:rsidR="00484D13" w:rsidRPr="0092236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 xml:space="preserve">Five-year numerical calculations presented </w:t>
      </w:r>
      <w:r w:rsidR="00E10B4D" w:rsidRPr="00922363">
        <w:rPr>
          <w:rFonts w:ascii="Arial" w:eastAsia="Times New Roman" w:hAnsi="Arial" w:cs="Arial"/>
          <w:sz w:val="24"/>
          <w:szCs w:val="24"/>
        </w:rPr>
        <w:t>below</w:t>
      </w:r>
      <w:r w:rsidRPr="00484D13">
        <w:rPr>
          <w:rFonts w:ascii="Arial" w:eastAsia="Times New Roman" w:hAnsi="Arial" w:cs="Arial"/>
          <w:sz w:val="24"/>
          <w:szCs w:val="24"/>
        </w:rPr>
        <w:t xml:space="preserve"> for each ratio</w:t>
      </w:r>
      <w:r w:rsidR="00E10B4D" w:rsidRPr="00922363">
        <w:rPr>
          <w:rFonts w:ascii="Arial" w:eastAsia="Times New Roman" w:hAnsi="Arial" w:cs="Arial"/>
          <w:sz w:val="24"/>
          <w:szCs w:val="24"/>
        </w:rPr>
        <w:t xml:space="preserve">: </w:t>
      </w:r>
    </w:p>
    <w:tbl>
      <w:tblPr>
        <w:tblStyle w:val="TableGrid"/>
        <w:tblW w:w="0" w:type="auto"/>
        <w:tblLook w:val="04A0" w:firstRow="1" w:lastRow="0" w:firstColumn="1" w:lastColumn="0" w:noHBand="0" w:noVBand="1"/>
      </w:tblPr>
      <w:tblGrid>
        <w:gridCol w:w="1665"/>
        <w:gridCol w:w="2253"/>
        <w:gridCol w:w="1030"/>
        <w:gridCol w:w="1030"/>
        <w:gridCol w:w="1030"/>
        <w:gridCol w:w="1171"/>
        <w:gridCol w:w="1171"/>
      </w:tblGrid>
      <w:tr w:rsidR="00484D13" w:rsidRPr="00484D13" w14:paraId="0B94A4B1" w14:textId="77777777" w:rsidTr="00484D13">
        <w:tc>
          <w:tcPr>
            <w:tcW w:w="0" w:type="auto"/>
            <w:hideMark/>
          </w:tcPr>
          <w:p w14:paraId="2FFDC62D"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Ratio</w:t>
            </w:r>
          </w:p>
        </w:tc>
        <w:tc>
          <w:tcPr>
            <w:tcW w:w="0" w:type="auto"/>
            <w:hideMark/>
          </w:tcPr>
          <w:p w14:paraId="35A867FE"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Formula</w:t>
            </w:r>
          </w:p>
        </w:tc>
        <w:tc>
          <w:tcPr>
            <w:tcW w:w="0" w:type="auto"/>
            <w:hideMark/>
          </w:tcPr>
          <w:p w14:paraId="18AA453B"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2020</w:t>
            </w:r>
          </w:p>
        </w:tc>
        <w:tc>
          <w:tcPr>
            <w:tcW w:w="0" w:type="auto"/>
            <w:hideMark/>
          </w:tcPr>
          <w:p w14:paraId="572EA69F"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2021</w:t>
            </w:r>
          </w:p>
        </w:tc>
        <w:tc>
          <w:tcPr>
            <w:tcW w:w="0" w:type="auto"/>
            <w:hideMark/>
          </w:tcPr>
          <w:p w14:paraId="33BB18D3"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2022</w:t>
            </w:r>
          </w:p>
        </w:tc>
        <w:tc>
          <w:tcPr>
            <w:tcW w:w="0" w:type="auto"/>
            <w:hideMark/>
          </w:tcPr>
          <w:p w14:paraId="2BB4222E"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2023</w:t>
            </w:r>
          </w:p>
        </w:tc>
        <w:tc>
          <w:tcPr>
            <w:tcW w:w="0" w:type="auto"/>
            <w:hideMark/>
          </w:tcPr>
          <w:p w14:paraId="38901C26"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2024</w:t>
            </w:r>
          </w:p>
        </w:tc>
      </w:tr>
      <w:tr w:rsidR="00484D13" w:rsidRPr="00484D13" w14:paraId="77B71794" w14:textId="77777777" w:rsidTr="00484D13">
        <w:tc>
          <w:tcPr>
            <w:tcW w:w="0" w:type="auto"/>
            <w:hideMark/>
          </w:tcPr>
          <w:p w14:paraId="607EC755"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Gross Profit Margin</w:t>
            </w:r>
          </w:p>
        </w:tc>
        <w:tc>
          <w:tcPr>
            <w:tcW w:w="0" w:type="auto"/>
            <w:hideMark/>
          </w:tcPr>
          <w:p w14:paraId="7AB1E815"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Gross Profit / Net Sales</w:t>
            </w:r>
          </w:p>
        </w:tc>
        <w:tc>
          <w:tcPr>
            <w:tcW w:w="0" w:type="auto"/>
            <w:hideMark/>
          </w:tcPr>
          <w:p w14:paraId="16217687"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28.67%</w:t>
            </w:r>
          </w:p>
        </w:tc>
        <w:tc>
          <w:tcPr>
            <w:tcW w:w="0" w:type="auto"/>
            <w:hideMark/>
          </w:tcPr>
          <w:p w14:paraId="1CCCC720"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28.76%</w:t>
            </w:r>
          </w:p>
        </w:tc>
        <w:tc>
          <w:tcPr>
            <w:tcW w:w="0" w:type="auto"/>
            <w:hideMark/>
          </w:tcPr>
          <w:p w14:paraId="76FFE54C"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28.06%</w:t>
            </w:r>
          </w:p>
        </w:tc>
        <w:tc>
          <w:tcPr>
            <w:tcW w:w="0" w:type="auto"/>
            <w:hideMark/>
          </w:tcPr>
          <w:p w14:paraId="520C8A2C"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23.20%</w:t>
            </w:r>
          </w:p>
        </w:tc>
        <w:tc>
          <w:tcPr>
            <w:tcW w:w="0" w:type="auto"/>
            <w:hideMark/>
          </w:tcPr>
          <w:p w14:paraId="461D93AC"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28.87%</w:t>
            </w:r>
          </w:p>
        </w:tc>
      </w:tr>
      <w:tr w:rsidR="00484D13" w:rsidRPr="00484D13" w14:paraId="6102F1E8" w14:textId="77777777" w:rsidTr="00484D13">
        <w:tc>
          <w:tcPr>
            <w:tcW w:w="0" w:type="auto"/>
            <w:hideMark/>
          </w:tcPr>
          <w:p w14:paraId="461090C3"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Operating Profit Margin</w:t>
            </w:r>
          </w:p>
        </w:tc>
        <w:tc>
          <w:tcPr>
            <w:tcW w:w="0" w:type="auto"/>
            <w:hideMark/>
          </w:tcPr>
          <w:p w14:paraId="048E5665"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Operating Income / Net Sales</w:t>
            </w:r>
          </w:p>
        </w:tc>
        <w:tc>
          <w:tcPr>
            <w:tcW w:w="0" w:type="auto"/>
            <w:hideMark/>
          </w:tcPr>
          <w:p w14:paraId="63951417"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6.06%</w:t>
            </w:r>
          </w:p>
        </w:tc>
        <w:tc>
          <w:tcPr>
            <w:tcW w:w="0" w:type="auto"/>
            <w:hideMark/>
          </w:tcPr>
          <w:p w14:paraId="6930A76C"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3.87%</w:t>
            </w:r>
          </w:p>
        </w:tc>
        <w:tc>
          <w:tcPr>
            <w:tcW w:w="0" w:type="auto"/>
            <w:hideMark/>
          </w:tcPr>
          <w:p w14:paraId="0A93B7C0"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2.68%</w:t>
            </w:r>
          </w:p>
        </w:tc>
        <w:tc>
          <w:tcPr>
            <w:tcW w:w="0" w:type="auto"/>
            <w:hideMark/>
          </w:tcPr>
          <w:p w14:paraId="5FFCE83C"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−20.29%</w:t>
            </w:r>
          </w:p>
        </w:tc>
        <w:tc>
          <w:tcPr>
            <w:tcW w:w="0" w:type="auto"/>
            <w:hideMark/>
          </w:tcPr>
          <w:p w14:paraId="04663B70"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−3.87%</w:t>
            </w:r>
          </w:p>
        </w:tc>
      </w:tr>
      <w:tr w:rsidR="00484D13" w:rsidRPr="00484D13" w14:paraId="52DB33EB" w14:textId="77777777" w:rsidTr="00484D13">
        <w:tc>
          <w:tcPr>
            <w:tcW w:w="0" w:type="auto"/>
            <w:hideMark/>
          </w:tcPr>
          <w:p w14:paraId="4907304A"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Net Profit Margin</w:t>
            </w:r>
          </w:p>
        </w:tc>
        <w:tc>
          <w:tcPr>
            <w:tcW w:w="0" w:type="auto"/>
            <w:hideMark/>
          </w:tcPr>
          <w:p w14:paraId="33D46D03"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Net Income / Net Sales</w:t>
            </w:r>
          </w:p>
        </w:tc>
        <w:tc>
          <w:tcPr>
            <w:tcW w:w="0" w:type="auto"/>
            <w:hideMark/>
          </w:tcPr>
          <w:p w14:paraId="7766D5AB"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6.28%</w:t>
            </w:r>
          </w:p>
        </w:tc>
        <w:tc>
          <w:tcPr>
            <w:tcW w:w="0" w:type="auto"/>
            <w:hideMark/>
          </w:tcPr>
          <w:p w14:paraId="3F1FE932"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0.88%</w:t>
            </w:r>
          </w:p>
        </w:tc>
        <w:tc>
          <w:tcPr>
            <w:tcW w:w="0" w:type="auto"/>
            <w:hideMark/>
          </w:tcPr>
          <w:p w14:paraId="4642088B"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0.08%</w:t>
            </w:r>
          </w:p>
        </w:tc>
        <w:tc>
          <w:tcPr>
            <w:tcW w:w="0" w:type="auto"/>
            <w:hideMark/>
          </w:tcPr>
          <w:p w14:paraId="6E4E8D1E"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−23.36%</w:t>
            </w:r>
          </w:p>
        </w:tc>
        <w:tc>
          <w:tcPr>
            <w:tcW w:w="0" w:type="auto"/>
            <w:hideMark/>
          </w:tcPr>
          <w:p w14:paraId="5688A2D2"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−6.09%</w:t>
            </w:r>
          </w:p>
        </w:tc>
      </w:tr>
      <w:tr w:rsidR="00484D13" w:rsidRPr="00484D13" w14:paraId="36A0085B" w14:textId="77777777" w:rsidTr="00484D13">
        <w:tc>
          <w:tcPr>
            <w:tcW w:w="0" w:type="auto"/>
            <w:hideMark/>
          </w:tcPr>
          <w:p w14:paraId="3E63B236"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Return on Assets (ROA)</w:t>
            </w:r>
          </w:p>
        </w:tc>
        <w:tc>
          <w:tcPr>
            <w:tcW w:w="0" w:type="auto"/>
            <w:hideMark/>
          </w:tcPr>
          <w:p w14:paraId="11B8946B"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Net Income / Total Assets</w:t>
            </w:r>
          </w:p>
        </w:tc>
        <w:tc>
          <w:tcPr>
            <w:tcW w:w="0" w:type="auto"/>
            <w:hideMark/>
          </w:tcPr>
          <w:p w14:paraId="71227554"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7.56%</w:t>
            </w:r>
          </w:p>
        </w:tc>
        <w:tc>
          <w:tcPr>
            <w:tcW w:w="0" w:type="auto"/>
            <w:hideMark/>
          </w:tcPr>
          <w:p w14:paraId="51FC1B04"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1.04%</w:t>
            </w:r>
          </w:p>
        </w:tc>
        <w:tc>
          <w:tcPr>
            <w:tcW w:w="0" w:type="auto"/>
            <w:hideMark/>
          </w:tcPr>
          <w:p w14:paraId="4FA539E6"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0.08%</w:t>
            </w:r>
          </w:p>
        </w:tc>
        <w:tc>
          <w:tcPr>
            <w:tcW w:w="0" w:type="auto"/>
            <w:hideMark/>
          </w:tcPr>
          <w:p w14:paraId="10AB1768"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−27.60%</w:t>
            </w:r>
          </w:p>
        </w:tc>
        <w:tc>
          <w:tcPr>
            <w:tcW w:w="0" w:type="auto"/>
            <w:hideMark/>
          </w:tcPr>
          <w:p w14:paraId="0EADA502"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−7.43%</w:t>
            </w:r>
          </w:p>
        </w:tc>
      </w:tr>
      <w:tr w:rsidR="00484D13" w:rsidRPr="00484D13" w14:paraId="4B607566" w14:textId="77777777" w:rsidTr="00484D13">
        <w:tc>
          <w:tcPr>
            <w:tcW w:w="0" w:type="auto"/>
            <w:hideMark/>
          </w:tcPr>
          <w:p w14:paraId="346D619A"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Return on Equity (ROE)</w:t>
            </w:r>
          </w:p>
        </w:tc>
        <w:tc>
          <w:tcPr>
            <w:tcW w:w="0" w:type="auto"/>
            <w:hideMark/>
          </w:tcPr>
          <w:p w14:paraId="634622EA"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Net Income / Shareholders’ Equity</w:t>
            </w:r>
          </w:p>
        </w:tc>
        <w:tc>
          <w:tcPr>
            <w:tcW w:w="0" w:type="auto"/>
            <w:hideMark/>
          </w:tcPr>
          <w:p w14:paraId="14B66046"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12.31%</w:t>
            </w:r>
          </w:p>
        </w:tc>
        <w:tc>
          <w:tcPr>
            <w:tcW w:w="0" w:type="auto"/>
            <w:hideMark/>
          </w:tcPr>
          <w:p w14:paraId="33981B2C"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1.92%</w:t>
            </w:r>
          </w:p>
        </w:tc>
        <w:tc>
          <w:tcPr>
            <w:tcW w:w="0" w:type="auto"/>
            <w:hideMark/>
          </w:tcPr>
          <w:p w14:paraId="6D57343C"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0.15%</w:t>
            </w:r>
          </w:p>
        </w:tc>
        <w:tc>
          <w:tcPr>
            <w:tcW w:w="0" w:type="auto"/>
            <w:hideMark/>
          </w:tcPr>
          <w:p w14:paraId="457BC60D"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−54.91%</w:t>
            </w:r>
          </w:p>
        </w:tc>
        <w:tc>
          <w:tcPr>
            <w:tcW w:w="0" w:type="auto"/>
            <w:hideMark/>
          </w:tcPr>
          <w:p w14:paraId="3869BC10"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−15.69%</w:t>
            </w:r>
          </w:p>
        </w:tc>
      </w:tr>
    </w:tbl>
    <w:p w14:paraId="11AB6499" w14:textId="1A32695E" w:rsidR="008C7CCC" w:rsidRPr="008C7CCC" w:rsidRDefault="008C7CCC" w:rsidP="008C7CCC">
      <w:pPr>
        <w:spacing w:before="100" w:beforeAutospacing="1" w:after="100" w:afterAutospacing="1" w:line="360" w:lineRule="auto"/>
        <w:jc w:val="center"/>
        <w:outlineLvl w:val="2"/>
        <w:rPr>
          <w:rFonts w:ascii="Arial" w:eastAsia="Times New Roman" w:hAnsi="Arial" w:cs="Arial"/>
          <w:b/>
          <w:bCs/>
          <w:sz w:val="20"/>
          <w:szCs w:val="20"/>
        </w:rPr>
      </w:pPr>
      <w:bookmarkStart w:id="46" w:name="_Toc216755989"/>
      <w:r w:rsidRPr="008C7CCC">
        <w:rPr>
          <w:rFonts w:ascii="Arial" w:eastAsia="Times New Roman" w:hAnsi="Arial" w:cs="Arial"/>
          <w:b/>
          <w:bCs/>
          <w:sz w:val="20"/>
          <w:szCs w:val="20"/>
        </w:rPr>
        <w:t xml:space="preserve">Table </w:t>
      </w:r>
      <w:r>
        <w:rPr>
          <w:rFonts w:ascii="Arial" w:eastAsia="Times New Roman" w:hAnsi="Arial" w:cs="Arial"/>
          <w:b/>
          <w:bCs/>
          <w:sz w:val="20"/>
          <w:szCs w:val="20"/>
        </w:rPr>
        <w:t>1</w:t>
      </w:r>
      <w:r w:rsidRPr="008C7CCC">
        <w:rPr>
          <w:rFonts w:ascii="Arial" w:eastAsia="Times New Roman" w:hAnsi="Arial" w:cs="Arial"/>
          <w:b/>
          <w:bCs/>
          <w:sz w:val="20"/>
          <w:szCs w:val="20"/>
        </w:rPr>
        <w:t xml:space="preserve">: </w:t>
      </w:r>
      <w:r w:rsidRPr="00484D13">
        <w:rPr>
          <w:rFonts w:ascii="Arial" w:eastAsia="Times New Roman" w:hAnsi="Arial" w:cs="Arial"/>
          <w:b/>
          <w:bCs/>
          <w:sz w:val="20"/>
          <w:szCs w:val="20"/>
        </w:rPr>
        <w:t>Profitability Ratio</w:t>
      </w:r>
      <w:r w:rsidRPr="008C7CCC">
        <w:rPr>
          <w:rFonts w:ascii="Arial" w:eastAsia="Times New Roman" w:hAnsi="Arial" w:cs="Arial"/>
          <w:b/>
          <w:bCs/>
          <w:sz w:val="20"/>
          <w:szCs w:val="20"/>
        </w:rPr>
        <w:t xml:space="preserve"> (Self-Prepared)</w:t>
      </w:r>
    </w:p>
    <w:p w14:paraId="4412C038" w14:textId="3FFCB881" w:rsidR="008C7CCC" w:rsidRDefault="008C7CCC" w:rsidP="008C7CCC">
      <w:pPr>
        <w:spacing w:before="100" w:beforeAutospacing="1" w:after="100" w:afterAutospacing="1" w:line="360" w:lineRule="auto"/>
        <w:jc w:val="center"/>
        <w:outlineLvl w:val="2"/>
        <w:rPr>
          <w:rFonts w:ascii="Arial" w:eastAsia="Times New Roman" w:hAnsi="Arial" w:cs="Arial"/>
          <w:b/>
          <w:bCs/>
          <w:sz w:val="27"/>
          <w:szCs w:val="27"/>
        </w:rPr>
      </w:pPr>
      <w:r>
        <w:rPr>
          <w:noProof/>
        </w:rPr>
        <w:lastRenderedPageBreak/>
        <w:drawing>
          <wp:inline distT="0" distB="0" distL="0" distR="0" wp14:anchorId="047E163A" wp14:editId="74275C8D">
            <wp:extent cx="5248275" cy="2590800"/>
            <wp:effectExtent l="0" t="0" r="9525" b="0"/>
            <wp:docPr id="7" name="Chart 7">
              <a:extLst xmlns:a="http://schemas.openxmlformats.org/drawingml/2006/main">
                <a:ext uri="{FF2B5EF4-FFF2-40B4-BE49-F238E27FC236}">
                  <a16:creationId xmlns:a16="http://schemas.microsoft.com/office/drawing/2014/main" id="{5697AAA0-E76B-4074-8ECF-DE3864346A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3F0A4C" w14:textId="4758407E" w:rsidR="008C7CCC" w:rsidRPr="008C7CCC" w:rsidRDefault="008C7CCC" w:rsidP="008C7CCC">
      <w:pPr>
        <w:spacing w:before="100" w:beforeAutospacing="1" w:after="100" w:afterAutospacing="1" w:line="360" w:lineRule="auto"/>
        <w:jc w:val="center"/>
        <w:outlineLvl w:val="2"/>
        <w:rPr>
          <w:rFonts w:ascii="Arial" w:eastAsia="Times New Roman" w:hAnsi="Arial" w:cs="Arial"/>
          <w:b/>
          <w:bCs/>
          <w:sz w:val="20"/>
          <w:szCs w:val="20"/>
        </w:rPr>
      </w:pPr>
      <w:r w:rsidRPr="008C7CCC">
        <w:rPr>
          <w:rFonts w:ascii="Arial" w:eastAsia="Times New Roman" w:hAnsi="Arial" w:cs="Arial"/>
          <w:b/>
          <w:bCs/>
          <w:sz w:val="20"/>
          <w:szCs w:val="20"/>
        </w:rPr>
        <w:t xml:space="preserve">Figure 1: </w:t>
      </w:r>
      <w:r w:rsidRPr="00484D13">
        <w:rPr>
          <w:rFonts w:ascii="Arial" w:eastAsia="Times New Roman" w:hAnsi="Arial" w:cs="Arial"/>
          <w:b/>
          <w:bCs/>
          <w:sz w:val="20"/>
          <w:szCs w:val="20"/>
        </w:rPr>
        <w:t>Profitability Ratio</w:t>
      </w:r>
      <w:r w:rsidRPr="008C7CCC">
        <w:rPr>
          <w:rFonts w:ascii="Arial" w:eastAsia="Times New Roman" w:hAnsi="Arial" w:cs="Arial"/>
          <w:b/>
          <w:bCs/>
          <w:sz w:val="20"/>
          <w:szCs w:val="20"/>
        </w:rPr>
        <w:t xml:space="preserve"> Comparison (Self-Prepared)</w:t>
      </w:r>
    </w:p>
    <w:p w14:paraId="4BD12791" w14:textId="773EECE3" w:rsidR="00484D13" w:rsidRPr="00484D13" w:rsidRDefault="00484D13" w:rsidP="00922363">
      <w:pPr>
        <w:spacing w:before="100" w:beforeAutospacing="1" w:after="100" w:afterAutospacing="1" w:line="360" w:lineRule="auto"/>
        <w:outlineLvl w:val="2"/>
        <w:rPr>
          <w:rFonts w:ascii="Arial" w:eastAsia="Times New Roman" w:hAnsi="Arial" w:cs="Arial"/>
          <w:b/>
          <w:bCs/>
          <w:sz w:val="27"/>
          <w:szCs w:val="27"/>
        </w:rPr>
      </w:pPr>
      <w:r w:rsidRPr="00484D13">
        <w:rPr>
          <w:rFonts w:ascii="Arial" w:eastAsia="Times New Roman" w:hAnsi="Arial" w:cs="Arial"/>
          <w:b/>
          <w:bCs/>
          <w:sz w:val="27"/>
          <w:szCs w:val="27"/>
        </w:rPr>
        <w:t>Table A2: Liquidity Ratios (2020–2024)</w:t>
      </w:r>
      <w:bookmarkEnd w:id="46"/>
    </w:p>
    <w:p w14:paraId="31E7B8FF" w14:textId="77777777" w:rsidR="00484D13" w:rsidRPr="00484D1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Current ratio = Current assets / Current liabilities</w:t>
      </w:r>
      <w:r w:rsidRPr="00484D13">
        <w:rPr>
          <w:rFonts w:ascii="Arial" w:eastAsia="Times New Roman" w:hAnsi="Arial" w:cs="Arial"/>
          <w:sz w:val="24"/>
          <w:szCs w:val="24"/>
        </w:rPr>
        <w:br/>
        <w:t>Quick ratio = (Current assets – Inventories) / Current liabilities</w:t>
      </w:r>
      <w:r w:rsidRPr="00484D13">
        <w:rPr>
          <w:rFonts w:ascii="Arial" w:eastAsia="Times New Roman" w:hAnsi="Arial" w:cs="Arial"/>
          <w:sz w:val="24"/>
          <w:szCs w:val="24"/>
        </w:rPr>
        <w:br/>
        <w:t>Cash ratio = Cash and cash equivalents / Current liabilities</w:t>
      </w:r>
    </w:p>
    <w:p w14:paraId="21B0E7E1" w14:textId="3C26F8F9" w:rsidR="00484D13" w:rsidRPr="0092236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 xml:space="preserve">Five-year numerical calculations presented </w:t>
      </w:r>
      <w:r w:rsidRPr="00922363">
        <w:rPr>
          <w:rFonts w:ascii="Arial" w:eastAsia="Times New Roman" w:hAnsi="Arial" w:cs="Arial"/>
          <w:sz w:val="24"/>
          <w:szCs w:val="24"/>
        </w:rPr>
        <w:t xml:space="preserve">below: </w:t>
      </w:r>
    </w:p>
    <w:tbl>
      <w:tblPr>
        <w:tblStyle w:val="TableGrid"/>
        <w:tblW w:w="0" w:type="auto"/>
        <w:tblLook w:val="04A0" w:firstRow="1" w:lastRow="0" w:firstColumn="1" w:lastColumn="0" w:noHBand="0" w:noVBand="1"/>
      </w:tblPr>
      <w:tblGrid>
        <w:gridCol w:w="1458"/>
        <w:gridCol w:w="4142"/>
        <w:gridCol w:w="750"/>
        <w:gridCol w:w="750"/>
        <w:gridCol w:w="750"/>
        <w:gridCol w:w="750"/>
        <w:gridCol w:w="750"/>
      </w:tblGrid>
      <w:tr w:rsidR="00484D13" w:rsidRPr="00484D13" w14:paraId="0E0BD6DC" w14:textId="77777777" w:rsidTr="00484D13">
        <w:tc>
          <w:tcPr>
            <w:tcW w:w="0" w:type="auto"/>
            <w:hideMark/>
          </w:tcPr>
          <w:p w14:paraId="5578516B"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Ratio</w:t>
            </w:r>
          </w:p>
        </w:tc>
        <w:tc>
          <w:tcPr>
            <w:tcW w:w="0" w:type="auto"/>
            <w:hideMark/>
          </w:tcPr>
          <w:p w14:paraId="03D861FF"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Formula</w:t>
            </w:r>
          </w:p>
        </w:tc>
        <w:tc>
          <w:tcPr>
            <w:tcW w:w="0" w:type="auto"/>
            <w:hideMark/>
          </w:tcPr>
          <w:p w14:paraId="1F342B3C"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2020</w:t>
            </w:r>
          </w:p>
        </w:tc>
        <w:tc>
          <w:tcPr>
            <w:tcW w:w="0" w:type="auto"/>
            <w:hideMark/>
          </w:tcPr>
          <w:p w14:paraId="2F6B6E18"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2021</w:t>
            </w:r>
          </w:p>
        </w:tc>
        <w:tc>
          <w:tcPr>
            <w:tcW w:w="0" w:type="auto"/>
            <w:hideMark/>
          </w:tcPr>
          <w:p w14:paraId="476B6BA1"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2022</w:t>
            </w:r>
          </w:p>
        </w:tc>
        <w:tc>
          <w:tcPr>
            <w:tcW w:w="0" w:type="auto"/>
            <w:hideMark/>
          </w:tcPr>
          <w:p w14:paraId="7F0CE251"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2023</w:t>
            </w:r>
          </w:p>
        </w:tc>
        <w:tc>
          <w:tcPr>
            <w:tcW w:w="0" w:type="auto"/>
            <w:hideMark/>
          </w:tcPr>
          <w:p w14:paraId="2C532DAB"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2024</w:t>
            </w:r>
          </w:p>
        </w:tc>
      </w:tr>
      <w:tr w:rsidR="00484D13" w:rsidRPr="00484D13" w14:paraId="1A44F188" w14:textId="77777777" w:rsidTr="00484D13">
        <w:tc>
          <w:tcPr>
            <w:tcW w:w="0" w:type="auto"/>
            <w:hideMark/>
          </w:tcPr>
          <w:p w14:paraId="773E7250"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Current Ratio</w:t>
            </w:r>
          </w:p>
        </w:tc>
        <w:tc>
          <w:tcPr>
            <w:tcW w:w="0" w:type="auto"/>
            <w:hideMark/>
          </w:tcPr>
          <w:p w14:paraId="31B45057"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Current Assets / Current Liabilities</w:t>
            </w:r>
          </w:p>
        </w:tc>
        <w:tc>
          <w:tcPr>
            <w:tcW w:w="0" w:type="auto"/>
            <w:hideMark/>
          </w:tcPr>
          <w:p w14:paraId="6D7AD505"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1.82</w:t>
            </w:r>
          </w:p>
        </w:tc>
        <w:tc>
          <w:tcPr>
            <w:tcW w:w="0" w:type="auto"/>
            <w:hideMark/>
          </w:tcPr>
          <w:p w14:paraId="1C4B2298"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1.56</w:t>
            </w:r>
          </w:p>
        </w:tc>
        <w:tc>
          <w:tcPr>
            <w:tcW w:w="0" w:type="auto"/>
            <w:hideMark/>
          </w:tcPr>
          <w:p w14:paraId="097AEBC7"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1.56</w:t>
            </w:r>
          </w:p>
        </w:tc>
        <w:tc>
          <w:tcPr>
            <w:tcW w:w="0" w:type="auto"/>
            <w:hideMark/>
          </w:tcPr>
          <w:p w14:paraId="4BB3DA81"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1.61</w:t>
            </w:r>
          </w:p>
        </w:tc>
        <w:tc>
          <w:tcPr>
            <w:tcW w:w="0" w:type="auto"/>
            <w:hideMark/>
          </w:tcPr>
          <w:p w14:paraId="4DD25CF5"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1.53</w:t>
            </w:r>
          </w:p>
        </w:tc>
      </w:tr>
      <w:tr w:rsidR="00484D13" w:rsidRPr="00484D13" w14:paraId="59107CCB" w14:textId="77777777" w:rsidTr="00484D13">
        <w:tc>
          <w:tcPr>
            <w:tcW w:w="0" w:type="auto"/>
            <w:hideMark/>
          </w:tcPr>
          <w:p w14:paraId="61F2AFAB"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Quick Ratio</w:t>
            </w:r>
          </w:p>
        </w:tc>
        <w:tc>
          <w:tcPr>
            <w:tcW w:w="0" w:type="auto"/>
            <w:hideMark/>
          </w:tcPr>
          <w:p w14:paraId="364A14FA"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(Current Assets − Inventory) / Current Liabilities</w:t>
            </w:r>
          </w:p>
        </w:tc>
        <w:tc>
          <w:tcPr>
            <w:tcW w:w="0" w:type="auto"/>
            <w:hideMark/>
          </w:tcPr>
          <w:p w14:paraId="53139D33"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1.15</w:t>
            </w:r>
          </w:p>
        </w:tc>
        <w:tc>
          <w:tcPr>
            <w:tcW w:w="0" w:type="auto"/>
            <w:hideMark/>
          </w:tcPr>
          <w:p w14:paraId="32829A53"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0.93</w:t>
            </w:r>
          </w:p>
        </w:tc>
        <w:tc>
          <w:tcPr>
            <w:tcW w:w="0" w:type="auto"/>
            <w:hideMark/>
          </w:tcPr>
          <w:p w14:paraId="5767321A"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0.91</w:t>
            </w:r>
          </w:p>
        </w:tc>
        <w:tc>
          <w:tcPr>
            <w:tcW w:w="0" w:type="auto"/>
            <w:hideMark/>
          </w:tcPr>
          <w:p w14:paraId="2CF9E205"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1.06</w:t>
            </w:r>
          </w:p>
        </w:tc>
        <w:tc>
          <w:tcPr>
            <w:tcW w:w="0" w:type="auto"/>
            <w:hideMark/>
          </w:tcPr>
          <w:p w14:paraId="096093BD"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1.03</w:t>
            </w:r>
          </w:p>
        </w:tc>
      </w:tr>
      <w:tr w:rsidR="00484D13" w:rsidRPr="00484D13" w14:paraId="5F778B2E" w14:textId="77777777" w:rsidTr="00484D13">
        <w:tc>
          <w:tcPr>
            <w:tcW w:w="0" w:type="auto"/>
            <w:hideMark/>
          </w:tcPr>
          <w:p w14:paraId="68906E5B"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Cash Ratio</w:t>
            </w:r>
          </w:p>
        </w:tc>
        <w:tc>
          <w:tcPr>
            <w:tcW w:w="0" w:type="auto"/>
            <w:hideMark/>
          </w:tcPr>
          <w:p w14:paraId="07E68782"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Cash and Cash Equivalents / Current Liabilities</w:t>
            </w:r>
          </w:p>
        </w:tc>
        <w:tc>
          <w:tcPr>
            <w:tcW w:w="0" w:type="auto"/>
            <w:hideMark/>
          </w:tcPr>
          <w:p w14:paraId="31E92FAA"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0.32</w:t>
            </w:r>
          </w:p>
        </w:tc>
        <w:tc>
          <w:tcPr>
            <w:tcW w:w="0" w:type="auto"/>
            <w:hideMark/>
          </w:tcPr>
          <w:p w14:paraId="59D65164"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0.28</w:t>
            </w:r>
          </w:p>
        </w:tc>
        <w:tc>
          <w:tcPr>
            <w:tcW w:w="0" w:type="auto"/>
            <w:hideMark/>
          </w:tcPr>
          <w:p w14:paraId="0DFD51DB"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0.31</w:t>
            </w:r>
          </w:p>
        </w:tc>
        <w:tc>
          <w:tcPr>
            <w:tcW w:w="0" w:type="auto"/>
            <w:hideMark/>
          </w:tcPr>
          <w:p w14:paraId="4A3A00F2"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0.27</w:t>
            </w:r>
          </w:p>
        </w:tc>
        <w:tc>
          <w:tcPr>
            <w:tcW w:w="0" w:type="auto"/>
            <w:hideMark/>
          </w:tcPr>
          <w:p w14:paraId="2E431B35"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0.17</w:t>
            </w:r>
          </w:p>
        </w:tc>
      </w:tr>
    </w:tbl>
    <w:p w14:paraId="16E4100F" w14:textId="18DF807A" w:rsidR="008C7CCC" w:rsidRPr="008C7CCC" w:rsidRDefault="008C7CCC" w:rsidP="008C7CCC">
      <w:pPr>
        <w:spacing w:before="100" w:beforeAutospacing="1" w:after="100" w:afterAutospacing="1" w:line="360" w:lineRule="auto"/>
        <w:jc w:val="center"/>
        <w:outlineLvl w:val="2"/>
        <w:rPr>
          <w:rFonts w:ascii="Arial" w:eastAsia="Times New Roman" w:hAnsi="Arial" w:cs="Arial"/>
          <w:b/>
          <w:bCs/>
        </w:rPr>
      </w:pPr>
      <w:bookmarkStart w:id="47" w:name="_Toc216755990"/>
      <w:r w:rsidRPr="008C7CCC">
        <w:rPr>
          <w:noProof/>
        </w:rPr>
        <w:lastRenderedPageBreak/>
        <w:drawing>
          <wp:anchor distT="0" distB="0" distL="114300" distR="114300" simplePos="0" relativeHeight="251658240" behindDoc="1" locked="0" layoutInCell="1" allowOverlap="1" wp14:anchorId="4616561F" wp14:editId="12DEC6D1">
            <wp:simplePos x="0" y="0"/>
            <wp:positionH relativeFrom="column">
              <wp:posOffset>876300</wp:posOffset>
            </wp:positionH>
            <wp:positionV relativeFrom="paragraph">
              <wp:posOffset>623570</wp:posOffset>
            </wp:positionV>
            <wp:extent cx="4191000" cy="2524125"/>
            <wp:effectExtent l="0" t="0" r="0" b="9525"/>
            <wp:wrapTight wrapText="bothSides">
              <wp:wrapPolygon edited="0">
                <wp:start x="0" y="0"/>
                <wp:lineTo x="0" y="21518"/>
                <wp:lineTo x="21502" y="21518"/>
                <wp:lineTo x="21502" y="0"/>
                <wp:lineTo x="0" y="0"/>
              </wp:wrapPolygon>
            </wp:wrapTight>
            <wp:docPr id="6" name="Chart 6">
              <a:extLst xmlns:a="http://schemas.openxmlformats.org/drawingml/2006/main">
                <a:ext uri="{FF2B5EF4-FFF2-40B4-BE49-F238E27FC236}">
                  <a16:creationId xmlns:a16="http://schemas.microsoft.com/office/drawing/2014/main" id="{10CD6EE9-F001-4383-A83A-373ED77315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V relativeFrom="margin">
              <wp14:pctHeight>0</wp14:pctHeight>
            </wp14:sizeRelV>
          </wp:anchor>
        </w:drawing>
      </w:r>
      <w:r w:rsidRPr="008C7CCC">
        <w:rPr>
          <w:rFonts w:ascii="Arial" w:eastAsia="Times New Roman" w:hAnsi="Arial" w:cs="Arial"/>
          <w:b/>
          <w:bCs/>
        </w:rPr>
        <w:t xml:space="preserve">Table 2: </w:t>
      </w:r>
      <w:r w:rsidRPr="00484D13">
        <w:rPr>
          <w:rFonts w:ascii="Arial" w:eastAsia="Times New Roman" w:hAnsi="Arial" w:cs="Arial"/>
          <w:b/>
          <w:bCs/>
        </w:rPr>
        <w:t>Liquidity Ratio</w:t>
      </w:r>
      <w:r w:rsidRPr="008C7CCC">
        <w:rPr>
          <w:rFonts w:ascii="Arial" w:eastAsia="Times New Roman" w:hAnsi="Arial" w:cs="Arial"/>
          <w:b/>
          <w:bCs/>
        </w:rPr>
        <w:t xml:space="preserve"> (Self-Prepared)</w:t>
      </w:r>
    </w:p>
    <w:p w14:paraId="58B076BE" w14:textId="77777777" w:rsidR="008C7CCC" w:rsidRDefault="008C7CCC" w:rsidP="008C7CCC">
      <w:pPr>
        <w:spacing w:before="100" w:beforeAutospacing="1" w:after="100" w:afterAutospacing="1" w:line="360" w:lineRule="auto"/>
        <w:jc w:val="center"/>
        <w:outlineLvl w:val="2"/>
        <w:rPr>
          <w:rFonts w:ascii="Arial" w:eastAsia="Times New Roman" w:hAnsi="Arial" w:cs="Arial"/>
          <w:b/>
          <w:bCs/>
        </w:rPr>
      </w:pPr>
    </w:p>
    <w:p w14:paraId="129F3693" w14:textId="77777777" w:rsidR="008C7CCC" w:rsidRDefault="008C7CCC" w:rsidP="008C7CCC">
      <w:pPr>
        <w:spacing w:before="100" w:beforeAutospacing="1" w:after="100" w:afterAutospacing="1" w:line="360" w:lineRule="auto"/>
        <w:jc w:val="center"/>
        <w:outlineLvl w:val="2"/>
        <w:rPr>
          <w:rFonts w:ascii="Arial" w:eastAsia="Times New Roman" w:hAnsi="Arial" w:cs="Arial"/>
          <w:b/>
          <w:bCs/>
        </w:rPr>
      </w:pPr>
    </w:p>
    <w:p w14:paraId="15CE18CE" w14:textId="77777777" w:rsidR="008C7CCC" w:rsidRDefault="008C7CCC" w:rsidP="008C7CCC">
      <w:pPr>
        <w:spacing w:before="100" w:beforeAutospacing="1" w:after="100" w:afterAutospacing="1" w:line="360" w:lineRule="auto"/>
        <w:jc w:val="center"/>
        <w:outlineLvl w:val="2"/>
        <w:rPr>
          <w:rFonts w:ascii="Arial" w:eastAsia="Times New Roman" w:hAnsi="Arial" w:cs="Arial"/>
          <w:b/>
          <w:bCs/>
        </w:rPr>
      </w:pPr>
    </w:p>
    <w:p w14:paraId="219D2B2B" w14:textId="77777777" w:rsidR="008C7CCC" w:rsidRDefault="008C7CCC" w:rsidP="008C7CCC">
      <w:pPr>
        <w:spacing w:before="100" w:beforeAutospacing="1" w:after="100" w:afterAutospacing="1" w:line="360" w:lineRule="auto"/>
        <w:jc w:val="center"/>
        <w:outlineLvl w:val="2"/>
        <w:rPr>
          <w:rFonts w:ascii="Arial" w:eastAsia="Times New Roman" w:hAnsi="Arial" w:cs="Arial"/>
          <w:b/>
          <w:bCs/>
        </w:rPr>
      </w:pPr>
    </w:p>
    <w:p w14:paraId="4BC10825" w14:textId="77777777" w:rsidR="008C7CCC" w:rsidRDefault="008C7CCC" w:rsidP="008C7CCC">
      <w:pPr>
        <w:spacing w:before="100" w:beforeAutospacing="1" w:after="100" w:afterAutospacing="1" w:line="360" w:lineRule="auto"/>
        <w:jc w:val="center"/>
        <w:outlineLvl w:val="2"/>
        <w:rPr>
          <w:rFonts w:ascii="Arial" w:eastAsia="Times New Roman" w:hAnsi="Arial" w:cs="Arial"/>
          <w:b/>
          <w:bCs/>
        </w:rPr>
      </w:pPr>
    </w:p>
    <w:p w14:paraId="215123E6" w14:textId="77777777" w:rsidR="008C7CCC" w:rsidRDefault="008C7CCC" w:rsidP="008C7CCC">
      <w:pPr>
        <w:spacing w:before="100" w:beforeAutospacing="1" w:after="100" w:afterAutospacing="1" w:line="360" w:lineRule="auto"/>
        <w:jc w:val="center"/>
        <w:outlineLvl w:val="2"/>
        <w:rPr>
          <w:rFonts w:ascii="Arial" w:eastAsia="Times New Roman" w:hAnsi="Arial" w:cs="Arial"/>
          <w:b/>
          <w:bCs/>
        </w:rPr>
      </w:pPr>
    </w:p>
    <w:p w14:paraId="293B3498" w14:textId="77777777" w:rsidR="008C7CCC" w:rsidRDefault="008C7CCC" w:rsidP="008C7CCC">
      <w:pPr>
        <w:spacing w:before="100" w:beforeAutospacing="1" w:after="100" w:afterAutospacing="1" w:line="360" w:lineRule="auto"/>
        <w:jc w:val="center"/>
        <w:outlineLvl w:val="2"/>
        <w:rPr>
          <w:rFonts w:ascii="Arial" w:eastAsia="Times New Roman" w:hAnsi="Arial" w:cs="Arial"/>
          <w:b/>
          <w:bCs/>
        </w:rPr>
      </w:pPr>
    </w:p>
    <w:p w14:paraId="1F0341F0" w14:textId="77777777" w:rsidR="008C7CCC" w:rsidRDefault="008C7CCC" w:rsidP="008C7CCC">
      <w:pPr>
        <w:spacing w:before="100" w:beforeAutospacing="1" w:after="100" w:afterAutospacing="1" w:line="360" w:lineRule="auto"/>
        <w:jc w:val="center"/>
        <w:outlineLvl w:val="2"/>
        <w:rPr>
          <w:rFonts w:ascii="Arial" w:eastAsia="Times New Roman" w:hAnsi="Arial" w:cs="Arial"/>
          <w:b/>
          <w:bCs/>
        </w:rPr>
      </w:pPr>
    </w:p>
    <w:p w14:paraId="0156232F" w14:textId="0EE05584" w:rsidR="008C7CCC" w:rsidRPr="008C7CCC" w:rsidRDefault="008C7CCC" w:rsidP="008C7CCC">
      <w:pPr>
        <w:spacing w:before="100" w:beforeAutospacing="1" w:after="100" w:afterAutospacing="1" w:line="360" w:lineRule="auto"/>
        <w:jc w:val="center"/>
        <w:outlineLvl w:val="2"/>
        <w:rPr>
          <w:rFonts w:ascii="Arial" w:eastAsia="Times New Roman" w:hAnsi="Arial" w:cs="Arial"/>
          <w:b/>
          <w:bCs/>
        </w:rPr>
      </w:pPr>
      <w:r w:rsidRPr="008C7CCC">
        <w:rPr>
          <w:rFonts w:ascii="Arial" w:eastAsia="Times New Roman" w:hAnsi="Arial" w:cs="Arial"/>
          <w:b/>
          <w:bCs/>
        </w:rPr>
        <w:t xml:space="preserve">Figure </w:t>
      </w:r>
      <w:r>
        <w:rPr>
          <w:rFonts w:ascii="Arial" w:eastAsia="Times New Roman" w:hAnsi="Arial" w:cs="Arial"/>
          <w:b/>
          <w:bCs/>
        </w:rPr>
        <w:t>2</w:t>
      </w:r>
      <w:r w:rsidRPr="008C7CCC">
        <w:rPr>
          <w:rFonts w:ascii="Arial" w:eastAsia="Times New Roman" w:hAnsi="Arial" w:cs="Arial"/>
          <w:b/>
          <w:bCs/>
        </w:rPr>
        <w:t>: Liquidity Ratio Comparison (Self-Prepared)</w:t>
      </w:r>
    </w:p>
    <w:p w14:paraId="1ABC6308" w14:textId="7CA31185" w:rsidR="00484D13" w:rsidRPr="00484D13" w:rsidRDefault="00484D13" w:rsidP="00922363">
      <w:pPr>
        <w:spacing w:before="100" w:beforeAutospacing="1" w:after="100" w:afterAutospacing="1" w:line="360" w:lineRule="auto"/>
        <w:outlineLvl w:val="2"/>
        <w:rPr>
          <w:rFonts w:ascii="Arial" w:eastAsia="Times New Roman" w:hAnsi="Arial" w:cs="Arial"/>
          <w:b/>
          <w:bCs/>
          <w:sz w:val="27"/>
          <w:szCs w:val="27"/>
        </w:rPr>
      </w:pPr>
      <w:r w:rsidRPr="00484D13">
        <w:rPr>
          <w:rFonts w:ascii="Arial" w:eastAsia="Times New Roman" w:hAnsi="Arial" w:cs="Arial"/>
          <w:b/>
          <w:bCs/>
          <w:sz w:val="27"/>
          <w:szCs w:val="27"/>
        </w:rPr>
        <w:t>Table A3: Efficiency Ratios (2020–2024)</w:t>
      </w:r>
      <w:bookmarkEnd w:id="47"/>
    </w:p>
    <w:p w14:paraId="482FD78A" w14:textId="5EF41FD1" w:rsidR="00484D13" w:rsidRPr="00484D1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 xml:space="preserve">Asset turnover = Net sales </w:t>
      </w:r>
      <w:r w:rsidR="00E10B4D" w:rsidRPr="00922363">
        <w:rPr>
          <w:rFonts w:ascii="Arial" w:eastAsia="Times New Roman" w:hAnsi="Arial" w:cs="Arial"/>
          <w:sz w:val="24"/>
          <w:szCs w:val="24"/>
        </w:rPr>
        <w:t>÷</w:t>
      </w:r>
      <w:r w:rsidRPr="00484D13">
        <w:rPr>
          <w:rFonts w:ascii="Arial" w:eastAsia="Times New Roman" w:hAnsi="Arial" w:cs="Arial"/>
          <w:sz w:val="24"/>
          <w:szCs w:val="24"/>
        </w:rPr>
        <w:t>Total assets</w:t>
      </w:r>
      <w:r w:rsidRPr="00484D13">
        <w:rPr>
          <w:rFonts w:ascii="Arial" w:eastAsia="Times New Roman" w:hAnsi="Arial" w:cs="Arial"/>
          <w:sz w:val="24"/>
          <w:szCs w:val="24"/>
        </w:rPr>
        <w:br/>
        <w:t xml:space="preserve">Fixed asset turnover = Net sales </w:t>
      </w:r>
      <w:r w:rsidR="00E10B4D" w:rsidRPr="00922363">
        <w:rPr>
          <w:rFonts w:ascii="Arial" w:eastAsia="Times New Roman" w:hAnsi="Arial" w:cs="Arial"/>
          <w:sz w:val="24"/>
          <w:szCs w:val="24"/>
        </w:rPr>
        <w:t>÷</w:t>
      </w:r>
      <w:r w:rsidRPr="00484D13">
        <w:rPr>
          <w:rFonts w:ascii="Arial" w:eastAsia="Times New Roman" w:hAnsi="Arial" w:cs="Arial"/>
          <w:sz w:val="24"/>
          <w:szCs w:val="24"/>
        </w:rPr>
        <w:t>Property, plant and equipment</w:t>
      </w:r>
      <w:r w:rsidRPr="00484D13">
        <w:rPr>
          <w:rFonts w:ascii="Arial" w:eastAsia="Times New Roman" w:hAnsi="Arial" w:cs="Arial"/>
          <w:sz w:val="24"/>
          <w:szCs w:val="24"/>
        </w:rPr>
        <w:br/>
      </w:r>
      <w:r w:rsidR="00E10B4D" w:rsidRPr="00922363">
        <w:rPr>
          <w:rFonts w:ascii="Arial" w:eastAsia="Times New Roman" w:hAnsi="Arial" w:cs="Arial"/>
          <w:sz w:val="24"/>
          <w:szCs w:val="24"/>
        </w:rPr>
        <w:t>Receivable’s</w:t>
      </w:r>
      <w:r w:rsidRPr="00484D13">
        <w:rPr>
          <w:rFonts w:ascii="Arial" w:eastAsia="Times New Roman" w:hAnsi="Arial" w:cs="Arial"/>
          <w:sz w:val="24"/>
          <w:szCs w:val="24"/>
        </w:rPr>
        <w:t xml:space="preserve"> days = (Accounts receivable </w:t>
      </w:r>
      <w:r w:rsidR="00E10B4D" w:rsidRPr="00922363">
        <w:rPr>
          <w:rFonts w:ascii="Arial" w:eastAsia="Times New Roman" w:hAnsi="Arial" w:cs="Arial"/>
          <w:sz w:val="24"/>
          <w:szCs w:val="24"/>
        </w:rPr>
        <w:t>÷</w:t>
      </w:r>
      <w:r w:rsidRPr="00484D13">
        <w:rPr>
          <w:rFonts w:ascii="Arial" w:eastAsia="Times New Roman" w:hAnsi="Arial" w:cs="Arial"/>
          <w:sz w:val="24"/>
          <w:szCs w:val="24"/>
        </w:rPr>
        <w:t>Net sales) × 365</w:t>
      </w:r>
      <w:r w:rsidRPr="00484D13">
        <w:rPr>
          <w:rFonts w:ascii="Arial" w:eastAsia="Times New Roman" w:hAnsi="Arial" w:cs="Arial"/>
          <w:sz w:val="24"/>
          <w:szCs w:val="24"/>
        </w:rPr>
        <w:br/>
        <w:t xml:space="preserve">Inventory days = (Inventories </w:t>
      </w:r>
      <w:r w:rsidR="00E10B4D" w:rsidRPr="00922363">
        <w:rPr>
          <w:rFonts w:ascii="Arial" w:eastAsia="Times New Roman" w:hAnsi="Arial" w:cs="Arial"/>
          <w:sz w:val="24"/>
          <w:szCs w:val="24"/>
        </w:rPr>
        <w:t>÷</w:t>
      </w:r>
      <w:r w:rsidRPr="00484D13">
        <w:rPr>
          <w:rFonts w:ascii="Arial" w:eastAsia="Times New Roman" w:hAnsi="Arial" w:cs="Arial"/>
          <w:sz w:val="24"/>
          <w:szCs w:val="24"/>
        </w:rPr>
        <w:t>Cost of sales) × 365</w:t>
      </w:r>
    </w:p>
    <w:p w14:paraId="6E6C945C" w14:textId="17835EBC" w:rsidR="00484D13" w:rsidRPr="0092236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Five-year numerical calculations presented here</w:t>
      </w:r>
      <w:r w:rsidR="00E10B4D" w:rsidRPr="00922363">
        <w:rPr>
          <w:rFonts w:ascii="Arial" w:eastAsia="Times New Roman" w:hAnsi="Arial" w:cs="Arial"/>
          <w:sz w:val="24"/>
          <w:szCs w:val="24"/>
        </w:rPr>
        <w:t xml:space="preserve"> below: </w:t>
      </w:r>
    </w:p>
    <w:tbl>
      <w:tblPr>
        <w:tblStyle w:val="TableGrid"/>
        <w:tblW w:w="0" w:type="auto"/>
        <w:tblLook w:val="04A0" w:firstRow="1" w:lastRow="0" w:firstColumn="1" w:lastColumn="0" w:noHBand="0" w:noVBand="1"/>
      </w:tblPr>
      <w:tblGrid>
        <w:gridCol w:w="1916"/>
        <w:gridCol w:w="2813"/>
        <w:gridCol w:w="951"/>
        <w:gridCol w:w="951"/>
        <w:gridCol w:w="951"/>
        <w:gridCol w:w="817"/>
        <w:gridCol w:w="951"/>
      </w:tblGrid>
      <w:tr w:rsidR="00484D13" w:rsidRPr="00484D13" w14:paraId="5B918EC2" w14:textId="77777777" w:rsidTr="00E10B4D">
        <w:tc>
          <w:tcPr>
            <w:tcW w:w="0" w:type="auto"/>
            <w:hideMark/>
          </w:tcPr>
          <w:p w14:paraId="748EF47E"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Ratio</w:t>
            </w:r>
          </w:p>
        </w:tc>
        <w:tc>
          <w:tcPr>
            <w:tcW w:w="0" w:type="auto"/>
            <w:hideMark/>
          </w:tcPr>
          <w:p w14:paraId="2B466F6D"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Formula</w:t>
            </w:r>
          </w:p>
        </w:tc>
        <w:tc>
          <w:tcPr>
            <w:tcW w:w="0" w:type="auto"/>
            <w:hideMark/>
          </w:tcPr>
          <w:p w14:paraId="482D6BF5"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2020</w:t>
            </w:r>
          </w:p>
        </w:tc>
        <w:tc>
          <w:tcPr>
            <w:tcW w:w="0" w:type="auto"/>
            <w:hideMark/>
          </w:tcPr>
          <w:p w14:paraId="11937B29"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2021</w:t>
            </w:r>
          </w:p>
        </w:tc>
        <w:tc>
          <w:tcPr>
            <w:tcW w:w="0" w:type="auto"/>
            <w:hideMark/>
          </w:tcPr>
          <w:p w14:paraId="61E88F9C"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2022</w:t>
            </w:r>
          </w:p>
        </w:tc>
        <w:tc>
          <w:tcPr>
            <w:tcW w:w="0" w:type="auto"/>
            <w:hideMark/>
          </w:tcPr>
          <w:p w14:paraId="31DA4AF5"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2023</w:t>
            </w:r>
          </w:p>
        </w:tc>
        <w:tc>
          <w:tcPr>
            <w:tcW w:w="0" w:type="auto"/>
            <w:hideMark/>
          </w:tcPr>
          <w:p w14:paraId="1E7A7970" w14:textId="77777777" w:rsidR="00484D13" w:rsidRPr="00484D13" w:rsidRDefault="00484D13" w:rsidP="00922363">
            <w:pPr>
              <w:spacing w:line="360" w:lineRule="auto"/>
              <w:jc w:val="center"/>
              <w:rPr>
                <w:rFonts w:ascii="Arial" w:eastAsia="Times New Roman" w:hAnsi="Arial" w:cs="Arial"/>
                <w:b/>
                <w:bCs/>
                <w:sz w:val="24"/>
                <w:szCs w:val="24"/>
              </w:rPr>
            </w:pPr>
            <w:r w:rsidRPr="00484D13">
              <w:rPr>
                <w:rFonts w:ascii="Arial" w:eastAsia="Times New Roman" w:hAnsi="Arial" w:cs="Arial"/>
                <w:b/>
                <w:bCs/>
                <w:sz w:val="24"/>
                <w:szCs w:val="24"/>
              </w:rPr>
              <w:t>2024</w:t>
            </w:r>
          </w:p>
        </w:tc>
      </w:tr>
      <w:tr w:rsidR="00484D13" w:rsidRPr="00484D13" w14:paraId="35732061" w14:textId="77777777" w:rsidTr="00E10B4D">
        <w:tc>
          <w:tcPr>
            <w:tcW w:w="0" w:type="auto"/>
            <w:hideMark/>
          </w:tcPr>
          <w:p w14:paraId="7A1E96D8"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Asset Turnover</w:t>
            </w:r>
          </w:p>
        </w:tc>
        <w:tc>
          <w:tcPr>
            <w:tcW w:w="0" w:type="auto"/>
            <w:hideMark/>
          </w:tcPr>
          <w:p w14:paraId="028DCBAB"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Net Sales / Total Assets</w:t>
            </w:r>
          </w:p>
        </w:tc>
        <w:tc>
          <w:tcPr>
            <w:tcW w:w="0" w:type="auto"/>
            <w:hideMark/>
          </w:tcPr>
          <w:p w14:paraId="14CB0184"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1.20</w:t>
            </w:r>
          </w:p>
        </w:tc>
        <w:tc>
          <w:tcPr>
            <w:tcW w:w="0" w:type="auto"/>
            <w:hideMark/>
          </w:tcPr>
          <w:p w14:paraId="4B05E6BE"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1.18</w:t>
            </w:r>
          </w:p>
        </w:tc>
        <w:tc>
          <w:tcPr>
            <w:tcW w:w="0" w:type="auto"/>
            <w:hideMark/>
          </w:tcPr>
          <w:p w14:paraId="3C71E3EF"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1.08</w:t>
            </w:r>
          </w:p>
        </w:tc>
        <w:tc>
          <w:tcPr>
            <w:tcW w:w="0" w:type="auto"/>
            <w:hideMark/>
          </w:tcPr>
          <w:p w14:paraId="78422AA7"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1.18</w:t>
            </w:r>
          </w:p>
        </w:tc>
        <w:tc>
          <w:tcPr>
            <w:tcW w:w="0" w:type="auto"/>
            <w:hideMark/>
          </w:tcPr>
          <w:p w14:paraId="1D6B38EA"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1.22</w:t>
            </w:r>
          </w:p>
        </w:tc>
      </w:tr>
      <w:tr w:rsidR="00484D13" w:rsidRPr="00484D13" w14:paraId="0975DBC5" w14:textId="77777777" w:rsidTr="00E10B4D">
        <w:tc>
          <w:tcPr>
            <w:tcW w:w="0" w:type="auto"/>
            <w:hideMark/>
          </w:tcPr>
          <w:p w14:paraId="1CAE0BFF"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Fixed Asset Turnover</w:t>
            </w:r>
          </w:p>
        </w:tc>
        <w:tc>
          <w:tcPr>
            <w:tcW w:w="0" w:type="auto"/>
            <w:hideMark/>
          </w:tcPr>
          <w:p w14:paraId="5C0EF88C"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Net Sales / Property, Plant and Equipment</w:t>
            </w:r>
          </w:p>
        </w:tc>
        <w:tc>
          <w:tcPr>
            <w:tcW w:w="0" w:type="auto"/>
            <w:hideMark/>
          </w:tcPr>
          <w:p w14:paraId="4561F491"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7.04</w:t>
            </w:r>
          </w:p>
        </w:tc>
        <w:tc>
          <w:tcPr>
            <w:tcW w:w="0" w:type="auto"/>
            <w:hideMark/>
          </w:tcPr>
          <w:p w14:paraId="59F0331E"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8.06</w:t>
            </w:r>
          </w:p>
        </w:tc>
        <w:tc>
          <w:tcPr>
            <w:tcW w:w="0" w:type="auto"/>
            <w:hideMark/>
          </w:tcPr>
          <w:p w14:paraId="6EE5FAEF"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8.64</w:t>
            </w:r>
          </w:p>
        </w:tc>
        <w:tc>
          <w:tcPr>
            <w:tcW w:w="0" w:type="auto"/>
            <w:hideMark/>
          </w:tcPr>
          <w:p w14:paraId="07D89864"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9.42</w:t>
            </w:r>
          </w:p>
        </w:tc>
        <w:tc>
          <w:tcPr>
            <w:tcW w:w="0" w:type="auto"/>
            <w:hideMark/>
          </w:tcPr>
          <w:p w14:paraId="1B5AE7A8"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11.54</w:t>
            </w:r>
          </w:p>
        </w:tc>
      </w:tr>
      <w:tr w:rsidR="00484D13" w:rsidRPr="00484D13" w14:paraId="69C63B62" w14:textId="77777777" w:rsidTr="00E10B4D">
        <w:tc>
          <w:tcPr>
            <w:tcW w:w="0" w:type="auto"/>
            <w:hideMark/>
          </w:tcPr>
          <w:p w14:paraId="097CCFD7"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Receivables Days</w:t>
            </w:r>
          </w:p>
        </w:tc>
        <w:tc>
          <w:tcPr>
            <w:tcW w:w="0" w:type="auto"/>
            <w:hideMark/>
          </w:tcPr>
          <w:p w14:paraId="143E1239"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(Trade Receivables / Net Sales) × 365</w:t>
            </w:r>
          </w:p>
        </w:tc>
        <w:tc>
          <w:tcPr>
            <w:tcW w:w="0" w:type="auto"/>
            <w:hideMark/>
          </w:tcPr>
          <w:p w14:paraId="2C4DC124"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76.86</w:t>
            </w:r>
          </w:p>
        </w:tc>
        <w:tc>
          <w:tcPr>
            <w:tcW w:w="0" w:type="auto"/>
            <w:hideMark/>
          </w:tcPr>
          <w:p w14:paraId="3DF750E7"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78.40</w:t>
            </w:r>
          </w:p>
        </w:tc>
        <w:tc>
          <w:tcPr>
            <w:tcW w:w="0" w:type="auto"/>
            <w:hideMark/>
          </w:tcPr>
          <w:p w14:paraId="53E78B0E"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75.55</w:t>
            </w:r>
          </w:p>
        </w:tc>
        <w:tc>
          <w:tcPr>
            <w:tcW w:w="0" w:type="auto"/>
            <w:hideMark/>
          </w:tcPr>
          <w:p w14:paraId="74CE6975"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97.74</w:t>
            </w:r>
          </w:p>
        </w:tc>
        <w:tc>
          <w:tcPr>
            <w:tcW w:w="0" w:type="auto"/>
            <w:hideMark/>
          </w:tcPr>
          <w:p w14:paraId="2DB09163"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105.54</w:t>
            </w:r>
          </w:p>
        </w:tc>
      </w:tr>
      <w:tr w:rsidR="00484D13" w:rsidRPr="00484D13" w14:paraId="64E5B26C" w14:textId="77777777" w:rsidTr="00E10B4D">
        <w:tc>
          <w:tcPr>
            <w:tcW w:w="0" w:type="auto"/>
            <w:hideMark/>
          </w:tcPr>
          <w:p w14:paraId="74E1162F"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lastRenderedPageBreak/>
              <w:t>Inventory Days</w:t>
            </w:r>
          </w:p>
        </w:tc>
        <w:tc>
          <w:tcPr>
            <w:tcW w:w="0" w:type="auto"/>
            <w:hideMark/>
          </w:tcPr>
          <w:p w14:paraId="7A1D0561"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(Inventory / Cost of Sales) × 365</w:t>
            </w:r>
          </w:p>
        </w:tc>
        <w:tc>
          <w:tcPr>
            <w:tcW w:w="0" w:type="auto"/>
            <w:hideMark/>
          </w:tcPr>
          <w:p w14:paraId="46644144"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100.26</w:t>
            </w:r>
          </w:p>
        </w:tc>
        <w:tc>
          <w:tcPr>
            <w:tcW w:w="0" w:type="auto"/>
            <w:hideMark/>
          </w:tcPr>
          <w:p w14:paraId="0F289E41"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114.52</w:t>
            </w:r>
          </w:p>
        </w:tc>
        <w:tc>
          <w:tcPr>
            <w:tcW w:w="0" w:type="auto"/>
            <w:hideMark/>
          </w:tcPr>
          <w:p w14:paraId="244BE135"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131.04</w:t>
            </w:r>
          </w:p>
        </w:tc>
        <w:tc>
          <w:tcPr>
            <w:tcW w:w="0" w:type="auto"/>
            <w:hideMark/>
          </w:tcPr>
          <w:p w14:paraId="0E0B6D92"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99.78</w:t>
            </w:r>
          </w:p>
        </w:tc>
        <w:tc>
          <w:tcPr>
            <w:tcW w:w="0" w:type="auto"/>
            <w:hideMark/>
          </w:tcPr>
          <w:p w14:paraId="6777402B" w14:textId="77777777" w:rsidR="00484D13" w:rsidRPr="00484D13" w:rsidRDefault="00484D13" w:rsidP="00922363">
            <w:pPr>
              <w:spacing w:line="360" w:lineRule="auto"/>
              <w:rPr>
                <w:rFonts w:ascii="Arial" w:eastAsia="Times New Roman" w:hAnsi="Arial" w:cs="Arial"/>
                <w:sz w:val="24"/>
                <w:szCs w:val="24"/>
              </w:rPr>
            </w:pPr>
            <w:r w:rsidRPr="00484D13">
              <w:rPr>
                <w:rFonts w:ascii="Arial" w:eastAsia="Times New Roman" w:hAnsi="Arial" w:cs="Arial"/>
                <w:sz w:val="24"/>
                <w:szCs w:val="24"/>
              </w:rPr>
              <w:t>103.12</w:t>
            </w:r>
          </w:p>
        </w:tc>
      </w:tr>
    </w:tbl>
    <w:p w14:paraId="61EC0267" w14:textId="7946BC9E" w:rsidR="008C7CCC" w:rsidRPr="008C7CCC" w:rsidRDefault="008C7CCC" w:rsidP="008C7CCC">
      <w:pPr>
        <w:spacing w:before="100" w:beforeAutospacing="1" w:after="100" w:afterAutospacing="1" w:line="360" w:lineRule="auto"/>
        <w:jc w:val="center"/>
        <w:outlineLvl w:val="2"/>
        <w:rPr>
          <w:rFonts w:ascii="Arial" w:eastAsia="Times New Roman" w:hAnsi="Arial" w:cs="Arial"/>
          <w:b/>
          <w:bCs/>
          <w:sz w:val="20"/>
          <w:szCs w:val="20"/>
        </w:rPr>
      </w:pPr>
      <w:bookmarkStart w:id="48" w:name="_Toc216755991"/>
      <w:r w:rsidRPr="008C7CCC">
        <w:rPr>
          <w:rFonts w:ascii="Arial" w:eastAsia="Times New Roman" w:hAnsi="Arial" w:cs="Arial"/>
          <w:b/>
          <w:bCs/>
          <w:sz w:val="20"/>
          <w:szCs w:val="20"/>
        </w:rPr>
        <w:t xml:space="preserve">Table 3: </w:t>
      </w:r>
      <w:r w:rsidRPr="00484D13">
        <w:rPr>
          <w:rFonts w:ascii="Arial" w:eastAsia="Times New Roman" w:hAnsi="Arial" w:cs="Arial"/>
          <w:b/>
          <w:bCs/>
          <w:sz w:val="20"/>
          <w:szCs w:val="20"/>
        </w:rPr>
        <w:t>Efficiency Ratio</w:t>
      </w:r>
      <w:r w:rsidRPr="008C7CCC">
        <w:rPr>
          <w:rFonts w:ascii="Arial" w:eastAsia="Times New Roman" w:hAnsi="Arial" w:cs="Arial"/>
          <w:b/>
          <w:bCs/>
          <w:sz w:val="20"/>
          <w:szCs w:val="20"/>
        </w:rPr>
        <w:t xml:space="preserve"> (Self-Prepared)</w:t>
      </w:r>
    </w:p>
    <w:p w14:paraId="2AFDB3EB" w14:textId="595D9410" w:rsidR="008C7CCC" w:rsidRDefault="008C7CCC" w:rsidP="008C7CCC">
      <w:pPr>
        <w:spacing w:before="100" w:beforeAutospacing="1" w:after="100" w:afterAutospacing="1" w:line="360" w:lineRule="auto"/>
        <w:jc w:val="center"/>
        <w:outlineLvl w:val="2"/>
        <w:rPr>
          <w:rFonts w:ascii="Arial" w:eastAsia="Times New Roman" w:hAnsi="Arial" w:cs="Arial"/>
          <w:b/>
          <w:bCs/>
          <w:sz w:val="27"/>
          <w:szCs w:val="27"/>
        </w:rPr>
      </w:pPr>
      <w:r>
        <w:rPr>
          <w:noProof/>
        </w:rPr>
        <w:drawing>
          <wp:inline distT="0" distB="0" distL="0" distR="0" wp14:anchorId="66D53475" wp14:editId="1C4A5B8D">
            <wp:extent cx="4248150" cy="3014662"/>
            <wp:effectExtent l="0" t="0" r="0" b="14605"/>
            <wp:docPr id="8" name="Chart 8">
              <a:extLst xmlns:a="http://schemas.openxmlformats.org/drawingml/2006/main">
                <a:ext uri="{FF2B5EF4-FFF2-40B4-BE49-F238E27FC236}">
                  <a16:creationId xmlns:a16="http://schemas.microsoft.com/office/drawing/2014/main" id="{4875193F-C7EA-4539-84A5-5D8872A6DD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60621EB" w14:textId="2A4FCB1D" w:rsidR="008C7CCC" w:rsidRPr="008C7CCC" w:rsidRDefault="008C7CCC" w:rsidP="008C7CCC">
      <w:pPr>
        <w:spacing w:before="100" w:beforeAutospacing="1" w:after="100" w:afterAutospacing="1" w:line="360" w:lineRule="auto"/>
        <w:jc w:val="center"/>
        <w:outlineLvl w:val="2"/>
        <w:rPr>
          <w:rFonts w:ascii="Arial" w:eastAsia="Times New Roman" w:hAnsi="Arial" w:cs="Arial"/>
          <w:b/>
          <w:bCs/>
        </w:rPr>
      </w:pPr>
      <w:r w:rsidRPr="008C7CCC">
        <w:rPr>
          <w:rFonts w:ascii="Arial" w:eastAsia="Times New Roman" w:hAnsi="Arial" w:cs="Arial"/>
          <w:b/>
          <w:bCs/>
        </w:rPr>
        <w:t xml:space="preserve">Figure </w:t>
      </w:r>
      <w:r>
        <w:rPr>
          <w:rFonts w:ascii="Arial" w:eastAsia="Times New Roman" w:hAnsi="Arial" w:cs="Arial"/>
          <w:b/>
          <w:bCs/>
        </w:rPr>
        <w:t>3</w:t>
      </w:r>
      <w:r w:rsidRPr="008C7CCC">
        <w:rPr>
          <w:rFonts w:ascii="Arial" w:eastAsia="Times New Roman" w:hAnsi="Arial" w:cs="Arial"/>
          <w:b/>
          <w:bCs/>
        </w:rPr>
        <w:t xml:space="preserve">: </w:t>
      </w:r>
      <w:r>
        <w:rPr>
          <w:rFonts w:ascii="Arial" w:eastAsia="Times New Roman" w:hAnsi="Arial" w:cs="Arial"/>
          <w:b/>
          <w:bCs/>
        </w:rPr>
        <w:t>Efficiency</w:t>
      </w:r>
      <w:r w:rsidRPr="008C7CCC">
        <w:rPr>
          <w:rFonts w:ascii="Arial" w:eastAsia="Times New Roman" w:hAnsi="Arial" w:cs="Arial"/>
          <w:b/>
          <w:bCs/>
        </w:rPr>
        <w:t xml:space="preserve"> Ratio Comparison (Self-Prepared)</w:t>
      </w:r>
    </w:p>
    <w:p w14:paraId="56847559" w14:textId="5586AF3E" w:rsidR="00484D13" w:rsidRPr="00484D13" w:rsidRDefault="00484D13" w:rsidP="00922363">
      <w:pPr>
        <w:spacing w:before="100" w:beforeAutospacing="1" w:after="100" w:afterAutospacing="1" w:line="360" w:lineRule="auto"/>
        <w:outlineLvl w:val="2"/>
        <w:rPr>
          <w:rFonts w:ascii="Arial" w:eastAsia="Times New Roman" w:hAnsi="Arial" w:cs="Arial"/>
          <w:b/>
          <w:bCs/>
          <w:sz w:val="27"/>
          <w:szCs w:val="27"/>
        </w:rPr>
      </w:pPr>
      <w:r w:rsidRPr="00484D13">
        <w:rPr>
          <w:rFonts w:ascii="Arial" w:eastAsia="Times New Roman" w:hAnsi="Arial" w:cs="Arial"/>
          <w:b/>
          <w:bCs/>
          <w:sz w:val="27"/>
          <w:szCs w:val="27"/>
        </w:rPr>
        <w:t>Table A4: Gearing Ratios (2020–2024)</w:t>
      </w:r>
      <w:bookmarkEnd w:id="48"/>
    </w:p>
    <w:p w14:paraId="3296AEC6" w14:textId="77777777" w:rsidR="00484D13" w:rsidRPr="00484D1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Interest coverage ratio = EBIT / Interest expense</w:t>
      </w:r>
      <w:r w:rsidRPr="00484D13">
        <w:rPr>
          <w:rFonts w:ascii="Arial" w:eastAsia="Times New Roman" w:hAnsi="Arial" w:cs="Arial"/>
          <w:sz w:val="24"/>
          <w:szCs w:val="24"/>
        </w:rPr>
        <w:br/>
        <w:t>Debt to equity ratio = Total liabilities / Shareholders’ equity</w:t>
      </w:r>
      <w:r w:rsidRPr="00484D13">
        <w:rPr>
          <w:rFonts w:ascii="Arial" w:eastAsia="Times New Roman" w:hAnsi="Arial" w:cs="Arial"/>
          <w:sz w:val="24"/>
          <w:szCs w:val="24"/>
        </w:rPr>
        <w:br/>
        <w:t>Debt to capital ratio = Total liabilities / (Total liabilities + Shareholders’ equity)</w:t>
      </w:r>
      <w:r w:rsidRPr="00484D13">
        <w:rPr>
          <w:rFonts w:ascii="Arial" w:eastAsia="Times New Roman" w:hAnsi="Arial" w:cs="Arial"/>
          <w:sz w:val="24"/>
          <w:szCs w:val="24"/>
        </w:rPr>
        <w:br/>
        <w:t>Equity multiplier = Total assets / Shareholders’ equity</w:t>
      </w:r>
    </w:p>
    <w:p w14:paraId="59BBBACB" w14:textId="2C74E4CF" w:rsidR="00484D13" w:rsidRPr="0092236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 xml:space="preserve">Five-year numerical calculations </w:t>
      </w:r>
      <w:r w:rsidR="00E10B4D" w:rsidRPr="00922363">
        <w:rPr>
          <w:rFonts w:ascii="Arial" w:eastAsia="Times New Roman" w:hAnsi="Arial" w:cs="Arial"/>
          <w:sz w:val="24"/>
          <w:szCs w:val="24"/>
        </w:rPr>
        <w:t xml:space="preserve">presented below: </w:t>
      </w:r>
    </w:p>
    <w:tbl>
      <w:tblPr>
        <w:tblStyle w:val="TableGrid"/>
        <w:tblW w:w="0" w:type="auto"/>
        <w:tblLook w:val="04A0" w:firstRow="1" w:lastRow="0" w:firstColumn="1" w:lastColumn="0" w:noHBand="0" w:noVBand="1"/>
      </w:tblPr>
      <w:tblGrid>
        <w:gridCol w:w="2087"/>
        <w:gridCol w:w="3098"/>
        <w:gridCol w:w="817"/>
        <w:gridCol w:w="817"/>
        <w:gridCol w:w="750"/>
        <w:gridCol w:w="957"/>
        <w:gridCol w:w="824"/>
      </w:tblGrid>
      <w:tr w:rsidR="00E10B4D" w:rsidRPr="00E10B4D" w14:paraId="6F01FD2F" w14:textId="77777777" w:rsidTr="00E10B4D">
        <w:tc>
          <w:tcPr>
            <w:tcW w:w="0" w:type="auto"/>
            <w:hideMark/>
          </w:tcPr>
          <w:p w14:paraId="6DB9C797"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Ratio</w:t>
            </w:r>
          </w:p>
        </w:tc>
        <w:tc>
          <w:tcPr>
            <w:tcW w:w="0" w:type="auto"/>
            <w:hideMark/>
          </w:tcPr>
          <w:p w14:paraId="0B2AE684"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Formula</w:t>
            </w:r>
          </w:p>
        </w:tc>
        <w:tc>
          <w:tcPr>
            <w:tcW w:w="0" w:type="auto"/>
            <w:hideMark/>
          </w:tcPr>
          <w:p w14:paraId="07DA16C5"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2020</w:t>
            </w:r>
          </w:p>
        </w:tc>
        <w:tc>
          <w:tcPr>
            <w:tcW w:w="0" w:type="auto"/>
            <w:hideMark/>
          </w:tcPr>
          <w:p w14:paraId="54A83B9D"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2021</w:t>
            </w:r>
          </w:p>
        </w:tc>
        <w:tc>
          <w:tcPr>
            <w:tcW w:w="0" w:type="auto"/>
            <w:hideMark/>
          </w:tcPr>
          <w:p w14:paraId="5503CAC7"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2022</w:t>
            </w:r>
          </w:p>
        </w:tc>
        <w:tc>
          <w:tcPr>
            <w:tcW w:w="0" w:type="auto"/>
            <w:hideMark/>
          </w:tcPr>
          <w:p w14:paraId="0D871ED8"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2023</w:t>
            </w:r>
          </w:p>
        </w:tc>
        <w:tc>
          <w:tcPr>
            <w:tcW w:w="0" w:type="auto"/>
            <w:hideMark/>
          </w:tcPr>
          <w:p w14:paraId="13B70330"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2024</w:t>
            </w:r>
          </w:p>
        </w:tc>
      </w:tr>
      <w:tr w:rsidR="00E10B4D" w:rsidRPr="00E10B4D" w14:paraId="6E71A54E" w14:textId="77777777" w:rsidTr="00E10B4D">
        <w:tc>
          <w:tcPr>
            <w:tcW w:w="0" w:type="auto"/>
            <w:hideMark/>
          </w:tcPr>
          <w:p w14:paraId="3A5AEF7B"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Interest Coverage Ratio</w:t>
            </w:r>
          </w:p>
        </w:tc>
        <w:tc>
          <w:tcPr>
            <w:tcW w:w="0" w:type="auto"/>
            <w:hideMark/>
          </w:tcPr>
          <w:p w14:paraId="4DA221D1"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EBIT / Interest Expense</w:t>
            </w:r>
          </w:p>
        </w:tc>
        <w:tc>
          <w:tcPr>
            <w:tcW w:w="0" w:type="auto"/>
            <w:hideMark/>
          </w:tcPr>
          <w:p w14:paraId="5FF82A7D"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26.21</w:t>
            </w:r>
          </w:p>
        </w:tc>
        <w:tc>
          <w:tcPr>
            <w:tcW w:w="0" w:type="auto"/>
            <w:hideMark/>
          </w:tcPr>
          <w:p w14:paraId="4E82D5E6"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41.08</w:t>
            </w:r>
          </w:p>
        </w:tc>
        <w:tc>
          <w:tcPr>
            <w:tcW w:w="0" w:type="auto"/>
            <w:hideMark/>
          </w:tcPr>
          <w:p w14:paraId="0C54C641"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6.61</w:t>
            </w:r>
          </w:p>
        </w:tc>
        <w:tc>
          <w:tcPr>
            <w:tcW w:w="0" w:type="auto"/>
            <w:hideMark/>
          </w:tcPr>
          <w:p w14:paraId="2B465C18"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−19.70</w:t>
            </w:r>
          </w:p>
        </w:tc>
        <w:tc>
          <w:tcPr>
            <w:tcW w:w="0" w:type="auto"/>
            <w:hideMark/>
          </w:tcPr>
          <w:p w14:paraId="4547CC3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−4.55</w:t>
            </w:r>
          </w:p>
        </w:tc>
      </w:tr>
      <w:tr w:rsidR="00E10B4D" w:rsidRPr="00E10B4D" w14:paraId="2F653807" w14:textId="77777777" w:rsidTr="00E10B4D">
        <w:tc>
          <w:tcPr>
            <w:tcW w:w="0" w:type="auto"/>
            <w:hideMark/>
          </w:tcPr>
          <w:p w14:paraId="18DF86F1"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lastRenderedPageBreak/>
              <w:t>Debt to Equity Ratio</w:t>
            </w:r>
          </w:p>
        </w:tc>
        <w:tc>
          <w:tcPr>
            <w:tcW w:w="0" w:type="auto"/>
            <w:hideMark/>
          </w:tcPr>
          <w:p w14:paraId="52488AB7"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Total Liabilities / Shareholders’ Equity</w:t>
            </w:r>
          </w:p>
        </w:tc>
        <w:tc>
          <w:tcPr>
            <w:tcW w:w="0" w:type="auto"/>
            <w:hideMark/>
          </w:tcPr>
          <w:p w14:paraId="43FE6D0A"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0.63</w:t>
            </w:r>
          </w:p>
        </w:tc>
        <w:tc>
          <w:tcPr>
            <w:tcW w:w="0" w:type="auto"/>
            <w:hideMark/>
          </w:tcPr>
          <w:p w14:paraId="12A9FB51"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0.85</w:t>
            </w:r>
          </w:p>
        </w:tc>
        <w:tc>
          <w:tcPr>
            <w:tcW w:w="0" w:type="auto"/>
            <w:hideMark/>
          </w:tcPr>
          <w:p w14:paraId="1E1B0E5F"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0.88</w:t>
            </w:r>
          </w:p>
        </w:tc>
        <w:tc>
          <w:tcPr>
            <w:tcW w:w="0" w:type="auto"/>
            <w:hideMark/>
          </w:tcPr>
          <w:p w14:paraId="0F0311FB"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0.99</w:t>
            </w:r>
          </w:p>
        </w:tc>
        <w:tc>
          <w:tcPr>
            <w:tcW w:w="0" w:type="auto"/>
            <w:hideMark/>
          </w:tcPr>
          <w:p w14:paraId="03D577E5"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1.11</w:t>
            </w:r>
          </w:p>
        </w:tc>
      </w:tr>
      <w:tr w:rsidR="00E10B4D" w:rsidRPr="00E10B4D" w14:paraId="4CE26775" w14:textId="77777777" w:rsidTr="00E10B4D">
        <w:tc>
          <w:tcPr>
            <w:tcW w:w="0" w:type="auto"/>
            <w:hideMark/>
          </w:tcPr>
          <w:p w14:paraId="592321FC"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Debt to Capital Ratio</w:t>
            </w:r>
          </w:p>
        </w:tc>
        <w:tc>
          <w:tcPr>
            <w:tcW w:w="0" w:type="auto"/>
            <w:hideMark/>
          </w:tcPr>
          <w:p w14:paraId="33DB984A"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Total Liabilities / (Debt + Equity)</w:t>
            </w:r>
          </w:p>
        </w:tc>
        <w:tc>
          <w:tcPr>
            <w:tcW w:w="0" w:type="auto"/>
            <w:hideMark/>
          </w:tcPr>
          <w:p w14:paraId="0A6E1D4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0.39</w:t>
            </w:r>
          </w:p>
        </w:tc>
        <w:tc>
          <w:tcPr>
            <w:tcW w:w="0" w:type="auto"/>
            <w:hideMark/>
          </w:tcPr>
          <w:p w14:paraId="3D6546AB"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0.46</w:t>
            </w:r>
          </w:p>
        </w:tc>
        <w:tc>
          <w:tcPr>
            <w:tcW w:w="0" w:type="auto"/>
            <w:hideMark/>
          </w:tcPr>
          <w:p w14:paraId="7154D1DB"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0.47</w:t>
            </w:r>
          </w:p>
        </w:tc>
        <w:tc>
          <w:tcPr>
            <w:tcW w:w="0" w:type="auto"/>
            <w:hideMark/>
          </w:tcPr>
          <w:p w14:paraId="5E03A030"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0.50</w:t>
            </w:r>
          </w:p>
        </w:tc>
        <w:tc>
          <w:tcPr>
            <w:tcW w:w="0" w:type="auto"/>
            <w:hideMark/>
          </w:tcPr>
          <w:p w14:paraId="4C25455A"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0.53</w:t>
            </w:r>
          </w:p>
        </w:tc>
      </w:tr>
      <w:tr w:rsidR="00E10B4D" w:rsidRPr="00E10B4D" w14:paraId="53A63431" w14:textId="77777777" w:rsidTr="00E10B4D">
        <w:tc>
          <w:tcPr>
            <w:tcW w:w="0" w:type="auto"/>
            <w:hideMark/>
          </w:tcPr>
          <w:p w14:paraId="24A7E49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Equity Multiplier</w:t>
            </w:r>
          </w:p>
        </w:tc>
        <w:tc>
          <w:tcPr>
            <w:tcW w:w="0" w:type="auto"/>
            <w:hideMark/>
          </w:tcPr>
          <w:p w14:paraId="57F8928C"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Total Assets / Shareholders’ Equity</w:t>
            </w:r>
          </w:p>
        </w:tc>
        <w:tc>
          <w:tcPr>
            <w:tcW w:w="0" w:type="auto"/>
            <w:hideMark/>
          </w:tcPr>
          <w:p w14:paraId="761AF912"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1.63</w:t>
            </w:r>
          </w:p>
        </w:tc>
        <w:tc>
          <w:tcPr>
            <w:tcW w:w="0" w:type="auto"/>
            <w:hideMark/>
          </w:tcPr>
          <w:p w14:paraId="03D21D2E"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1.85</w:t>
            </w:r>
          </w:p>
        </w:tc>
        <w:tc>
          <w:tcPr>
            <w:tcW w:w="0" w:type="auto"/>
            <w:hideMark/>
          </w:tcPr>
          <w:p w14:paraId="2EB62815"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1.88</w:t>
            </w:r>
          </w:p>
        </w:tc>
        <w:tc>
          <w:tcPr>
            <w:tcW w:w="0" w:type="auto"/>
            <w:hideMark/>
          </w:tcPr>
          <w:p w14:paraId="1D2C7437"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1.99</w:t>
            </w:r>
          </w:p>
        </w:tc>
        <w:tc>
          <w:tcPr>
            <w:tcW w:w="0" w:type="auto"/>
            <w:hideMark/>
          </w:tcPr>
          <w:p w14:paraId="4D731980"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2.11</w:t>
            </w:r>
          </w:p>
        </w:tc>
      </w:tr>
    </w:tbl>
    <w:p w14:paraId="4749138D" w14:textId="3CBB5BBA" w:rsidR="006C1B9C" w:rsidRPr="006C1B9C" w:rsidRDefault="006C1B9C" w:rsidP="006C1B9C">
      <w:pPr>
        <w:spacing w:before="100" w:beforeAutospacing="1" w:after="100" w:afterAutospacing="1" w:line="360" w:lineRule="auto"/>
        <w:jc w:val="center"/>
        <w:outlineLvl w:val="2"/>
        <w:rPr>
          <w:rFonts w:ascii="Arial" w:eastAsia="Times New Roman" w:hAnsi="Arial" w:cs="Arial"/>
          <w:sz w:val="20"/>
          <w:szCs w:val="20"/>
        </w:rPr>
      </w:pPr>
      <w:bookmarkStart w:id="49" w:name="_Toc216755992"/>
      <w:r w:rsidRPr="006C1B9C">
        <w:rPr>
          <w:rFonts w:ascii="Arial" w:eastAsia="Times New Roman" w:hAnsi="Arial" w:cs="Arial"/>
          <w:sz w:val="20"/>
          <w:szCs w:val="20"/>
        </w:rPr>
        <w:t xml:space="preserve">Table 4: </w:t>
      </w:r>
      <w:r w:rsidRPr="00484D13">
        <w:rPr>
          <w:rFonts w:ascii="Arial" w:eastAsia="Times New Roman" w:hAnsi="Arial" w:cs="Arial"/>
          <w:sz w:val="20"/>
          <w:szCs w:val="20"/>
        </w:rPr>
        <w:t xml:space="preserve">Gearing Ratios </w:t>
      </w:r>
      <w:r w:rsidRPr="006C1B9C">
        <w:rPr>
          <w:rFonts w:ascii="Arial" w:eastAsia="Times New Roman" w:hAnsi="Arial" w:cs="Arial"/>
          <w:sz w:val="20"/>
          <w:szCs w:val="20"/>
        </w:rPr>
        <w:t>(Self-Prepared)</w:t>
      </w:r>
    </w:p>
    <w:p w14:paraId="1F6A2CE5" w14:textId="7C180A96" w:rsidR="006C1B9C" w:rsidRDefault="006C1B9C" w:rsidP="006C1B9C">
      <w:pPr>
        <w:spacing w:before="100" w:beforeAutospacing="1" w:after="100" w:afterAutospacing="1" w:line="360" w:lineRule="auto"/>
        <w:jc w:val="center"/>
        <w:outlineLvl w:val="2"/>
        <w:rPr>
          <w:rFonts w:ascii="Arial" w:eastAsia="Times New Roman" w:hAnsi="Arial" w:cs="Arial"/>
          <w:b/>
          <w:bCs/>
          <w:sz w:val="27"/>
          <w:szCs w:val="27"/>
        </w:rPr>
      </w:pPr>
      <w:r>
        <w:rPr>
          <w:noProof/>
        </w:rPr>
        <w:drawing>
          <wp:inline distT="0" distB="0" distL="0" distR="0" wp14:anchorId="415B120E" wp14:editId="5DD07CC6">
            <wp:extent cx="5162550" cy="3071812"/>
            <wp:effectExtent l="0" t="0" r="0" b="14605"/>
            <wp:docPr id="9" name="Chart 9">
              <a:extLst xmlns:a="http://schemas.openxmlformats.org/drawingml/2006/main">
                <a:ext uri="{FF2B5EF4-FFF2-40B4-BE49-F238E27FC236}">
                  <a16:creationId xmlns:a16="http://schemas.microsoft.com/office/drawing/2014/main" id="{0CDE735F-C3D3-4062-B7E8-202267F8B7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7E652AA" w14:textId="545DFD98" w:rsidR="002805BA" w:rsidRPr="002805BA" w:rsidRDefault="002805BA" w:rsidP="002805BA">
      <w:pPr>
        <w:spacing w:before="100" w:beforeAutospacing="1" w:after="100" w:afterAutospacing="1" w:line="360" w:lineRule="auto"/>
        <w:jc w:val="center"/>
        <w:outlineLvl w:val="2"/>
        <w:rPr>
          <w:rFonts w:ascii="Arial" w:eastAsia="Times New Roman" w:hAnsi="Arial" w:cs="Arial"/>
          <w:b/>
          <w:bCs/>
        </w:rPr>
      </w:pPr>
      <w:r w:rsidRPr="002805BA">
        <w:rPr>
          <w:rFonts w:ascii="Arial" w:eastAsia="Times New Roman" w:hAnsi="Arial" w:cs="Arial"/>
          <w:b/>
          <w:bCs/>
        </w:rPr>
        <w:t xml:space="preserve">Figure </w:t>
      </w:r>
      <w:r>
        <w:rPr>
          <w:rFonts w:ascii="Arial" w:eastAsia="Times New Roman" w:hAnsi="Arial" w:cs="Arial"/>
          <w:b/>
          <w:bCs/>
        </w:rPr>
        <w:t>4</w:t>
      </w:r>
      <w:r w:rsidRPr="002805BA">
        <w:rPr>
          <w:rFonts w:ascii="Arial" w:eastAsia="Times New Roman" w:hAnsi="Arial" w:cs="Arial"/>
          <w:b/>
          <w:bCs/>
        </w:rPr>
        <w:t xml:space="preserve">: </w:t>
      </w:r>
      <w:r w:rsidRPr="00484D13">
        <w:rPr>
          <w:rFonts w:ascii="Arial" w:eastAsia="Times New Roman" w:hAnsi="Arial" w:cs="Arial"/>
          <w:b/>
          <w:bCs/>
        </w:rPr>
        <w:t>Gearing Ratios</w:t>
      </w:r>
      <w:r w:rsidRPr="002805BA">
        <w:rPr>
          <w:rFonts w:ascii="Arial" w:eastAsia="Times New Roman" w:hAnsi="Arial" w:cs="Arial"/>
          <w:b/>
          <w:bCs/>
        </w:rPr>
        <w:t xml:space="preserve"> Comparison (Self-Prepared)</w:t>
      </w:r>
    </w:p>
    <w:p w14:paraId="11F9E7EC" w14:textId="250EE7FB" w:rsidR="00484D13" w:rsidRPr="00484D13" w:rsidRDefault="00484D13" w:rsidP="00922363">
      <w:pPr>
        <w:spacing w:before="100" w:beforeAutospacing="1" w:after="100" w:afterAutospacing="1" w:line="360" w:lineRule="auto"/>
        <w:outlineLvl w:val="2"/>
        <w:rPr>
          <w:rFonts w:ascii="Arial" w:eastAsia="Times New Roman" w:hAnsi="Arial" w:cs="Arial"/>
          <w:b/>
          <w:bCs/>
          <w:sz w:val="27"/>
          <w:szCs w:val="27"/>
        </w:rPr>
      </w:pPr>
      <w:r w:rsidRPr="00484D13">
        <w:rPr>
          <w:rFonts w:ascii="Arial" w:eastAsia="Times New Roman" w:hAnsi="Arial" w:cs="Arial"/>
          <w:b/>
          <w:bCs/>
          <w:sz w:val="27"/>
          <w:szCs w:val="27"/>
        </w:rPr>
        <w:t>Table A5: Investment Ratios (2020–2024)</w:t>
      </w:r>
      <w:bookmarkEnd w:id="49"/>
    </w:p>
    <w:p w14:paraId="3B430AF9" w14:textId="77777777" w:rsidR="00484D13" w:rsidRPr="00484D1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Earnings per share = Net income / Shares outstanding</w:t>
      </w:r>
      <w:r w:rsidRPr="00484D13">
        <w:rPr>
          <w:rFonts w:ascii="Arial" w:eastAsia="Times New Roman" w:hAnsi="Arial" w:cs="Arial"/>
          <w:sz w:val="24"/>
          <w:szCs w:val="24"/>
        </w:rPr>
        <w:br/>
        <w:t>Price to earnings ratio = Market price per share / Earnings per share</w:t>
      </w:r>
      <w:r w:rsidRPr="00484D13">
        <w:rPr>
          <w:rFonts w:ascii="Arial" w:eastAsia="Times New Roman" w:hAnsi="Arial" w:cs="Arial"/>
          <w:sz w:val="24"/>
          <w:szCs w:val="24"/>
        </w:rPr>
        <w:br/>
        <w:t>Return on equity = Net income / Shareholders’ equity</w:t>
      </w:r>
      <w:r w:rsidRPr="00484D13">
        <w:rPr>
          <w:rFonts w:ascii="Arial" w:eastAsia="Times New Roman" w:hAnsi="Arial" w:cs="Arial"/>
          <w:sz w:val="24"/>
          <w:szCs w:val="24"/>
        </w:rPr>
        <w:br/>
        <w:t>Return on assets = Net income / Total assets</w:t>
      </w:r>
    </w:p>
    <w:p w14:paraId="1608BBD1" w14:textId="60295168" w:rsidR="00484D13" w:rsidRPr="0092236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Assumed market price per share: £120</w:t>
      </w:r>
    </w:p>
    <w:tbl>
      <w:tblPr>
        <w:tblStyle w:val="TableGrid"/>
        <w:tblW w:w="0" w:type="auto"/>
        <w:tblLook w:val="04A0" w:firstRow="1" w:lastRow="0" w:firstColumn="1" w:lastColumn="0" w:noHBand="0" w:noVBand="1"/>
      </w:tblPr>
      <w:tblGrid>
        <w:gridCol w:w="1409"/>
        <w:gridCol w:w="1929"/>
        <w:gridCol w:w="1030"/>
        <w:gridCol w:w="951"/>
        <w:gridCol w:w="1151"/>
        <w:gridCol w:w="1440"/>
        <w:gridCol w:w="1440"/>
      </w:tblGrid>
      <w:tr w:rsidR="00E10B4D" w:rsidRPr="00E10B4D" w14:paraId="34D33A28" w14:textId="77777777" w:rsidTr="00E10B4D">
        <w:tc>
          <w:tcPr>
            <w:tcW w:w="0" w:type="auto"/>
            <w:hideMark/>
          </w:tcPr>
          <w:p w14:paraId="4EC8C508"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lastRenderedPageBreak/>
              <w:t>Ratio</w:t>
            </w:r>
          </w:p>
        </w:tc>
        <w:tc>
          <w:tcPr>
            <w:tcW w:w="0" w:type="auto"/>
            <w:hideMark/>
          </w:tcPr>
          <w:p w14:paraId="073BAA7D"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Formula</w:t>
            </w:r>
          </w:p>
        </w:tc>
        <w:tc>
          <w:tcPr>
            <w:tcW w:w="0" w:type="auto"/>
            <w:hideMark/>
          </w:tcPr>
          <w:p w14:paraId="17082413"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2020</w:t>
            </w:r>
          </w:p>
        </w:tc>
        <w:tc>
          <w:tcPr>
            <w:tcW w:w="0" w:type="auto"/>
            <w:hideMark/>
          </w:tcPr>
          <w:p w14:paraId="2E5CBC41"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2021</w:t>
            </w:r>
          </w:p>
        </w:tc>
        <w:tc>
          <w:tcPr>
            <w:tcW w:w="0" w:type="auto"/>
            <w:hideMark/>
          </w:tcPr>
          <w:p w14:paraId="36AECACD"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2022</w:t>
            </w:r>
          </w:p>
        </w:tc>
        <w:tc>
          <w:tcPr>
            <w:tcW w:w="0" w:type="auto"/>
            <w:hideMark/>
          </w:tcPr>
          <w:p w14:paraId="6AA6F55C"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2023</w:t>
            </w:r>
          </w:p>
        </w:tc>
        <w:tc>
          <w:tcPr>
            <w:tcW w:w="0" w:type="auto"/>
            <w:hideMark/>
          </w:tcPr>
          <w:p w14:paraId="221FB0ED"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2024</w:t>
            </w:r>
          </w:p>
        </w:tc>
      </w:tr>
      <w:tr w:rsidR="00E10B4D" w:rsidRPr="00E10B4D" w14:paraId="79544DBB" w14:textId="77777777" w:rsidTr="00E10B4D">
        <w:tc>
          <w:tcPr>
            <w:tcW w:w="0" w:type="auto"/>
            <w:hideMark/>
          </w:tcPr>
          <w:p w14:paraId="266AE401"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Earnings per Share (EPS) (£)</w:t>
            </w:r>
          </w:p>
        </w:tc>
        <w:tc>
          <w:tcPr>
            <w:tcW w:w="0" w:type="auto"/>
            <w:hideMark/>
          </w:tcPr>
          <w:p w14:paraId="6DB9BB2C"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Net Income / Shares Outstanding</w:t>
            </w:r>
          </w:p>
        </w:tc>
        <w:tc>
          <w:tcPr>
            <w:tcW w:w="0" w:type="auto"/>
            <w:hideMark/>
          </w:tcPr>
          <w:p w14:paraId="094E8BC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2.78</w:t>
            </w:r>
          </w:p>
        </w:tc>
        <w:tc>
          <w:tcPr>
            <w:tcW w:w="0" w:type="auto"/>
            <w:hideMark/>
          </w:tcPr>
          <w:p w14:paraId="25546639"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0.39</w:t>
            </w:r>
          </w:p>
        </w:tc>
        <w:tc>
          <w:tcPr>
            <w:tcW w:w="0" w:type="auto"/>
            <w:hideMark/>
          </w:tcPr>
          <w:p w14:paraId="31E25CE5"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0.03</w:t>
            </w:r>
          </w:p>
        </w:tc>
        <w:tc>
          <w:tcPr>
            <w:tcW w:w="0" w:type="auto"/>
            <w:hideMark/>
          </w:tcPr>
          <w:p w14:paraId="54127BE8"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−7.64</w:t>
            </w:r>
          </w:p>
        </w:tc>
        <w:tc>
          <w:tcPr>
            <w:tcW w:w="0" w:type="auto"/>
            <w:hideMark/>
          </w:tcPr>
          <w:p w14:paraId="64284E64"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−1.85</w:t>
            </w:r>
          </w:p>
        </w:tc>
      </w:tr>
      <w:tr w:rsidR="00E10B4D" w:rsidRPr="00E10B4D" w14:paraId="69ED7934" w14:textId="77777777" w:rsidTr="00E10B4D">
        <w:tc>
          <w:tcPr>
            <w:tcW w:w="0" w:type="auto"/>
            <w:hideMark/>
          </w:tcPr>
          <w:p w14:paraId="3237055B"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Price–Earnings Ratio</w:t>
            </w:r>
          </w:p>
        </w:tc>
        <w:tc>
          <w:tcPr>
            <w:tcW w:w="0" w:type="auto"/>
            <w:hideMark/>
          </w:tcPr>
          <w:p w14:paraId="03D548CE"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Market Price per Share / EPS</w:t>
            </w:r>
          </w:p>
        </w:tc>
        <w:tc>
          <w:tcPr>
            <w:tcW w:w="0" w:type="auto"/>
            <w:hideMark/>
          </w:tcPr>
          <w:p w14:paraId="2856CB06"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43.17</w:t>
            </w:r>
          </w:p>
        </w:tc>
        <w:tc>
          <w:tcPr>
            <w:tcW w:w="0" w:type="auto"/>
            <w:hideMark/>
          </w:tcPr>
          <w:p w14:paraId="24B763E6"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304.81</w:t>
            </w:r>
          </w:p>
        </w:tc>
        <w:tc>
          <w:tcPr>
            <w:tcW w:w="0" w:type="auto"/>
            <w:hideMark/>
          </w:tcPr>
          <w:p w14:paraId="2A80234E"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3,745.36</w:t>
            </w:r>
          </w:p>
        </w:tc>
        <w:tc>
          <w:tcPr>
            <w:tcW w:w="0" w:type="auto"/>
            <w:hideMark/>
          </w:tcPr>
          <w:p w14:paraId="10D73C62"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Not meaningful</w:t>
            </w:r>
          </w:p>
        </w:tc>
        <w:tc>
          <w:tcPr>
            <w:tcW w:w="0" w:type="auto"/>
            <w:hideMark/>
          </w:tcPr>
          <w:p w14:paraId="2C34354C"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Not meaningful</w:t>
            </w:r>
          </w:p>
        </w:tc>
      </w:tr>
      <w:tr w:rsidR="00E10B4D" w:rsidRPr="00E10B4D" w14:paraId="28AC7CE7" w14:textId="77777777" w:rsidTr="00E10B4D">
        <w:tc>
          <w:tcPr>
            <w:tcW w:w="0" w:type="auto"/>
            <w:hideMark/>
          </w:tcPr>
          <w:p w14:paraId="564F9C80"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Return on Equity (ROE)</w:t>
            </w:r>
          </w:p>
        </w:tc>
        <w:tc>
          <w:tcPr>
            <w:tcW w:w="0" w:type="auto"/>
            <w:hideMark/>
          </w:tcPr>
          <w:p w14:paraId="4733C7D2"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EBIT / Shareholders’ Equity</w:t>
            </w:r>
          </w:p>
        </w:tc>
        <w:tc>
          <w:tcPr>
            <w:tcW w:w="0" w:type="auto"/>
            <w:hideMark/>
          </w:tcPr>
          <w:p w14:paraId="28859DA8"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11.89%</w:t>
            </w:r>
          </w:p>
        </w:tc>
        <w:tc>
          <w:tcPr>
            <w:tcW w:w="0" w:type="auto"/>
            <w:hideMark/>
          </w:tcPr>
          <w:p w14:paraId="28FDEBC2"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8.43%</w:t>
            </w:r>
          </w:p>
        </w:tc>
        <w:tc>
          <w:tcPr>
            <w:tcW w:w="0" w:type="auto"/>
            <w:hideMark/>
          </w:tcPr>
          <w:p w14:paraId="304A2E05"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5.42%</w:t>
            </w:r>
          </w:p>
        </w:tc>
        <w:tc>
          <w:tcPr>
            <w:tcW w:w="0" w:type="auto"/>
            <w:hideMark/>
          </w:tcPr>
          <w:p w14:paraId="28D446AA"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−47.68%</w:t>
            </w:r>
          </w:p>
        </w:tc>
        <w:tc>
          <w:tcPr>
            <w:tcW w:w="0" w:type="auto"/>
            <w:hideMark/>
          </w:tcPr>
          <w:p w14:paraId="72A7C138"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−9.99%</w:t>
            </w:r>
          </w:p>
        </w:tc>
      </w:tr>
    </w:tbl>
    <w:p w14:paraId="34D69B11" w14:textId="5209C970" w:rsidR="002805BA" w:rsidRPr="002805BA" w:rsidRDefault="002805BA" w:rsidP="002805BA">
      <w:pPr>
        <w:spacing w:before="100" w:beforeAutospacing="1" w:after="100" w:afterAutospacing="1" w:line="360" w:lineRule="auto"/>
        <w:jc w:val="center"/>
        <w:outlineLvl w:val="2"/>
        <w:rPr>
          <w:rFonts w:ascii="Arial" w:eastAsia="Times New Roman" w:hAnsi="Arial" w:cs="Arial"/>
          <w:b/>
          <w:bCs/>
          <w:sz w:val="20"/>
          <w:szCs w:val="20"/>
        </w:rPr>
      </w:pPr>
      <w:r w:rsidRPr="002805BA">
        <w:rPr>
          <w:rFonts w:ascii="Arial" w:eastAsia="Times New Roman" w:hAnsi="Arial" w:cs="Arial"/>
          <w:b/>
          <w:bCs/>
          <w:sz w:val="20"/>
          <w:szCs w:val="20"/>
        </w:rPr>
        <w:t xml:space="preserve">Table 5: </w:t>
      </w:r>
      <w:r w:rsidRPr="00484D13">
        <w:rPr>
          <w:rFonts w:ascii="Arial" w:eastAsia="Times New Roman" w:hAnsi="Arial" w:cs="Arial"/>
          <w:b/>
          <w:bCs/>
          <w:sz w:val="20"/>
          <w:szCs w:val="20"/>
        </w:rPr>
        <w:t xml:space="preserve">Investment Ratios </w:t>
      </w:r>
      <w:r w:rsidRPr="002805BA">
        <w:rPr>
          <w:rFonts w:ascii="Arial" w:eastAsia="Times New Roman" w:hAnsi="Arial" w:cs="Arial"/>
          <w:b/>
          <w:bCs/>
          <w:sz w:val="20"/>
          <w:szCs w:val="20"/>
        </w:rPr>
        <w:t>(Self-Prepared)</w:t>
      </w:r>
    </w:p>
    <w:p w14:paraId="1DA14457" w14:textId="04B94744" w:rsidR="00922363" w:rsidRDefault="002805BA" w:rsidP="002805BA">
      <w:pPr>
        <w:spacing w:before="100" w:beforeAutospacing="1" w:after="100" w:afterAutospacing="1" w:line="360" w:lineRule="auto"/>
        <w:jc w:val="center"/>
        <w:outlineLvl w:val="2"/>
        <w:rPr>
          <w:rFonts w:ascii="Arial" w:eastAsia="Times New Roman" w:hAnsi="Arial" w:cs="Arial"/>
          <w:b/>
          <w:bCs/>
          <w:sz w:val="27"/>
          <w:szCs w:val="27"/>
        </w:rPr>
      </w:pPr>
      <w:r>
        <w:rPr>
          <w:noProof/>
        </w:rPr>
        <w:drawing>
          <wp:inline distT="0" distB="0" distL="0" distR="0" wp14:anchorId="5267DB00" wp14:editId="75497340">
            <wp:extent cx="4476750" cy="2890837"/>
            <wp:effectExtent l="0" t="0" r="0" b="5080"/>
            <wp:docPr id="10" name="Chart 10">
              <a:extLst xmlns:a="http://schemas.openxmlformats.org/drawingml/2006/main">
                <a:ext uri="{FF2B5EF4-FFF2-40B4-BE49-F238E27FC236}">
                  <a16:creationId xmlns:a16="http://schemas.microsoft.com/office/drawing/2014/main" id="{57A9F50E-B183-4B90-8173-E8CEA212CE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EF93300" w14:textId="4B2BA31B" w:rsidR="002805BA" w:rsidRPr="002805BA" w:rsidRDefault="002805BA" w:rsidP="002805BA">
      <w:pPr>
        <w:spacing w:before="100" w:beforeAutospacing="1" w:after="100" w:afterAutospacing="1" w:line="360" w:lineRule="auto"/>
        <w:jc w:val="center"/>
        <w:outlineLvl w:val="2"/>
        <w:rPr>
          <w:rFonts w:ascii="Arial" w:eastAsia="Times New Roman" w:hAnsi="Arial" w:cs="Arial"/>
          <w:b/>
          <w:bCs/>
          <w:sz w:val="20"/>
          <w:szCs w:val="20"/>
        </w:rPr>
      </w:pPr>
      <w:r w:rsidRPr="002805BA">
        <w:rPr>
          <w:rFonts w:ascii="Arial" w:eastAsia="Times New Roman" w:hAnsi="Arial" w:cs="Arial"/>
          <w:b/>
          <w:bCs/>
          <w:sz w:val="20"/>
          <w:szCs w:val="20"/>
        </w:rPr>
        <w:t xml:space="preserve">Figure 5: </w:t>
      </w:r>
      <w:r w:rsidRPr="00484D13">
        <w:rPr>
          <w:rFonts w:ascii="Arial" w:eastAsia="Times New Roman" w:hAnsi="Arial" w:cs="Arial"/>
          <w:b/>
          <w:bCs/>
          <w:sz w:val="20"/>
          <w:szCs w:val="20"/>
        </w:rPr>
        <w:t xml:space="preserve">Investment Ratios </w:t>
      </w:r>
      <w:r w:rsidRPr="002805BA">
        <w:rPr>
          <w:rFonts w:ascii="Arial" w:eastAsia="Times New Roman" w:hAnsi="Arial" w:cs="Arial"/>
          <w:b/>
          <w:bCs/>
          <w:sz w:val="20"/>
          <w:szCs w:val="20"/>
        </w:rPr>
        <w:t>Comparison (Self-Prepared)</w:t>
      </w:r>
    </w:p>
    <w:p w14:paraId="52EFA1B1" w14:textId="6649A5D0" w:rsidR="002805BA" w:rsidRDefault="002805BA" w:rsidP="002805BA">
      <w:pPr>
        <w:spacing w:before="100" w:beforeAutospacing="1" w:after="100" w:afterAutospacing="1" w:line="360" w:lineRule="auto"/>
        <w:jc w:val="center"/>
        <w:outlineLvl w:val="2"/>
        <w:rPr>
          <w:rFonts w:ascii="Arial" w:eastAsia="Times New Roman" w:hAnsi="Arial" w:cs="Arial"/>
          <w:b/>
          <w:bCs/>
          <w:sz w:val="27"/>
          <w:szCs w:val="27"/>
        </w:rPr>
      </w:pPr>
    </w:p>
    <w:p w14:paraId="326B1473" w14:textId="50FC4B3B" w:rsidR="00EC0BAC" w:rsidRDefault="00EC0BAC" w:rsidP="002805BA">
      <w:pPr>
        <w:spacing w:before="100" w:beforeAutospacing="1" w:after="100" w:afterAutospacing="1" w:line="360" w:lineRule="auto"/>
        <w:jc w:val="center"/>
        <w:outlineLvl w:val="2"/>
        <w:rPr>
          <w:rFonts w:ascii="Arial" w:eastAsia="Times New Roman" w:hAnsi="Arial" w:cs="Arial"/>
          <w:b/>
          <w:bCs/>
          <w:sz w:val="27"/>
          <w:szCs w:val="27"/>
        </w:rPr>
      </w:pPr>
    </w:p>
    <w:p w14:paraId="51C61001" w14:textId="2B778E9C" w:rsidR="00EC0BAC" w:rsidRDefault="00EC0BAC" w:rsidP="00EC0BAC">
      <w:pPr>
        <w:spacing w:before="100" w:beforeAutospacing="1" w:after="100" w:afterAutospacing="1" w:line="360" w:lineRule="auto"/>
        <w:outlineLvl w:val="2"/>
        <w:rPr>
          <w:rFonts w:ascii="Arial" w:eastAsia="Times New Roman" w:hAnsi="Arial" w:cs="Arial"/>
          <w:b/>
          <w:bCs/>
          <w:sz w:val="27"/>
          <w:szCs w:val="27"/>
        </w:rPr>
      </w:pPr>
    </w:p>
    <w:p w14:paraId="6819EDBB" w14:textId="2362BAB4" w:rsidR="00484D13" w:rsidRPr="00484D13" w:rsidRDefault="00484D13" w:rsidP="00922363">
      <w:pPr>
        <w:spacing w:before="100" w:beforeAutospacing="1" w:after="100" w:afterAutospacing="1" w:line="360" w:lineRule="auto"/>
        <w:outlineLvl w:val="2"/>
        <w:rPr>
          <w:rFonts w:ascii="Arial" w:eastAsia="Times New Roman" w:hAnsi="Arial" w:cs="Arial"/>
          <w:b/>
          <w:bCs/>
          <w:sz w:val="27"/>
          <w:szCs w:val="27"/>
        </w:rPr>
      </w:pPr>
      <w:bookmarkStart w:id="50" w:name="_Toc216755993"/>
      <w:r w:rsidRPr="00484D13">
        <w:rPr>
          <w:rFonts w:ascii="Arial" w:eastAsia="Times New Roman" w:hAnsi="Arial" w:cs="Arial"/>
          <w:b/>
          <w:bCs/>
          <w:sz w:val="27"/>
          <w:szCs w:val="27"/>
        </w:rPr>
        <w:lastRenderedPageBreak/>
        <w:t>Table A6: Cash Flow Ratios (2020–2024)</w:t>
      </w:r>
      <w:bookmarkEnd w:id="50"/>
    </w:p>
    <w:p w14:paraId="45C2109A" w14:textId="77777777" w:rsidR="00484D13" w:rsidRPr="00484D1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Operating cash flow ratio = Operating cash flow / Current liabilities</w:t>
      </w:r>
      <w:r w:rsidRPr="00484D13">
        <w:rPr>
          <w:rFonts w:ascii="Arial" w:eastAsia="Times New Roman" w:hAnsi="Arial" w:cs="Arial"/>
          <w:sz w:val="24"/>
          <w:szCs w:val="24"/>
        </w:rPr>
        <w:br/>
        <w:t>Cash flow to debt ratio = Operating cash flow / Total liabilities</w:t>
      </w:r>
      <w:r w:rsidRPr="00484D13">
        <w:rPr>
          <w:rFonts w:ascii="Arial" w:eastAsia="Times New Roman" w:hAnsi="Arial" w:cs="Arial"/>
          <w:sz w:val="24"/>
          <w:szCs w:val="24"/>
        </w:rPr>
        <w:br/>
        <w:t>Cash flow margin = Operating cash flow / Net sales</w:t>
      </w:r>
    </w:p>
    <w:p w14:paraId="4103AC7A" w14:textId="47A55638" w:rsidR="00484D13" w:rsidRPr="0092236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 xml:space="preserve">Five-year numerical calculations presented </w:t>
      </w:r>
      <w:r w:rsidR="00E10B4D" w:rsidRPr="00922363">
        <w:rPr>
          <w:rFonts w:ascii="Arial" w:eastAsia="Times New Roman" w:hAnsi="Arial" w:cs="Arial"/>
          <w:sz w:val="24"/>
          <w:szCs w:val="24"/>
        </w:rPr>
        <w:t xml:space="preserve">below: </w:t>
      </w:r>
    </w:p>
    <w:tbl>
      <w:tblPr>
        <w:tblStyle w:val="TableGrid"/>
        <w:tblW w:w="0" w:type="auto"/>
        <w:tblLook w:val="04A0" w:firstRow="1" w:lastRow="0" w:firstColumn="1" w:lastColumn="0" w:noHBand="0" w:noVBand="1"/>
      </w:tblPr>
      <w:tblGrid>
        <w:gridCol w:w="2058"/>
        <w:gridCol w:w="2674"/>
        <w:gridCol w:w="1030"/>
        <w:gridCol w:w="897"/>
        <w:gridCol w:w="897"/>
        <w:gridCol w:w="897"/>
        <w:gridCol w:w="897"/>
      </w:tblGrid>
      <w:tr w:rsidR="00E10B4D" w:rsidRPr="00E10B4D" w14:paraId="56F7389F" w14:textId="77777777" w:rsidTr="00E10B4D">
        <w:tc>
          <w:tcPr>
            <w:tcW w:w="0" w:type="auto"/>
            <w:hideMark/>
          </w:tcPr>
          <w:p w14:paraId="0A063326"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Ratio</w:t>
            </w:r>
          </w:p>
        </w:tc>
        <w:tc>
          <w:tcPr>
            <w:tcW w:w="0" w:type="auto"/>
            <w:hideMark/>
          </w:tcPr>
          <w:p w14:paraId="2AE4FA85"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Formula</w:t>
            </w:r>
          </w:p>
        </w:tc>
        <w:tc>
          <w:tcPr>
            <w:tcW w:w="0" w:type="auto"/>
            <w:hideMark/>
          </w:tcPr>
          <w:p w14:paraId="2D6B7F42"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2020</w:t>
            </w:r>
          </w:p>
        </w:tc>
        <w:tc>
          <w:tcPr>
            <w:tcW w:w="0" w:type="auto"/>
            <w:hideMark/>
          </w:tcPr>
          <w:p w14:paraId="0FFDD0A2"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2021</w:t>
            </w:r>
          </w:p>
        </w:tc>
        <w:tc>
          <w:tcPr>
            <w:tcW w:w="0" w:type="auto"/>
            <w:hideMark/>
          </w:tcPr>
          <w:p w14:paraId="17399F89"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2022</w:t>
            </w:r>
          </w:p>
        </w:tc>
        <w:tc>
          <w:tcPr>
            <w:tcW w:w="0" w:type="auto"/>
            <w:hideMark/>
          </w:tcPr>
          <w:p w14:paraId="18AA0597"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2023</w:t>
            </w:r>
          </w:p>
        </w:tc>
        <w:tc>
          <w:tcPr>
            <w:tcW w:w="0" w:type="auto"/>
            <w:hideMark/>
          </w:tcPr>
          <w:p w14:paraId="4DA53BE2"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2024</w:t>
            </w:r>
          </w:p>
        </w:tc>
      </w:tr>
      <w:tr w:rsidR="00E10B4D" w:rsidRPr="00E10B4D" w14:paraId="1105F957" w14:textId="77777777" w:rsidTr="00E10B4D">
        <w:tc>
          <w:tcPr>
            <w:tcW w:w="0" w:type="auto"/>
            <w:hideMark/>
          </w:tcPr>
          <w:p w14:paraId="65441EB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Operating Cash Flow Ratio</w:t>
            </w:r>
          </w:p>
        </w:tc>
        <w:tc>
          <w:tcPr>
            <w:tcW w:w="0" w:type="auto"/>
            <w:hideMark/>
          </w:tcPr>
          <w:p w14:paraId="015AAB4C"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Operating Cash Flow / Current Liabilities</w:t>
            </w:r>
          </w:p>
        </w:tc>
        <w:tc>
          <w:tcPr>
            <w:tcW w:w="0" w:type="auto"/>
            <w:hideMark/>
          </w:tcPr>
          <w:p w14:paraId="0E6A362A"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0.41</w:t>
            </w:r>
          </w:p>
        </w:tc>
        <w:tc>
          <w:tcPr>
            <w:tcW w:w="0" w:type="auto"/>
            <w:hideMark/>
          </w:tcPr>
          <w:p w14:paraId="1BAC9B8A"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0.19</w:t>
            </w:r>
          </w:p>
        </w:tc>
        <w:tc>
          <w:tcPr>
            <w:tcW w:w="0" w:type="auto"/>
            <w:hideMark/>
          </w:tcPr>
          <w:p w14:paraId="47D7B78A"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0.05</w:t>
            </w:r>
          </w:p>
        </w:tc>
        <w:tc>
          <w:tcPr>
            <w:tcW w:w="0" w:type="auto"/>
            <w:hideMark/>
          </w:tcPr>
          <w:p w14:paraId="39A90662"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0.16</w:t>
            </w:r>
          </w:p>
        </w:tc>
        <w:tc>
          <w:tcPr>
            <w:tcW w:w="0" w:type="auto"/>
            <w:hideMark/>
          </w:tcPr>
          <w:p w14:paraId="2466A649"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0.09</w:t>
            </w:r>
          </w:p>
        </w:tc>
      </w:tr>
      <w:tr w:rsidR="00E10B4D" w:rsidRPr="00E10B4D" w14:paraId="007A6631" w14:textId="77777777" w:rsidTr="00E10B4D">
        <w:tc>
          <w:tcPr>
            <w:tcW w:w="0" w:type="auto"/>
            <w:hideMark/>
          </w:tcPr>
          <w:p w14:paraId="2D3B48A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Cash Flow to Debt Ratio</w:t>
            </w:r>
          </w:p>
        </w:tc>
        <w:tc>
          <w:tcPr>
            <w:tcW w:w="0" w:type="auto"/>
            <w:hideMark/>
          </w:tcPr>
          <w:p w14:paraId="565E5A5F"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Operating Cash Flow / Total Liabilities</w:t>
            </w:r>
          </w:p>
        </w:tc>
        <w:tc>
          <w:tcPr>
            <w:tcW w:w="0" w:type="auto"/>
            <w:hideMark/>
          </w:tcPr>
          <w:p w14:paraId="7CBDE17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0.37</w:t>
            </w:r>
          </w:p>
        </w:tc>
        <w:tc>
          <w:tcPr>
            <w:tcW w:w="0" w:type="auto"/>
            <w:hideMark/>
          </w:tcPr>
          <w:p w14:paraId="1B7EEB0C"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0.17</w:t>
            </w:r>
          </w:p>
        </w:tc>
        <w:tc>
          <w:tcPr>
            <w:tcW w:w="0" w:type="auto"/>
            <w:hideMark/>
          </w:tcPr>
          <w:p w14:paraId="6F0BDEFC"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0.05</w:t>
            </w:r>
          </w:p>
        </w:tc>
        <w:tc>
          <w:tcPr>
            <w:tcW w:w="0" w:type="auto"/>
            <w:hideMark/>
          </w:tcPr>
          <w:p w14:paraId="35764928"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0.14</w:t>
            </w:r>
          </w:p>
        </w:tc>
        <w:tc>
          <w:tcPr>
            <w:tcW w:w="0" w:type="auto"/>
            <w:hideMark/>
          </w:tcPr>
          <w:p w14:paraId="15E154AE"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0.09</w:t>
            </w:r>
          </w:p>
        </w:tc>
      </w:tr>
      <w:tr w:rsidR="00E10B4D" w:rsidRPr="00E10B4D" w14:paraId="2BD9EC82" w14:textId="77777777" w:rsidTr="00E10B4D">
        <w:tc>
          <w:tcPr>
            <w:tcW w:w="0" w:type="auto"/>
            <w:hideMark/>
          </w:tcPr>
          <w:p w14:paraId="72AF0425"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Cash Flow Margin</w:t>
            </w:r>
          </w:p>
        </w:tc>
        <w:tc>
          <w:tcPr>
            <w:tcW w:w="0" w:type="auto"/>
            <w:hideMark/>
          </w:tcPr>
          <w:p w14:paraId="3F3EEEF0"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Operating Cash Flow / Net Sales</w:t>
            </w:r>
          </w:p>
        </w:tc>
        <w:tc>
          <w:tcPr>
            <w:tcW w:w="0" w:type="auto"/>
            <w:hideMark/>
          </w:tcPr>
          <w:p w14:paraId="6C6136FD"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11.94%</w:t>
            </w:r>
          </w:p>
        </w:tc>
        <w:tc>
          <w:tcPr>
            <w:tcW w:w="0" w:type="auto"/>
            <w:hideMark/>
          </w:tcPr>
          <w:p w14:paraId="688784E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6.70%</w:t>
            </w:r>
          </w:p>
        </w:tc>
        <w:tc>
          <w:tcPr>
            <w:tcW w:w="0" w:type="auto"/>
            <w:hideMark/>
          </w:tcPr>
          <w:p w14:paraId="3201F7C5"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2.01%</w:t>
            </w:r>
          </w:p>
        </w:tc>
        <w:tc>
          <w:tcPr>
            <w:tcW w:w="0" w:type="auto"/>
            <w:hideMark/>
          </w:tcPr>
          <w:p w14:paraId="108B0B59"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5.99%</w:t>
            </w:r>
          </w:p>
        </w:tc>
        <w:tc>
          <w:tcPr>
            <w:tcW w:w="0" w:type="auto"/>
            <w:hideMark/>
          </w:tcPr>
          <w:p w14:paraId="413F137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3.75%</w:t>
            </w:r>
          </w:p>
        </w:tc>
      </w:tr>
    </w:tbl>
    <w:p w14:paraId="6F88171C" w14:textId="0843A585" w:rsidR="00F7292C" w:rsidRPr="00F7292C" w:rsidRDefault="00F7292C" w:rsidP="00F7292C">
      <w:pPr>
        <w:spacing w:before="100" w:beforeAutospacing="1" w:after="100" w:afterAutospacing="1" w:line="360" w:lineRule="auto"/>
        <w:jc w:val="center"/>
        <w:outlineLvl w:val="2"/>
        <w:rPr>
          <w:rFonts w:ascii="Arial" w:eastAsia="Times New Roman" w:hAnsi="Arial" w:cs="Arial"/>
          <w:b/>
          <w:bCs/>
          <w:sz w:val="20"/>
          <w:szCs w:val="20"/>
        </w:rPr>
      </w:pPr>
      <w:bookmarkStart w:id="51" w:name="_Toc216755994"/>
      <w:bookmarkEnd w:id="45"/>
      <w:r w:rsidRPr="00F7292C">
        <w:rPr>
          <w:rFonts w:ascii="Arial" w:eastAsia="Times New Roman" w:hAnsi="Arial" w:cs="Arial"/>
          <w:b/>
          <w:bCs/>
          <w:sz w:val="20"/>
          <w:szCs w:val="20"/>
        </w:rPr>
        <w:t xml:space="preserve">Table 6: </w:t>
      </w:r>
      <w:r w:rsidRPr="00484D13">
        <w:rPr>
          <w:rFonts w:ascii="Arial" w:eastAsia="Times New Roman" w:hAnsi="Arial" w:cs="Arial"/>
          <w:b/>
          <w:bCs/>
          <w:sz w:val="20"/>
          <w:szCs w:val="20"/>
        </w:rPr>
        <w:t xml:space="preserve">Cash Flow Ratios </w:t>
      </w:r>
      <w:r w:rsidRPr="00F7292C">
        <w:rPr>
          <w:rFonts w:ascii="Arial" w:eastAsia="Times New Roman" w:hAnsi="Arial" w:cs="Arial"/>
          <w:b/>
          <w:bCs/>
          <w:sz w:val="20"/>
          <w:szCs w:val="20"/>
        </w:rPr>
        <w:t>(Self-Prepared)</w:t>
      </w:r>
    </w:p>
    <w:p w14:paraId="1AD16E7B" w14:textId="0228C1CF" w:rsidR="00F7292C" w:rsidRDefault="00F7292C" w:rsidP="00F7292C">
      <w:pPr>
        <w:spacing w:before="100" w:beforeAutospacing="1" w:after="100" w:afterAutospacing="1" w:line="360" w:lineRule="auto"/>
        <w:jc w:val="center"/>
        <w:outlineLvl w:val="2"/>
        <w:rPr>
          <w:rFonts w:ascii="Arial" w:eastAsia="Times New Roman" w:hAnsi="Arial" w:cs="Arial"/>
          <w:b/>
          <w:bCs/>
          <w:sz w:val="27"/>
          <w:szCs w:val="27"/>
        </w:rPr>
      </w:pPr>
      <w:r>
        <w:rPr>
          <w:noProof/>
        </w:rPr>
        <w:drawing>
          <wp:inline distT="0" distB="0" distL="0" distR="0" wp14:anchorId="0DE37875" wp14:editId="6A90E942">
            <wp:extent cx="4210050" cy="2967037"/>
            <wp:effectExtent l="0" t="0" r="0" b="5080"/>
            <wp:docPr id="11" name="Chart 11">
              <a:extLst xmlns:a="http://schemas.openxmlformats.org/drawingml/2006/main">
                <a:ext uri="{FF2B5EF4-FFF2-40B4-BE49-F238E27FC236}">
                  <a16:creationId xmlns:a16="http://schemas.microsoft.com/office/drawing/2014/main" id="{34CDBA1C-D9D1-4711-AED1-AD35ABF9E1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EF7A1DA" w14:textId="1EF77D13" w:rsidR="00F7292C" w:rsidRPr="00F7292C" w:rsidRDefault="00F7292C" w:rsidP="00F7292C">
      <w:pPr>
        <w:spacing w:before="100" w:beforeAutospacing="1" w:after="100" w:afterAutospacing="1" w:line="360" w:lineRule="auto"/>
        <w:jc w:val="center"/>
        <w:outlineLvl w:val="2"/>
        <w:rPr>
          <w:rFonts w:ascii="Arial" w:eastAsia="Times New Roman" w:hAnsi="Arial" w:cs="Arial"/>
          <w:b/>
          <w:bCs/>
          <w:sz w:val="20"/>
          <w:szCs w:val="20"/>
        </w:rPr>
      </w:pPr>
      <w:r w:rsidRPr="00F7292C">
        <w:rPr>
          <w:rFonts w:ascii="Arial" w:eastAsia="Times New Roman" w:hAnsi="Arial" w:cs="Arial"/>
          <w:b/>
          <w:bCs/>
          <w:sz w:val="20"/>
          <w:szCs w:val="20"/>
        </w:rPr>
        <w:t xml:space="preserve">Figure 6: </w:t>
      </w:r>
      <w:r w:rsidRPr="00484D13">
        <w:rPr>
          <w:rFonts w:ascii="Arial" w:eastAsia="Times New Roman" w:hAnsi="Arial" w:cs="Arial"/>
          <w:b/>
          <w:bCs/>
          <w:sz w:val="20"/>
          <w:szCs w:val="20"/>
        </w:rPr>
        <w:t xml:space="preserve">Cash Flow Ratios </w:t>
      </w:r>
      <w:r w:rsidRPr="00F7292C">
        <w:rPr>
          <w:rFonts w:ascii="Arial" w:eastAsia="Times New Roman" w:hAnsi="Arial" w:cs="Arial"/>
          <w:b/>
          <w:bCs/>
          <w:sz w:val="20"/>
          <w:szCs w:val="20"/>
        </w:rPr>
        <w:t>Comparison (Self-Prepared)</w:t>
      </w:r>
    </w:p>
    <w:p w14:paraId="709FD79F" w14:textId="77777777" w:rsidR="00F7292C" w:rsidRDefault="00F7292C" w:rsidP="00F7292C">
      <w:pPr>
        <w:spacing w:before="100" w:beforeAutospacing="1" w:after="100" w:afterAutospacing="1" w:line="360" w:lineRule="auto"/>
        <w:jc w:val="center"/>
        <w:outlineLvl w:val="2"/>
        <w:rPr>
          <w:rFonts w:ascii="Arial" w:eastAsia="Times New Roman" w:hAnsi="Arial" w:cs="Arial"/>
          <w:b/>
          <w:bCs/>
          <w:sz w:val="27"/>
          <w:szCs w:val="27"/>
        </w:rPr>
      </w:pPr>
    </w:p>
    <w:p w14:paraId="44FC9791" w14:textId="04465FAF" w:rsidR="00484D13" w:rsidRPr="00484D13" w:rsidRDefault="00484D13" w:rsidP="00922363">
      <w:pPr>
        <w:spacing w:before="100" w:beforeAutospacing="1" w:after="100" w:afterAutospacing="1" w:line="360" w:lineRule="auto"/>
        <w:outlineLvl w:val="2"/>
        <w:rPr>
          <w:rFonts w:ascii="Arial" w:eastAsia="Times New Roman" w:hAnsi="Arial" w:cs="Arial"/>
          <w:b/>
          <w:bCs/>
          <w:sz w:val="27"/>
          <w:szCs w:val="27"/>
        </w:rPr>
      </w:pPr>
      <w:r w:rsidRPr="00484D13">
        <w:rPr>
          <w:rFonts w:ascii="Arial" w:eastAsia="Times New Roman" w:hAnsi="Arial" w:cs="Arial"/>
          <w:b/>
          <w:bCs/>
          <w:sz w:val="27"/>
          <w:szCs w:val="27"/>
        </w:rPr>
        <w:lastRenderedPageBreak/>
        <w:t>Table A7: Altman Z-Score Calculation (2020–2024)</w:t>
      </w:r>
      <w:bookmarkEnd w:id="51"/>
    </w:p>
    <w:p w14:paraId="294F67F3" w14:textId="77777777" w:rsidR="00484D13" w:rsidRPr="00484D1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Z = 1.2X1 + 1.4X2 + 3.3X3 + 0.6X4 + 1.0X5</w:t>
      </w:r>
    </w:p>
    <w:p w14:paraId="665399AF" w14:textId="5CF8E914" w:rsidR="00484D13" w:rsidRPr="00484D13" w:rsidRDefault="00484D13" w:rsidP="00922363">
      <w:pPr>
        <w:spacing w:before="100" w:beforeAutospacing="1" w:after="100" w:afterAutospacing="1" w:line="360" w:lineRule="auto"/>
        <w:rPr>
          <w:rFonts w:ascii="Arial" w:eastAsia="Times New Roman" w:hAnsi="Arial" w:cs="Arial"/>
          <w:sz w:val="24"/>
          <w:szCs w:val="24"/>
        </w:rPr>
      </w:pPr>
      <w:r w:rsidRPr="00484D13">
        <w:rPr>
          <w:rFonts w:ascii="Arial" w:eastAsia="Times New Roman" w:hAnsi="Arial" w:cs="Arial"/>
          <w:sz w:val="24"/>
          <w:szCs w:val="24"/>
        </w:rPr>
        <w:t>Component values and final Z-Score for each year</w:t>
      </w:r>
      <w:r w:rsidR="00E10B4D" w:rsidRPr="00922363">
        <w:rPr>
          <w:rFonts w:ascii="Arial" w:eastAsia="Times New Roman" w:hAnsi="Arial" w:cs="Arial"/>
          <w:sz w:val="24"/>
          <w:szCs w:val="24"/>
        </w:rPr>
        <w:t xml:space="preserve"> are presented below: </w:t>
      </w:r>
    </w:p>
    <w:tbl>
      <w:tblPr>
        <w:tblStyle w:val="TableGrid"/>
        <w:tblW w:w="0" w:type="auto"/>
        <w:tblLook w:val="04A0" w:firstRow="1" w:lastRow="0" w:firstColumn="1" w:lastColumn="0" w:noHBand="0" w:noVBand="1"/>
      </w:tblPr>
      <w:tblGrid>
        <w:gridCol w:w="1792"/>
        <w:gridCol w:w="3660"/>
        <w:gridCol w:w="750"/>
        <w:gridCol w:w="750"/>
        <w:gridCol w:w="750"/>
        <w:gridCol w:w="824"/>
        <w:gridCol w:w="824"/>
      </w:tblGrid>
      <w:tr w:rsidR="00E10B4D" w:rsidRPr="00E10B4D" w14:paraId="4BE15B61" w14:textId="77777777" w:rsidTr="00E10B4D">
        <w:tc>
          <w:tcPr>
            <w:tcW w:w="0" w:type="auto"/>
            <w:hideMark/>
          </w:tcPr>
          <w:p w14:paraId="4CCFF7CF"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Component</w:t>
            </w:r>
          </w:p>
        </w:tc>
        <w:tc>
          <w:tcPr>
            <w:tcW w:w="0" w:type="auto"/>
            <w:hideMark/>
          </w:tcPr>
          <w:p w14:paraId="6162AD85"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Formula</w:t>
            </w:r>
          </w:p>
        </w:tc>
        <w:tc>
          <w:tcPr>
            <w:tcW w:w="0" w:type="auto"/>
            <w:hideMark/>
          </w:tcPr>
          <w:p w14:paraId="21A7A1AF"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2020</w:t>
            </w:r>
          </w:p>
        </w:tc>
        <w:tc>
          <w:tcPr>
            <w:tcW w:w="0" w:type="auto"/>
            <w:hideMark/>
          </w:tcPr>
          <w:p w14:paraId="36F26C4C"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2021</w:t>
            </w:r>
          </w:p>
        </w:tc>
        <w:tc>
          <w:tcPr>
            <w:tcW w:w="0" w:type="auto"/>
            <w:hideMark/>
          </w:tcPr>
          <w:p w14:paraId="0D318285"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2022</w:t>
            </w:r>
          </w:p>
        </w:tc>
        <w:tc>
          <w:tcPr>
            <w:tcW w:w="0" w:type="auto"/>
            <w:hideMark/>
          </w:tcPr>
          <w:p w14:paraId="3F68D2CD"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2023</w:t>
            </w:r>
          </w:p>
        </w:tc>
        <w:tc>
          <w:tcPr>
            <w:tcW w:w="0" w:type="auto"/>
            <w:hideMark/>
          </w:tcPr>
          <w:p w14:paraId="336BDBF0" w14:textId="77777777" w:rsidR="00E10B4D" w:rsidRPr="00E10B4D" w:rsidRDefault="00E10B4D" w:rsidP="00922363">
            <w:pPr>
              <w:spacing w:line="360" w:lineRule="auto"/>
              <w:jc w:val="center"/>
              <w:rPr>
                <w:rFonts w:ascii="Arial" w:eastAsia="Times New Roman" w:hAnsi="Arial" w:cs="Arial"/>
                <w:b/>
                <w:bCs/>
                <w:sz w:val="24"/>
                <w:szCs w:val="24"/>
              </w:rPr>
            </w:pPr>
            <w:r w:rsidRPr="00E10B4D">
              <w:rPr>
                <w:rFonts w:ascii="Arial" w:eastAsia="Times New Roman" w:hAnsi="Arial" w:cs="Arial"/>
                <w:b/>
                <w:bCs/>
                <w:sz w:val="24"/>
                <w:szCs w:val="24"/>
              </w:rPr>
              <w:t>2024</w:t>
            </w:r>
          </w:p>
        </w:tc>
      </w:tr>
      <w:tr w:rsidR="00E10B4D" w:rsidRPr="00E10B4D" w14:paraId="24BD695D" w14:textId="77777777" w:rsidTr="00E10B4D">
        <w:tc>
          <w:tcPr>
            <w:tcW w:w="0" w:type="auto"/>
            <w:hideMark/>
          </w:tcPr>
          <w:p w14:paraId="1F7B863C"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X1</w:t>
            </w:r>
          </w:p>
        </w:tc>
        <w:tc>
          <w:tcPr>
            <w:tcW w:w="0" w:type="auto"/>
            <w:hideMark/>
          </w:tcPr>
          <w:p w14:paraId="60D97826"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(Current Assets − Current Liabilities) / Total Assets</w:t>
            </w:r>
          </w:p>
        </w:tc>
        <w:tc>
          <w:tcPr>
            <w:tcW w:w="0" w:type="auto"/>
            <w:hideMark/>
          </w:tcPr>
          <w:p w14:paraId="11E3272B"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0.29</w:t>
            </w:r>
          </w:p>
        </w:tc>
        <w:tc>
          <w:tcPr>
            <w:tcW w:w="0" w:type="auto"/>
            <w:hideMark/>
          </w:tcPr>
          <w:p w14:paraId="52625C89"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0.24</w:t>
            </w:r>
          </w:p>
        </w:tc>
        <w:tc>
          <w:tcPr>
            <w:tcW w:w="0" w:type="auto"/>
            <w:hideMark/>
          </w:tcPr>
          <w:p w14:paraId="2284CB4A"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0.24</w:t>
            </w:r>
          </w:p>
        </w:tc>
        <w:tc>
          <w:tcPr>
            <w:tcW w:w="0" w:type="auto"/>
            <w:hideMark/>
          </w:tcPr>
          <w:p w14:paraId="5B778F5A"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0.27</w:t>
            </w:r>
          </w:p>
        </w:tc>
        <w:tc>
          <w:tcPr>
            <w:tcW w:w="0" w:type="auto"/>
            <w:hideMark/>
          </w:tcPr>
          <w:p w14:paraId="14C355C0"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0.26</w:t>
            </w:r>
          </w:p>
        </w:tc>
      </w:tr>
      <w:tr w:rsidR="00E10B4D" w:rsidRPr="00E10B4D" w14:paraId="77FA74CC" w14:textId="77777777" w:rsidTr="00E10B4D">
        <w:tc>
          <w:tcPr>
            <w:tcW w:w="0" w:type="auto"/>
            <w:hideMark/>
          </w:tcPr>
          <w:p w14:paraId="117FDA9F"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X2</w:t>
            </w:r>
          </w:p>
        </w:tc>
        <w:tc>
          <w:tcPr>
            <w:tcW w:w="0" w:type="auto"/>
            <w:hideMark/>
          </w:tcPr>
          <w:p w14:paraId="70F2C45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Retained Earnings / Total Assets</w:t>
            </w:r>
          </w:p>
        </w:tc>
        <w:tc>
          <w:tcPr>
            <w:tcW w:w="0" w:type="auto"/>
            <w:hideMark/>
          </w:tcPr>
          <w:p w14:paraId="2C6297B1"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0.64</w:t>
            </w:r>
          </w:p>
        </w:tc>
        <w:tc>
          <w:tcPr>
            <w:tcW w:w="0" w:type="auto"/>
            <w:hideMark/>
          </w:tcPr>
          <w:p w14:paraId="5D623EBC"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0.65</w:t>
            </w:r>
          </w:p>
        </w:tc>
        <w:tc>
          <w:tcPr>
            <w:tcW w:w="0" w:type="auto"/>
            <w:hideMark/>
          </w:tcPr>
          <w:p w14:paraId="1D0D9F8B"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0.66</w:t>
            </w:r>
          </w:p>
        </w:tc>
        <w:tc>
          <w:tcPr>
            <w:tcW w:w="0" w:type="auto"/>
            <w:hideMark/>
          </w:tcPr>
          <w:p w14:paraId="2EAE6AE5"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0.65</w:t>
            </w:r>
          </w:p>
        </w:tc>
        <w:tc>
          <w:tcPr>
            <w:tcW w:w="0" w:type="auto"/>
            <w:hideMark/>
          </w:tcPr>
          <w:p w14:paraId="74478D08"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0.64</w:t>
            </w:r>
          </w:p>
        </w:tc>
      </w:tr>
      <w:tr w:rsidR="00E10B4D" w:rsidRPr="00E10B4D" w14:paraId="77B8EFA8" w14:textId="77777777" w:rsidTr="00E10B4D">
        <w:tc>
          <w:tcPr>
            <w:tcW w:w="0" w:type="auto"/>
            <w:hideMark/>
          </w:tcPr>
          <w:p w14:paraId="5E5FB0EA"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X3</w:t>
            </w:r>
          </w:p>
        </w:tc>
        <w:tc>
          <w:tcPr>
            <w:tcW w:w="0" w:type="auto"/>
            <w:hideMark/>
          </w:tcPr>
          <w:p w14:paraId="1812F620"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EBIT / Total Assets</w:t>
            </w:r>
          </w:p>
        </w:tc>
        <w:tc>
          <w:tcPr>
            <w:tcW w:w="0" w:type="auto"/>
            <w:hideMark/>
          </w:tcPr>
          <w:p w14:paraId="2A78D96E"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0.07</w:t>
            </w:r>
          </w:p>
        </w:tc>
        <w:tc>
          <w:tcPr>
            <w:tcW w:w="0" w:type="auto"/>
            <w:hideMark/>
          </w:tcPr>
          <w:p w14:paraId="793A267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0.05</w:t>
            </w:r>
          </w:p>
        </w:tc>
        <w:tc>
          <w:tcPr>
            <w:tcW w:w="0" w:type="auto"/>
            <w:hideMark/>
          </w:tcPr>
          <w:p w14:paraId="46E213A5"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0.03</w:t>
            </w:r>
          </w:p>
        </w:tc>
        <w:tc>
          <w:tcPr>
            <w:tcW w:w="0" w:type="auto"/>
            <w:hideMark/>
          </w:tcPr>
          <w:p w14:paraId="6A18832C"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−0.24</w:t>
            </w:r>
          </w:p>
        </w:tc>
        <w:tc>
          <w:tcPr>
            <w:tcW w:w="0" w:type="auto"/>
            <w:hideMark/>
          </w:tcPr>
          <w:p w14:paraId="496D0DD8"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−0.05</w:t>
            </w:r>
          </w:p>
        </w:tc>
      </w:tr>
      <w:tr w:rsidR="00E10B4D" w:rsidRPr="00E10B4D" w14:paraId="2144D864" w14:textId="77777777" w:rsidTr="00E10B4D">
        <w:tc>
          <w:tcPr>
            <w:tcW w:w="0" w:type="auto"/>
            <w:hideMark/>
          </w:tcPr>
          <w:p w14:paraId="0CCEF838"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X4</w:t>
            </w:r>
          </w:p>
        </w:tc>
        <w:tc>
          <w:tcPr>
            <w:tcW w:w="0" w:type="auto"/>
            <w:hideMark/>
          </w:tcPr>
          <w:p w14:paraId="7B153D4E"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Market Value of Equity / Total Liabilities</w:t>
            </w:r>
          </w:p>
        </w:tc>
        <w:tc>
          <w:tcPr>
            <w:tcW w:w="0" w:type="auto"/>
            <w:hideMark/>
          </w:tcPr>
          <w:p w14:paraId="78DDC5AE"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8.46</w:t>
            </w:r>
          </w:p>
        </w:tc>
        <w:tc>
          <w:tcPr>
            <w:tcW w:w="0" w:type="auto"/>
            <w:hideMark/>
          </w:tcPr>
          <w:p w14:paraId="6EF59739"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6.89</w:t>
            </w:r>
          </w:p>
        </w:tc>
        <w:tc>
          <w:tcPr>
            <w:tcW w:w="0" w:type="auto"/>
            <w:hideMark/>
          </w:tcPr>
          <w:p w14:paraId="5EB75F04"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6.47</w:t>
            </w:r>
          </w:p>
        </w:tc>
        <w:tc>
          <w:tcPr>
            <w:tcW w:w="0" w:type="auto"/>
            <w:hideMark/>
          </w:tcPr>
          <w:p w14:paraId="3BC4F94A"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8.72</w:t>
            </w:r>
          </w:p>
        </w:tc>
        <w:tc>
          <w:tcPr>
            <w:tcW w:w="0" w:type="auto"/>
            <w:hideMark/>
          </w:tcPr>
          <w:p w14:paraId="0E9C67C0"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9.13</w:t>
            </w:r>
          </w:p>
        </w:tc>
      </w:tr>
      <w:tr w:rsidR="00E10B4D" w:rsidRPr="00E10B4D" w14:paraId="4FC648B7" w14:textId="77777777" w:rsidTr="00E10B4D">
        <w:tc>
          <w:tcPr>
            <w:tcW w:w="0" w:type="auto"/>
            <w:hideMark/>
          </w:tcPr>
          <w:p w14:paraId="692E2B2C"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X5</w:t>
            </w:r>
          </w:p>
        </w:tc>
        <w:tc>
          <w:tcPr>
            <w:tcW w:w="0" w:type="auto"/>
            <w:hideMark/>
          </w:tcPr>
          <w:p w14:paraId="2B3B35B1"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Net Sales / Total Assets</w:t>
            </w:r>
          </w:p>
        </w:tc>
        <w:tc>
          <w:tcPr>
            <w:tcW w:w="0" w:type="auto"/>
            <w:hideMark/>
          </w:tcPr>
          <w:p w14:paraId="198780B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1.20</w:t>
            </w:r>
          </w:p>
        </w:tc>
        <w:tc>
          <w:tcPr>
            <w:tcW w:w="0" w:type="auto"/>
            <w:hideMark/>
          </w:tcPr>
          <w:p w14:paraId="7E610BBF"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1.18</w:t>
            </w:r>
          </w:p>
        </w:tc>
        <w:tc>
          <w:tcPr>
            <w:tcW w:w="0" w:type="auto"/>
            <w:hideMark/>
          </w:tcPr>
          <w:p w14:paraId="6C0C8B7B"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1.08</w:t>
            </w:r>
          </w:p>
        </w:tc>
        <w:tc>
          <w:tcPr>
            <w:tcW w:w="0" w:type="auto"/>
            <w:hideMark/>
          </w:tcPr>
          <w:p w14:paraId="384FD982"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1.18</w:t>
            </w:r>
          </w:p>
        </w:tc>
        <w:tc>
          <w:tcPr>
            <w:tcW w:w="0" w:type="auto"/>
            <w:hideMark/>
          </w:tcPr>
          <w:p w14:paraId="6A581263"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1.22</w:t>
            </w:r>
          </w:p>
        </w:tc>
      </w:tr>
      <w:tr w:rsidR="00E10B4D" w:rsidRPr="00E10B4D" w14:paraId="554F90BF" w14:textId="77777777" w:rsidTr="00E10B4D">
        <w:tc>
          <w:tcPr>
            <w:tcW w:w="0" w:type="auto"/>
            <w:hideMark/>
          </w:tcPr>
          <w:p w14:paraId="04E06BC7"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b/>
                <w:bCs/>
                <w:sz w:val="24"/>
                <w:szCs w:val="24"/>
              </w:rPr>
              <w:t>Altman Z-Score</w:t>
            </w:r>
          </w:p>
        </w:tc>
        <w:tc>
          <w:tcPr>
            <w:tcW w:w="0" w:type="auto"/>
            <w:hideMark/>
          </w:tcPr>
          <w:p w14:paraId="309355DC"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sz w:val="24"/>
                <w:szCs w:val="24"/>
              </w:rPr>
              <w:t>Weighted Sum</w:t>
            </w:r>
          </w:p>
        </w:tc>
        <w:tc>
          <w:tcPr>
            <w:tcW w:w="0" w:type="auto"/>
            <w:hideMark/>
          </w:tcPr>
          <w:p w14:paraId="1F51A4FA"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b/>
                <w:bCs/>
                <w:sz w:val="24"/>
                <w:szCs w:val="24"/>
              </w:rPr>
              <w:t>7.76</w:t>
            </w:r>
          </w:p>
        </w:tc>
        <w:tc>
          <w:tcPr>
            <w:tcW w:w="0" w:type="auto"/>
            <w:hideMark/>
          </w:tcPr>
          <w:p w14:paraId="1A32CC4F"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b/>
                <w:bCs/>
                <w:sz w:val="24"/>
                <w:szCs w:val="24"/>
              </w:rPr>
              <w:t>6.65</w:t>
            </w:r>
          </w:p>
        </w:tc>
        <w:tc>
          <w:tcPr>
            <w:tcW w:w="0" w:type="auto"/>
            <w:hideMark/>
          </w:tcPr>
          <w:p w14:paraId="29D4C319"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b/>
                <w:bCs/>
                <w:sz w:val="24"/>
                <w:szCs w:val="24"/>
              </w:rPr>
              <w:t>6.26</w:t>
            </w:r>
          </w:p>
        </w:tc>
        <w:tc>
          <w:tcPr>
            <w:tcW w:w="0" w:type="auto"/>
            <w:hideMark/>
          </w:tcPr>
          <w:p w14:paraId="624D6C19"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b/>
                <w:bCs/>
                <w:sz w:val="24"/>
                <w:szCs w:val="24"/>
              </w:rPr>
              <w:t>6.87</w:t>
            </w:r>
          </w:p>
        </w:tc>
        <w:tc>
          <w:tcPr>
            <w:tcW w:w="0" w:type="auto"/>
            <w:hideMark/>
          </w:tcPr>
          <w:p w14:paraId="4F38E900" w14:textId="77777777" w:rsidR="00E10B4D" w:rsidRPr="00E10B4D" w:rsidRDefault="00E10B4D" w:rsidP="00922363">
            <w:pPr>
              <w:spacing w:line="360" w:lineRule="auto"/>
              <w:rPr>
                <w:rFonts w:ascii="Arial" w:eastAsia="Times New Roman" w:hAnsi="Arial" w:cs="Arial"/>
                <w:sz w:val="24"/>
                <w:szCs w:val="24"/>
              </w:rPr>
            </w:pPr>
            <w:r w:rsidRPr="00E10B4D">
              <w:rPr>
                <w:rFonts w:ascii="Arial" w:eastAsia="Times New Roman" w:hAnsi="Arial" w:cs="Arial"/>
                <w:b/>
                <w:bCs/>
                <w:sz w:val="24"/>
                <w:szCs w:val="24"/>
              </w:rPr>
              <w:t>7.76</w:t>
            </w:r>
          </w:p>
        </w:tc>
      </w:tr>
    </w:tbl>
    <w:p w14:paraId="6C71D57B" w14:textId="77777777" w:rsidR="00572609" w:rsidRPr="005C4783" w:rsidRDefault="00572609" w:rsidP="00922363">
      <w:pPr>
        <w:pStyle w:val="Heading2"/>
      </w:pPr>
      <w:bookmarkStart w:id="52" w:name="_Toc216755995"/>
      <w:r w:rsidRPr="005C4783">
        <w:t>Appendix B: Working Capital Calculations</w:t>
      </w:r>
      <w:bookmarkEnd w:id="52"/>
    </w:p>
    <w:p w14:paraId="6617C41F" w14:textId="77777777" w:rsidR="00572609" w:rsidRPr="005C4783" w:rsidRDefault="00572609" w:rsidP="00922363">
      <w:pPr>
        <w:spacing w:before="100" w:beforeAutospacing="1" w:after="100" w:afterAutospacing="1" w:line="360" w:lineRule="auto"/>
        <w:outlineLvl w:val="2"/>
        <w:rPr>
          <w:rFonts w:ascii="Arial" w:eastAsia="Times New Roman" w:hAnsi="Arial" w:cs="Arial"/>
          <w:b/>
          <w:bCs/>
          <w:sz w:val="27"/>
          <w:szCs w:val="27"/>
        </w:rPr>
      </w:pPr>
      <w:bookmarkStart w:id="53" w:name="_Toc216755996"/>
      <w:r w:rsidRPr="005C4783">
        <w:rPr>
          <w:rFonts w:ascii="Arial" w:eastAsia="Times New Roman" w:hAnsi="Arial" w:cs="Arial"/>
          <w:b/>
          <w:bCs/>
          <w:sz w:val="27"/>
          <w:szCs w:val="27"/>
        </w:rPr>
        <w:t>Table B1: Cash Operating Cycle Components (Days)</w:t>
      </w:r>
      <w:bookmarkEnd w:id="53"/>
    </w:p>
    <w:p w14:paraId="7BED1244" w14:textId="77777777" w:rsidR="00572609" w:rsidRPr="00922363" w:rsidRDefault="00572609" w:rsidP="00922363">
      <w:pPr>
        <w:spacing w:before="100" w:beforeAutospacing="1" w:after="100" w:afterAutospacing="1" w:line="360" w:lineRule="auto"/>
        <w:rPr>
          <w:rFonts w:ascii="Arial" w:eastAsia="Times New Roman" w:hAnsi="Arial" w:cs="Arial"/>
          <w:sz w:val="24"/>
          <w:szCs w:val="24"/>
        </w:rPr>
      </w:pPr>
      <w:proofErr w:type="gramStart"/>
      <w:r w:rsidRPr="005C4783">
        <w:rPr>
          <w:rFonts w:ascii="Arial" w:eastAsia="Times New Roman" w:hAnsi="Arial" w:cs="Arial"/>
          <w:sz w:val="24"/>
          <w:szCs w:val="24"/>
        </w:rPr>
        <w:t>Receivables</w:t>
      </w:r>
      <w:proofErr w:type="gramEnd"/>
      <w:r w:rsidRPr="005C4783">
        <w:rPr>
          <w:rFonts w:ascii="Arial" w:eastAsia="Times New Roman" w:hAnsi="Arial" w:cs="Arial"/>
          <w:sz w:val="24"/>
          <w:szCs w:val="24"/>
        </w:rPr>
        <w:t xml:space="preserve"> days = (Trade receivables / Net sales) × 365 </w:t>
      </w:r>
    </w:p>
    <w:p w14:paraId="26095DF1" w14:textId="77777777" w:rsidR="00572609" w:rsidRPr="00922363" w:rsidRDefault="00572609" w:rsidP="00922363">
      <w:pPr>
        <w:spacing w:before="100" w:beforeAutospacing="1" w:after="100" w:afterAutospacing="1" w:line="360" w:lineRule="auto"/>
        <w:rPr>
          <w:rFonts w:ascii="Arial" w:eastAsia="Times New Roman" w:hAnsi="Arial" w:cs="Arial"/>
          <w:sz w:val="24"/>
          <w:szCs w:val="24"/>
        </w:rPr>
      </w:pPr>
      <w:r w:rsidRPr="005C4783">
        <w:rPr>
          <w:rFonts w:ascii="Arial" w:eastAsia="Times New Roman" w:hAnsi="Arial" w:cs="Arial"/>
          <w:sz w:val="24"/>
          <w:szCs w:val="24"/>
        </w:rPr>
        <w:t xml:space="preserve">Inventory days = (Inventory / Cost of sales) × 365 </w:t>
      </w:r>
    </w:p>
    <w:p w14:paraId="695EFBD6" w14:textId="77777777" w:rsidR="00572609" w:rsidRPr="00922363" w:rsidRDefault="00572609" w:rsidP="00922363">
      <w:pPr>
        <w:spacing w:before="100" w:beforeAutospacing="1" w:after="100" w:afterAutospacing="1" w:line="360" w:lineRule="auto"/>
        <w:rPr>
          <w:rFonts w:ascii="Arial" w:eastAsia="Times New Roman" w:hAnsi="Arial" w:cs="Arial"/>
          <w:sz w:val="24"/>
          <w:szCs w:val="24"/>
        </w:rPr>
      </w:pPr>
      <w:proofErr w:type="gramStart"/>
      <w:r w:rsidRPr="005C4783">
        <w:rPr>
          <w:rFonts w:ascii="Arial" w:eastAsia="Times New Roman" w:hAnsi="Arial" w:cs="Arial"/>
          <w:sz w:val="24"/>
          <w:szCs w:val="24"/>
        </w:rPr>
        <w:t>Payables</w:t>
      </w:r>
      <w:proofErr w:type="gramEnd"/>
      <w:r w:rsidRPr="005C4783">
        <w:rPr>
          <w:rFonts w:ascii="Arial" w:eastAsia="Times New Roman" w:hAnsi="Arial" w:cs="Arial"/>
          <w:sz w:val="24"/>
          <w:szCs w:val="24"/>
        </w:rPr>
        <w:t xml:space="preserve"> days = (Trade payables / Cost of sales) × 365 </w:t>
      </w:r>
    </w:p>
    <w:p w14:paraId="38CBBD97" w14:textId="5065B85F" w:rsidR="00572609" w:rsidRPr="005C4783" w:rsidRDefault="00572609" w:rsidP="00922363">
      <w:pPr>
        <w:spacing w:before="100" w:beforeAutospacing="1" w:after="100" w:afterAutospacing="1" w:line="360" w:lineRule="auto"/>
        <w:rPr>
          <w:rFonts w:ascii="Arial" w:eastAsia="Times New Roman" w:hAnsi="Arial" w:cs="Arial"/>
          <w:sz w:val="24"/>
          <w:szCs w:val="24"/>
        </w:rPr>
      </w:pPr>
      <w:r w:rsidRPr="005C4783">
        <w:rPr>
          <w:rFonts w:ascii="Arial" w:eastAsia="Times New Roman" w:hAnsi="Arial" w:cs="Arial"/>
          <w:sz w:val="24"/>
          <w:szCs w:val="24"/>
        </w:rPr>
        <w:t xml:space="preserve">Cash operating cycle = </w:t>
      </w:r>
      <w:proofErr w:type="gramStart"/>
      <w:r w:rsidRPr="005C4783">
        <w:rPr>
          <w:rFonts w:ascii="Arial" w:eastAsia="Times New Roman" w:hAnsi="Arial" w:cs="Arial"/>
          <w:sz w:val="24"/>
          <w:szCs w:val="24"/>
        </w:rPr>
        <w:t>Receivables</w:t>
      </w:r>
      <w:proofErr w:type="gramEnd"/>
      <w:r w:rsidRPr="005C4783">
        <w:rPr>
          <w:rFonts w:ascii="Arial" w:eastAsia="Times New Roman" w:hAnsi="Arial" w:cs="Arial"/>
          <w:sz w:val="24"/>
          <w:szCs w:val="24"/>
        </w:rPr>
        <w:t xml:space="preserve"> days + Inventory days − Payables days</w:t>
      </w:r>
    </w:p>
    <w:tbl>
      <w:tblPr>
        <w:tblStyle w:val="TableGrid"/>
        <w:tblW w:w="0" w:type="auto"/>
        <w:tblLook w:val="04A0" w:firstRow="1" w:lastRow="0" w:firstColumn="1" w:lastColumn="0" w:noHBand="0" w:noVBand="1"/>
      </w:tblPr>
      <w:tblGrid>
        <w:gridCol w:w="750"/>
        <w:gridCol w:w="2207"/>
        <w:gridCol w:w="1900"/>
        <w:gridCol w:w="1861"/>
        <w:gridCol w:w="2632"/>
      </w:tblGrid>
      <w:tr w:rsidR="00572609" w:rsidRPr="005C4783" w14:paraId="50640BB0" w14:textId="77777777" w:rsidTr="00572609">
        <w:tc>
          <w:tcPr>
            <w:tcW w:w="0" w:type="auto"/>
            <w:hideMark/>
          </w:tcPr>
          <w:p w14:paraId="7B352C02" w14:textId="77777777" w:rsidR="00572609" w:rsidRPr="005C4783" w:rsidRDefault="00572609" w:rsidP="00922363">
            <w:pPr>
              <w:spacing w:line="360" w:lineRule="auto"/>
              <w:jc w:val="center"/>
              <w:rPr>
                <w:rFonts w:ascii="Arial" w:eastAsia="Times New Roman" w:hAnsi="Arial" w:cs="Arial"/>
                <w:b/>
                <w:bCs/>
                <w:sz w:val="24"/>
                <w:szCs w:val="24"/>
              </w:rPr>
            </w:pPr>
            <w:r w:rsidRPr="005C4783">
              <w:rPr>
                <w:rFonts w:ascii="Arial" w:eastAsia="Times New Roman" w:hAnsi="Arial" w:cs="Arial"/>
                <w:b/>
                <w:bCs/>
                <w:sz w:val="24"/>
                <w:szCs w:val="24"/>
              </w:rPr>
              <w:t>Year</w:t>
            </w:r>
          </w:p>
        </w:tc>
        <w:tc>
          <w:tcPr>
            <w:tcW w:w="0" w:type="auto"/>
            <w:hideMark/>
          </w:tcPr>
          <w:p w14:paraId="41E646FB" w14:textId="77777777" w:rsidR="00572609" w:rsidRPr="005C4783" w:rsidRDefault="00572609" w:rsidP="00922363">
            <w:pPr>
              <w:spacing w:line="360" w:lineRule="auto"/>
              <w:jc w:val="center"/>
              <w:rPr>
                <w:rFonts w:ascii="Arial" w:eastAsia="Times New Roman" w:hAnsi="Arial" w:cs="Arial"/>
                <w:b/>
                <w:bCs/>
                <w:sz w:val="24"/>
                <w:szCs w:val="24"/>
              </w:rPr>
            </w:pPr>
            <w:r w:rsidRPr="005C4783">
              <w:rPr>
                <w:rFonts w:ascii="Arial" w:eastAsia="Times New Roman" w:hAnsi="Arial" w:cs="Arial"/>
                <w:b/>
                <w:bCs/>
                <w:sz w:val="24"/>
                <w:szCs w:val="24"/>
              </w:rPr>
              <w:t>Receivables Days</w:t>
            </w:r>
          </w:p>
        </w:tc>
        <w:tc>
          <w:tcPr>
            <w:tcW w:w="0" w:type="auto"/>
            <w:hideMark/>
          </w:tcPr>
          <w:p w14:paraId="3A3DE792" w14:textId="77777777" w:rsidR="00572609" w:rsidRPr="005C4783" w:rsidRDefault="00572609" w:rsidP="00922363">
            <w:pPr>
              <w:spacing w:line="360" w:lineRule="auto"/>
              <w:jc w:val="center"/>
              <w:rPr>
                <w:rFonts w:ascii="Arial" w:eastAsia="Times New Roman" w:hAnsi="Arial" w:cs="Arial"/>
                <w:b/>
                <w:bCs/>
                <w:sz w:val="24"/>
                <w:szCs w:val="24"/>
              </w:rPr>
            </w:pPr>
            <w:r w:rsidRPr="005C4783">
              <w:rPr>
                <w:rFonts w:ascii="Arial" w:eastAsia="Times New Roman" w:hAnsi="Arial" w:cs="Arial"/>
                <w:b/>
                <w:bCs/>
                <w:sz w:val="24"/>
                <w:szCs w:val="24"/>
              </w:rPr>
              <w:t>Inventory Days</w:t>
            </w:r>
          </w:p>
        </w:tc>
        <w:tc>
          <w:tcPr>
            <w:tcW w:w="0" w:type="auto"/>
            <w:hideMark/>
          </w:tcPr>
          <w:p w14:paraId="73E9A474" w14:textId="77777777" w:rsidR="00572609" w:rsidRPr="005C4783" w:rsidRDefault="00572609" w:rsidP="00922363">
            <w:pPr>
              <w:spacing w:line="360" w:lineRule="auto"/>
              <w:jc w:val="center"/>
              <w:rPr>
                <w:rFonts w:ascii="Arial" w:eastAsia="Times New Roman" w:hAnsi="Arial" w:cs="Arial"/>
                <w:b/>
                <w:bCs/>
                <w:sz w:val="24"/>
                <w:szCs w:val="24"/>
              </w:rPr>
            </w:pPr>
            <w:r w:rsidRPr="005C4783">
              <w:rPr>
                <w:rFonts w:ascii="Arial" w:eastAsia="Times New Roman" w:hAnsi="Arial" w:cs="Arial"/>
                <w:b/>
                <w:bCs/>
                <w:sz w:val="24"/>
                <w:szCs w:val="24"/>
              </w:rPr>
              <w:t>Payables Days</w:t>
            </w:r>
          </w:p>
        </w:tc>
        <w:tc>
          <w:tcPr>
            <w:tcW w:w="0" w:type="auto"/>
            <w:hideMark/>
          </w:tcPr>
          <w:p w14:paraId="6556DCDE" w14:textId="77777777" w:rsidR="00572609" w:rsidRPr="005C4783" w:rsidRDefault="00572609" w:rsidP="00922363">
            <w:pPr>
              <w:spacing w:line="360" w:lineRule="auto"/>
              <w:jc w:val="center"/>
              <w:rPr>
                <w:rFonts w:ascii="Arial" w:eastAsia="Times New Roman" w:hAnsi="Arial" w:cs="Arial"/>
                <w:b/>
                <w:bCs/>
                <w:sz w:val="24"/>
                <w:szCs w:val="24"/>
              </w:rPr>
            </w:pPr>
            <w:r w:rsidRPr="005C4783">
              <w:rPr>
                <w:rFonts w:ascii="Arial" w:eastAsia="Times New Roman" w:hAnsi="Arial" w:cs="Arial"/>
                <w:b/>
                <w:bCs/>
                <w:sz w:val="24"/>
                <w:szCs w:val="24"/>
              </w:rPr>
              <w:t>Cash Operating Cycle</w:t>
            </w:r>
          </w:p>
        </w:tc>
      </w:tr>
      <w:tr w:rsidR="00572609" w:rsidRPr="005C4783" w14:paraId="0E5AA0ED" w14:textId="77777777" w:rsidTr="00572609">
        <w:tc>
          <w:tcPr>
            <w:tcW w:w="0" w:type="auto"/>
            <w:hideMark/>
          </w:tcPr>
          <w:p w14:paraId="29212D04"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2020</w:t>
            </w:r>
          </w:p>
        </w:tc>
        <w:tc>
          <w:tcPr>
            <w:tcW w:w="0" w:type="auto"/>
            <w:hideMark/>
          </w:tcPr>
          <w:p w14:paraId="78C8B044"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76.86</w:t>
            </w:r>
          </w:p>
        </w:tc>
        <w:tc>
          <w:tcPr>
            <w:tcW w:w="0" w:type="auto"/>
            <w:hideMark/>
          </w:tcPr>
          <w:p w14:paraId="461F1B49"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100.26</w:t>
            </w:r>
          </w:p>
        </w:tc>
        <w:tc>
          <w:tcPr>
            <w:tcW w:w="0" w:type="auto"/>
            <w:hideMark/>
          </w:tcPr>
          <w:p w14:paraId="32669FA7"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65.00</w:t>
            </w:r>
          </w:p>
        </w:tc>
        <w:tc>
          <w:tcPr>
            <w:tcW w:w="0" w:type="auto"/>
            <w:hideMark/>
          </w:tcPr>
          <w:p w14:paraId="2607A53B"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112.12</w:t>
            </w:r>
          </w:p>
        </w:tc>
      </w:tr>
      <w:tr w:rsidR="00572609" w:rsidRPr="005C4783" w14:paraId="256E3E4E" w14:textId="77777777" w:rsidTr="00572609">
        <w:tc>
          <w:tcPr>
            <w:tcW w:w="0" w:type="auto"/>
            <w:hideMark/>
          </w:tcPr>
          <w:p w14:paraId="45DC6B6E"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2021</w:t>
            </w:r>
          </w:p>
        </w:tc>
        <w:tc>
          <w:tcPr>
            <w:tcW w:w="0" w:type="auto"/>
            <w:hideMark/>
          </w:tcPr>
          <w:p w14:paraId="341231CE"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78.40</w:t>
            </w:r>
          </w:p>
        </w:tc>
        <w:tc>
          <w:tcPr>
            <w:tcW w:w="0" w:type="auto"/>
            <w:hideMark/>
          </w:tcPr>
          <w:p w14:paraId="390D7351"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114.52</w:t>
            </w:r>
          </w:p>
        </w:tc>
        <w:tc>
          <w:tcPr>
            <w:tcW w:w="0" w:type="auto"/>
            <w:hideMark/>
          </w:tcPr>
          <w:p w14:paraId="540DCF34"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66.00</w:t>
            </w:r>
          </w:p>
        </w:tc>
        <w:tc>
          <w:tcPr>
            <w:tcW w:w="0" w:type="auto"/>
            <w:hideMark/>
          </w:tcPr>
          <w:p w14:paraId="30D2E37F"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126.92</w:t>
            </w:r>
          </w:p>
        </w:tc>
      </w:tr>
      <w:tr w:rsidR="00572609" w:rsidRPr="005C4783" w14:paraId="44EBA1AC" w14:textId="77777777" w:rsidTr="00572609">
        <w:tc>
          <w:tcPr>
            <w:tcW w:w="0" w:type="auto"/>
            <w:hideMark/>
          </w:tcPr>
          <w:p w14:paraId="1158EE89"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lastRenderedPageBreak/>
              <w:t>2022</w:t>
            </w:r>
          </w:p>
        </w:tc>
        <w:tc>
          <w:tcPr>
            <w:tcW w:w="0" w:type="auto"/>
            <w:hideMark/>
          </w:tcPr>
          <w:p w14:paraId="1BC3BA17"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75.55</w:t>
            </w:r>
          </w:p>
        </w:tc>
        <w:tc>
          <w:tcPr>
            <w:tcW w:w="0" w:type="auto"/>
            <w:hideMark/>
          </w:tcPr>
          <w:p w14:paraId="3EC6C04C"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131.04</w:t>
            </w:r>
          </w:p>
        </w:tc>
        <w:tc>
          <w:tcPr>
            <w:tcW w:w="0" w:type="auto"/>
            <w:hideMark/>
          </w:tcPr>
          <w:p w14:paraId="69CC096F"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68.00</w:t>
            </w:r>
          </w:p>
        </w:tc>
        <w:tc>
          <w:tcPr>
            <w:tcW w:w="0" w:type="auto"/>
            <w:hideMark/>
          </w:tcPr>
          <w:p w14:paraId="5392E1C2"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138.59</w:t>
            </w:r>
          </w:p>
        </w:tc>
      </w:tr>
      <w:tr w:rsidR="00572609" w:rsidRPr="005C4783" w14:paraId="5938D166" w14:textId="77777777" w:rsidTr="00572609">
        <w:tc>
          <w:tcPr>
            <w:tcW w:w="0" w:type="auto"/>
            <w:hideMark/>
          </w:tcPr>
          <w:p w14:paraId="1EA6274B"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2023</w:t>
            </w:r>
          </w:p>
        </w:tc>
        <w:tc>
          <w:tcPr>
            <w:tcW w:w="0" w:type="auto"/>
            <w:hideMark/>
          </w:tcPr>
          <w:p w14:paraId="673E199F"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97.74</w:t>
            </w:r>
          </w:p>
        </w:tc>
        <w:tc>
          <w:tcPr>
            <w:tcW w:w="0" w:type="auto"/>
            <w:hideMark/>
          </w:tcPr>
          <w:p w14:paraId="5469DD80"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99.78</w:t>
            </w:r>
          </w:p>
        </w:tc>
        <w:tc>
          <w:tcPr>
            <w:tcW w:w="0" w:type="auto"/>
            <w:hideMark/>
          </w:tcPr>
          <w:p w14:paraId="7C635130"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69.00</w:t>
            </w:r>
          </w:p>
        </w:tc>
        <w:tc>
          <w:tcPr>
            <w:tcW w:w="0" w:type="auto"/>
            <w:hideMark/>
          </w:tcPr>
          <w:p w14:paraId="092E888A"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128.52</w:t>
            </w:r>
          </w:p>
        </w:tc>
      </w:tr>
      <w:tr w:rsidR="00572609" w:rsidRPr="005C4783" w14:paraId="17F3D8C0" w14:textId="77777777" w:rsidTr="00572609">
        <w:tc>
          <w:tcPr>
            <w:tcW w:w="0" w:type="auto"/>
            <w:hideMark/>
          </w:tcPr>
          <w:p w14:paraId="73C629E4"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2024</w:t>
            </w:r>
          </w:p>
        </w:tc>
        <w:tc>
          <w:tcPr>
            <w:tcW w:w="0" w:type="auto"/>
            <w:hideMark/>
          </w:tcPr>
          <w:p w14:paraId="144208FD"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105.54</w:t>
            </w:r>
          </w:p>
        </w:tc>
        <w:tc>
          <w:tcPr>
            <w:tcW w:w="0" w:type="auto"/>
            <w:hideMark/>
          </w:tcPr>
          <w:p w14:paraId="445FA0CF"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103.12</w:t>
            </w:r>
          </w:p>
        </w:tc>
        <w:tc>
          <w:tcPr>
            <w:tcW w:w="0" w:type="auto"/>
            <w:hideMark/>
          </w:tcPr>
          <w:p w14:paraId="23A9094E"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70.00</w:t>
            </w:r>
          </w:p>
        </w:tc>
        <w:tc>
          <w:tcPr>
            <w:tcW w:w="0" w:type="auto"/>
            <w:hideMark/>
          </w:tcPr>
          <w:p w14:paraId="26D6C297" w14:textId="77777777" w:rsidR="00572609" w:rsidRPr="005C4783" w:rsidRDefault="00572609" w:rsidP="00922363">
            <w:pPr>
              <w:spacing w:line="360" w:lineRule="auto"/>
              <w:rPr>
                <w:rFonts w:ascii="Arial" w:eastAsia="Times New Roman" w:hAnsi="Arial" w:cs="Arial"/>
                <w:sz w:val="24"/>
                <w:szCs w:val="24"/>
              </w:rPr>
            </w:pPr>
            <w:r w:rsidRPr="005C4783">
              <w:rPr>
                <w:rFonts w:ascii="Arial" w:eastAsia="Times New Roman" w:hAnsi="Arial" w:cs="Arial"/>
                <w:sz w:val="24"/>
                <w:szCs w:val="24"/>
              </w:rPr>
              <w:t>138.66</w:t>
            </w:r>
          </w:p>
        </w:tc>
      </w:tr>
    </w:tbl>
    <w:p w14:paraId="00CEF294" w14:textId="0875FA35" w:rsidR="00572609" w:rsidRPr="00922363" w:rsidRDefault="00572609" w:rsidP="00922363">
      <w:pPr>
        <w:spacing w:before="100" w:beforeAutospacing="1" w:after="100" w:afterAutospacing="1" w:line="360" w:lineRule="auto"/>
        <w:rPr>
          <w:rFonts w:ascii="Arial" w:eastAsia="Times New Roman" w:hAnsi="Arial" w:cs="Arial"/>
          <w:sz w:val="24"/>
          <w:szCs w:val="24"/>
        </w:rPr>
      </w:pPr>
      <w:r w:rsidRPr="005C4783">
        <w:rPr>
          <w:rFonts w:ascii="Arial" w:eastAsia="Times New Roman" w:hAnsi="Arial" w:cs="Arial"/>
          <w:sz w:val="24"/>
          <w:szCs w:val="24"/>
        </w:rPr>
        <w:t xml:space="preserve">Note: </w:t>
      </w:r>
      <w:r w:rsidRPr="00922363">
        <w:rPr>
          <w:rFonts w:ascii="Arial" w:eastAsia="Times New Roman" w:hAnsi="Arial" w:cs="Arial"/>
          <w:sz w:val="24"/>
          <w:szCs w:val="24"/>
        </w:rPr>
        <w:t>Payable’s</w:t>
      </w:r>
      <w:r w:rsidRPr="005C4783">
        <w:rPr>
          <w:rFonts w:ascii="Arial" w:eastAsia="Times New Roman" w:hAnsi="Arial" w:cs="Arial"/>
          <w:sz w:val="24"/>
          <w:szCs w:val="24"/>
        </w:rPr>
        <w:t xml:space="preserve"> days are calculated using trade payables reported in the dataset and cost of sales. Values are rounded to two decimal places.</w:t>
      </w:r>
    </w:p>
    <w:p w14:paraId="1A0B553C" w14:textId="77777777" w:rsidR="00572609" w:rsidRPr="00922363" w:rsidRDefault="00572609" w:rsidP="00922363">
      <w:pPr>
        <w:pStyle w:val="Heading2"/>
      </w:pPr>
      <w:bookmarkStart w:id="54" w:name="_Toc216755997"/>
      <w:r w:rsidRPr="00922363">
        <w:t>Appendix C: Pro</w:t>
      </w:r>
      <w:r w:rsidRPr="00922363">
        <w:noBreakHyphen/>
        <w:t>Forma Financial Restructuring Workings</w:t>
      </w:r>
      <w:bookmarkEnd w:id="54"/>
    </w:p>
    <w:p w14:paraId="3FD1A18F" w14:textId="77777777" w:rsidR="00572609" w:rsidRPr="00922363" w:rsidRDefault="00572609" w:rsidP="00922363">
      <w:pPr>
        <w:pStyle w:val="NormalWeb"/>
        <w:spacing w:line="360" w:lineRule="auto"/>
        <w:rPr>
          <w:rFonts w:ascii="Arial" w:hAnsi="Arial" w:cs="Arial"/>
        </w:rPr>
      </w:pPr>
      <w:r w:rsidRPr="00922363">
        <w:rPr>
          <w:rFonts w:ascii="Arial" w:hAnsi="Arial" w:cs="Arial"/>
        </w:rPr>
        <w:t>Appendix C presents detailed Excel</w:t>
      </w:r>
      <w:r w:rsidRPr="00922363">
        <w:rPr>
          <w:rFonts w:ascii="Arial" w:hAnsi="Arial" w:cs="Arial"/>
        </w:rPr>
        <w:noBreakHyphen/>
        <w:t>style workings to support the Strategic Financial Restructuring Plan. The calculations build directly on the 2024 financial position of General Electronics and apply the restructuring assumptions outlined in Section 3.</w:t>
      </w:r>
    </w:p>
    <w:p w14:paraId="682FBEB8" w14:textId="77777777" w:rsidR="00572609" w:rsidRPr="00922363" w:rsidRDefault="00572609" w:rsidP="00922363">
      <w:pPr>
        <w:pStyle w:val="Heading3"/>
        <w:spacing w:line="360" w:lineRule="auto"/>
        <w:rPr>
          <w:rFonts w:ascii="Arial" w:hAnsi="Arial" w:cs="Arial"/>
        </w:rPr>
      </w:pPr>
      <w:bookmarkStart w:id="55" w:name="_Toc216755998"/>
      <w:r w:rsidRPr="00922363">
        <w:rPr>
          <w:rFonts w:ascii="Arial" w:hAnsi="Arial" w:cs="Arial"/>
        </w:rPr>
        <w:t>Key restructuring assumptions</w:t>
      </w:r>
      <w:bookmarkEnd w:id="55"/>
    </w:p>
    <w:p w14:paraId="27225500" w14:textId="461FBDA2" w:rsidR="00EB1AD8" w:rsidRPr="00922363" w:rsidRDefault="00572609" w:rsidP="00922363">
      <w:pPr>
        <w:pStyle w:val="NormalWeb"/>
        <w:numPr>
          <w:ilvl w:val="0"/>
          <w:numId w:val="2"/>
        </w:numPr>
        <w:spacing w:line="360" w:lineRule="auto"/>
        <w:rPr>
          <w:rFonts w:ascii="Arial" w:hAnsi="Arial" w:cs="Arial"/>
        </w:rPr>
      </w:pPr>
      <w:r w:rsidRPr="00922363">
        <w:rPr>
          <w:rFonts w:ascii="Arial" w:hAnsi="Arial" w:cs="Arial"/>
        </w:rPr>
        <w:t xml:space="preserve">Equity injection through rights issue: £22,966 million (approximately 15 percent of 2024 shareholders’ equity). </w:t>
      </w:r>
    </w:p>
    <w:p w14:paraId="4FAD765C" w14:textId="7AB01EC8" w:rsidR="00EB1AD8" w:rsidRPr="00922363" w:rsidRDefault="00572609" w:rsidP="00922363">
      <w:pPr>
        <w:pStyle w:val="NormalWeb"/>
        <w:numPr>
          <w:ilvl w:val="0"/>
          <w:numId w:val="2"/>
        </w:numPr>
        <w:spacing w:line="360" w:lineRule="auto"/>
        <w:rPr>
          <w:rFonts w:ascii="Arial" w:hAnsi="Arial" w:cs="Arial"/>
        </w:rPr>
      </w:pPr>
      <w:r w:rsidRPr="00922363">
        <w:rPr>
          <w:rFonts w:ascii="Arial" w:hAnsi="Arial" w:cs="Arial"/>
        </w:rPr>
        <w:t xml:space="preserve">Selective divestiture proceeds: £10,000 million, applied fully to debt reduction. </w:t>
      </w:r>
    </w:p>
    <w:p w14:paraId="1505CDD2" w14:textId="141C114C" w:rsidR="00EB1AD8" w:rsidRPr="00922363" w:rsidRDefault="00572609" w:rsidP="00922363">
      <w:pPr>
        <w:pStyle w:val="NormalWeb"/>
        <w:numPr>
          <w:ilvl w:val="0"/>
          <w:numId w:val="2"/>
        </w:numPr>
        <w:spacing w:line="360" w:lineRule="auto"/>
        <w:rPr>
          <w:rFonts w:ascii="Arial" w:hAnsi="Arial" w:cs="Arial"/>
        </w:rPr>
      </w:pPr>
      <w:r w:rsidRPr="00922363">
        <w:rPr>
          <w:rFonts w:ascii="Arial" w:hAnsi="Arial" w:cs="Arial"/>
        </w:rPr>
        <w:t>No immediate change in operating income in the base pro</w:t>
      </w:r>
      <w:r w:rsidRPr="00922363">
        <w:rPr>
          <w:rFonts w:ascii="Arial" w:hAnsi="Arial" w:cs="Arial"/>
        </w:rPr>
        <w:noBreakHyphen/>
        <w:t xml:space="preserve">forma, ensuring conservative estimation. </w:t>
      </w:r>
    </w:p>
    <w:p w14:paraId="0AB47589" w14:textId="38636B12" w:rsidR="00572609" w:rsidRPr="00922363" w:rsidRDefault="00572609" w:rsidP="00922363">
      <w:pPr>
        <w:pStyle w:val="NormalWeb"/>
        <w:numPr>
          <w:ilvl w:val="0"/>
          <w:numId w:val="2"/>
        </w:numPr>
        <w:spacing w:line="360" w:lineRule="auto"/>
        <w:rPr>
          <w:rFonts w:ascii="Arial" w:hAnsi="Arial" w:cs="Arial"/>
        </w:rPr>
      </w:pPr>
      <w:r w:rsidRPr="00922363">
        <w:rPr>
          <w:rFonts w:ascii="Arial" w:hAnsi="Arial" w:cs="Arial"/>
        </w:rPr>
        <w:t>Interest expense assumed to decline proportionally with debt reduction.</w:t>
      </w:r>
    </w:p>
    <w:p w14:paraId="480DB055" w14:textId="77777777" w:rsidR="00572609" w:rsidRPr="00922363" w:rsidRDefault="00572609" w:rsidP="00922363">
      <w:pPr>
        <w:pStyle w:val="Heading3"/>
        <w:spacing w:line="360" w:lineRule="auto"/>
        <w:rPr>
          <w:rFonts w:ascii="Arial" w:hAnsi="Arial" w:cs="Arial"/>
        </w:rPr>
      </w:pPr>
      <w:bookmarkStart w:id="56" w:name="_Toc216755999"/>
      <w:r w:rsidRPr="00922363">
        <w:rPr>
          <w:rFonts w:ascii="Arial" w:hAnsi="Arial" w:cs="Arial"/>
        </w:rPr>
        <w:t>Table C1: Pro</w:t>
      </w:r>
      <w:r w:rsidRPr="00922363">
        <w:rPr>
          <w:rFonts w:ascii="Arial" w:hAnsi="Arial" w:cs="Arial"/>
        </w:rPr>
        <w:noBreakHyphen/>
        <w:t>Forma Statement of Financial Position Impact (2024)</w:t>
      </w:r>
      <w:bookmarkEnd w:id="56"/>
    </w:p>
    <w:tbl>
      <w:tblPr>
        <w:tblStyle w:val="TableGrid"/>
        <w:tblW w:w="0" w:type="auto"/>
        <w:tblLook w:val="04A0" w:firstRow="1" w:lastRow="0" w:firstColumn="1" w:lastColumn="0" w:noHBand="0" w:noVBand="1"/>
      </w:tblPr>
      <w:tblGrid>
        <w:gridCol w:w="2208"/>
        <w:gridCol w:w="1414"/>
        <w:gridCol w:w="2848"/>
        <w:gridCol w:w="2880"/>
      </w:tblGrid>
      <w:tr w:rsidR="00572609" w:rsidRPr="00922363" w14:paraId="229FF135" w14:textId="77777777" w:rsidTr="00EB1AD8">
        <w:tc>
          <w:tcPr>
            <w:tcW w:w="0" w:type="auto"/>
            <w:hideMark/>
          </w:tcPr>
          <w:p w14:paraId="5032831F" w14:textId="77777777" w:rsidR="00572609" w:rsidRPr="00922363" w:rsidRDefault="00572609" w:rsidP="00922363">
            <w:pPr>
              <w:spacing w:line="360" w:lineRule="auto"/>
              <w:jc w:val="center"/>
              <w:rPr>
                <w:rFonts w:ascii="Arial" w:hAnsi="Arial" w:cs="Arial"/>
                <w:b/>
                <w:bCs/>
              </w:rPr>
            </w:pPr>
            <w:r w:rsidRPr="00922363">
              <w:rPr>
                <w:rFonts w:ascii="Arial" w:hAnsi="Arial" w:cs="Arial"/>
                <w:b/>
                <w:bCs/>
              </w:rPr>
              <w:t>Item (£ million)</w:t>
            </w:r>
          </w:p>
        </w:tc>
        <w:tc>
          <w:tcPr>
            <w:tcW w:w="0" w:type="auto"/>
            <w:hideMark/>
          </w:tcPr>
          <w:p w14:paraId="3CDD18B9" w14:textId="77777777" w:rsidR="00572609" w:rsidRPr="00922363" w:rsidRDefault="00572609" w:rsidP="00922363">
            <w:pPr>
              <w:spacing w:line="360" w:lineRule="auto"/>
              <w:jc w:val="center"/>
              <w:rPr>
                <w:rFonts w:ascii="Arial" w:hAnsi="Arial" w:cs="Arial"/>
                <w:b/>
                <w:bCs/>
              </w:rPr>
            </w:pPr>
            <w:r w:rsidRPr="00922363">
              <w:rPr>
                <w:rFonts w:ascii="Arial" w:hAnsi="Arial" w:cs="Arial"/>
                <w:b/>
                <w:bCs/>
              </w:rPr>
              <w:t>Actual 2024</w:t>
            </w:r>
          </w:p>
        </w:tc>
        <w:tc>
          <w:tcPr>
            <w:tcW w:w="2848" w:type="dxa"/>
            <w:hideMark/>
          </w:tcPr>
          <w:p w14:paraId="090A5098" w14:textId="77777777" w:rsidR="00572609" w:rsidRPr="00922363" w:rsidRDefault="00572609" w:rsidP="00922363">
            <w:pPr>
              <w:spacing w:line="360" w:lineRule="auto"/>
              <w:jc w:val="center"/>
              <w:rPr>
                <w:rFonts w:ascii="Arial" w:hAnsi="Arial" w:cs="Arial"/>
                <w:b/>
                <w:bCs/>
              </w:rPr>
            </w:pPr>
            <w:r w:rsidRPr="00922363">
              <w:rPr>
                <w:rFonts w:ascii="Arial" w:hAnsi="Arial" w:cs="Arial"/>
                <w:b/>
                <w:bCs/>
              </w:rPr>
              <w:t>Adjustment</w:t>
            </w:r>
          </w:p>
        </w:tc>
        <w:tc>
          <w:tcPr>
            <w:tcW w:w="2880" w:type="dxa"/>
            <w:hideMark/>
          </w:tcPr>
          <w:p w14:paraId="6BC29375" w14:textId="77777777" w:rsidR="00572609" w:rsidRPr="00922363" w:rsidRDefault="00572609" w:rsidP="00922363">
            <w:pPr>
              <w:spacing w:line="360" w:lineRule="auto"/>
              <w:jc w:val="center"/>
              <w:rPr>
                <w:rFonts w:ascii="Arial" w:hAnsi="Arial" w:cs="Arial"/>
                <w:b/>
                <w:bCs/>
              </w:rPr>
            </w:pPr>
            <w:r w:rsidRPr="00922363">
              <w:rPr>
                <w:rFonts w:ascii="Arial" w:hAnsi="Arial" w:cs="Arial"/>
                <w:b/>
                <w:bCs/>
              </w:rPr>
              <w:t>Pro</w:t>
            </w:r>
            <w:r w:rsidRPr="00922363">
              <w:rPr>
                <w:rFonts w:ascii="Arial" w:hAnsi="Arial" w:cs="Arial"/>
                <w:b/>
                <w:bCs/>
              </w:rPr>
              <w:noBreakHyphen/>
              <w:t>Forma 2024</w:t>
            </w:r>
          </w:p>
        </w:tc>
      </w:tr>
      <w:tr w:rsidR="00572609" w:rsidRPr="00922363" w14:paraId="4CA6B0DA" w14:textId="77777777" w:rsidTr="00EB1AD8">
        <w:tc>
          <w:tcPr>
            <w:tcW w:w="0" w:type="auto"/>
            <w:hideMark/>
          </w:tcPr>
          <w:p w14:paraId="6CF541E9" w14:textId="77777777" w:rsidR="00572609" w:rsidRPr="00922363" w:rsidRDefault="00572609" w:rsidP="00922363">
            <w:pPr>
              <w:spacing w:line="360" w:lineRule="auto"/>
              <w:jc w:val="center"/>
              <w:rPr>
                <w:rFonts w:ascii="Arial" w:hAnsi="Arial" w:cs="Arial"/>
              </w:rPr>
            </w:pPr>
            <w:r w:rsidRPr="00922363">
              <w:rPr>
                <w:rFonts w:ascii="Arial" w:hAnsi="Arial" w:cs="Arial"/>
              </w:rPr>
              <w:t>Total Assets</w:t>
            </w:r>
          </w:p>
        </w:tc>
        <w:tc>
          <w:tcPr>
            <w:tcW w:w="0" w:type="auto"/>
            <w:hideMark/>
          </w:tcPr>
          <w:p w14:paraId="17EE88AD" w14:textId="77777777" w:rsidR="00572609" w:rsidRPr="00922363" w:rsidRDefault="00572609" w:rsidP="00922363">
            <w:pPr>
              <w:spacing w:line="360" w:lineRule="auto"/>
              <w:jc w:val="center"/>
              <w:rPr>
                <w:rFonts w:ascii="Arial" w:hAnsi="Arial" w:cs="Arial"/>
              </w:rPr>
            </w:pPr>
            <w:r w:rsidRPr="00922363">
              <w:rPr>
                <w:rFonts w:ascii="Arial" w:hAnsi="Arial" w:cs="Arial"/>
              </w:rPr>
              <w:t>323,354</w:t>
            </w:r>
          </w:p>
        </w:tc>
        <w:tc>
          <w:tcPr>
            <w:tcW w:w="2848" w:type="dxa"/>
            <w:hideMark/>
          </w:tcPr>
          <w:p w14:paraId="34FE003B" w14:textId="77777777" w:rsidR="00572609" w:rsidRPr="00922363" w:rsidRDefault="00572609" w:rsidP="00922363">
            <w:pPr>
              <w:spacing w:line="360" w:lineRule="auto"/>
              <w:jc w:val="center"/>
              <w:rPr>
                <w:rFonts w:ascii="Arial" w:hAnsi="Arial" w:cs="Arial"/>
              </w:rPr>
            </w:pPr>
            <w:r w:rsidRPr="00922363">
              <w:rPr>
                <w:rFonts w:ascii="Arial" w:hAnsi="Arial" w:cs="Arial"/>
              </w:rPr>
              <w:t>+12,966</w:t>
            </w:r>
          </w:p>
        </w:tc>
        <w:tc>
          <w:tcPr>
            <w:tcW w:w="2880" w:type="dxa"/>
            <w:hideMark/>
          </w:tcPr>
          <w:p w14:paraId="0F5BB7CB" w14:textId="77777777" w:rsidR="00572609" w:rsidRPr="00922363" w:rsidRDefault="00572609" w:rsidP="00922363">
            <w:pPr>
              <w:spacing w:line="360" w:lineRule="auto"/>
              <w:jc w:val="center"/>
              <w:rPr>
                <w:rFonts w:ascii="Arial" w:hAnsi="Arial" w:cs="Arial"/>
              </w:rPr>
            </w:pPr>
            <w:r w:rsidRPr="00922363">
              <w:rPr>
                <w:rFonts w:ascii="Arial" w:hAnsi="Arial" w:cs="Arial"/>
              </w:rPr>
              <w:t>336,320</w:t>
            </w:r>
          </w:p>
        </w:tc>
      </w:tr>
      <w:tr w:rsidR="00572609" w:rsidRPr="00922363" w14:paraId="613B8584" w14:textId="77777777" w:rsidTr="00EB1AD8">
        <w:tc>
          <w:tcPr>
            <w:tcW w:w="0" w:type="auto"/>
            <w:hideMark/>
          </w:tcPr>
          <w:p w14:paraId="31DB6753" w14:textId="77777777" w:rsidR="00572609" w:rsidRPr="00922363" w:rsidRDefault="00572609" w:rsidP="00922363">
            <w:pPr>
              <w:spacing w:line="360" w:lineRule="auto"/>
              <w:jc w:val="center"/>
              <w:rPr>
                <w:rFonts w:ascii="Arial" w:hAnsi="Arial" w:cs="Arial"/>
              </w:rPr>
            </w:pPr>
            <w:r w:rsidRPr="00922363">
              <w:rPr>
                <w:rFonts w:ascii="Arial" w:hAnsi="Arial" w:cs="Arial"/>
              </w:rPr>
              <w:t>Total Liabilities</w:t>
            </w:r>
          </w:p>
        </w:tc>
        <w:tc>
          <w:tcPr>
            <w:tcW w:w="0" w:type="auto"/>
            <w:hideMark/>
          </w:tcPr>
          <w:p w14:paraId="4917A39C" w14:textId="77777777" w:rsidR="00572609" w:rsidRPr="00922363" w:rsidRDefault="00572609" w:rsidP="00922363">
            <w:pPr>
              <w:spacing w:line="360" w:lineRule="auto"/>
              <w:jc w:val="center"/>
              <w:rPr>
                <w:rFonts w:ascii="Arial" w:hAnsi="Arial" w:cs="Arial"/>
              </w:rPr>
            </w:pPr>
            <w:r w:rsidRPr="00922363">
              <w:rPr>
                <w:rFonts w:ascii="Arial" w:hAnsi="Arial" w:cs="Arial"/>
              </w:rPr>
              <w:t>170,249</w:t>
            </w:r>
          </w:p>
        </w:tc>
        <w:tc>
          <w:tcPr>
            <w:tcW w:w="2848" w:type="dxa"/>
            <w:hideMark/>
          </w:tcPr>
          <w:p w14:paraId="2AEC63F3" w14:textId="77777777" w:rsidR="00572609" w:rsidRPr="00922363" w:rsidRDefault="00572609" w:rsidP="00922363">
            <w:pPr>
              <w:spacing w:line="360" w:lineRule="auto"/>
              <w:jc w:val="center"/>
              <w:rPr>
                <w:rFonts w:ascii="Arial" w:hAnsi="Arial" w:cs="Arial"/>
              </w:rPr>
            </w:pPr>
            <w:r w:rsidRPr="00922363">
              <w:rPr>
                <w:rFonts w:ascii="Arial" w:hAnsi="Arial" w:cs="Arial"/>
              </w:rPr>
              <w:t>−10,000</w:t>
            </w:r>
          </w:p>
        </w:tc>
        <w:tc>
          <w:tcPr>
            <w:tcW w:w="2880" w:type="dxa"/>
            <w:hideMark/>
          </w:tcPr>
          <w:p w14:paraId="49C337AB" w14:textId="77777777" w:rsidR="00572609" w:rsidRPr="00922363" w:rsidRDefault="00572609" w:rsidP="00922363">
            <w:pPr>
              <w:spacing w:line="360" w:lineRule="auto"/>
              <w:jc w:val="center"/>
              <w:rPr>
                <w:rFonts w:ascii="Arial" w:hAnsi="Arial" w:cs="Arial"/>
              </w:rPr>
            </w:pPr>
            <w:r w:rsidRPr="00922363">
              <w:rPr>
                <w:rFonts w:ascii="Arial" w:hAnsi="Arial" w:cs="Arial"/>
              </w:rPr>
              <w:t>160,249</w:t>
            </w:r>
          </w:p>
        </w:tc>
      </w:tr>
      <w:tr w:rsidR="00572609" w:rsidRPr="00922363" w14:paraId="00C7A713" w14:textId="77777777" w:rsidTr="00EB1AD8">
        <w:tc>
          <w:tcPr>
            <w:tcW w:w="0" w:type="auto"/>
            <w:hideMark/>
          </w:tcPr>
          <w:p w14:paraId="437E1675" w14:textId="77777777" w:rsidR="00572609" w:rsidRPr="00922363" w:rsidRDefault="00572609" w:rsidP="00922363">
            <w:pPr>
              <w:spacing w:line="360" w:lineRule="auto"/>
              <w:jc w:val="center"/>
              <w:rPr>
                <w:rFonts w:ascii="Arial" w:hAnsi="Arial" w:cs="Arial"/>
              </w:rPr>
            </w:pPr>
            <w:r w:rsidRPr="00922363">
              <w:rPr>
                <w:rFonts w:ascii="Arial" w:hAnsi="Arial" w:cs="Arial"/>
              </w:rPr>
              <w:t>Shareholders’ Equity</w:t>
            </w:r>
          </w:p>
        </w:tc>
        <w:tc>
          <w:tcPr>
            <w:tcW w:w="0" w:type="auto"/>
            <w:hideMark/>
          </w:tcPr>
          <w:p w14:paraId="573069DC" w14:textId="77777777" w:rsidR="00572609" w:rsidRPr="00922363" w:rsidRDefault="00572609" w:rsidP="00922363">
            <w:pPr>
              <w:spacing w:line="360" w:lineRule="auto"/>
              <w:jc w:val="center"/>
              <w:rPr>
                <w:rFonts w:ascii="Arial" w:hAnsi="Arial" w:cs="Arial"/>
              </w:rPr>
            </w:pPr>
            <w:r w:rsidRPr="00922363">
              <w:rPr>
                <w:rFonts w:ascii="Arial" w:hAnsi="Arial" w:cs="Arial"/>
              </w:rPr>
              <w:t>153,105</w:t>
            </w:r>
          </w:p>
        </w:tc>
        <w:tc>
          <w:tcPr>
            <w:tcW w:w="2848" w:type="dxa"/>
            <w:hideMark/>
          </w:tcPr>
          <w:p w14:paraId="7759F137" w14:textId="77777777" w:rsidR="00572609" w:rsidRPr="00922363" w:rsidRDefault="00572609" w:rsidP="00922363">
            <w:pPr>
              <w:spacing w:line="360" w:lineRule="auto"/>
              <w:jc w:val="center"/>
              <w:rPr>
                <w:rFonts w:ascii="Arial" w:hAnsi="Arial" w:cs="Arial"/>
              </w:rPr>
            </w:pPr>
            <w:r w:rsidRPr="00922363">
              <w:rPr>
                <w:rFonts w:ascii="Arial" w:hAnsi="Arial" w:cs="Arial"/>
              </w:rPr>
              <w:t>+22,966</w:t>
            </w:r>
          </w:p>
        </w:tc>
        <w:tc>
          <w:tcPr>
            <w:tcW w:w="2880" w:type="dxa"/>
            <w:hideMark/>
          </w:tcPr>
          <w:p w14:paraId="5087B215" w14:textId="77777777" w:rsidR="00572609" w:rsidRPr="00922363" w:rsidRDefault="00572609" w:rsidP="00922363">
            <w:pPr>
              <w:spacing w:line="360" w:lineRule="auto"/>
              <w:jc w:val="center"/>
              <w:rPr>
                <w:rFonts w:ascii="Arial" w:hAnsi="Arial" w:cs="Arial"/>
              </w:rPr>
            </w:pPr>
            <w:r w:rsidRPr="00922363">
              <w:rPr>
                <w:rFonts w:ascii="Arial" w:hAnsi="Arial" w:cs="Arial"/>
              </w:rPr>
              <w:t>176,071</w:t>
            </w:r>
          </w:p>
        </w:tc>
      </w:tr>
    </w:tbl>
    <w:p w14:paraId="06613668" w14:textId="77777777" w:rsidR="00572609" w:rsidRPr="00922363" w:rsidRDefault="00572609" w:rsidP="00922363">
      <w:pPr>
        <w:pStyle w:val="NormalWeb"/>
        <w:spacing w:line="360" w:lineRule="auto"/>
        <w:rPr>
          <w:rFonts w:ascii="Arial" w:hAnsi="Arial" w:cs="Arial"/>
        </w:rPr>
      </w:pPr>
      <w:r w:rsidRPr="00922363">
        <w:rPr>
          <w:rFonts w:ascii="Arial" w:hAnsi="Arial" w:cs="Arial"/>
        </w:rPr>
        <w:t>Note: Net asset increase reflects equity injection net of asset divestment.</w:t>
      </w:r>
    </w:p>
    <w:p w14:paraId="5A70F797" w14:textId="77777777" w:rsidR="00572609" w:rsidRPr="00922363" w:rsidRDefault="00572609" w:rsidP="00922363">
      <w:pPr>
        <w:pStyle w:val="Heading3"/>
        <w:spacing w:line="360" w:lineRule="auto"/>
        <w:rPr>
          <w:rFonts w:ascii="Arial" w:hAnsi="Arial" w:cs="Arial"/>
        </w:rPr>
      </w:pPr>
      <w:bookmarkStart w:id="57" w:name="_Toc216756000"/>
      <w:r w:rsidRPr="00922363">
        <w:rPr>
          <w:rFonts w:ascii="Arial" w:hAnsi="Arial" w:cs="Arial"/>
        </w:rPr>
        <w:t>Table C2: Pro</w:t>
      </w:r>
      <w:r w:rsidRPr="00922363">
        <w:rPr>
          <w:rFonts w:ascii="Arial" w:hAnsi="Arial" w:cs="Arial"/>
        </w:rPr>
        <w:noBreakHyphen/>
        <w:t>Forma Capital Structure Ratios</w:t>
      </w:r>
      <w:bookmarkEnd w:id="57"/>
    </w:p>
    <w:tbl>
      <w:tblPr>
        <w:tblStyle w:val="TableGrid"/>
        <w:tblW w:w="0" w:type="auto"/>
        <w:tblLook w:val="04A0" w:firstRow="1" w:lastRow="0" w:firstColumn="1" w:lastColumn="0" w:noHBand="0" w:noVBand="1"/>
      </w:tblPr>
      <w:tblGrid>
        <w:gridCol w:w="1738"/>
        <w:gridCol w:w="3123"/>
        <w:gridCol w:w="2059"/>
        <w:gridCol w:w="2430"/>
      </w:tblGrid>
      <w:tr w:rsidR="00572609" w:rsidRPr="00922363" w14:paraId="6BB66D74" w14:textId="77777777" w:rsidTr="00EB1AD8">
        <w:tc>
          <w:tcPr>
            <w:tcW w:w="0" w:type="auto"/>
            <w:hideMark/>
          </w:tcPr>
          <w:p w14:paraId="3AD74FF4" w14:textId="77777777" w:rsidR="00572609" w:rsidRPr="00922363" w:rsidRDefault="00572609" w:rsidP="00922363">
            <w:pPr>
              <w:spacing w:line="360" w:lineRule="auto"/>
              <w:jc w:val="center"/>
              <w:rPr>
                <w:rFonts w:ascii="Arial" w:hAnsi="Arial" w:cs="Arial"/>
              </w:rPr>
            </w:pPr>
            <w:r w:rsidRPr="00922363">
              <w:rPr>
                <w:rFonts w:ascii="Arial" w:hAnsi="Arial" w:cs="Arial"/>
              </w:rPr>
              <w:lastRenderedPageBreak/>
              <w:t>Ratio</w:t>
            </w:r>
          </w:p>
        </w:tc>
        <w:tc>
          <w:tcPr>
            <w:tcW w:w="0" w:type="auto"/>
            <w:hideMark/>
          </w:tcPr>
          <w:p w14:paraId="71231409" w14:textId="77777777" w:rsidR="00572609" w:rsidRPr="00922363" w:rsidRDefault="00572609" w:rsidP="00922363">
            <w:pPr>
              <w:spacing w:line="360" w:lineRule="auto"/>
              <w:jc w:val="center"/>
              <w:rPr>
                <w:rFonts w:ascii="Arial" w:hAnsi="Arial" w:cs="Arial"/>
              </w:rPr>
            </w:pPr>
            <w:r w:rsidRPr="00922363">
              <w:rPr>
                <w:rFonts w:ascii="Arial" w:hAnsi="Arial" w:cs="Arial"/>
              </w:rPr>
              <w:t>Formula</w:t>
            </w:r>
          </w:p>
        </w:tc>
        <w:tc>
          <w:tcPr>
            <w:tcW w:w="2059" w:type="dxa"/>
            <w:hideMark/>
          </w:tcPr>
          <w:p w14:paraId="69C499A6" w14:textId="77777777" w:rsidR="00572609" w:rsidRPr="00922363" w:rsidRDefault="00572609" w:rsidP="00922363">
            <w:pPr>
              <w:spacing w:line="360" w:lineRule="auto"/>
              <w:jc w:val="center"/>
              <w:rPr>
                <w:rFonts w:ascii="Arial" w:hAnsi="Arial" w:cs="Arial"/>
              </w:rPr>
            </w:pPr>
            <w:r w:rsidRPr="00922363">
              <w:rPr>
                <w:rFonts w:ascii="Arial" w:hAnsi="Arial" w:cs="Arial"/>
              </w:rPr>
              <w:t>Actual 2024</w:t>
            </w:r>
          </w:p>
        </w:tc>
        <w:tc>
          <w:tcPr>
            <w:tcW w:w="2430" w:type="dxa"/>
            <w:hideMark/>
          </w:tcPr>
          <w:p w14:paraId="3647633A" w14:textId="77777777" w:rsidR="00572609" w:rsidRPr="00922363" w:rsidRDefault="00572609" w:rsidP="00922363">
            <w:pPr>
              <w:spacing w:line="360" w:lineRule="auto"/>
              <w:jc w:val="center"/>
              <w:rPr>
                <w:rFonts w:ascii="Arial" w:hAnsi="Arial" w:cs="Arial"/>
              </w:rPr>
            </w:pPr>
            <w:r w:rsidRPr="00922363">
              <w:rPr>
                <w:rFonts w:ascii="Arial" w:hAnsi="Arial" w:cs="Arial"/>
              </w:rPr>
              <w:t>Pro</w:t>
            </w:r>
            <w:r w:rsidRPr="00922363">
              <w:rPr>
                <w:rFonts w:ascii="Arial" w:hAnsi="Arial" w:cs="Arial"/>
              </w:rPr>
              <w:noBreakHyphen/>
              <w:t>Forma 2024</w:t>
            </w:r>
          </w:p>
        </w:tc>
      </w:tr>
      <w:tr w:rsidR="00572609" w:rsidRPr="00922363" w14:paraId="60564C75" w14:textId="77777777" w:rsidTr="00EB1AD8">
        <w:tc>
          <w:tcPr>
            <w:tcW w:w="0" w:type="auto"/>
            <w:hideMark/>
          </w:tcPr>
          <w:p w14:paraId="5091DC9F" w14:textId="77777777" w:rsidR="00572609" w:rsidRPr="00922363" w:rsidRDefault="00572609" w:rsidP="00922363">
            <w:pPr>
              <w:spacing w:line="360" w:lineRule="auto"/>
              <w:jc w:val="center"/>
              <w:rPr>
                <w:rFonts w:ascii="Arial" w:hAnsi="Arial" w:cs="Arial"/>
              </w:rPr>
            </w:pPr>
            <w:r w:rsidRPr="00922363">
              <w:rPr>
                <w:rFonts w:ascii="Arial" w:hAnsi="Arial" w:cs="Arial"/>
              </w:rPr>
              <w:t>Debt to Equity</w:t>
            </w:r>
          </w:p>
        </w:tc>
        <w:tc>
          <w:tcPr>
            <w:tcW w:w="0" w:type="auto"/>
            <w:hideMark/>
          </w:tcPr>
          <w:p w14:paraId="06C9A5BE" w14:textId="77777777" w:rsidR="00572609" w:rsidRPr="00922363" w:rsidRDefault="00572609" w:rsidP="00922363">
            <w:pPr>
              <w:spacing w:line="360" w:lineRule="auto"/>
              <w:jc w:val="center"/>
              <w:rPr>
                <w:rFonts w:ascii="Arial" w:hAnsi="Arial" w:cs="Arial"/>
              </w:rPr>
            </w:pPr>
            <w:r w:rsidRPr="00922363">
              <w:rPr>
                <w:rFonts w:ascii="Arial" w:hAnsi="Arial" w:cs="Arial"/>
              </w:rPr>
              <w:t>Total Liabilities / Equity</w:t>
            </w:r>
          </w:p>
        </w:tc>
        <w:tc>
          <w:tcPr>
            <w:tcW w:w="2059" w:type="dxa"/>
            <w:hideMark/>
          </w:tcPr>
          <w:p w14:paraId="00E825AC" w14:textId="77777777" w:rsidR="00572609" w:rsidRPr="00922363" w:rsidRDefault="00572609" w:rsidP="00922363">
            <w:pPr>
              <w:spacing w:line="360" w:lineRule="auto"/>
              <w:jc w:val="center"/>
              <w:rPr>
                <w:rFonts w:ascii="Arial" w:hAnsi="Arial" w:cs="Arial"/>
              </w:rPr>
            </w:pPr>
            <w:r w:rsidRPr="00922363">
              <w:rPr>
                <w:rFonts w:ascii="Arial" w:hAnsi="Arial" w:cs="Arial"/>
              </w:rPr>
              <w:t>1.11</w:t>
            </w:r>
          </w:p>
        </w:tc>
        <w:tc>
          <w:tcPr>
            <w:tcW w:w="2430" w:type="dxa"/>
            <w:hideMark/>
          </w:tcPr>
          <w:p w14:paraId="64F9DB13" w14:textId="77777777" w:rsidR="00572609" w:rsidRPr="00922363" w:rsidRDefault="00572609" w:rsidP="00922363">
            <w:pPr>
              <w:spacing w:line="360" w:lineRule="auto"/>
              <w:jc w:val="center"/>
              <w:rPr>
                <w:rFonts w:ascii="Arial" w:hAnsi="Arial" w:cs="Arial"/>
              </w:rPr>
            </w:pPr>
            <w:r w:rsidRPr="00922363">
              <w:rPr>
                <w:rFonts w:ascii="Arial" w:hAnsi="Arial" w:cs="Arial"/>
              </w:rPr>
              <w:t>0.91</w:t>
            </w:r>
          </w:p>
        </w:tc>
      </w:tr>
      <w:tr w:rsidR="00572609" w:rsidRPr="00922363" w14:paraId="39E2710E" w14:textId="77777777" w:rsidTr="00EB1AD8">
        <w:tc>
          <w:tcPr>
            <w:tcW w:w="0" w:type="auto"/>
            <w:hideMark/>
          </w:tcPr>
          <w:p w14:paraId="69C000AA" w14:textId="77777777" w:rsidR="00572609" w:rsidRPr="00922363" w:rsidRDefault="00572609" w:rsidP="00922363">
            <w:pPr>
              <w:spacing w:line="360" w:lineRule="auto"/>
              <w:jc w:val="center"/>
              <w:rPr>
                <w:rFonts w:ascii="Arial" w:hAnsi="Arial" w:cs="Arial"/>
              </w:rPr>
            </w:pPr>
            <w:r w:rsidRPr="00922363">
              <w:rPr>
                <w:rFonts w:ascii="Arial" w:hAnsi="Arial" w:cs="Arial"/>
              </w:rPr>
              <w:t>Debt to Capital</w:t>
            </w:r>
          </w:p>
        </w:tc>
        <w:tc>
          <w:tcPr>
            <w:tcW w:w="0" w:type="auto"/>
            <w:hideMark/>
          </w:tcPr>
          <w:p w14:paraId="05E663A3" w14:textId="77777777" w:rsidR="00572609" w:rsidRPr="00922363" w:rsidRDefault="00572609" w:rsidP="00922363">
            <w:pPr>
              <w:spacing w:line="360" w:lineRule="auto"/>
              <w:jc w:val="center"/>
              <w:rPr>
                <w:rFonts w:ascii="Arial" w:hAnsi="Arial" w:cs="Arial"/>
              </w:rPr>
            </w:pPr>
            <w:r w:rsidRPr="00922363">
              <w:rPr>
                <w:rFonts w:ascii="Arial" w:hAnsi="Arial" w:cs="Arial"/>
              </w:rPr>
              <w:t>Liabilities / (Liabilities + Equity)</w:t>
            </w:r>
          </w:p>
        </w:tc>
        <w:tc>
          <w:tcPr>
            <w:tcW w:w="2059" w:type="dxa"/>
            <w:hideMark/>
          </w:tcPr>
          <w:p w14:paraId="72890A93" w14:textId="77777777" w:rsidR="00572609" w:rsidRPr="00922363" w:rsidRDefault="00572609" w:rsidP="00922363">
            <w:pPr>
              <w:spacing w:line="360" w:lineRule="auto"/>
              <w:jc w:val="center"/>
              <w:rPr>
                <w:rFonts w:ascii="Arial" w:hAnsi="Arial" w:cs="Arial"/>
              </w:rPr>
            </w:pPr>
            <w:r w:rsidRPr="00922363">
              <w:rPr>
                <w:rFonts w:ascii="Arial" w:hAnsi="Arial" w:cs="Arial"/>
              </w:rPr>
              <w:t>0.53</w:t>
            </w:r>
          </w:p>
        </w:tc>
        <w:tc>
          <w:tcPr>
            <w:tcW w:w="2430" w:type="dxa"/>
            <w:hideMark/>
          </w:tcPr>
          <w:p w14:paraId="0E67A99C" w14:textId="77777777" w:rsidR="00572609" w:rsidRPr="00922363" w:rsidRDefault="00572609" w:rsidP="00922363">
            <w:pPr>
              <w:spacing w:line="360" w:lineRule="auto"/>
              <w:jc w:val="center"/>
              <w:rPr>
                <w:rFonts w:ascii="Arial" w:hAnsi="Arial" w:cs="Arial"/>
              </w:rPr>
            </w:pPr>
            <w:r w:rsidRPr="00922363">
              <w:rPr>
                <w:rFonts w:ascii="Arial" w:hAnsi="Arial" w:cs="Arial"/>
              </w:rPr>
              <w:t>0.48</w:t>
            </w:r>
          </w:p>
        </w:tc>
      </w:tr>
      <w:tr w:rsidR="00572609" w:rsidRPr="00922363" w14:paraId="37ADCB4A" w14:textId="77777777" w:rsidTr="00EB1AD8">
        <w:tc>
          <w:tcPr>
            <w:tcW w:w="0" w:type="auto"/>
            <w:hideMark/>
          </w:tcPr>
          <w:p w14:paraId="3F180672" w14:textId="77777777" w:rsidR="00572609" w:rsidRPr="00922363" w:rsidRDefault="00572609" w:rsidP="00922363">
            <w:pPr>
              <w:spacing w:line="360" w:lineRule="auto"/>
              <w:jc w:val="center"/>
              <w:rPr>
                <w:rFonts w:ascii="Arial" w:hAnsi="Arial" w:cs="Arial"/>
              </w:rPr>
            </w:pPr>
            <w:r w:rsidRPr="00922363">
              <w:rPr>
                <w:rFonts w:ascii="Arial" w:hAnsi="Arial" w:cs="Arial"/>
              </w:rPr>
              <w:t>Equity Multiplier</w:t>
            </w:r>
          </w:p>
        </w:tc>
        <w:tc>
          <w:tcPr>
            <w:tcW w:w="0" w:type="auto"/>
            <w:hideMark/>
          </w:tcPr>
          <w:p w14:paraId="17BC0D85" w14:textId="77777777" w:rsidR="00572609" w:rsidRPr="00922363" w:rsidRDefault="00572609" w:rsidP="00922363">
            <w:pPr>
              <w:spacing w:line="360" w:lineRule="auto"/>
              <w:jc w:val="center"/>
              <w:rPr>
                <w:rFonts w:ascii="Arial" w:hAnsi="Arial" w:cs="Arial"/>
              </w:rPr>
            </w:pPr>
            <w:r w:rsidRPr="00922363">
              <w:rPr>
                <w:rFonts w:ascii="Arial" w:hAnsi="Arial" w:cs="Arial"/>
              </w:rPr>
              <w:t>Total Assets / Equity</w:t>
            </w:r>
          </w:p>
        </w:tc>
        <w:tc>
          <w:tcPr>
            <w:tcW w:w="2059" w:type="dxa"/>
            <w:hideMark/>
          </w:tcPr>
          <w:p w14:paraId="245F7372" w14:textId="77777777" w:rsidR="00572609" w:rsidRPr="00922363" w:rsidRDefault="00572609" w:rsidP="00922363">
            <w:pPr>
              <w:spacing w:line="360" w:lineRule="auto"/>
              <w:jc w:val="center"/>
              <w:rPr>
                <w:rFonts w:ascii="Arial" w:hAnsi="Arial" w:cs="Arial"/>
              </w:rPr>
            </w:pPr>
            <w:r w:rsidRPr="00922363">
              <w:rPr>
                <w:rFonts w:ascii="Arial" w:hAnsi="Arial" w:cs="Arial"/>
              </w:rPr>
              <w:t>2.11</w:t>
            </w:r>
          </w:p>
        </w:tc>
        <w:tc>
          <w:tcPr>
            <w:tcW w:w="2430" w:type="dxa"/>
            <w:hideMark/>
          </w:tcPr>
          <w:p w14:paraId="7CDCA4DE" w14:textId="77777777" w:rsidR="00572609" w:rsidRPr="00922363" w:rsidRDefault="00572609" w:rsidP="00922363">
            <w:pPr>
              <w:spacing w:line="360" w:lineRule="auto"/>
              <w:jc w:val="center"/>
              <w:rPr>
                <w:rFonts w:ascii="Arial" w:hAnsi="Arial" w:cs="Arial"/>
              </w:rPr>
            </w:pPr>
            <w:r w:rsidRPr="00922363">
              <w:rPr>
                <w:rFonts w:ascii="Arial" w:hAnsi="Arial" w:cs="Arial"/>
              </w:rPr>
              <w:t>1.91</w:t>
            </w:r>
          </w:p>
        </w:tc>
      </w:tr>
    </w:tbl>
    <w:p w14:paraId="215CAC6D" w14:textId="77777777" w:rsidR="00572609" w:rsidRPr="00922363" w:rsidRDefault="00572609" w:rsidP="00922363">
      <w:pPr>
        <w:pStyle w:val="NormalWeb"/>
        <w:spacing w:line="360" w:lineRule="auto"/>
        <w:rPr>
          <w:rFonts w:ascii="Arial" w:hAnsi="Arial" w:cs="Arial"/>
        </w:rPr>
      </w:pPr>
      <w:r w:rsidRPr="00922363">
        <w:rPr>
          <w:rFonts w:ascii="Arial" w:hAnsi="Arial" w:cs="Arial"/>
        </w:rPr>
        <w:t>The pro</w:t>
      </w:r>
      <w:r w:rsidRPr="00922363">
        <w:rPr>
          <w:rFonts w:ascii="Arial" w:hAnsi="Arial" w:cs="Arial"/>
        </w:rPr>
        <w:noBreakHyphen/>
        <w:t>forma results demonstrate a material reduction in leverage and improved balance</w:t>
      </w:r>
      <w:r w:rsidRPr="00922363">
        <w:rPr>
          <w:rFonts w:ascii="Arial" w:hAnsi="Arial" w:cs="Arial"/>
        </w:rPr>
        <w:noBreakHyphen/>
        <w:t>sheet resilience.</w:t>
      </w:r>
    </w:p>
    <w:p w14:paraId="7B4FA391" w14:textId="77777777" w:rsidR="00572609" w:rsidRPr="00922363" w:rsidRDefault="00572609" w:rsidP="00922363">
      <w:pPr>
        <w:pStyle w:val="Heading3"/>
        <w:spacing w:line="360" w:lineRule="auto"/>
        <w:rPr>
          <w:rFonts w:ascii="Arial" w:hAnsi="Arial" w:cs="Arial"/>
        </w:rPr>
      </w:pPr>
      <w:bookmarkStart w:id="58" w:name="_Toc216756001"/>
      <w:r w:rsidRPr="00922363">
        <w:rPr>
          <w:rFonts w:ascii="Arial" w:hAnsi="Arial" w:cs="Arial"/>
        </w:rPr>
        <w:t>Table C3: Interest Coverage Sensitivity</w:t>
      </w:r>
      <w:bookmarkEnd w:id="58"/>
    </w:p>
    <w:tbl>
      <w:tblPr>
        <w:tblStyle w:val="TableGrid"/>
        <w:tblW w:w="0" w:type="auto"/>
        <w:tblLook w:val="04A0" w:firstRow="1" w:lastRow="0" w:firstColumn="1" w:lastColumn="0" w:noHBand="0" w:noVBand="1"/>
      </w:tblPr>
      <w:tblGrid>
        <w:gridCol w:w="3346"/>
        <w:gridCol w:w="3034"/>
        <w:gridCol w:w="2970"/>
      </w:tblGrid>
      <w:tr w:rsidR="00572609" w:rsidRPr="00922363" w14:paraId="36A76948" w14:textId="77777777" w:rsidTr="00EB1AD8">
        <w:tc>
          <w:tcPr>
            <w:tcW w:w="0" w:type="auto"/>
            <w:hideMark/>
          </w:tcPr>
          <w:p w14:paraId="3942E6F0" w14:textId="77777777" w:rsidR="00572609" w:rsidRPr="00922363" w:rsidRDefault="00572609" w:rsidP="00922363">
            <w:pPr>
              <w:spacing w:line="360" w:lineRule="auto"/>
              <w:jc w:val="center"/>
              <w:rPr>
                <w:rFonts w:ascii="Arial" w:hAnsi="Arial" w:cs="Arial"/>
              </w:rPr>
            </w:pPr>
            <w:r w:rsidRPr="00922363">
              <w:rPr>
                <w:rFonts w:ascii="Arial" w:hAnsi="Arial" w:cs="Arial"/>
              </w:rPr>
              <w:t>Item</w:t>
            </w:r>
          </w:p>
        </w:tc>
        <w:tc>
          <w:tcPr>
            <w:tcW w:w="3034" w:type="dxa"/>
            <w:hideMark/>
          </w:tcPr>
          <w:p w14:paraId="56A2695E" w14:textId="77777777" w:rsidR="00572609" w:rsidRPr="00922363" w:rsidRDefault="00572609" w:rsidP="00922363">
            <w:pPr>
              <w:spacing w:line="360" w:lineRule="auto"/>
              <w:jc w:val="center"/>
              <w:rPr>
                <w:rFonts w:ascii="Arial" w:hAnsi="Arial" w:cs="Arial"/>
              </w:rPr>
            </w:pPr>
            <w:r w:rsidRPr="00922363">
              <w:rPr>
                <w:rFonts w:ascii="Arial" w:hAnsi="Arial" w:cs="Arial"/>
              </w:rPr>
              <w:t>Actual 2024</w:t>
            </w:r>
          </w:p>
        </w:tc>
        <w:tc>
          <w:tcPr>
            <w:tcW w:w="2970" w:type="dxa"/>
            <w:hideMark/>
          </w:tcPr>
          <w:p w14:paraId="2FB10F5F" w14:textId="77777777" w:rsidR="00572609" w:rsidRPr="00922363" w:rsidRDefault="00572609" w:rsidP="00922363">
            <w:pPr>
              <w:spacing w:line="360" w:lineRule="auto"/>
              <w:jc w:val="center"/>
              <w:rPr>
                <w:rFonts w:ascii="Arial" w:hAnsi="Arial" w:cs="Arial"/>
              </w:rPr>
            </w:pPr>
            <w:r w:rsidRPr="00922363">
              <w:rPr>
                <w:rFonts w:ascii="Arial" w:hAnsi="Arial" w:cs="Arial"/>
              </w:rPr>
              <w:t>Pro</w:t>
            </w:r>
            <w:r w:rsidRPr="00922363">
              <w:rPr>
                <w:rFonts w:ascii="Arial" w:hAnsi="Arial" w:cs="Arial"/>
              </w:rPr>
              <w:noBreakHyphen/>
              <w:t>Forma 2024</w:t>
            </w:r>
          </w:p>
        </w:tc>
      </w:tr>
      <w:tr w:rsidR="00572609" w:rsidRPr="00922363" w14:paraId="5AB6953E" w14:textId="77777777" w:rsidTr="00EB1AD8">
        <w:tc>
          <w:tcPr>
            <w:tcW w:w="0" w:type="auto"/>
            <w:hideMark/>
          </w:tcPr>
          <w:p w14:paraId="4F7ECAB8" w14:textId="77777777" w:rsidR="00572609" w:rsidRPr="00922363" w:rsidRDefault="00572609" w:rsidP="00922363">
            <w:pPr>
              <w:spacing w:line="360" w:lineRule="auto"/>
              <w:jc w:val="center"/>
              <w:rPr>
                <w:rFonts w:ascii="Arial" w:hAnsi="Arial" w:cs="Arial"/>
              </w:rPr>
            </w:pPr>
            <w:r w:rsidRPr="00922363">
              <w:rPr>
                <w:rFonts w:ascii="Arial" w:hAnsi="Arial" w:cs="Arial"/>
              </w:rPr>
              <w:t>EBIT (£ million)</w:t>
            </w:r>
          </w:p>
        </w:tc>
        <w:tc>
          <w:tcPr>
            <w:tcW w:w="3034" w:type="dxa"/>
            <w:hideMark/>
          </w:tcPr>
          <w:p w14:paraId="4E33CD55" w14:textId="77777777" w:rsidR="00572609" w:rsidRPr="00922363" w:rsidRDefault="00572609" w:rsidP="00922363">
            <w:pPr>
              <w:spacing w:line="360" w:lineRule="auto"/>
              <w:jc w:val="center"/>
              <w:rPr>
                <w:rFonts w:ascii="Arial" w:hAnsi="Arial" w:cs="Arial"/>
              </w:rPr>
            </w:pPr>
            <w:r w:rsidRPr="00922363">
              <w:rPr>
                <w:rFonts w:ascii="Arial" w:hAnsi="Arial" w:cs="Arial"/>
              </w:rPr>
              <w:t>−15,297</w:t>
            </w:r>
          </w:p>
        </w:tc>
        <w:tc>
          <w:tcPr>
            <w:tcW w:w="2970" w:type="dxa"/>
            <w:hideMark/>
          </w:tcPr>
          <w:p w14:paraId="34592393" w14:textId="77777777" w:rsidR="00572609" w:rsidRPr="00922363" w:rsidRDefault="00572609" w:rsidP="00922363">
            <w:pPr>
              <w:spacing w:line="360" w:lineRule="auto"/>
              <w:jc w:val="center"/>
              <w:rPr>
                <w:rFonts w:ascii="Arial" w:hAnsi="Arial" w:cs="Arial"/>
              </w:rPr>
            </w:pPr>
            <w:r w:rsidRPr="00922363">
              <w:rPr>
                <w:rFonts w:ascii="Arial" w:hAnsi="Arial" w:cs="Arial"/>
              </w:rPr>
              <w:t>−15,297</w:t>
            </w:r>
          </w:p>
        </w:tc>
      </w:tr>
      <w:tr w:rsidR="00572609" w:rsidRPr="00922363" w14:paraId="1445E48F" w14:textId="77777777" w:rsidTr="00EB1AD8">
        <w:tc>
          <w:tcPr>
            <w:tcW w:w="0" w:type="auto"/>
            <w:hideMark/>
          </w:tcPr>
          <w:p w14:paraId="2988595F" w14:textId="77777777" w:rsidR="00572609" w:rsidRPr="00922363" w:rsidRDefault="00572609" w:rsidP="00922363">
            <w:pPr>
              <w:spacing w:line="360" w:lineRule="auto"/>
              <w:jc w:val="center"/>
              <w:rPr>
                <w:rFonts w:ascii="Arial" w:hAnsi="Arial" w:cs="Arial"/>
              </w:rPr>
            </w:pPr>
            <w:r w:rsidRPr="00922363">
              <w:rPr>
                <w:rFonts w:ascii="Arial" w:hAnsi="Arial" w:cs="Arial"/>
              </w:rPr>
              <w:t>Interest Expense (£ million)</w:t>
            </w:r>
          </w:p>
        </w:tc>
        <w:tc>
          <w:tcPr>
            <w:tcW w:w="3034" w:type="dxa"/>
            <w:hideMark/>
          </w:tcPr>
          <w:p w14:paraId="6ED94FED" w14:textId="77777777" w:rsidR="00572609" w:rsidRPr="00922363" w:rsidRDefault="00572609" w:rsidP="00922363">
            <w:pPr>
              <w:spacing w:line="360" w:lineRule="auto"/>
              <w:jc w:val="center"/>
              <w:rPr>
                <w:rFonts w:ascii="Arial" w:hAnsi="Arial" w:cs="Arial"/>
              </w:rPr>
            </w:pPr>
            <w:r w:rsidRPr="00922363">
              <w:rPr>
                <w:rFonts w:ascii="Arial" w:hAnsi="Arial" w:cs="Arial"/>
              </w:rPr>
              <w:t>3,361</w:t>
            </w:r>
          </w:p>
        </w:tc>
        <w:tc>
          <w:tcPr>
            <w:tcW w:w="2970" w:type="dxa"/>
            <w:hideMark/>
          </w:tcPr>
          <w:p w14:paraId="21DC1CB4" w14:textId="77777777" w:rsidR="00572609" w:rsidRPr="00922363" w:rsidRDefault="00572609" w:rsidP="00922363">
            <w:pPr>
              <w:spacing w:line="360" w:lineRule="auto"/>
              <w:jc w:val="center"/>
              <w:rPr>
                <w:rFonts w:ascii="Arial" w:hAnsi="Arial" w:cs="Arial"/>
              </w:rPr>
            </w:pPr>
            <w:r w:rsidRPr="00922363">
              <w:rPr>
                <w:rFonts w:ascii="Arial" w:hAnsi="Arial" w:cs="Arial"/>
              </w:rPr>
              <w:t>2,857</w:t>
            </w:r>
          </w:p>
        </w:tc>
      </w:tr>
      <w:tr w:rsidR="00572609" w:rsidRPr="00922363" w14:paraId="2C5EEB81" w14:textId="77777777" w:rsidTr="00EB1AD8">
        <w:tc>
          <w:tcPr>
            <w:tcW w:w="0" w:type="auto"/>
            <w:hideMark/>
          </w:tcPr>
          <w:p w14:paraId="585DFA25" w14:textId="77777777" w:rsidR="00572609" w:rsidRPr="00922363" w:rsidRDefault="00572609" w:rsidP="00922363">
            <w:pPr>
              <w:spacing w:line="360" w:lineRule="auto"/>
              <w:jc w:val="center"/>
              <w:rPr>
                <w:rFonts w:ascii="Arial" w:hAnsi="Arial" w:cs="Arial"/>
              </w:rPr>
            </w:pPr>
            <w:r w:rsidRPr="00922363">
              <w:rPr>
                <w:rFonts w:ascii="Arial" w:hAnsi="Arial" w:cs="Arial"/>
              </w:rPr>
              <w:t>Interest Coverage (EBIT / Interest)</w:t>
            </w:r>
          </w:p>
        </w:tc>
        <w:tc>
          <w:tcPr>
            <w:tcW w:w="3034" w:type="dxa"/>
            <w:hideMark/>
          </w:tcPr>
          <w:p w14:paraId="28524020" w14:textId="77777777" w:rsidR="00572609" w:rsidRPr="00922363" w:rsidRDefault="00572609" w:rsidP="00922363">
            <w:pPr>
              <w:spacing w:line="360" w:lineRule="auto"/>
              <w:jc w:val="center"/>
              <w:rPr>
                <w:rFonts w:ascii="Arial" w:hAnsi="Arial" w:cs="Arial"/>
              </w:rPr>
            </w:pPr>
            <w:r w:rsidRPr="00922363">
              <w:rPr>
                <w:rFonts w:ascii="Arial" w:hAnsi="Arial" w:cs="Arial"/>
              </w:rPr>
              <w:t>−4.55</w:t>
            </w:r>
          </w:p>
        </w:tc>
        <w:tc>
          <w:tcPr>
            <w:tcW w:w="2970" w:type="dxa"/>
            <w:hideMark/>
          </w:tcPr>
          <w:p w14:paraId="7672C791" w14:textId="77777777" w:rsidR="00572609" w:rsidRPr="00922363" w:rsidRDefault="00572609" w:rsidP="00922363">
            <w:pPr>
              <w:spacing w:line="360" w:lineRule="auto"/>
              <w:jc w:val="center"/>
              <w:rPr>
                <w:rFonts w:ascii="Arial" w:hAnsi="Arial" w:cs="Arial"/>
              </w:rPr>
            </w:pPr>
            <w:r w:rsidRPr="00922363">
              <w:rPr>
                <w:rFonts w:ascii="Arial" w:hAnsi="Arial" w:cs="Arial"/>
              </w:rPr>
              <w:t>−3.36</w:t>
            </w:r>
          </w:p>
        </w:tc>
      </w:tr>
    </w:tbl>
    <w:p w14:paraId="507D8802" w14:textId="77777777" w:rsidR="00572609" w:rsidRPr="00922363" w:rsidRDefault="00572609" w:rsidP="00922363">
      <w:pPr>
        <w:pStyle w:val="NormalWeb"/>
        <w:spacing w:line="360" w:lineRule="auto"/>
        <w:rPr>
          <w:rFonts w:ascii="Arial" w:hAnsi="Arial" w:cs="Arial"/>
        </w:rPr>
      </w:pPr>
      <w:r w:rsidRPr="00922363">
        <w:rPr>
          <w:rFonts w:ascii="Arial" w:hAnsi="Arial" w:cs="Arial"/>
        </w:rPr>
        <w:t>Note: Interest expense is reduced proportionally to the £10,000 million debt repayment.</w:t>
      </w:r>
    </w:p>
    <w:p w14:paraId="7AD78DE3" w14:textId="77777777" w:rsidR="00572609" w:rsidRPr="00922363" w:rsidRDefault="00572609" w:rsidP="00922363">
      <w:pPr>
        <w:pStyle w:val="Heading3"/>
        <w:spacing w:line="360" w:lineRule="auto"/>
        <w:rPr>
          <w:rFonts w:ascii="Arial" w:hAnsi="Arial" w:cs="Arial"/>
        </w:rPr>
      </w:pPr>
      <w:bookmarkStart w:id="59" w:name="_Toc216756002"/>
      <w:r w:rsidRPr="00922363">
        <w:rPr>
          <w:rFonts w:ascii="Arial" w:hAnsi="Arial" w:cs="Arial"/>
        </w:rPr>
        <w:t>Table C4: Equity Dilution and EPS Impact</w:t>
      </w:r>
      <w:bookmarkEnd w:id="59"/>
    </w:p>
    <w:tbl>
      <w:tblPr>
        <w:tblStyle w:val="TableGrid"/>
        <w:tblW w:w="0" w:type="auto"/>
        <w:tblLook w:val="04A0" w:firstRow="1" w:lastRow="0" w:firstColumn="1" w:lastColumn="0" w:noHBand="0" w:noVBand="1"/>
      </w:tblPr>
      <w:tblGrid>
        <w:gridCol w:w="2839"/>
        <w:gridCol w:w="3361"/>
        <w:gridCol w:w="3150"/>
      </w:tblGrid>
      <w:tr w:rsidR="00572609" w:rsidRPr="00922363" w14:paraId="09EAE1A6" w14:textId="77777777" w:rsidTr="00EB1AD8">
        <w:tc>
          <w:tcPr>
            <w:tcW w:w="0" w:type="auto"/>
            <w:hideMark/>
          </w:tcPr>
          <w:p w14:paraId="3A6B4383" w14:textId="77777777" w:rsidR="00572609" w:rsidRPr="00922363" w:rsidRDefault="00572609" w:rsidP="00922363">
            <w:pPr>
              <w:spacing w:line="360" w:lineRule="auto"/>
              <w:jc w:val="center"/>
              <w:rPr>
                <w:rFonts w:ascii="Arial" w:hAnsi="Arial" w:cs="Arial"/>
              </w:rPr>
            </w:pPr>
            <w:r w:rsidRPr="00922363">
              <w:rPr>
                <w:rFonts w:ascii="Arial" w:hAnsi="Arial" w:cs="Arial"/>
              </w:rPr>
              <w:t>Item</w:t>
            </w:r>
          </w:p>
        </w:tc>
        <w:tc>
          <w:tcPr>
            <w:tcW w:w="3361" w:type="dxa"/>
            <w:hideMark/>
          </w:tcPr>
          <w:p w14:paraId="4009D0C8" w14:textId="77777777" w:rsidR="00572609" w:rsidRPr="00922363" w:rsidRDefault="00572609" w:rsidP="00922363">
            <w:pPr>
              <w:spacing w:line="360" w:lineRule="auto"/>
              <w:jc w:val="center"/>
              <w:rPr>
                <w:rFonts w:ascii="Arial" w:hAnsi="Arial" w:cs="Arial"/>
              </w:rPr>
            </w:pPr>
            <w:r w:rsidRPr="00922363">
              <w:rPr>
                <w:rFonts w:ascii="Arial" w:hAnsi="Arial" w:cs="Arial"/>
              </w:rPr>
              <w:t>Actual 2024</w:t>
            </w:r>
          </w:p>
        </w:tc>
        <w:tc>
          <w:tcPr>
            <w:tcW w:w="3150" w:type="dxa"/>
            <w:hideMark/>
          </w:tcPr>
          <w:p w14:paraId="539B5A7A" w14:textId="77777777" w:rsidR="00572609" w:rsidRPr="00922363" w:rsidRDefault="00572609" w:rsidP="00922363">
            <w:pPr>
              <w:spacing w:line="360" w:lineRule="auto"/>
              <w:jc w:val="center"/>
              <w:rPr>
                <w:rFonts w:ascii="Arial" w:hAnsi="Arial" w:cs="Arial"/>
              </w:rPr>
            </w:pPr>
            <w:r w:rsidRPr="00922363">
              <w:rPr>
                <w:rFonts w:ascii="Arial" w:hAnsi="Arial" w:cs="Arial"/>
              </w:rPr>
              <w:t>Pro</w:t>
            </w:r>
            <w:r w:rsidRPr="00922363">
              <w:rPr>
                <w:rFonts w:ascii="Arial" w:hAnsi="Arial" w:cs="Arial"/>
              </w:rPr>
              <w:noBreakHyphen/>
              <w:t>Forma 2024</w:t>
            </w:r>
          </w:p>
        </w:tc>
      </w:tr>
      <w:tr w:rsidR="00572609" w:rsidRPr="00922363" w14:paraId="4F1F7197" w14:textId="77777777" w:rsidTr="00EB1AD8">
        <w:tc>
          <w:tcPr>
            <w:tcW w:w="0" w:type="auto"/>
            <w:hideMark/>
          </w:tcPr>
          <w:p w14:paraId="12DF634A" w14:textId="77777777" w:rsidR="00572609" w:rsidRPr="00922363" w:rsidRDefault="00572609" w:rsidP="00922363">
            <w:pPr>
              <w:spacing w:line="360" w:lineRule="auto"/>
              <w:jc w:val="center"/>
              <w:rPr>
                <w:rFonts w:ascii="Arial" w:hAnsi="Arial" w:cs="Arial"/>
              </w:rPr>
            </w:pPr>
            <w:r w:rsidRPr="00922363">
              <w:rPr>
                <w:rFonts w:ascii="Arial" w:hAnsi="Arial" w:cs="Arial"/>
              </w:rPr>
              <w:t>Shares Outstanding (million)</w:t>
            </w:r>
          </w:p>
        </w:tc>
        <w:tc>
          <w:tcPr>
            <w:tcW w:w="3361" w:type="dxa"/>
            <w:hideMark/>
          </w:tcPr>
          <w:p w14:paraId="1EF0DA63" w14:textId="77777777" w:rsidR="00572609" w:rsidRPr="00922363" w:rsidRDefault="00572609" w:rsidP="00922363">
            <w:pPr>
              <w:spacing w:line="360" w:lineRule="auto"/>
              <w:jc w:val="center"/>
              <w:rPr>
                <w:rFonts w:ascii="Arial" w:hAnsi="Arial" w:cs="Arial"/>
              </w:rPr>
            </w:pPr>
            <w:r w:rsidRPr="00922363">
              <w:rPr>
                <w:rFonts w:ascii="Arial" w:hAnsi="Arial" w:cs="Arial"/>
              </w:rPr>
              <w:t>12,959</w:t>
            </w:r>
          </w:p>
        </w:tc>
        <w:tc>
          <w:tcPr>
            <w:tcW w:w="3150" w:type="dxa"/>
            <w:hideMark/>
          </w:tcPr>
          <w:p w14:paraId="18F6CCE7" w14:textId="77777777" w:rsidR="00572609" w:rsidRPr="00922363" w:rsidRDefault="00572609" w:rsidP="00922363">
            <w:pPr>
              <w:spacing w:line="360" w:lineRule="auto"/>
              <w:jc w:val="center"/>
              <w:rPr>
                <w:rFonts w:ascii="Arial" w:hAnsi="Arial" w:cs="Arial"/>
              </w:rPr>
            </w:pPr>
            <w:r w:rsidRPr="00922363">
              <w:rPr>
                <w:rFonts w:ascii="Arial" w:hAnsi="Arial" w:cs="Arial"/>
              </w:rPr>
              <w:t>14,903</w:t>
            </w:r>
          </w:p>
        </w:tc>
      </w:tr>
      <w:tr w:rsidR="00572609" w:rsidRPr="00922363" w14:paraId="284F5DD2" w14:textId="77777777" w:rsidTr="00EB1AD8">
        <w:tc>
          <w:tcPr>
            <w:tcW w:w="0" w:type="auto"/>
            <w:hideMark/>
          </w:tcPr>
          <w:p w14:paraId="04558620" w14:textId="77777777" w:rsidR="00572609" w:rsidRPr="00922363" w:rsidRDefault="00572609" w:rsidP="00922363">
            <w:pPr>
              <w:spacing w:line="360" w:lineRule="auto"/>
              <w:jc w:val="center"/>
              <w:rPr>
                <w:rFonts w:ascii="Arial" w:hAnsi="Arial" w:cs="Arial"/>
              </w:rPr>
            </w:pPr>
            <w:r w:rsidRPr="00922363">
              <w:rPr>
                <w:rFonts w:ascii="Arial" w:hAnsi="Arial" w:cs="Arial"/>
              </w:rPr>
              <w:t>Net Income (£ million)</w:t>
            </w:r>
          </w:p>
        </w:tc>
        <w:tc>
          <w:tcPr>
            <w:tcW w:w="3361" w:type="dxa"/>
            <w:hideMark/>
          </w:tcPr>
          <w:p w14:paraId="60072C0D" w14:textId="77777777" w:rsidR="00572609" w:rsidRPr="00922363" w:rsidRDefault="00572609" w:rsidP="00922363">
            <w:pPr>
              <w:spacing w:line="360" w:lineRule="auto"/>
              <w:jc w:val="center"/>
              <w:rPr>
                <w:rFonts w:ascii="Arial" w:hAnsi="Arial" w:cs="Arial"/>
              </w:rPr>
            </w:pPr>
            <w:r w:rsidRPr="00922363">
              <w:rPr>
                <w:rFonts w:ascii="Arial" w:hAnsi="Arial" w:cs="Arial"/>
              </w:rPr>
              <w:t>−24,029</w:t>
            </w:r>
          </w:p>
        </w:tc>
        <w:tc>
          <w:tcPr>
            <w:tcW w:w="3150" w:type="dxa"/>
            <w:hideMark/>
          </w:tcPr>
          <w:p w14:paraId="0E31D1EE" w14:textId="77777777" w:rsidR="00572609" w:rsidRPr="00922363" w:rsidRDefault="00572609" w:rsidP="00922363">
            <w:pPr>
              <w:spacing w:line="360" w:lineRule="auto"/>
              <w:jc w:val="center"/>
              <w:rPr>
                <w:rFonts w:ascii="Arial" w:hAnsi="Arial" w:cs="Arial"/>
              </w:rPr>
            </w:pPr>
            <w:r w:rsidRPr="00922363">
              <w:rPr>
                <w:rFonts w:ascii="Arial" w:hAnsi="Arial" w:cs="Arial"/>
              </w:rPr>
              <w:t>−24,029</w:t>
            </w:r>
          </w:p>
        </w:tc>
      </w:tr>
      <w:tr w:rsidR="00572609" w:rsidRPr="00922363" w14:paraId="4C8B0D9F" w14:textId="77777777" w:rsidTr="00EB1AD8">
        <w:tc>
          <w:tcPr>
            <w:tcW w:w="0" w:type="auto"/>
            <w:hideMark/>
          </w:tcPr>
          <w:p w14:paraId="07CF0A46" w14:textId="77777777" w:rsidR="00572609" w:rsidRPr="00922363" w:rsidRDefault="00572609" w:rsidP="00922363">
            <w:pPr>
              <w:spacing w:line="360" w:lineRule="auto"/>
              <w:jc w:val="center"/>
              <w:rPr>
                <w:rFonts w:ascii="Arial" w:hAnsi="Arial" w:cs="Arial"/>
              </w:rPr>
            </w:pPr>
            <w:r w:rsidRPr="00922363">
              <w:rPr>
                <w:rFonts w:ascii="Arial" w:hAnsi="Arial" w:cs="Arial"/>
              </w:rPr>
              <w:t>Earnings per Share (£)</w:t>
            </w:r>
          </w:p>
        </w:tc>
        <w:tc>
          <w:tcPr>
            <w:tcW w:w="3361" w:type="dxa"/>
            <w:hideMark/>
          </w:tcPr>
          <w:p w14:paraId="2CC9CFC3" w14:textId="77777777" w:rsidR="00572609" w:rsidRPr="00922363" w:rsidRDefault="00572609" w:rsidP="00922363">
            <w:pPr>
              <w:spacing w:line="360" w:lineRule="auto"/>
              <w:jc w:val="center"/>
              <w:rPr>
                <w:rFonts w:ascii="Arial" w:hAnsi="Arial" w:cs="Arial"/>
              </w:rPr>
            </w:pPr>
            <w:r w:rsidRPr="00922363">
              <w:rPr>
                <w:rFonts w:ascii="Arial" w:hAnsi="Arial" w:cs="Arial"/>
              </w:rPr>
              <w:t>−1.85</w:t>
            </w:r>
          </w:p>
        </w:tc>
        <w:tc>
          <w:tcPr>
            <w:tcW w:w="3150" w:type="dxa"/>
            <w:hideMark/>
          </w:tcPr>
          <w:p w14:paraId="55342562" w14:textId="77777777" w:rsidR="00572609" w:rsidRPr="00922363" w:rsidRDefault="00572609" w:rsidP="00922363">
            <w:pPr>
              <w:spacing w:line="360" w:lineRule="auto"/>
              <w:jc w:val="center"/>
              <w:rPr>
                <w:rFonts w:ascii="Arial" w:hAnsi="Arial" w:cs="Arial"/>
              </w:rPr>
            </w:pPr>
            <w:r w:rsidRPr="00922363">
              <w:rPr>
                <w:rFonts w:ascii="Arial" w:hAnsi="Arial" w:cs="Arial"/>
              </w:rPr>
              <w:t>−1.61</w:t>
            </w:r>
          </w:p>
        </w:tc>
      </w:tr>
    </w:tbl>
    <w:p w14:paraId="56054AA4" w14:textId="4EC772E1" w:rsidR="00EB1AD8" w:rsidRPr="00922363" w:rsidRDefault="00572609" w:rsidP="00922363">
      <w:pPr>
        <w:pStyle w:val="NormalWeb"/>
        <w:spacing w:line="360" w:lineRule="auto"/>
        <w:rPr>
          <w:rFonts w:ascii="Arial" w:hAnsi="Arial" w:cs="Arial"/>
        </w:rPr>
      </w:pPr>
      <w:r w:rsidRPr="00922363">
        <w:rPr>
          <w:rFonts w:ascii="Arial" w:hAnsi="Arial" w:cs="Arial"/>
        </w:rPr>
        <w:t>The rights issue increases share count but reduces per</w:t>
      </w:r>
      <w:r w:rsidRPr="00922363">
        <w:rPr>
          <w:rFonts w:ascii="Arial" w:hAnsi="Arial" w:cs="Arial"/>
        </w:rPr>
        <w:noBreakHyphen/>
        <w:t xml:space="preserve">share losses, indicating dilution with </w:t>
      </w:r>
      <w:proofErr w:type="spellStart"/>
      <w:r w:rsidRPr="00922363">
        <w:rPr>
          <w:rFonts w:ascii="Arial" w:hAnsi="Arial" w:cs="Arial"/>
        </w:rPr>
        <w:t>stabilisation</w:t>
      </w:r>
      <w:proofErr w:type="spellEnd"/>
      <w:r w:rsidRPr="00922363">
        <w:rPr>
          <w:rFonts w:ascii="Arial" w:hAnsi="Arial" w:cs="Arial"/>
        </w:rPr>
        <w:t xml:space="preserve"> benefits.</w:t>
      </w:r>
    </w:p>
    <w:p w14:paraId="5F91809B" w14:textId="3C8BB0AA" w:rsidR="00572609" w:rsidRPr="00922363" w:rsidRDefault="00572609" w:rsidP="00922363">
      <w:pPr>
        <w:pStyle w:val="Heading3"/>
        <w:spacing w:line="360" w:lineRule="auto"/>
        <w:rPr>
          <w:rFonts w:ascii="Arial" w:hAnsi="Arial" w:cs="Arial"/>
        </w:rPr>
      </w:pPr>
      <w:bookmarkStart w:id="60" w:name="_Toc216756003"/>
      <w:r w:rsidRPr="00922363">
        <w:rPr>
          <w:rFonts w:ascii="Arial" w:hAnsi="Arial" w:cs="Arial"/>
        </w:rPr>
        <w:t>Table C5: Liquidity and Solvency Improvement Indicators</w:t>
      </w:r>
      <w:bookmarkEnd w:id="60"/>
    </w:p>
    <w:tbl>
      <w:tblPr>
        <w:tblStyle w:val="TableGrid"/>
        <w:tblW w:w="0" w:type="auto"/>
        <w:tblLook w:val="04A0" w:firstRow="1" w:lastRow="0" w:firstColumn="1" w:lastColumn="0" w:noHBand="0" w:noVBand="1"/>
      </w:tblPr>
      <w:tblGrid>
        <w:gridCol w:w="3314"/>
        <w:gridCol w:w="3066"/>
        <w:gridCol w:w="2970"/>
      </w:tblGrid>
      <w:tr w:rsidR="00572609" w:rsidRPr="00922363" w14:paraId="4E5954B1" w14:textId="77777777" w:rsidTr="00EB1AD8">
        <w:tc>
          <w:tcPr>
            <w:tcW w:w="0" w:type="auto"/>
            <w:hideMark/>
          </w:tcPr>
          <w:p w14:paraId="6BFF9BB7" w14:textId="77777777" w:rsidR="00572609" w:rsidRPr="00922363" w:rsidRDefault="00572609" w:rsidP="00922363">
            <w:pPr>
              <w:spacing w:line="360" w:lineRule="auto"/>
              <w:rPr>
                <w:rFonts w:ascii="Arial" w:hAnsi="Arial" w:cs="Arial"/>
              </w:rPr>
            </w:pPr>
            <w:r w:rsidRPr="00922363">
              <w:rPr>
                <w:rFonts w:ascii="Arial" w:hAnsi="Arial" w:cs="Arial"/>
              </w:rPr>
              <w:t>Metric</w:t>
            </w:r>
          </w:p>
        </w:tc>
        <w:tc>
          <w:tcPr>
            <w:tcW w:w="3066" w:type="dxa"/>
            <w:hideMark/>
          </w:tcPr>
          <w:p w14:paraId="48059A6A" w14:textId="77777777" w:rsidR="00572609" w:rsidRPr="00922363" w:rsidRDefault="00572609" w:rsidP="00922363">
            <w:pPr>
              <w:spacing w:line="360" w:lineRule="auto"/>
              <w:rPr>
                <w:rFonts w:ascii="Arial" w:hAnsi="Arial" w:cs="Arial"/>
              </w:rPr>
            </w:pPr>
            <w:r w:rsidRPr="00922363">
              <w:rPr>
                <w:rFonts w:ascii="Arial" w:hAnsi="Arial" w:cs="Arial"/>
              </w:rPr>
              <w:t>Actual 2024</w:t>
            </w:r>
          </w:p>
        </w:tc>
        <w:tc>
          <w:tcPr>
            <w:tcW w:w="2970" w:type="dxa"/>
            <w:hideMark/>
          </w:tcPr>
          <w:p w14:paraId="1A01B3BF" w14:textId="77777777" w:rsidR="00572609" w:rsidRPr="00922363" w:rsidRDefault="00572609" w:rsidP="00922363">
            <w:pPr>
              <w:spacing w:line="360" w:lineRule="auto"/>
              <w:rPr>
                <w:rFonts w:ascii="Arial" w:hAnsi="Arial" w:cs="Arial"/>
              </w:rPr>
            </w:pPr>
            <w:r w:rsidRPr="00922363">
              <w:rPr>
                <w:rFonts w:ascii="Arial" w:hAnsi="Arial" w:cs="Arial"/>
              </w:rPr>
              <w:t>Pro</w:t>
            </w:r>
            <w:r w:rsidRPr="00922363">
              <w:rPr>
                <w:rFonts w:ascii="Arial" w:hAnsi="Arial" w:cs="Arial"/>
              </w:rPr>
              <w:noBreakHyphen/>
              <w:t>Forma 2024</w:t>
            </w:r>
          </w:p>
        </w:tc>
      </w:tr>
      <w:tr w:rsidR="00572609" w:rsidRPr="00922363" w14:paraId="23348ABD" w14:textId="77777777" w:rsidTr="00EB1AD8">
        <w:tc>
          <w:tcPr>
            <w:tcW w:w="0" w:type="auto"/>
            <w:hideMark/>
          </w:tcPr>
          <w:p w14:paraId="5412EDE1" w14:textId="77777777" w:rsidR="00572609" w:rsidRPr="00922363" w:rsidRDefault="00572609" w:rsidP="00922363">
            <w:pPr>
              <w:spacing w:line="360" w:lineRule="auto"/>
              <w:jc w:val="center"/>
              <w:rPr>
                <w:rFonts w:ascii="Arial" w:hAnsi="Arial" w:cs="Arial"/>
              </w:rPr>
            </w:pPr>
            <w:r w:rsidRPr="00922363">
              <w:rPr>
                <w:rFonts w:ascii="Arial" w:hAnsi="Arial" w:cs="Arial"/>
              </w:rPr>
              <w:lastRenderedPageBreak/>
              <w:t>Operating Cash Flow to Debt</w:t>
            </w:r>
          </w:p>
        </w:tc>
        <w:tc>
          <w:tcPr>
            <w:tcW w:w="3066" w:type="dxa"/>
            <w:hideMark/>
          </w:tcPr>
          <w:p w14:paraId="753CB9EF" w14:textId="77777777" w:rsidR="00572609" w:rsidRPr="00922363" w:rsidRDefault="00572609" w:rsidP="00922363">
            <w:pPr>
              <w:spacing w:line="360" w:lineRule="auto"/>
              <w:jc w:val="center"/>
              <w:rPr>
                <w:rFonts w:ascii="Arial" w:hAnsi="Arial" w:cs="Arial"/>
              </w:rPr>
            </w:pPr>
            <w:r w:rsidRPr="00922363">
              <w:rPr>
                <w:rFonts w:ascii="Arial" w:hAnsi="Arial" w:cs="Arial"/>
              </w:rPr>
              <w:t>0.09</w:t>
            </w:r>
          </w:p>
        </w:tc>
        <w:tc>
          <w:tcPr>
            <w:tcW w:w="2970" w:type="dxa"/>
            <w:hideMark/>
          </w:tcPr>
          <w:p w14:paraId="35B606ED" w14:textId="77777777" w:rsidR="00572609" w:rsidRPr="00922363" w:rsidRDefault="00572609" w:rsidP="00922363">
            <w:pPr>
              <w:spacing w:line="360" w:lineRule="auto"/>
              <w:jc w:val="center"/>
              <w:rPr>
                <w:rFonts w:ascii="Arial" w:hAnsi="Arial" w:cs="Arial"/>
              </w:rPr>
            </w:pPr>
            <w:r w:rsidRPr="00922363">
              <w:rPr>
                <w:rFonts w:ascii="Arial" w:hAnsi="Arial" w:cs="Arial"/>
              </w:rPr>
              <w:t>0.09</w:t>
            </w:r>
          </w:p>
        </w:tc>
      </w:tr>
      <w:tr w:rsidR="00572609" w:rsidRPr="00922363" w14:paraId="0E7AA7BC" w14:textId="77777777" w:rsidTr="00EB1AD8">
        <w:tc>
          <w:tcPr>
            <w:tcW w:w="0" w:type="auto"/>
            <w:hideMark/>
          </w:tcPr>
          <w:p w14:paraId="31BB49EE" w14:textId="77777777" w:rsidR="00572609" w:rsidRPr="00922363" w:rsidRDefault="00572609" w:rsidP="00922363">
            <w:pPr>
              <w:spacing w:line="360" w:lineRule="auto"/>
              <w:jc w:val="center"/>
              <w:rPr>
                <w:rFonts w:ascii="Arial" w:hAnsi="Arial" w:cs="Arial"/>
              </w:rPr>
            </w:pPr>
            <w:r w:rsidRPr="00922363">
              <w:rPr>
                <w:rFonts w:ascii="Arial" w:hAnsi="Arial" w:cs="Arial"/>
              </w:rPr>
              <w:t>Debt Reduction (£ million)</w:t>
            </w:r>
          </w:p>
        </w:tc>
        <w:tc>
          <w:tcPr>
            <w:tcW w:w="3066" w:type="dxa"/>
            <w:hideMark/>
          </w:tcPr>
          <w:p w14:paraId="790FFE0F" w14:textId="77777777" w:rsidR="00572609" w:rsidRPr="00922363" w:rsidRDefault="00572609" w:rsidP="00922363">
            <w:pPr>
              <w:spacing w:line="360" w:lineRule="auto"/>
              <w:jc w:val="center"/>
              <w:rPr>
                <w:rFonts w:ascii="Arial" w:hAnsi="Arial" w:cs="Arial"/>
              </w:rPr>
            </w:pPr>
            <w:r w:rsidRPr="00922363">
              <w:rPr>
                <w:rFonts w:ascii="Arial" w:hAnsi="Arial" w:cs="Arial"/>
              </w:rPr>
              <w:t>–</w:t>
            </w:r>
          </w:p>
        </w:tc>
        <w:tc>
          <w:tcPr>
            <w:tcW w:w="2970" w:type="dxa"/>
            <w:hideMark/>
          </w:tcPr>
          <w:p w14:paraId="7592740A" w14:textId="77777777" w:rsidR="00572609" w:rsidRPr="00922363" w:rsidRDefault="00572609" w:rsidP="00922363">
            <w:pPr>
              <w:spacing w:line="360" w:lineRule="auto"/>
              <w:jc w:val="center"/>
              <w:rPr>
                <w:rFonts w:ascii="Arial" w:hAnsi="Arial" w:cs="Arial"/>
              </w:rPr>
            </w:pPr>
            <w:r w:rsidRPr="00922363">
              <w:rPr>
                <w:rFonts w:ascii="Arial" w:hAnsi="Arial" w:cs="Arial"/>
              </w:rPr>
              <w:t>10,000</w:t>
            </w:r>
          </w:p>
        </w:tc>
      </w:tr>
      <w:tr w:rsidR="00572609" w:rsidRPr="00922363" w14:paraId="1C1739CD" w14:textId="77777777" w:rsidTr="00EB1AD8">
        <w:tc>
          <w:tcPr>
            <w:tcW w:w="0" w:type="auto"/>
            <w:hideMark/>
          </w:tcPr>
          <w:p w14:paraId="128193C4" w14:textId="77777777" w:rsidR="00572609" w:rsidRPr="00922363" w:rsidRDefault="00572609" w:rsidP="00922363">
            <w:pPr>
              <w:spacing w:line="360" w:lineRule="auto"/>
              <w:jc w:val="center"/>
              <w:rPr>
                <w:rFonts w:ascii="Arial" w:hAnsi="Arial" w:cs="Arial"/>
              </w:rPr>
            </w:pPr>
            <w:r w:rsidRPr="00922363">
              <w:rPr>
                <w:rFonts w:ascii="Arial" w:hAnsi="Arial" w:cs="Arial"/>
              </w:rPr>
              <w:t>Equity Buffer Increase (£ million)</w:t>
            </w:r>
          </w:p>
        </w:tc>
        <w:tc>
          <w:tcPr>
            <w:tcW w:w="3066" w:type="dxa"/>
            <w:hideMark/>
          </w:tcPr>
          <w:p w14:paraId="100E9016" w14:textId="77777777" w:rsidR="00572609" w:rsidRPr="00922363" w:rsidRDefault="00572609" w:rsidP="00922363">
            <w:pPr>
              <w:spacing w:line="360" w:lineRule="auto"/>
              <w:jc w:val="center"/>
              <w:rPr>
                <w:rFonts w:ascii="Arial" w:hAnsi="Arial" w:cs="Arial"/>
              </w:rPr>
            </w:pPr>
            <w:r w:rsidRPr="00922363">
              <w:rPr>
                <w:rFonts w:ascii="Arial" w:hAnsi="Arial" w:cs="Arial"/>
              </w:rPr>
              <w:t>–</w:t>
            </w:r>
          </w:p>
        </w:tc>
        <w:tc>
          <w:tcPr>
            <w:tcW w:w="2970" w:type="dxa"/>
            <w:hideMark/>
          </w:tcPr>
          <w:p w14:paraId="19BA5338" w14:textId="77777777" w:rsidR="00572609" w:rsidRPr="00922363" w:rsidRDefault="00572609" w:rsidP="00922363">
            <w:pPr>
              <w:spacing w:line="360" w:lineRule="auto"/>
              <w:jc w:val="center"/>
              <w:rPr>
                <w:rFonts w:ascii="Arial" w:hAnsi="Arial" w:cs="Arial"/>
              </w:rPr>
            </w:pPr>
            <w:r w:rsidRPr="00922363">
              <w:rPr>
                <w:rFonts w:ascii="Arial" w:hAnsi="Arial" w:cs="Arial"/>
              </w:rPr>
              <w:t>22,966</w:t>
            </w:r>
          </w:p>
        </w:tc>
      </w:tr>
    </w:tbl>
    <w:p w14:paraId="421138A0" w14:textId="77777777" w:rsidR="00572609" w:rsidRPr="00922363" w:rsidRDefault="00572609" w:rsidP="00922363">
      <w:pPr>
        <w:pStyle w:val="Heading3"/>
        <w:spacing w:line="360" w:lineRule="auto"/>
        <w:jc w:val="both"/>
        <w:rPr>
          <w:rFonts w:ascii="Arial" w:hAnsi="Arial" w:cs="Arial"/>
        </w:rPr>
      </w:pPr>
      <w:bookmarkStart w:id="61" w:name="_Toc216756004"/>
      <w:r w:rsidRPr="00922363">
        <w:rPr>
          <w:rFonts w:ascii="Arial" w:hAnsi="Arial" w:cs="Arial"/>
        </w:rPr>
        <w:t>Interpretation</w:t>
      </w:r>
      <w:bookmarkEnd w:id="61"/>
    </w:p>
    <w:p w14:paraId="29B63315" w14:textId="77777777" w:rsidR="00572609" w:rsidRPr="00922363" w:rsidRDefault="00572609" w:rsidP="00922363">
      <w:pPr>
        <w:pStyle w:val="NormalWeb"/>
        <w:spacing w:line="360" w:lineRule="auto"/>
        <w:jc w:val="both"/>
        <w:rPr>
          <w:rFonts w:ascii="Arial" w:hAnsi="Arial" w:cs="Arial"/>
        </w:rPr>
      </w:pPr>
      <w:r w:rsidRPr="00922363">
        <w:rPr>
          <w:rFonts w:ascii="Arial" w:hAnsi="Arial" w:cs="Arial"/>
        </w:rPr>
        <w:t>Appendix C confirms that the combined equity injection and divestiture strategy significantly improves General Electronics’ capital structure by lowering leverage and strengthening equity buffers. While short</w:t>
      </w:r>
      <w:r w:rsidRPr="00922363">
        <w:rPr>
          <w:rFonts w:ascii="Arial" w:hAnsi="Arial" w:cs="Arial"/>
        </w:rPr>
        <w:noBreakHyphen/>
        <w:t>term profitability remains negative in the conservative base case, solvency risk is reduced and financial flexibility is enhanced, creating the conditions necessary for operational turnaround and strategic renewal.</w:t>
      </w:r>
    </w:p>
    <w:p w14:paraId="726BEC44" w14:textId="77777777" w:rsidR="00B40C9C" w:rsidRPr="00922363" w:rsidRDefault="00B40C9C" w:rsidP="00922363">
      <w:pPr>
        <w:pStyle w:val="Heading2"/>
        <w:jc w:val="both"/>
      </w:pPr>
      <w:bookmarkStart w:id="62" w:name="_Toc216756005"/>
      <w:r w:rsidRPr="00922363">
        <w:t>Appendix D: Investment Appraisal and Capital Budgeting Calculations</w:t>
      </w:r>
      <w:bookmarkEnd w:id="62"/>
    </w:p>
    <w:p w14:paraId="3153E7A9" w14:textId="77777777" w:rsidR="00B40C9C" w:rsidRPr="00922363" w:rsidRDefault="00B40C9C" w:rsidP="00922363">
      <w:pPr>
        <w:spacing w:line="360" w:lineRule="auto"/>
        <w:jc w:val="both"/>
        <w:rPr>
          <w:rFonts w:ascii="Arial" w:hAnsi="Arial" w:cs="Arial"/>
        </w:rPr>
      </w:pPr>
      <w:r w:rsidRPr="00922363">
        <w:rPr>
          <w:rFonts w:ascii="Arial" w:hAnsi="Arial" w:cs="Arial"/>
        </w:rPr>
        <w:t>This appendix presents the detailed investment appraisal calculations for Projects A, B, and C, undertaken using Payback Period (PBP), Net Present Value (NPV), Internal Rate of Return (IRR), and Profitability Index (PI). All calculations strictly follow the supplied formula sheet and standard corporate finance methodologies.</w:t>
      </w:r>
    </w:p>
    <w:p w14:paraId="7AEB1B14" w14:textId="77777777" w:rsidR="00B40C9C" w:rsidRPr="00922363" w:rsidRDefault="00B40C9C" w:rsidP="00922363">
      <w:pPr>
        <w:pStyle w:val="Heading2"/>
        <w:spacing w:line="360" w:lineRule="auto"/>
        <w:rPr>
          <w:rFonts w:cs="Arial"/>
        </w:rPr>
      </w:pPr>
      <w:bookmarkStart w:id="63" w:name="_Toc216756006"/>
      <w:r w:rsidRPr="00922363">
        <w:rPr>
          <w:rFonts w:cs="Arial"/>
        </w:rPr>
        <w:t>Table D1: Payback Period (PBP) Calculations</w:t>
      </w:r>
      <w:bookmarkEnd w:id="63"/>
    </w:p>
    <w:p w14:paraId="287AC28E" w14:textId="0D2DC4BE" w:rsidR="00B40C9C" w:rsidRPr="00922363" w:rsidRDefault="00B40C9C" w:rsidP="00922363">
      <w:pPr>
        <w:spacing w:line="360" w:lineRule="auto"/>
        <w:rPr>
          <w:rFonts w:ascii="Arial" w:hAnsi="Arial" w:cs="Arial"/>
        </w:rPr>
      </w:pPr>
      <w:r w:rsidRPr="00922363">
        <w:rPr>
          <w:rFonts w:ascii="Arial" w:hAnsi="Arial" w:cs="Arial"/>
        </w:rPr>
        <w:t>Formula:</w:t>
      </w:r>
    </w:p>
    <w:p w14:paraId="7FBDE54C" w14:textId="182117B7" w:rsidR="00B40C9C" w:rsidRPr="00922363" w:rsidRDefault="00B40C9C" w:rsidP="00922363">
      <w:pPr>
        <w:spacing w:line="360" w:lineRule="auto"/>
        <w:rPr>
          <w:rFonts w:ascii="Arial" w:hAnsi="Arial" w:cs="Arial"/>
        </w:rPr>
      </w:pPr>
      <m:oMathPara>
        <m:oMath>
          <m:r>
            <w:rPr>
              <w:rFonts w:ascii="Cambria Math" w:hAnsi="Cambria Math" w:cs="Arial"/>
            </w:rPr>
            <m:t>Payback Period (PBP</m:t>
          </m:r>
          <m:r>
            <m:rPr>
              <m:sty m:val="p"/>
            </m:rPr>
            <w:rPr>
              <w:rFonts w:ascii="Cambria Math" w:hAnsi="Cambria Math" w:cs="Arial"/>
            </w:rPr>
            <m:t xml:space="preserve">= </m:t>
          </m:r>
          <m:f>
            <m:fPr>
              <m:ctrlPr>
                <w:rPr>
                  <w:rFonts w:ascii="Cambria Math" w:hAnsi="Cambria Math" w:cs="Arial"/>
                  <w:i/>
                </w:rPr>
              </m:ctrlPr>
            </m:fPr>
            <m:num>
              <m:r>
                <m:rPr>
                  <m:sty m:val="p"/>
                </m:rPr>
                <w:rPr>
                  <w:rStyle w:val="mord"/>
                  <w:rFonts w:ascii="Cambria Math" w:hAnsi="Cambria Math" w:cs="Arial"/>
                </w:rPr>
                <m:t>Unrecovered investment at start of year</m:t>
              </m:r>
              <m:r>
                <m:rPr>
                  <m:sty m:val="p"/>
                </m:rPr>
                <w:rPr>
                  <w:rStyle w:val="vlist-s"/>
                  <w:rFonts w:ascii="Cambria Math" w:hAnsi="Cambria Math" w:cs="Arial"/>
                </w:rPr>
                <m:t>​</m:t>
              </m:r>
            </m:num>
            <m:den>
              <m:r>
                <w:rPr>
                  <w:rFonts w:ascii="Cambria Math" w:hAnsi="Cambria Math" w:cs="Arial"/>
                </w:rPr>
                <m:t>Cash Inflow During the Year</m:t>
              </m:r>
            </m:den>
          </m:f>
        </m:oMath>
      </m:oMathPara>
    </w:p>
    <w:p w14:paraId="008B6C14" w14:textId="77777777" w:rsidR="00B40C9C" w:rsidRPr="00922363" w:rsidRDefault="00B40C9C" w:rsidP="00922363">
      <w:pPr>
        <w:spacing w:line="360" w:lineRule="auto"/>
        <w:rPr>
          <w:rFonts w:ascii="Arial" w:hAnsi="Arial" w:cs="Arial"/>
        </w:rPr>
      </w:pPr>
    </w:p>
    <w:tbl>
      <w:tblPr>
        <w:tblStyle w:val="TableGrid"/>
        <w:tblW w:w="0" w:type="auto"/>
        <w:tblLook w:val="04A0" w:firstRow="1" w:lastRow="0" w:firstColumn="1" w:lastColumn="0" w:noHBand="0" w:noVBand="1"/>
      </w:tblPr>
      <w:tblGrid>
        <w:gridCol w:w="2160"/>
        <w:gridCol w:w="2160"/>
        <w:gridCol w:w="2160"/>
        <w:gridCol w:w="2160"/>
      </w:tblGrid>
      <w:tr w:rsidR="00B40C9C" w:rsidRPr="00922363" w14:paraId="5CB9ABF9" w14:textId="77777777" w:rsidTr="00B40C9C">
        <w:tc>
          <w:tcPr>
            <w:tcW w:w="2160" w:type="dxa"/>
          </w:tcPr>
          <w:p w14:paraId="088697D5" w14:textId="77777777" w:rsidR="00B40C9C" w:rsidRPr="00922363" w:rsidRDefault="00B40C9C" w:rsidP="00922363">
            <w:pPr>
              <w:spacing w:line="360" w:lineRule="auto"/>
              <w:rPr>
                <w:rFonts w:ascii="Arial" w:hAnsi="Arial" w:cs="Arial"/>
              </w:rPr>
            </w:pPr>
            <w:r w:rsidRPr="00922363">
              <w:rPr>
                <w:rFonts w:ascii="Arial" w:hAnsi="Arial" w:cs="Arial"/>
              </w:rPr>
              <w:t>Project</w:t>
            </w:r>
          </w:p>
        </w:tc>
        <w:tc>
          <w:tcPr>
            <w:tcW w:w="2160" w:type="dxa"/>
          </w:tcPr>
          <w:p w14:paraId="2E7B7C7B" w14:textId="77777777" w:rsidR="00B40C9C" w:rsidRPr="00922363" w:rsidRDefault="00B40C9C" w:rsidP="00922363">
            <w:pPr>
              <w:spacing w:line="360" w:lineRule="auto"/>
              <w:rPr>
                <w:rFonts w:ascii="Arial" w:hAnsi="Arial" w:cs="Arial"/>
              </w:rPr>
            </w:pPr>
            <w:r w:rsidRPr="00922363">
              <w:rPr>
                <w:rFonts w:ascii="Arial" w:hAnsi="Arial" w:cs="Arial"/>
              </w:rPr>
              <w:t>Annual Cash Inflows (£m)</w:t>
            </w:r>
          </w:p>
        </w:tc>
        <w:tc>
          <w:tcPr>
            <w:tcW w:w="2160" w:type="dxa"/>
          </w:tcPr>
          <w:p w14:paraId="526333B4" w14:textId="77777777" w:rsidR="00B40C9C" w:rsidRPr="00922363" w:rsidRDefault="00B40C9C" w:rsidP="00922363">
            <w:pPr>
              <w:spacing w:line="360" w:lineRule="auto"/>
              <w:rPr>
                <w:rFonts w:ascii="Arial" w:hAnsi="Arial" w:cs="Arial"/>
              </w:rPr>
            </w:pPr>
            <w:r w:rsidRPr="00922363">
              <w:rPr>
                <w:rFonts w:ascii="Arial" w:hAnsi="Arial" w:cs="Arial"/>
              </w:rPr>
              <w:t>Cumulative Cash Flows (£m)</w:t>
            </w:r>
          </w:p>
        </w:tc>
        <w:tc>
          <w:tcPr>
            <w:tcW w:w="2160" w:type="dxa"/>
          </w:tcPr>
          <w:p w14:paraId="42C362FF" w14:textId="77777777" w:rsidR="00B40C9C" w:rsidRPr="00922363" w:rsidRDefault="00B40C9C" w:rsidP="00922363">
            <w:pPr>
              <w:spacing w:line="360" w:lineRule="auto"/>
              <w:rPr>
                <w:rFonts w:ascii="Arial" w:hAnsi="Arial" w:cs="Arial"/>
              </w:rPr>
            </w:pPr>
            <w:r w:rsidRPr="00922363">
              <w:rPr>
                <w:rFonts w:ascii="Arial" w:hAnsi="Arial" w:cs="Arial"/>
              </w:rPr>
              <w:t>Payback Period (Years)</w:t>
            </w:r>
          </w:p>
        </w:tc>
      </w:tr>
      <w:tr w:rsidR="00B40C9C" w:rsidRPr="00922363" w14:paraId="0F599A15" w14:textId="77777777" w:rsidTr="00B40C9C">
        <w:tc>
          <w:tcPr>
            <w:tcW w:w="2160" w:type="dxa"/>
          </w:tcPr>
          <w:p w14:paraId="5A075968" w14:textId="77777777" w:rsidR="00B40C9C" w:rsidRPr="00922363" w:rsidRDefault="00B40C9C" w:rsidP="00922363">
            <w:pPr>
              <w:spacing w:line="360" w:lineRule="auto"/>
              <w:rPr>
                <w:rFonts w:ascii="Arial" w:hAnsi="Arial" w:cs="Arial"/>
              </w:rPr>
            </w:pPr>
            <w:r w:rsidRPr="00922363">
              <w:rPr>
                <w:rFonts w:ascii="Arial" w:hAnsi="Arial" w:cs="Arial"/>
              </w:rPr>
              <w:t>A</w:t>
            </w:r>
          </w:p>
        </w:tc>
        <w:tc>
          <w:tcPr>
            <w:tcW w:w="2160" w:type="dxa"/>
          </w:tcPr>
          <w:p w14:paraId="66FDBE79" w14:textId="77777777" w:rsidR="00B40C9C" w:rsidRPr="00922363" w:rsidRDefault="00B40C9C" w:rsidP="00922363">
            <w:pPr>
              <w:spacing w:line="360" w:lineRule="auto"/>
              <w:rPr>
                <w:rFonts w:ascii="Arial" w:hAnsi="Arial" w:cs="Arial"/>
              </w:rPr>
            </w:pPr>
            <w:r w:rsidRPr="00922363">
              <w:rPr>
                <w:rFonts w:ascii="Arial" w:hAnsi="Arial" w:cs="Arial"/>
              </w:rPr>
              <w:t>10, 12, 14, 10, 8</w:t>
            </w:r>
          </w:p>
        </w:tc>
        <w:tc>
          <w:tcPr>
            <w:tcW w:w="2160" w:type="dxa"/>
          </w:tcPr>
          <w:p w14:paraId="2F81240A" w14:textId="77777777" w:rsidR="00B40C9C" w:rsidRPr="00922363" w:rsidRDefault="00B40C9C" w:rsidP="00922363">
            <w:pPr>
              <w:spacing w:line="360" w:lineRule="auto"/>
              <w:rPr>
                <w:rFonts w:ascii="Arial" w:hAnsi="Arial" w:cs="Arial"/>
              </w:rPr>
            </w:pPr>
            <w:r w:rsidRPr="00922363">
              <w:rPr>
                <w:rFonts w:ascii="Arial" w:hAnsi="Arial" w:cs="Arial"/>
              </w:rPr>
              <w:t>10, 22, 36, 46, 54</w:t>
            </w:r>
          </w:p>
        </w:tc>
        <w:tc>
          <w:tcPr>
            <w:tcW w:w="2160" w:type="dxa"/>
          </w:tcPr>
          <w:p w14:paraId="085065AF" w14:textId="77777777" w:rsidR="00B40C9C" w:rsidRPr="00922363" w:rsidRDefault="00B40C9C" w:rsidP="00922363">
            <w:pPr>
              <w:spacing w:line="360" w:lineRule="auto"/>
              <w:rPr>
                <w:rFonts w:ascii="Arial" w:hAnsi="Arial" w:cs="Arial"/>
              </w:rPr>
            </w:pPr>
            <w:r w:rsidRPr="00922363">
              <w:rPr>
                <w:rFonts w:ascii="Arial" w:hAnsi="Arial" w:cs="Arial"/>
              </w:rPr>
              <w:t>3.4</w:t>
            </w:r>
          </w:p>
        </w:tc>
      </w:tr>
      <w:tr w:rsidR="00B40C9C" w:rsidRPr="00922363" w14:paraId="200EF900" w14:textId="77777777" w:rsidTr="00B40C9C">
        <w:tc>
          <w:tcPr>
            <w:tcW w:w="2160" w:type="dxa"/>
          </w:tcPr>
          <w:p w14:paraId="7B78D13F" w14:textId="77777777" w:rsidR="00B40C9C" w:rsidRPr="00922363" w:rsidRDefault="00B40C9C" w:rsidP="00922363">
            <w:pPr>
              <w:spacing w:line="360" w:lineRule="auto"/>
              <w:rPr>
                <w:rFonts w:ascii="Arial" w:hAnsi="Arial" w:cs="Arial"/>
              </w:rPr>
            </w:pPr>
            <w:r w:rsidRPr="00922363">
              <w:rPr>
                <w:rFonts w:ascii="Arial" w:hAnsi="Arial" w:cs="Arial"/>
              </w:rPr>
              <w:t>B</w:t>
            </w:r>
          </w:p>
        </w:tc>
        <w:tc>
          <w:tcPr>
            <w:tcW w:w="2160" w:type="dxa"/>
          </w:tcPr>
          <w:p w14:paraId="650051E0" w14:textId="77777777" w:rsidR="00B40C9C" w:rsidRPr="00922363" w:rsidRDefault="00B40C9C" w:rsidP="00922363">
            <w:pPr>
              <w:spacing w:line="360" w:lineRule="auto"/>
              <w:rPr>
                <w:rFonts w:ascii="Arial" w:hAnsi="Arial" w:cs="Arial"/>
              </w:rPr>
            </w:pPr>
            <w:r w:rsidRPr="00922363">
              <w:rPr>
                <w:rFonts w:ascii="Arial" w:hAnsi="Arial" w:cs="Arial"/>
              </w:rPr>
              <w:t>6, 6, 6, 6, 6</w:t>
            </w:r>
          </w:p>
        </w:tc>
        <w:tc>
          <w:tcPr>
            <w:tcW w:w="2160" w:type="dxa"/>
          </w:tcPr>
          <w:p w14:paraId="5851DF1B" w14:textId="77777777" w:rsidR="00B40C9C" w:rsidRPr="00922363" w:rsidRDefault="00B40C9C" w:rsidP="00922363">
            <w:pPr>
              <w:spacing w:line="360" w:lineRule="auto"/>
              <w:rPr>
                <w:rFonts w:ascii="Arial" w:hAnsi="Arial" w:cs="Arial"/>
              </w:rPr>
            </w:pPr>
            <w:r w:rsidRPr="00922363">
              <w:rPr>
                <w:rFonts w:ascii="Arial" w:hAnsi="Arial" w:cs="Arial"/>
              </w:rPr>
              <w:t>6, 12, 18, 24, 30</w:t>
            </w:r>
          </w:p>
        </w:tc>
        <w:tc>
          <w:tcPr>
            <w:tcW w:w="2160" w:type="dxa"/>
          </w:tcPr>
          <w:p w14:paraId="57E8FBC1" w14:textId="77777777" w:rsidR="00B40C9C" w:rsidRPr="00922363" w:rsidRDefault="00B40C9C" w:rsidP="00922363">
            <w:pPr>
              <w:spacing w:line="360" w:lineRule="auto"/>
              <w:rPr>
                <w:rFonts w:ascii="Arial" w:hAnsi="Arial" w:cs="Arial"/>
              </w:rPr>
            </w:pPr>
            <w:r w:rsidRPr="00922363">
              <w:rPr>
                <w:rFonts w:ascii="Arial" w:hAnsi="Arial" w:cs="Arial"/>
              </w:rPr>
              <w:t>5.0</w:t>
            </w:r>
          </w:p>
        </w:tc>
      </w:tr>
      <w:tr w:rsidR="00B40C9C" w:rsidRPr="00922363" w14:paraId="2CC871BC" w14:textId="77777777" w:rsidTr="00B40C9C">
        <w:tc>
          <w:tcPr>
            <w:tcW w:w="2160" w:type="dxa"/>
          </w:tcPr>
          <w:p w14:paraId="79733F53" w14:textId="77777777" w:rsidR="00B40C9C" w:rsidRPr="00922363" w:rsidRDefault="00B40C9C" w:rsidP="00922363">
            <w:pPr>
              <w:spacing w:line="360" w:lineRule="auto"/>
              <w:rPr>
                <w:rFonts w:ascii="Arial" w:hAnsi="Arial" w:cs="Arial"/>
              </w:rPr>
            </w:pPr>
            <w:r w:rsidRPr="00922363">
              <w:rPr>
                <w:rFonts w:ascii="Arial" w:hAnsi="Arial" w:cs="Arial"/>
              </w:rPr>
              <w:t>C</w:t>
            </w:r>
          </w:p>
        </w:tc>
        <w:tc>
          <w:tcPr>
            <w:tcW w:w="2160" w:type="dxa"/>
          </w:tcPr>
          <w:p w14:paraId="55515A8C" w14:textId="77777777" w:rsidR="00B40C9C" w:rsidRPr="00922363" w:rsidRDefault="00B40C9C" w:rsidP="00922363">
            <w:pPr>
              <w:spacing w:line="360" w:lineRule="auto"/>
              <w:rPr>
                <w:rFonts w:ascii="Arial" w:hAnsi="Arial" w:cs="Arial"/>
              </w:rPr>
            </w:pPr>
            <w:r w:rsidRPr="00922363">
              <w:rPr>
                <w:rFonts w:ascii="Arial" w:hAnsi="Arial" w:cs="Arial"/>
              </w:rPr>
              <w:t>5, 10, 20, 25, 15</w:t>
            </w:r>
          </w:p>
        </w:tc>
        <w:tc>
          <w:tcPr>
            <w:tcW w:w="2160" w:type="dxa"/>
          </w:tcPr>
          <w:p w14:paraId="2D0B8F64" w14:textId="77777777" w:rsidR="00B40C9C" w:rsidRPr="00922363" w:rsidRDefault="00B40C9C" w:rsidP="00922363">
            <w:pPr>
              <w:spacing w:line="360" w:lineRule="auto"/>
              <w:rPr>
                <w:rFonts w:ascii="Arial" w:hAnsi="Arial" w:cs="Arial"/>
              </w:rPr>
            </w:pPr>
            <w:r w:rsidRPr="00922363">
              <w:rPr>
                <w:rFonts w:ascii="Arial" w:hAnsi="Arial" w:cs="Arial"/>
              </w:rPr>
              <w:t>5, 15, 35, 60, 75</w:t>
            </w:r>
          </w:p>
        </w:tc>
        <w:tc>
          <w:tcPr>
            <w:tcW w:w="2160" w:type="dxa"/>
          </w:tcPr>
          <w:p w14:paraId="2F88C3B3" w14:textId="77777777" w:rsidR="00B40C9C" w:rsidRPr="00922363" w:rsidRDefault="00B40C9C" w:rsidP="00922363">
            <w:pPr>
              <w:spacing w:line="360" w:lineRule="auto"/>
              <w:rPr>
                <w:rFonts w:ascii="Arial" w:hAnsi="Arial" w:cs="Arial"/>
              </w:rPr>
            </w:pPr>
            <w:r w:rsidRPr="00922363">
              <w:rPr>
                <w:rFonts w:ascii="Arial" w:hAnsi="Arial" w:cs="Arial"/>
              </w:rPr>
              <w:t>3.6</w:t>
            </w:r>
          </w:p>
        </w:tc>
      </w:tr>
    </w:tbl>
    <w:p w14:paraId="20C00C9F" w14:textId="036BCB50" w:rsidR="00B40C9C" w:rsidRPr="00922363" w:rsidRDefault="00B40C9C" w:rsidP="00922363">
      <w:pPr>
        <w:spacing w:line="360" w:lineRule="auto"/>
        <w:jc w:val="center"/>
        <w:rPr>
          <w:rFonts w:ascii="Arial" w:hAnsi="Arial" w:cs="Arial"/>
        </w:rPr>
      </w:pPr>
      <w:r w:rsidRPr="00922363">
        <w:rPr>
          <w:rFonts w:ascii="Arial" w:hAnsi="Arial" w:cs="Arial"/>
        </w:rPr>
        <w:t>Source: Author’s calculations</w:t>
      </w:r>
    </w:p>
    <w:p w14:paraId="02B0E2A4" w14:textId="77777777" w:rsidR="00B40C9C" w:rsidRPr="00922363" w:rsidRDefault="00B40C9C" w:rsidP="00922363">
      <w:pPr>
        <w:pStyle w:val="Heading2"/>
        <w:spacing w:line="360" w:lineRule="auto"/>
        <w:rPr>
          <w:rFonts w:cs="Arial"/>
        </w:rPr>
      </w:pPr>
      <w:bookmarkStart w:id="64" w:name="_Toc216756007"/>
      <w:r w:rsidRPr="00922363">
        <w:rPr>
          <w:rFonts w:cs="Arial"/>
        </w:rPr>
        <w:t>Table D2: Net Present Value (NPV) Calculations (10% Discount Rate)</w:t>
      </w:r>
      <w:bookmarkEnd w:id="64"/>
    </w:p>
    <w:p w14:paraId="40D5E927" w14:textId="4440DA89" w:rsidR="00B40C9C" w:rsidRPr="00922363" w:rsidRDefault="00B40C9C" w:rsidP="00922363">
      <w:pPr>
        <w:spacing w:line="360" w:lineRule="auto"/>
        <w:rPr>
          <w:rFonts w:ascii="Arial" w:eastAsiaTheme="minorEastAsia" w:hAnsi="Arial" w:cs="Arial"/>
          <w:b/>
          <w:bCs/>
        </w:rPr>
      </w:pPr>
      <w:r w:rsidRPr="00922363">
        <w:rPr>
          <w:rFonts w:ascii="Arial" w:hAnsi="Arial" w:cs="Arial"/>
          <w:b/>
          <w:bCs/>
        </w:rPr>
        <w:lastRenderedPageBreak/>
        <w:t xml:space="preserve">Formula: </w:t>
      </w:r>
      <m:oMath>
        <m:r>
          <m:rPr>
            <m:sty m:val="bi"/>
          </m:rPr>
          <w:rPr>
            <w:rFonts w:ascii="Cambria Math" w:hAnsi="Cambria Math" w:cs="Arial"/>
          </w:rPr>
          <m:t xml:space="preserve"> </m:t>
        </m:r>
      </m:oMath>
    </w:p>
    <w:p w14:paraId="4EBEA851" w14:textId="2FE15DE1" w:rsidR="0042739E" w:rsidRPr="00922363" w:rsidRDefault="0042739E" w:rsidP="00922363">
      <w:pPr>
        <w:spacing w:line="360" w:lineRule="auto"/>
        <w:rPr>
          <w:rFonts w:ascii="Arial" w:hAnsi="Arial" w:cs="Arial"/>
        </w:rPr>
      </w:pPr>
      <m:oMathPara>
        <m:oMath>
          <m:r>
            <w:rPr>
              <w:rFonts w:ascii="Cambria Math" w:hAnsi="Cambria Math" w:cs="Arial"/>
            </w:rPr>
            <m:t>NPV=PV of cash inflows-initial cash outflows.</m:t>
          </m:r>
        </m:oMath>
      </m:oMathPara>
    </w:p>
    <w:p w14:paraId="56F36DDE" w14:textId="08007F6D" w:rsidR="00B40C9C" w:rsidRPr="00922363" w:rsidRDefault="006A1DDD" w:rsidP="00922363">
      <w:pPr>
        <w:spacing w:line="360" w:lineRule="auto"/>
        <w:jc w:val="center"/>
        <w:rPr>
          <w:rFonts w:ascii="Arial" w:eastAsiaTheme="minorEastAsia" w:hAnsi="Arial" w:cs="Arial"/>
        </w:rPr>
      </w:pPr>
      <w:r w:rsidRPr="00922363">
        <w:rPr>
          <w:rFonts w:ascii="Arial" w:eastAsiaTheme="minorEastAsia" w:hAnsi="Arial" w:cs="Arial"/>
        </w:rPr>
        <w:t xml:space="preserve">NPV= </w:t>
      </w:r>
      <m:oMath>
        <m:f>
          <m:fPr>
            <m:ctrlPr>
              <w:rPr>
                <w:rFonts w:ascii="Cambria Math" w:hAnsi="Cambria Math" w:cs="Arial"/>
                <w:i/>
              </w:rPr>
            </m:ctrlPr>
          </m:fPr>
          <m:num>
            <m:r>
              <w:rPr>
                <w:rFonts w:ascii="Cambria Math" w:hAnsi="Cambria Math" w:cs="Arial"/>
              </w:rPr>
              <m:t>CFt</m:t>
            </m:r>
          </m:num>
          <m:den>
            <m:sSup>
              <m:sSupPr>
                <m:ctrlPr>
                  <w:rPr>
                    <w:rFonts w:ascii="Cambria Math" w:hAnsi="Cambria Math" w:cs="Arial"/>
                    <w:i/>
                  </w:rPr>
                </m:ctrlPr>
              </m:sSupPr>
              <m:e>
                <m:r>
                  <w:rPr>
                    <w:rFonts w:ascii="Cambria Math" w:hAnsi="Cambria Math" w:cs="Arial"/>
                  </w:rPr>
                  <m:t>(1+r)</m:t>
                </m:r>
              </m:e>
              <m:sup>
                <m:r>
                  <w:rPr>
                    <w:rFonts w:ascii="Cambria Math" w:hAnsi="Cambria Math" w:cs="Arial"/>
                  </w:rPr>
                  <m:t>t</m:t>
                </m:r>
              </m:sup>
            </m:sSup>
          </m:den>
        </m:f>
        <m:r>
          <w:rPr>
            <w:rFonts w:ascii="Cambria Math" w:hAnsi="Cambria Math" w:cs="Arial"/>
          </w:rPr>
          <m:t>-Io</m:t>
        </m:r>
      </m:oMath>
    </w:p>
    <w:tbl>
      <w:tblPr>
        <w:tblStyle w:val="TableGrid"/>
        <w:tblW w:w="0" w:type="auto"/>
        <w:tblLook w:val="04A0" w:firstRow="1" w:lastRow="0" w:firstColumn="1" w:lastColumn="0" w:noHBand="0" w:noVBand="1"/>
      </w:tblPr>
      <w:tblGrid>
        <w:gridCol w:w="1080"/>
        <w:gridCol w:w="1080"/>
        <w:gridCol w:w="1080"/>
        <w:gridCol w:w="1080"/>
        <w:gridCol w:w="1080"/>
        <w:gridCol w:w="1080"/>
        <w:gridCol w:w="1080"/>
        <w:gridCol w:w="1080"/>
      </w:tblGrid>
      <w:tr w:rsidR="00B40C9C" w:rsidRPr="00922363" w14:paraId="1E936718" w14:textId="77777777" w:rsidTr="00B40C9C">
        <w:tc>
          <w:tcPr>
            <w:tcW w:w="1080" w:type="dxa"/>
          </w:tcPr>
          <w:p w14:paraId="53CAB1A5" w14:textId="77777777" w:rsidR="00B40C9C" w:rsidRPr="00922363" w:rsidRDefault="00B40C9C" w:rsidP="00922363">
            <w:pPr>
              <w:spacing w:line="360" w:lineRule="auto"/>
              <w:rPr>
                <w:rFonts w:ascii="Arial" w:hAnsi="Arial" w:cs="Arial"/>
              </w:rPr>
            </w:pPr>
            <w:r w:rsidRPr="00922363">
              <w:rPr>
                <w:rFonts w:ascii="Arial" w:hAnsi="Arial" w:cs="Arial"/>
              </w:rPr>
              <w:t>Project</w:t>
            </w:r>
          </w:p>
        </w:tc>
        <w:tc>
          <w:tcPr>
            <w:tcW w:w="1080" w:type="dxa"/>
          </w:tcPr>
          <w:p w14:paraId="220DE92D" w14:textId="77777777" w:rsidR="00B40C9C" w:rsidRPr="00922363" w:rsidRDefault="00B40C9C" w:rsidP="00922363">
            <w:pPr>
              <w:spacing w:line="360" w:lineRule="auto"/>
              <w:rPr>
                <w:rFonts w:ascii="Arial" w:hAnsi="Arial" w:cs="Arial"/>
              </w:rPr>
            </w:pPr>
            <w:r w:rsidRPr="00922363">
              <w:rPr>
                <w:rFonts w:ascii="Arial" w:hAnsi="Arial" w:cs="Arial"/>
              </w:rPr>
              <w:t>Year 1</w:t>
            </w:r>
          </w:p>
        </w:tc>
        <w:tc>
          <w:tcPr>
            <w:tcW w:w="1080" w:type="dxa"/>
          </w:tcPr>
          <w:p w14:paraId="0AB71BD9" w14:textId="77777777" w:rsidR="00B40C9C" w:rsidRPr="00922363" w:rsidRDefault="00B40C9C" w:rsidP="00922363">
            <w:pPr>
              <w:spacing w:line="360" w:lineRule="auto"/>
              <w:rPr>
                <w:rFonts w:ascii="Arial" w:hAnsi="Arial" w:cs="Arial"/>
              </w:rPr>
            </w:pPr>
            <w:r w:rsidRPr="00922363">
              <w:rPr>
                <w:rFonts w:ascii="Arial" w:hAnsi="Arial" w:cs="Arial"/>
              </w:rPr>
              <w:t>Year 2</w:t>
            </w:r>
          </w:p>
        </w:tc>
        <w:tc>
          <w:tcPr>
            <w:tcW w:w="1080" w:type="dxa"/>
          </w:tcPr>
          <w:p w14:paraId="2DB405A9" w14:textId="77777777" w:rsidR="00B40C9C" w:rsidRPr="00922363" w:rsidRDefault="00B40C9C" w:rsidP="00922363">
            <w:pPr>
              <w:spacing w:line="360" w:lineRule="auto"/>
              <w:rPr>
                <w:rFonts w:ascii="Arial" w:hAnsi="Arial" w:cs="Arial"/>
              </w:rPr>
            </w:pPr>
            <w:r w:rsidRPr="00922363">
              <w:rPr>
                <w:rFonts w:ascii="Arial" w:hAnsi="Arial" w:cs="Arial"/>
              </w:rPr>
              <w:t>Year 3</w:t>
            </w:r>
          </w:p>
        </w:tc>
        <w:tc>
          <w:tcPr>
            <w:tcW w:w="1080" w:type="dxa"/>
          </w:tcPr>
          <w:p w14:paraId="6E49F637" w14:textId="77777777" w:rsidR="00B40C9C" w:rsidRPr="00922363" w:rsidRDefault="00B40C9C" w:rsidP="00922363">
            <w:pPr>
              <w:spacing w:line="360" w:lineRule="auto"/>
              <w:rPr>
                <w:rFonts w:ascii="Arial" w:hAnsi="Arial" w:cs="Arial"/>
              </w:rPr>
            </w:pPr>
            <w:r w:rsidRPr="00922363">
              <w:rPr>
                <w:rFonts w:ascii="Arial" w:hAnsi="Arial" w:cs="Arial"/>
              </w:rPr>
              <w:t>Year 4</w:t>
            </w:r>
          </w:p>
        </w:tc>
        <w:tc>
          <w:tcPr>
            <w:tcW w:w="1080" w:type="dxa"/>
          </w:tcPr>
          <w:p w14:paraId="2677834F" w14:textId="77777777" w:rsidR="00B40C9C" w:rsidRPr="00922363" w:rsidRDefault="00B40C9C" w:rsidP="00922363">
            <w:pPr>
              <w:spacing w:line="360" w:lineRule="auto"/>
              <w:rPr>
                <w:rFonts w:ascii="Arial" w:hAnsi="Arial" w:cs="Arial"/>
              </w:rPr>
            </w:pPr>
            <w:r w:rsidRPr="00922363">
              <w:rPr>
                <w:rFonts w:ascii="Arial" w:hAnsi="Arial" w:cs="Arial"/>
              </w:rPr>
              <w:t>Year 5</w:t>
            </w:r>
          </w:p>
        </w:tc>
        <w:tc>
          <w:tcPr>
            <w:tcW w:w="1080" w:type="dxa"/>
          </w:tcPr>
          <w:p w14:paraId="51F533C2" w14:textId="77777777" w:rsidR="00B40C9C" w:rsidRPr="00922363" w:rsidRDefault="00B40C9C" w:rsidP="00922363">
            <w:pPr>
              <w:spacing w:line="360" w:lineRule="auto"/>
              <w:rPr>
                <w:rFonts w:ascii="Arial" w:hAnsi="Arial" w:cs="Arial"/>
              </w:rPr>
            </w:pPr>
            <w:r w:rsidRPr="00922363">
              <w:rPr>
                <w:rFonts w:ascii="Arial" w:hAnsi="Arial" w:cs="Arial"/>
              </w:rPr>
              <w:t>PV of Inflows (£m)</w:t>
            </w:r>
          </w:p>
        </w:tc>
        <w:tc>
          <w:tcPr>
            <w:tcW w:w="1080" w:type="dxa"/>
          </w:tcPr>
          <w:p w14:paraId="46CF6CF2" w14:textId="77777777" w:rsidR="00B40C9C" w:rsidRPr="00922363" w:rsidRDefault="00B40C9C" w:rsidP="00922363">
            <w:pPr>
              <w:spacing w:line="360" w:lineRule="auto"/>
              <w:rPr>
                <w:rFonts w:ascii="Arial" w:hAnsi="Arial" w:cs="Arial"/>
              </w:rPr>
            </w:pPr>
            <w:r w:rsidRPr="00922363">
              <w:rPr>
                <w:rFonts w:ascii="Arial" w:hAnsi="Arial" w:cs="Arial"/>
              </w:rPr>
              <w:t>NPV (£m)</w:t>
            </w:r>
          </w:p>
        </w:tc>
      </w:tr>
      <w:tr w:rsidR="00B40C9C" w:rsidRPr="00922363" w14:paraId="2D3AEC8A" w14:textId="77777777" w:rsidTr="00B40C9C">
        <w:tc>
          <w:tcPr>
            <w:tcW w:w="1080" w:type="dxa"/>
          </w:tcPr>
          <w:p w14:paraId="17E6BBC5" w14:textId="77777777" w:rsidR="00B40C9C" w:rsidRPr="00922363" w:rsidRDefault="00B40C9C" w:rsidP="00922363">
            <w:pPr>
              <w:spacing w:line="360" w:lineRule="auto"/>
              <w:rPr>
                <w:rFonts w:ascii="Arial" w:hAnsi="Arial" w:cs="Arial"/>
              </w:rPr>
            </w:pPr>
            <w:r w:rsidRPr="00922363">
              <w:rPr>
                <w:rFonts w:ascii="Arial" w:hAnsi="Arial" w:cs="Arial"/>
              </w:rPr>
              <w:t>A</w:t>
            </w:r>
          </w:p>
        </w:tc>
        <w:tc>
          <w:tcPr>
            <w:tcW w:w="1080" w:type="dxa"/>
          </w:tcPr>
          <w:p w14:paraId="09BE22F3" w14:textId="77777777" w:rsidR="00B40C9C" w:rsidRPr="00922363" w:rsidRDefault="00B40C9C" w:rsidP="00922363">
            <w:pPr>
              <w:spacing w:line="360" w:lineRule="auto"/>
              <w:rPr>
                <w:rFonts w:ascii="Arial" w:hAnsi="Arial" w:cs="Arial"/>
              </w:rPr>
            </w:pPr>
            <w:r w:rsidRPr="00922363">
              <w:rPr>
                <w:rFonts w:ascii="Arial" w:hAnsi="Arial" w:cs="Arial"/>
              </w:rPr>
              <w:t>10</w:t>
            </w:r>
          </w:p>
        </w:tc>
        <w:tc>
          <w:tcPr>
            <w:tcW w:w="1080" w:type="dxa"/>
          </w:tcPr>
          <w:p w14:paraId="5E4F8876" w14:textId="77777777" w:rsidR="00B40C9C" w:rsidRPr="00922363" w:rsidRDefault="00B40C9C" w:rsidP="00922363">
            <w:pPr>
              <w:spacing w:line="360" w:lineRule="auto"/>
              <w:rPr>
                <w:rFonts w:ascii="Arial" w:hAnsi="Arial" w:cs="Arial"/>
              </w:rPr>
            </w:pPr>
            <w:r w:rsidRPr="00922363">
              <w:rPr>
                <w:rFonts w:ascii="Arial" w:hAnsi="Arial" w:cs="Arial"/>
              </w:rPr>
              <w:t>12</w:t>
            </w:r>
          </w:p>
        </w:tc>
        <w:tc>
          <w:tcPr>
            <w:tcW w:w="1080" w:type="dxa"/>
          </w:tcPr>
          <w:p w14:paraId="2C32FBF2" w14:textId="77777777" w:rsidR="00B40C9C" w:rsidRPr="00922363" w:rsidRDefault="00B40C9C" w:rsidP="00922363">
            <w:pPr>
              <w:spacing w:line="360" w:lineRule="auto"/>
              <w:rPr>
                <w:rFonts w:ascii="Arial" w:hAnsi="Arial" w:cs="Arial"/>
              </w:rPr>
            </w:pPr>
            <w:r w:rsidRPr="00922363">
              <w:rPr>
                <w:rFonts w:ascii="Arial" w:hAnsi="Arial" w:cs="Arial"/>
              </w:rPr>
              <w:t>14</w:t>
            </w:r>
          </w:p>
        </w:tc>
        <w:tc>
          <w:tcPr>
            <w:tcW w:w="1080" w:type="dxa"/>
          </w:tcPr>
          <w:p w14:paraId="3AF84E07" w14:textId="77777777" w:rsidR="00B40C9C" w:rsidRPr="00922363" w:rsidRDefault="00B40C9C" w:rsidP="00922363">
            <w:pPr>
              <w:spacing w:line="360" w:lineRule="auto"/>
              <w:rPr>
                <w:rFonts w:ascii="Arial" w:hAnsi="Arial" w:cs="Arial"/>
              </w:rPr>
            </w:pPr>
            <w:r w:rsidRPr="00922363">
              <w:rPr>
                <w:rFonts w:ascii="Arial" w:hAnsi="Arial" w:cs="Arial"/>
              </w:rPr>
              <w:t>10</w:t>
            </w:r>
          </w:p>
        </w:tc>
        <w:tc>
          <w:tcPr>
            <w:tcW w:w="1080" w:type="dxa"/>
          </w:tcPr>
          <w:p w14:paraId="62D63796" w14:textId="77777777" w:rsidR="00B40C9C" w:rsidRPr="00922363" w:rsidRDefault="00B40C9C" w:rsidP="00922363">
            <w:pPr>
              <w:spacing w:line="360" w:lineRule="auto"/>
              <w:rPr>
                <w:rFonts w:ascii="Arial" w:hAnsi="Arial" w:cs="Arial"/>
              </w:rPr>
            </w:pPr>
            <w:r w:rsidRPr="00922363">
              <w:rPr>
                <w:rFonts w:ascii="Arial" w:hAnsi="Arial" w:cs="Arial"/>
              </w:rPr>
              <w:t>8</w:t>
            </w:r>
          </w:p>
        </w:tc>
        <w:tc>
          <w:tcPr>
            <w:tcW w:w="1080" w:type="dxa"/>
          </w:tcPr>
          <w:p w14:paraId="4F1F558D" w14:textId="77777777" w:rsidR="00B40C9C" w:rsidRPr="00922363" w:rsidRDefault="00B40C9C" w:rsidP="00922363">
            <w:pPr>
              <w:spacing w:line="360" w:lineRule="auto"/>
              <w:rPr>
                <w:rFonts w:ascii="Arial" w:hAnsi="Arial" w:cs="Arial"/>
              </w:rPr>
            </w:pPr>
            <w:r w:rsidRPr="00922363">
              <w:rPr>
                <w:rFonts w:ascii="Arial" w:hAnsi="Arial" w:cs="Arial"/>
              </w:rPr>
              <w:t>41.92</w:t>
            </w:r>
          </w:p>
        </w:tc>
        <w:tc>
          <w:tcPr>
            <w:tcW w:w="1080" w:type="dxa"/>
          </w:tcPr>
          <w:p w14:paraId="0021D6D2" w14:textId="77777777" w:rsidR="00B40C9C" w:rsidRPr="00922363" w:rsidRDefault="00B40C9C" w:rsidP="00922363">
            <w:pPr>
              <w:spacing w:line="360" w:lineRule="auto"/>
              <w:rPr>
                <w:rFonts w:ascii="Arial" w:hAnsi="Arial" w:cs="Arial"/>
              </w:rPr>
            </w:pPr>
            <w:r w:rsidRPr="00922363">
              <w:rPr>
                <w:rFonts w:ascii="Arial" w:hAnsi="Arial" w:cs="Arial"/>
              </w:rPr>
              <w:t>1.92</w:t>
            </w:r>
          </w:p>
        </w:tc>
      </w:tr>
      <w:tr w:rsidR="00B40C9C" w:rsidRPr="00922363" w14:paraId="3BA11835" w14:textId="77777777" w:rsidTr="00B40C9C">
        <w:tc>
          <w:tcPr>
            <w:tcW w:w="1080" w:type="dxa"/>
          </w:tcPr>
          <w:p w14:paraId="48913117" w14:textId="77777777" w:rsidR="00B40C9C" w:rsidRPr="00922363" w:rsidRDefault="00B40C9C" w:rsidP="00922363">
            <w:pPr>
              <w:spacing w:line="360" w:lineRule="auto"/>
              <w:rPr>
                <w:rFonts w:ascii="Arial" w:hAnsi="Arial" w:cs="Arial"/>
              </w:rPr>
            </w:pPr>
            <w:r w:rsidRPr="00922363">
              <w:rPr>
                <w:rFonts w:ascii="Arial" w:hAnsi="Arial" w:cs="Arial"/>
              </w:rPr>
              <w:t>B</w:t>
            </w:r>
          </w:p>
        </w:tc>
        <w:tc>
          <w:tcPr>
            <w:tcW w:w="1080" w:type="dxa"/>
          </w:tcPr>
          <w:p w14:paraId="0515281C" w14:textId="77777777" w:rsidR="00B40C9C" w:rsidRPr="00922363" w:rsidRDefault="00B40C9C" w:rsidP="00922363">
            <w:pPr>
              <w:spacing w:line="360" w:lineRule="auto"/>
              <w:rPr>
                <w:rFonts w:ascii="Arial" w:hAnsi="Arial" w:cs="Arial"/>
              </w:rPr>
            </w:pPr>
            <w:r w:rsidRPr="00922363">
              <w:rPr>
                <w:rFonts w:ascii="Arial" w:hAnsi="Arial" w:cs="Arial"/>
              </w:rPr>
              <w:t>6</w:t>
            </w:r>
          </w:p>
        </w:tc>
        <w:tc>
          <w:tcPr>
            <w:tcW w:w="1080" w:type="dxa"/>
          </w:tcPr>
          <w:p w14:paraId="17B06B1A" w14:textId="77777777" w:rsidR="00B40C9C" w:rsidRPr="00922363" w:rsidRDefault="00B40C9C" w:rsidP="00922363">
            <w:pPr>
              <w:spacing w:line="360" w:lineRule="auto"/>
              <w:rPr>
                <w:rFonts w:ascii="Arial" w:hAnsi="Arial" w:cs="Arial"/>
              </w:rPr>
            </w:pPr>
            <w:r w:rsidRPr="00922363">
              <w:rPr>
                <w:rFonts w:ascii="Arial" w:hAnsi="Arial" w:cs="Arial"/>
              </w:rPr>
              <w:t>6</w:t>
            </w:r>
          </w:p>
        </w:tc>
        <w:tc>
          <w:tcPr>
            <w:tcW w:w="1080" w:type="dxa"/>
          </w:tcPr>
          <w:p w14:paraId="66098F5F" w14:textId="77777777" w:rsidR="00B40C9C" w:rsidRPr="00922363" w:rsidRDefault="00B40C9C" w:rsidP="00922363">
            <w:pPr>
              <w:spacing w:line="360" w:lineRule="auto"/>
              <w:rPr>
                <w:rFonts w:ascii="Arial" w:hAnsi="Arial" w:cs="Arial"/>
              </w:rPr>
            </w:pPr>
            <w:r w:rsidRPr="00922363">
              <w:rPr>
                <w:rFonts w:ascii="Arial" w:hAnsi="Arial" w:cs="Arial"/>
              </w:rPr>
              <w:t>6</w:t>
            </w:r>
          </w:p>
        </w:tc>
        <w:tc>
          <w:tcPr>
            <w:tcW w:w="1080" w:type="dxa"/>
          </w:tcPr>
          <w:p w14:paraId="17CE21EE" w14:textId="77777777" w:rsidR="00B40C9C" w:rsidRPr="00922363" w:rsidRDefault="00B40C9C" w:rsidP="00922363">
            <w:pPr>
              <w:spacing w:line="360" w:lineRule="auto"/>
              <w:rPr>
                <w:rFonts w:ascii="Arial" w:hAnsi="Arial" w:cs="Arial"/>
              </w:rPr>
            </w:pPr>
            <w:r w:rsidRPr="00922363">
              <w:rPr>
                <w:rFonts w:ascii="Arial" w:hAnsi="Arial" w:cs="Arial"/>
              </w:rPr>
              <w:t>6</w:t>
            </w:r>
          </w:p>
        </w:tc>
        <w:tc>
          <w:tcPr>
            <w:tcW w:w="1080" w:type="dxa"/>
          </w:tcPr>
          <w:p w14:paraId="59F868F2" w14:textId="77777777" w:rsidR="00B40C9C" w:rsidRPr="00922363" w:rsidRDefault="00B40C9C" w:rsidP="00922363">
            <w:pPr>
              <w:spacing w:line="360" w:lineRule="auto"/>
              <w:rPr>
                <w:rFonts w:ascii="Arial" w:hAnsi="Arial" w:cs="Arial"/>
              </w:rPr>
            </w:pPr>
            <w:r w:rsidRPr="00922363">
              <w:rPr>
                <w:rFonts w:ascii="Arial" w:hAnsi="Arial" w:cs="Arial"/>
              </w:rPr>
              <w:t>6</w:t>
            </w:r>
          </w:p>
        </w:tc>
        <w:tc>
          <w:tcPr>
            <w:tcW w:w="1080" w:type="dxa"/>
          </w:tcPr>
          <w:p w14:paraId="29DF02AD" w14:textId="77777777" w:rsidR="00B40C9C" w:rsidRPr="00922363" w:rsidRDefault="00B40C9C" w:rsidP="00922363">
            <w:pPr>
              <w:spacing w:line="360" w:lineRule="auto"/>
              <w:rPr>
                <w:rFonts w:ascii="Arial" w:hAnsi="Arial" w:cs="Arial"/>
              </w:rPr>
            </w:pPr>
            <w:r w:rsidRPr="00922363">
              <w:rPr>
                <w:rFonts w:ascii="Arial" w:hAnsi="Arial" w:cs="Arial"/>
              </w:rPr>
              <w:t>29.79</w:t>
            </w:r>
          </w:p>
        </w:tc>
        <w:tc>
          <w:tcPr>
            <w:tcW w:w="1080" w:type="dxa"/>
          </w:tcPr>
          <w:p w14:paraId="6B767CDD" w14:textId="77777777" w:rsidR="00B40C9C" w:rsidRPr="00922363" w:rsidRDefault="00B40C9C" w:rsidP="00922363">
            <w:pPr>
              <w:spacing w:line="360" w:lineRule="auto"/>
              <w:rPr>
                <w:rFonts w:ascii="Arial" w:hAnsi="Arial" w:cs="Arial"/>
              </w:rPr>
            </w:pPr>
            <w:r w:rsidRPr="00922363">
              <w:rPr>
                <w:rFonts w:ascii="Arial" w:hAnsi="Arial" w:cs="Arial"/>
              </w:rPr>
              <w:t>-0.21</w:t>
            </w:r>
          </w:p>
        </w:tc>
      </w:tr>
      <w:tr w:rsidR="00B40C9C" w:rsidRPr="00922363" w14:paraId="6E074D82" w14:textId="77777777" w:rsidTr="00B40C9C">
        <w:tc>
          <w:tcPr>
            <w:tcW w:w="1080" w:type="dxa"/>
          </w:tcPr>
          <w:p w14:paraId="2E2A6EB7" w14:textId="77777777" w:rsidR="00B40C9C" w:rsidRPr="00922363" w:rsidRDefault="00B40C9C" w:rsidP="00922363">
            <w:pPr>
              <w:spacing w:line="360" w:lineRule="auto"/>
              <w:rPr>
                <w:rFonts w:ascii="Arial" w:hAnsi="Arial" w:cs="Arial"/>
              </w:rPr>
            </w:pPr>
            <w:r w:rsidRPr="00922363">
              <w:rPr>
                <w:rFonts w:ascii="Arial" w:hAnsi="Arial" w:cs="Arial"/>
              </w:rPr>
              <w:t>C</w:t>
            </w:r>
          </w:p>
        </w:tc>
        <w:tc>
          <w:tcPr>
            <w:tcW w:w="1080" w:type="dxa"/>
          </w:tcPr>
          <w:p w14:paraId="2CE62492" w14:textId="77777777" w:rsidR="00B40C9C" w:rsidRPr="00922363" w:rsidRDefault="00B40C9C" w:rsidP="00922363">
            <w:pPr>
              <w:spacing w:line="360" w:lineRule="auto"/>
              <w:rPr>
                <w:rFonts w:ascii="Arial" w:hAnsi="Arial" w:cs="Arial"/>
              </w:rPr>
            </w:pPr>
            <w:r w:rsidRPr="00922363">
              <w:rPr>
                <w:rFonts w:ascii="Arial" w:hAnsi="Arial" w:cs="Arial"/>
              </w:rPr>
              <w:t>5</w:t>
            </w:r>
          </w:p>
        </w:tc>
        <w:tc>
          <w:tcPr>
            <w:tcW w:w="1080" w:type="dxa"/>
          </w:tcPr>
          <w:p w14:paraId="1415B076" w14:textId="77777777" w:rsidR="00B40C9C" w:rsidRPr="00922363" w:rsidRDefault="00B40C9C" w:rsidP="00922363">
            <w:pPr>
              <w:spacing w:line="360" w:lineRule="auto"/>
              <w:rPr>
                <w:rFonts w:ascii="Arial" w:hAnsi="Arial" w:cs="Arial"/>
              </w:rPr>
            </w:pPr>
            <w:r w:rsidRPr="00922363">
              <w:rPr>
                <w:rFonts w:ascii="Arial" w:hAnsi="Arial" w:cs="Arial"/>
              </w:rPr>
              <w:t>10</w:t>
            </w:r>
          </w:p>
        </w:tc>
        <w:tc>
          <w:tcPr>
            <w:tcW w:w="1080" w:type="dxa"/>
          </w:tcPr>
          <w:p w14:paraId="1F1F53EB" w14:textId="77777777" w:rsidR="00B40C9C" w:rsidRPr="00922363" w:rsidRDefault="00B40C9C" w:rsidP="00922363">
            <w:pPr>
              <w:spacing w:line="360" w:lineRule="auto"/>
              <w:rPr>
                <w:rFonts w:ascii="Arial" w:hAnsi="Arial" w:cs="Arial"/>
              </w:rPr>
            </w:pPr>
            <w:r w:rsidRPr="00922363">
              <w:rPr>
                <w:rFonts w:ascii="Arial" w:hAnsi="Arial" w:cs="Arial"/>
              </w:rPr>
              <w:t>20</w:t>
            </w:r>
          </w:p>
        </w:tc>
        <w:tc>
          <w:tcPr>
            <w:tcW w:w="1080" w:type="dxa"/>
          </w:tcPr>
          <w:p w14:paraId="0FE328EE" w14:textId="77777777" w:rsidR="00B40C9C" w:rsidRPr="00922363" w:rsidRDefault="00B40C9C" w:rsidP="00922363">
            <w:pPr>
              <w:spacing w:line="360" w:lineRule="auto"/>
              <w:rPr>
                <w:rFonts w:ascii="Arial" w:hAnsi="Arial" w:cs="Arial"/>
              </w:rPr>
            </w:pPr>
            <w:r w:rsidRPr="00922363">
              <w:rPr>
                <w:rFonts w:ascii="Arial" w:hAnsi="Arial" w:cs="Arial"/>
              </w:rPr>
              <w:t>25</w:t>
            </w:r>
          </w:p>
        </w:tc>
        <w:tc>
          <w:tcPr>
            <w:tcW w:w="1080" w:type="dxa"/>
          </w:tcPr>
          <w:p w14:paraId="18A5DBAD" w14:textId="77777777" w:rsidR="00B40C9C" w:rsidRPr="00922363" w:rsidRDefault="00B40C9C" w:rsidP="00922363">
            <w:pPr>
              <w:spacing w:line="360" w:lineRule="auto"/>
              <w:rPr>
                <w:rFonts w:ascii="Arial" w:hAnsi="Arial" w:cs="Arial"/>
              </w:rPr>
            </w:pPr>
            <w:r w:rsidRPr="00922363">
              <w:rPr>
                <w:rFonts w:ascii="Arial" w:hAnsi="Arial" w:cs="Arial"/>
              </w:rPr>
              <w:t>15</w:t>
            </w:r>
          </w:p>
        </w:tc>
        <w:tc>
          <w:tcPr>
            <w:tcW w:w="1080" w:type="dxa"/>
          </w:tcPr>
          <w:p w14:paraId="2DE92B94" w14:textId="77777777" w:rsidR="00B40C9C" w:rsidRPr="00922363" w:rsidRDefault="00B40C9C" w:rsidP="00922363">
            <w:pPr>
              <w:spacing w:line="360" w:lineRule="auto"/>
              <w:rPr>
                <w:rFonts w:ascii="Arial" w:hAnsi="Arial" w:cs="Arial"/>
              </w:rPr>
            </w:pPr>
            <w:r w:rsidRPr="00922363">
              <w:rPr>
                <w:rFonts w:ascii="Arial" w:hAnsi="Arial" w:cs="Arial"/>
              </w:rPr>
              <w:t>71.28</w:t>
            </w:r>
          </w:p>
        </w:tc>
        <w:tc>
          <w:tcPr>
            <w:tcW w:w="1080" w:type="dxa"/>
          </w:tcPr>
          <w:p w14:paraId="65399B4A" w14:textId="77777777" w:rsidR="00B40C9C" w:rsidRPr="00922363" w:rsidRDefault="00B40C9C" w:rsidP="00922363">
            <w:pPr>
              <w:spacing w:line="360" w:lineRule="auto"/>
              <w:rPr>
                <w:rFonts w:ascii="Arial" w:hAnsi="Arial" w:cs="Arial"/>
              </w:rPr>
            </w:pPr>
            <w:r w:rsidRPr="00922363">
              <w:rPr>
                <w:rFonts w:ascii="Arial" w:hAnsi="Arial" w:cs="Arial"/>
              </w:rPr>
              <w:t>21.28</w:t>
            </w:r>
          </w:p>
        </w:tc>
      </w:tr>
    </w:tbl>
    <w:p w14:paraId="4171F9B6" w14:textId="5480EF98" w:rsidR="00922363" w:rsidRPr="00AA1F2A" w:rsidRDefault="00B40C9C" w:rsidP="00AA1F2A">
      <w:pPr>
        <w:spacing w:line="360" w:lineRule="auto"/>
        <w:jc w:val="center"/>
        <w:rPr>
          <w:rFonts w:ascii="Arial" w:hAnsi="Arial" w:cs="Arial"/>
        </w:rPr>
      </w:pPr>
      <w:r w:rsidRPr="00922363">
        <w:rPr>
          <w:rFonts w:ascii="Arial" w:hAnsi="Arial" w:cs="Arial"/>
        </w:rPr>
        <w:t>Source: Author’s calculations</w:t>
      </w:r>
      <w:r w:rsidRPr="00922363">
        <w:rPr>
          <w:rFonts w:ascii="Arial" w:hAnsi="Arial" w:cs="Arial"/>
        </w:rPr>
        <w:br/>
      </w:r>
    </w:p>
    <w:p w14:paraId="7E344628" w14:textId="4D2FE506" w:rsidR="00B40C9C" w:rsidRPr="00922363" w:rsidRDefault="00B40C9C" w:rsidP="00922363">
      <w:pPr>
        <w:pStyle w:val="Heading2"/>
        <w:spacing w:line="360" w:lineRule="auto"/>
        <w:rPr>
          <w:rFonts w:cs="Arial"/>
        </w:rPr>
      </w:pPr>
      <w:bookmarkStart w:id="65" w:name="_Toc216756008"/>
      <w:r w:rsidRPr="00922363">
        <w:rPr>
          <w:rFonts w:cs="Arial"/>
        </w:rPr>
        <w:t>Table D3: Internal Rate of Return (IRR) Estimates</w:t>
      </w:r>
      <w:bookmarkEnd w:id="65"/>
    </w:p>
    <w:p w14:paraId="6D725E8A" w14:textId="57A1D263" w:rsidR="0042739E" w:rsidRPr="00922363" w:rsidRDefault="00B40C9C" w:rsidP="00922363">
      <w:pPr>
        <w:spacing w:line="360" w:lineRule="auto"/>
        <w:rPr>
          <w:rFonts w:ascii="Arial" w:hAnsi="Arial" w:cs="Arial"/>
        </w:rPr>
      </w:pPr>
      <w:r w:rsidRPr="00922363">
        <w:rPr>
          <w:rFonts w:ascii="Arial" w:hAnsi="Arial" w:cs="Arial"/>
        </w:rPr>
        <w:t>Formula:</w:t>
      </w:r>
    </w:p>
    <w:p w14:paraId="36746744" w14:textId="638481BF" w:rsidR="00B40C9C" w:rsidRPr="00922363" w:rsidRDefault="0042739E" w:rsidP="00922363">
      <w:pPr>
        <w:spacing w:line="360" w:lineRule="auto"/>
        <w:rPr>
          <w:rFonts w:ascii="Arial" w:hAnsi="Arial" w:cs="Arial"/>
        </w:rPr>
      </w:pPr>
      <w:r w:rsidRPr="00922363">
        <w:rPr>
          <w:rFonts w:ascii="Arial" w:hAnsi="Arial" w:cs="Arial"/>
          <w:noProof/>
        </w:rPr>
        <w:drawing>
          <wp:inline distT="0" distB="0" distL="0" distR="0" wp14:anchorId="6A70DA1D" wp14:editId="296A0668">
            <wp:extent cx="5105400" cy="1314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5789" b="3508"/>
                    <a:stretch/>
                  </pic:blipFill>
                  <pic:spPr bwMode="auto">
                    <a:xfrm>
                      <a:off x="0" y="0"/>
                      <a:ext cx="5105400" cy="1314450"/>
                    </a:xfrm>
                    <a:prstGeom prst="rect">
                      <a:avLst/>
                    </a:prstGeom>
                    <a:ln>
                      <a:noFill/>
                    </a:ln>
                    <a:extLst>
                      <a:ext uri="{53640926-AAD7-44D8-BBD7-CCE9431645EC}">
                        <a14:shadowObscured xmlns:a14="http://schemas.microsoft.com/office/drawing/2010/main"/>
                      </a:ext>
                    </a:extLst>
                  </pic:spPr>
                </pic:pic>
              </a:graphicData>
            </a:graphic>
          </wp:inline>
        </w:drawing>
      </w:r>
      <w:r w:rsidR="00B40C9C" w:rsidRPr="00922363">
        <w:rPr>
          <w:rFonts w:ascii="Arial" w:hAnsi="Arial" w:cs="Arial"/>
        </w:rPr>
        <w:br/>
      </w:r>
    </w:p>
    <w:tbl>
      <w:tblPr>
        <w:tblStyle w:val="TableGrid"/>
        <w:tblW w:w="0" w:type="auto"/>
        <w:tblLook w:val="04A0" w:firstRow="1" w:lastRow="0" w:firstColumn="1" w:lastColumn="0" w:noHBand="0" w:noVBand="1"/>
      </w:tblPr>
      <w:tblGrid>
        <w:gridCol w:w="4320"/>
        <w:gridCol w:w="4320"/>
      </w:tblGrid>
      <w:tr w:rsidR="00B40C9C" w:rsidRPr="00922363" w14:paraId="36243041" w14:textId="77777777" w:rsidTr="00B40C9C">
        <w:tc>
          <w:tcPr>
            <w:tcW w:w="4320" w:type="dxa"/>
          </w:tcPr>
          <w:p w14:paraId="2AAA6390" w14:textId="77777777" w:rsidR="00B40C9C" w:rsidRPr="00922363" w:rsidRDefault="00B40C9C" w:rsidP="00922363">
            <w:pPr>
              <w:spacing w:line="360" w:lineRule="auto"/>
              <w:rPr>
                <w:rFonts w:ascii="Arial" w:hAnsi="Arial" w:cs="Arial"/>
              </w:rPr>
            </w:pPr>
            <w:r w:rsidRPr="00922363">
              <w:rPr>
                <w:rFonts w:ascii="Arial" w:hAnsi="Arial" w:cs="Arial"/>
              </w:rPr>
              <w:t>Project</w:t>
            </w:r>
          </w:p>
        </w:tc>
        <w:tc>
          <w:tcPr>
            <w:tcW w:w="4320" w:type="dxa"/>
          </w:tcPr>
          <w:p w14:paraId="65BA4634" w14:textId="77777777" w:rsidR="00B40C9C" w:rsidRPr="00922363" w:rsidRDefault="00B40C9C" w:rsidP="00922363">
            <w:pPr>
              <w:spacing w:line="360" w:lineRule="auto"/>
              <w:rPr>
                <w:rFonts w:ascii="Arial" w:hAnsi="Arial" w:cs="Arial"/>
              </w:rPr>
            </w:pPr>
            <w:r w:rsidRPr="00922363">
              <w:rPr>
                <w:rFonts w:ascii="Arial" w:hAnsi="Arial" w:cs="Arial"/>
              </w:rPr>
              <w:t>Estimated IRR (%)</w:t>
            </w:r>
          </w:p>
        </w:tc>
      </w:tr>
      <w:tr w:rsidR="00B40C9C" w:rsidRPr="00922363" w14:paraId="5B182124" w14:textId="77777777" w:rsidTr="00B40C9C">
        <w:tc>
          <w:tcPr>
            <w:tcW w:w="4320" w:type="dxa"/>
          </w:tcPr>
          <w:p w14:paraId="255BEEA7" w14:textId="77777777" w:rsidR="00B40C9C" w:rsidRPr="00922363" w:rsidRDefault="00B40C9C" w:rsidP="00922363">
            <w:pPr>
              <w:spacing w:line="360" w:lineRule="auto"/>
              <w:rPr>
                <w:rFonts w:ascii="Arial" w:hAnsi="Arial" w:cs="Arial"/>
              </w:rPr>
            </w:pPr>
            <w:r w:rsidRPr="00922363">
              <w:rPr>
                <w:rFonts w:ascii="Arial" w:hAnsi="Arial" w:cs="Arial"/>
              </w:rPr>
              <w:t>A</w:t>
            </w:r>
          </w:p>
        </w:tc>
        <w:tc>
          <w:tcPr>
            <w:tcW w:w="4320" w:type="dxa"/>
          </w:tcPr>
          <w:p w14:paraId="52DF499E" w14:textId="77777777" w:rsidR="00B40C9C" w:rsidRPr="00922363" w:rsidRDefault="00B40C9C" w:rsidP="00922363">
            <w:pPr>
              <w:spacing w:line="360" w:lineRule="auto"/>
              <w:rPr>
                <w:rFonts w:ascii="Arial" w:hAnsi="Arial" w:cs="Arial"/>
              </w:rPr>
            </w:pPr>
            <w:r w:rsidRPr="00922363">
              <w:rPr>
                <w:rFonts w:ascii="Arial" w:hAnsi="Arial" w:cs="Arial"/>
              </w:rPr>
              <w:t>10.7</w:t>
            </w:r>
          </w:p>
        </w:tc>
      </w:tr>
      <w:tr w:rsidR="00B40C9C" w:rsidRPr="00922363" w14:paraId="71A7895C" w14:textId="77777777" w:rsidTr="00B40C9C">
        <w:tc>
          <w:tcPr>
            <w:tcW w:w="4320" w:type="dxa"/>
          </w:tcPr>
          <w:p w14:paraId="47BC4DC0" w14:textId="77777777" w:rsidR="00B40C9C" w:rsidRPr="00922363" w:rsidRDefault="00B40C9C" w:rsidP="00922363">
            <w:pPr>
              <w:spacing w:line="360" w:lineRule="auto"/>
              <w:rPr>
                <w:rFonts w:ascii="Arial" w:hAnsi="Arial" w:cs="Arial"/>
              </w:rPr>
            </w:pPr>
            <w:r w:rsidRPr="00922363">
              <w:rPr>
                <w:rFonts w:ascii="Arial" w:hAnsi="Arial" w:cs="Arial"/>
              </w:rPr>
              <w:t>B</w:t>
            </w:r>
          </w:p>
        </w:tc>
        <w:tc>
          <w:tcPr>
            <w:tcW w:w="4320" w:type="dxa"/>
          </w:tcPr>
          <w:p w14:paraId="1DFF9944" w14:textId="77777777" w:rsidR="00B40C9C" w:rsidRPr="00922363" w:rsidRDefault="00B40C9C" w:rsidP="00922363">
            <w:pPr>
              <w:spacing w:line="360" w:lineRule="auto"/>
              <w:rPr>
                <w:rFonts w:ascii="Arial" w:hAnsi="Arial" w:cs="Arial"/>
              </w:rPr>
            </w:pPr>
            <w:r w:rsidRPr="00922363">
              <w:rPr>
                <w:rFonts w:ascii="Arial" w:hAnsi="Arial" w:cs="Arial"/>
              </w:rPr>
              <w:t>9.8</w:t>
            </w:r>
          </w:p>
        </w:tc>
      </w:tr>
      <w:tr w:rsidR="00B40C9C" w:rsidRPr="00922363" w14:paraId="3671F50A" w14:textId="77777777" w:rsidTr="00B40C9C">
        <w:tc>
          <w:tcPr>
            <w:tcW w:w="4320" w:type="dxa"/>
          </w:tcPr>
          <w:p w14:paraId="434D8F73" w14:textId="77777777" w:rsidR="00B40C9C" w:rsidRPr="00922363" w:rsidRDefault="00B40C9C" w:rsidP="00922363">
            <w:pPr>
              <w:spacing w:line="360" w:lineRule="auto"/>
              <w:rPr>
                <w:rFonts w:ascii="Arial" w:hAnsi="Arial" w:cs="Arial"/>
              </w:rPr>
            </w:pPr>
            <w:r w:rsidRPr="00922363">
              <w:rPr>
                <w:rFonts w:ascii="Arial" w:hAnsi="Arial" w:cs="Arial"/>
              </w:rPr>
              <w:t>C</w:t>
            </w:r>
          </w:p>
        </w:tc>
        <w:tc>
          <w:tcPr>
            <w:tcW w:w="4320" w:type="dxa"/>
          </w:tcPr>
          <w:p w14:paraId="11850087" w14:textId="77777777" w:rsidR="00B40C9C" w:rsidRPr="00922363" w:rsidRDefault="00B40C9C" w:rsidP="00922363">
            <w:pPr>
              <w:spacing w:line="360" w:lineRule="auto"/>
              <w:rPr>
                <w:rFonts w:ascii="Arial" w:hAnsi="Arial" w:cs="Arial"/>
              </w:rPr>
            </w:pPr>
            <w:r w:rsidRPr="00922363">
              <w:rPr>
                <w:rFonts w:ascii="Arial" w:hAnsi="Arial" w:cs="Arial"/>
              </w:rPr>
              <w:t>28.6</w:t>
            </w:r>
          </w:p>
        </w:tc>
      </w:tr>
    </w:tbl>
    <w:p w14:paraId="4CD24ABD" w14:textId="3ADE761E" w:rsidR="00B40C9C" w:rsidRPr="00922363" w:rsidRDefault="00B40C9C" w:rsidP="00922363">
      <w:pPr>
        <w:spacing w:line="360" w:lineRule="auto"/>
        <w:jc w:val="center"/>
        <w:rPr>
          <w:rFonts w:ascii="Arial" w:hAnsi="Arial" w:cs="Arial"/>
        </w:rPr>
      </w:pPr>
      <w:r w:rsidRPr="00922363">
        <w:rPr>
          <w:rFonts w:ascii="Arial" w:hAnsi="Arial" w:cs="Arial"/>
        </w:rPr>
        <w:t>Source: Author’s calculations</w:t>
      </w:r>
    </w:p>
    <w:p w14:paraId="3A8A00CA" w14:textId="77777777" w:rsidR="00B40C9C" w:rsidRPr="00922363" w:rsidRDefault="00B40C9C" w:rsidP="00922363">
      <w:pPr>
        <w:pStyle w:val="Heading2"/>
        <w:spacing w:line="360" w:lineRule="auto"/>
        <w:rPr>
          <w:rFonts w:cs="Arial"/>
        </w:rPr>
      </w:pPr>
      <w:bookmarkStart w:id="66" w:name="_Toc216756009"/>
      <w:r w:rsidRPr="00922363">
        <w:rPr>
          <w:rFonts w:cs="Arial"/>
        </w:rPr>
        <w:t>Table D4: Profitability Index (PI) Calculations</w:t>
      </w:r>
      <w:bookmarkEnd w:id="66"/>
    </w:p>
    <w:p w14:paraId="04ADE11D" w14:textId="77777777" w:rsidR="0042739E" w:rsidRPr="00922363" w:rsidRDefault="00B40C9C" w:rsidP="00922363">
      <w:pPr>
        <w:spacing w:line="360" w:lineRule="auto"/>
        <w:rPr>
          <w:rFonts w:ascii="Arial" w:hAnsi="Arial" w:cs="Arial"/>
        </w:rPr>
      </w:pPr>
      <w:r w:rsidRPr="00922363">
        <w:rPr>
          <w:rFonts w:ascii="Arial" w:hAnsi="Arial" w:cs="Arial"/>
        </w:rPr>
        <w:t>Formula:</w:t>
      </w:r>
    </w:p>
    <w:p w14:paraId="5B4D0DD6" w14:textId="6B14631F" w:rsidR="00B40C9C" w:rsidRPr="00922363" w:rsidRDefault="0042739E" w:rsidP="00922363">
      <w:pPr>
        <w:spacing w:line="360" w:lineRule="auto"/>
        <w:rPr>
          <w:rFonts w:ascii="Arial" w:hAnsi="Arial" w:cs="Arial"/>
        </w:rPr>
      </w:pPr>
      <w:r w:rsidRPr="00922363">
        <w:rPr>
          <w:rFonts w:ascii="Arial" w:hAnsi="Arial" w:cs="Arial"/>
          <w:noProof/>
        </w:rPr>
        <w:lastRenderedPageBreak/>
        <w:drawing>
          <wp:inline distT="0" distB="0" distL="0" distR="0" wp14:anchorId="2FDA1C8A" wp14:editId="5D85A4E9">
            <wp:extent cx="4743450" cy="600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43450" cy="600075"/>
                    </a:xfrm>
                    <a:prstGeom prst="rect">
                      <a:avLst/>
                    </a:prstGeom>
                  </pic:spPr>
                </pic:pic>
              </a:graphicData>
            </a:graphic>
          </wp:inline>
        </w:drawing>
      </w:r>
      <w:r w:rsidR="00B40C9C" w:rsidRPr="00922363">
        <w:rPr>
          <w:rFonts w:ascii="Arial" w:hAnsi="Arial" w:cs="Arial"/>
        </w:rPr>
        <w:br/>
      </w:r>
    </w:p>
    <w:tbl>
      <w:tblPr>
        <w:tblStyle w:val="TableGrid"/>
        <w:tblW w:w="0" w:type="auto"/>
        <w:tblLook w:val="04A0" w:firstRow="1" w:lastRow="0" w:firstColumn="1" w:lastColumn="0" w:noHBand="0" w:noVBand="1"/>
      </w:tblPr>
      <w:tblGrid>
        <w:gridCol w:w="2160"/>
        <w:gridCol w:w="2160"/>
        <w:gridCol w:w="2160"/>
        <w:gridCol w:w="2160"/>
      </w:tblGrid>
      <w:tr w:rsidR="00B40C9C" w:rsidRPr="00922363" w14:paraId="1BC1167C" w14:textId="77777777" w:rsidTr="00B40C9C">
        <w:tc>
          <w:tcPr>
            <w:tcW w:w="2160" w:type="dxa"/>
          </w:tcPr>
          <w:p w14:paraId="3618BD62" w14:textId="77777777" w:rsidR="00B40C9C" w:rsidRPr="00922363" w:rsidRDefault="00B40C9C" w:rsidP="00922363">
            <w:pPr>
              <w:spacing w:line="360" w:lineRule="auto"/>
              <w:rPr>
                <w:rFonts w:ascii="Arial" w:hAnsi="Arial" w:cs="Arial"/>
              </w:rPr>
            </w:pPr>
            <w:r w:rsidRPr="00922363">
              <w:rPr>
                <w:rFonts w:ascii="Arial" w:hAnsi="Arial" w:cs="Arial"/>
              </w:rPr>
              <w:t>Project</w:t>
            </w:r>
          </w:p>
        </w:tc>
        <w:tc>
          <w:tcPr>
            <w:tcW w:w="2160" w:type="dxa"/>
          </w:tcPr>
          <w:p w14:paraId="6E262EFE" w14:textId="77777777" w:rsidR="00B40C9C" w:rsidRPr="00922363" w:rsidRDefault="00B40C9C" w:rsidP="00922363">
            <w:pPr>
              <w:spacing w:line="360" w:lineRule="auto"/>
              <w:rPr>
                <w:rFonts w:ascii="Arial" w:hAnsi="Arial" w:cs="Arial"/>
              </w:rPr>
            </w:pPr>
            <w:r w:rsidRPr="00922363">
              <w:rPr>
                <w:rFonts w:ascii="Arial" w:hAnsi="Arial" w:cs="Arial"/>
              </w:rPr>
              <w:t>PV of Inflows (£m)</w:t>
            </w:r>
          </w:p>
        </w:tc>
        <w:tc>
          <w:tcPr>
            <w:tcW w:w="2160" w:type="dxa"/>
          </w:tcPr>
          <w:p w14:paraId="49E5B0AC" w14:textId="77777777" w:rsidR="00B40C9C" w:rsidRPr="00922363" w:rsidRDefault="00B40C9C" w:rsidP="00922363">
            <w:pPr>
              <w:spacing w:line="360" w:lineRule="auto"/>
              <w:rPr>
                <w:rFonts w:ascii="Arial" w:hAnsi="Arial" w:cs="Arial"/>
              </w:rPr>
            </w:pPr>
            <w:r w:rsidRPr="00922363">
              <w:rPr>
                <w:rFonts w:ascii="Arial" w:hAnsi="Arial" w:cs="Arial"/>
              </w:rPr>
              <w:t>Initial Investment (£m)</w:t>
            </w:r>
          </w:p>
        </w:tc>
        <w:tc>
          <w:tcPr>
            <w:tcW w:w="2160" w:type="dxa"/>
          </w:tcPr>
          <w:p w14:paraId="0BB78DA1" w14:textId="77777777" w:rsidR="00B40C9C" w:rsidRPr="00922363" w:rsidRDefault="00B40C9C" w:rsidP="00922363">
            <w:pPr>
              <w:spacing w:line="360" w:lineRule="auto"/>
              <w:rPr>
                <w:rFonts w:ascii="Arial" w:hAnsi="Arial" w:cs="Arial"/>
              </w:rPr>
            </w:pPr>
            <w:r w:rsidRPr="00922363">
              <w:rPr>
                <w:rFonts w:ascii="Arial" w:hAnsi="Arial" w:cs="Arial"/>
              </w:rPr>
              <w:t>Profitability Index</w:t>
            </w:r>
          </w:p>
        </w:tc>
      </w:tr>
      <w:tr w:rsidR="00B40C9C" w:rsidRPr="00922363" w14:paraId="46378ACA" w14:textId="77777777" w:rsidTr="00B40C9C">
        <w:tc>
          <w:tcPr>
            <w:tcW w:w="2160" w:type="dxa"/>
          </w:tcPr>
          <w:p w14:paraId="598840FA" w14:textId="77777777" w:rsidR="00B40C9C" w:rsidRPr="00922363" w:rsidRDefault="00B40C9C" w:rsidP="00922363">
            <w:pPr>
              <w:spacing w:line="360" w:lineRule="auto"/>
              <w:rPr>
                <w:rFonts w:ascii="Arial" w:hAnsi="Arial" w:cs="Arial"/>
              </w:rPr>
            </w:pPr>
            <w:r w:rsidRPr="00922363">
              <w:rPr>
                <w:rFonts w:ascii="Arial" w:hAnsi="Arial" w:cs="Arial"/>
              </w:rPr>
              <w:t>A</w:t>
            </w:r>
          </w:p>
        </w:tc>
        <w:tc>
          <w:tcPr>
            <w:tcW w:w="2160" w:type="dxa"/>
          </w:tcPr>
          <w:p w14:paraId="5B319DEC" w14:textId="77777777" w:rsidR="00B40C9C" w:rsidRPr="00922363" w:rsidRDefault="00B40C9C" w:rsidP="00922363">
            <w:pPr>
              <w:spacing w:line="360" w:lineRule="auto"/>
              <w:rPr>
                <w:rFonts w:ascii="Arial" w:hAnsi="Arial" w:cs="Arial"/>
              </w:rPr>
            </w:pPr>
            <w:r w:rsidRPr="00922363">
              <w:rPr>
                <w:rFonts w:ascii="Arial" w:hAnsi="Arial" w:cs="Arial"/>
              </w:rPr>
              <w:t>41.92</w:t>
            </w:r>
          </w:p>
        </w:tc>
        <w:tc>
          <w:tcPr>
            <w:tcW w:w="2160" w:type="dxa"/>
          </w:tcPr>
          <w:p w14:paraId="19843E2E" w14:textId="77777777" w:rsidR="00B40C9C" w:rsidRPr="00922363" w:rsidRDefault="00B40C9C" w:rsidP="00922363">
            <w:pPr>
              <w:spacing w:line="360" w:lineRule="auto"/>
              <w:rPr>
                <w:rFonts w:ascii="Arial" w:hAnsi="Arial" w:cs="Arial"/>
              </w:rPr>
            </w:pPr>
            <w:r w:rsidRPr="00922363">
              <w:rPr>
                <w:rFonts w:ascii="Arial" w:hAnsi="Arial" w:cs="Arial"/>
              </w:rPr>
              <w:t>40</w:t>
            </w:r>
          </w:p>
        </w:tc>
        <w:tc>
          <w:tcPr>
            <w:tcW w:w="2160" w:type="dxa"/>
          </w:tcPr>
          <w:p w14:paraId="01521D37" w14:textId="77777777" w:rsidR="00B40C9C" w:rsidRPr="00922363" w:rsidRDefault="00B40C9C" w:rsidP="00922363">
            <w:pPr>
              <w:spacing w:line="360" w:lineRule="auto"/>
              <w:rPr>
                <w:rFonts w:ascii="Arial" w:hAnsi="Arial" w:cs="Arial"/>
              </w:rPr>
            </w:pPr>
            <w:r w:rsidRPr="00922363">
              <w:rPr>
                <w:rFonts w:ascii="Arial" w:hAnsi="Arial" w:cs="Arial"/>
              </w:rPr>
              <w:t>1.048</w:t>
            </w:r>
          </w:p>
        </w:tc>
      </w:tr>
      <w:tr w:rsidR="00B40C9C" w:rsidRPr="00922363" w14:paraId="2CE007D2" w14:textId="77777777" w:rsidTr="00B40C9C">
        <w:tc>
          <w:tcPr>
            <w:tcW w:w="2160" w:type="dxa"/>
          </w:tcPr>
          <w:p w14:paraId="5BD44FFC" w14:textId="77777777" w:rsidR="00B40C9C" w:rsidRPr="00922363" w:rsidRDefault="00B40C9C" w:rsidP="00922363">
            <w:pPr>
              <w:spacing w:line="360" w:lineRule="auto"/>
              <w:rPr>
                <w:rFonts w:ascii="Arial" w:hAnsi="Arial" w:cs="Arial"/>
              </w:rPr>
            </w:pPr>
            <w:r w:rsidRPr="00922363">
              <w:rPr>
                <w:rFonts w:ascii="Arial" w:hAnsi="Arial" w:cs="Arial"/>
              </w:rPr>
              <w:t>B</w:t>
            </w:r>
          </w:p>
        </w:tc>
        <w:tc>
          <w:tcPr>
            <w:tcW w:w="2160" w:type="dxa"/>
          </w:tcPr>
          <w:p w14:paraId="7B0D4B5D" w14:textId="77777777" w:rsidR="00B40C9C" w:rsidRPr="00922363" w:rsidRDefault="00B40C9C" w:rsidP="00922363">
            <w:pPr>
              <w:spacing w:line="360" w:lineRule="auto"/>
              <w:rPr>
                <w:rFonts w:ascii="Arial" w:hAnsi="Arial" w:cs="Arial"/>
              </w:rPr>
            </w:pPr>
            <w:r w:rsidRPr="00922363">
              <w:rPr>
                <w:rFonts w:ascii="Arial" w:hAnsi="Arial" w:cs="Arial"/>
              </w:rPr>
              <w:t>29.79</w:t>
            </w:r>
          </w:p>
        </w:tc>
        <w:tc>
          <w:tcPr>
            <w:tcW w:w="2160" w:type="dxa"/>
          </w:tcPr>
          <w:p w14:paraId="4811204D" w14:textId="77777777" w:rsidR="00B40C9C" w:rsidRPr="00922363" w:rsidRDefault="00B40C9C" w:rsidP="00922363">
            <w:pPr>
              <w:spacing w:line="360" w:lineRule="auto"/>
              <w:rPr>
                <w:rFonts w:ascii="Arial" w:hAnsi="Arial" w:cs="Arial"/>
              </w:rPr>
            </w:pPr>
            <w:r w:rsidRPr="00922363">
              <w:rPr>
                <w:rFonts w:ascii="Arial" w:hAnsi="Arial" w:cs="Arial"/>
              </w:rPr>
              <w:t>30</w:t>
            </w:r>
          </w:p>
        </w:tc>
        <w:tc>
          <w:tcPr>
            <w:tcW w:w="2160" w:type="dxa"/>
          </w:tcPr>
          <w:p w14:paraId="54110B01" w14:textId="77777777" w:rsidR="00B40C9C" w:rsidRPr="00922363" w:rsidRDefault="00B40C9C" w:rsidP="00922363">
            <w:pPr>
              <w:spacing w:line="360" w:lineRule="auto"/>
              <w:rPr>
                <w:rFonts w:ascii="Arial" w:hAnsi="Arial" w:cs="Arial"/>
              </w:rPr>
            </w:pPr>
            <w:r w:rsidRPr="00922363">
              <w:rPr>
                <w:rFonts w:ascii="Arial" w:hAnsi="Arial" w:cs="Arial"/>
              </w:rPr>
              <w:t>0.993</w:t>
            </w:r>
          </w:p>
        </w:tc>
      </w:tr>
      <w:tr w:rsidR="00B40C9C" w:rsidRPr="00922363" w14:paraId="176D768A" w14:textId="77777777" w:rsidTr="00B40C9C">
        <w:tc>
          <w:tcPr>
            <w:tcW w:w="2160" w:type="dxa"/>
          </w:tcPr>
          <w:p w14:paraId="2998D0B1" w14:textId="77777777" w:rsidR="00B40C9C" w:rsidRPr="00922363" w:rsidRDefault="00B40C9C" w:rsidP="00922363">
            <w:pPr>
              <w:spacing w:line="360" w:lineRule="auto"/>
              <w:rPr>
                <w:rFonts w:ascii="Arial" w:hAnsi="Arial" w:cs="Arial"/>
              </w:rPr>
            </w:pPr>
            <w:r w:rsidRPr="00922363">
              <w:rPr>
                <w:rFonts w:ascii="Arial" w:hAnsi="Arial" w:cs="Arial"/>
              </w:rPr>
              <w:t>C</w:t>
            </w:r>
          </w:p>
        </w:tc>
        <w:tc>
          <w:tcPr>
            <w:tcW w:w="2160" w:type="dxa"/>
          </w:tcPr>
          <w:p w14:paraId="668AE220" w14:textId="77777777" w:rsidR="00B40C9C" w:rsidRPr="00922363" w:rsidRDefault="00B40C9C" w:rsidP="00922363">
            <w:pPr>
              <w:spacing w:line="360" w:lineRule="auto"/>
              <w:rPr>
                <w:rFonts w:ascii="Arial" w:hAnsi="Arial" w:cs="Arial"/>
              </w:rPr>
            </w:pPr>
            <w:r w:rsidRPr="00922363">
              <w:rPr>
                <w:rFonts w:ascii="Arial" w:hAnsi="Arial" w:cs="Arial"/>
              </w:rPr>
              <w:t>71.28</w:t>
            </w:r>
          </w:p>
        </w:tc>
        <w:tc>
          <w:tcPr>
            <w:tcW w:w="2160" w:type="dxa"/>
          </w:tcPr>
          <w:p w14:paraId="7911DEEE" w14:textId="77777777" w:rsidR="00B40C9C" w:rsidRPr="00922363" w:rsidRDefault="00B40C9C" w:rsidP="00922363">
            <w:pPr>
              <w:spacing w:line="360" w:lineRule="auto"/>
              <w:rPr>
                <w:rFonts w:ascii="Arial" w:hAnsi="Arial" w:cs="Arial"/>
              </w:rPr>
            </w:pPr>
            <w:r w:rsidRPr="00922363">
              <w:rPr>
                <w:rFonts w:ascii="Arial" w:hAnsi="Arial" w:cs="Arial"/>
              </w:rPr>
              <w:t>50</w:t>
            </w:r>
          </w:p>
        </w:tc>
        <w:tc>
          <w:tcPr>
            <w:tcW w:w="2160" w:type="dxa"/>
          </w:tcPr>
          <w:p w14:paraId="3DA25396" w14:textId="77777777" w:rsidR="00B40C9C" w:rsidRPr="00922363" w:rsidRDefault="00B40C9C" w:rsidP="00922363">
            <w:pPr>
              <w:spacing w:line="360" w:lineRule="auto"/>
              <w:rPr>
                <w:rFonts w:ascii="Arial" w:hAnsi="Arial" w:cs="Arial"/>
              </w:rPr>
            </w:pPr>
            <w:r w:rsidRPr="00922363">
              <w:rPr>
                <w:rFonts w:ascii="Arial" w:hAnsi="Arial" w:cs="Arial"/>
              </w:rPr>
              <w:t>1.426</w:t>
            </w:r>
          </w:p>
        </w:tc>
      </w:tr>
    </w:tbl>
    <w:p w14:paraId="5D6945D3" w14:textId="082B8C5C" w:rsidR="00B40C9C" w:rsidRPr="00922363" w:rsidRDefault="00B40C9C" w:rsidP="00922363">
      <w:pPr>
        <w:spacing w:line="360" w:lineRule="auto"/>
        <w:jc w:val="center"/>
        <w:rPr>
          <w:rFonts w:ascii="Arial" w:hAnsi="Arial" w:cs="Arial"/>
        </w:rPr>
      </w:pPr>
      <w:r w:rsidRPr="00922363">
        <w:rPr>
          <w:rFonts w:ascii="Arial" w:hAnsi="Arial" w:cs="Arial"/>
        </w:rPr>
        <w:t>Source: Author’s calculations</w:t>
      </w:r>
      <w:r w:rsidRPr="00922363">
        <w:rPr>
          <w:rFonts w:ascii="Arial" w:hAnsi="Arial" w:cs="Arial"/>
        </w:rPr>
        <w:br/>
      </w:r>
    </w:p>
    <w:p w14:paraId="53EC369E" w14:textId="68F74DAE" w:rsidR="0081406E" w:rsidRPr="00922363" w:rsidRDefault="0081406E" w:rsidP="00922363">
      <w:pPr>
        <w:spacing w:line="360" w:lineRule="auto"/>
        <w:rPr>
          <w:rFonts w:ascii="Arial" w:eastAsia="Times New Roman" w:hAnsi="Arial" w:cs="Arial"/>
          <w:b/>
          <w:bCs/>
          <w:sz w:val="27"/>
          <w:szCs w:val="27"/>
        </w:rPr>
      </w:pPr>
    </w:p>
    <w:sectPr w:rsidR="0081406E" w:rsidRPr="00922363" w:rsidSect="00BD5CFC">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815A7" w14:textId="77777777" w:rsidR="00502468" w:rsidRDefault="00502468" w:rsidP="004D723F">
      <w:pPr>
        <w:spacing w:after="0" w:line="240" w:lineRule="auto"/>
      </w:pPr>
      <w:r>
        <w:separator/>
      </w:r>
    </w:p>
  </w:endnote>
  <w:endnote w:type="continuationSeparator" w:id="0">
    <w:p w14:paraId="17B5B1DE" w14:textId="77777777" w:rsidR="00502468" w:rsidRDefault="00502468" w:rsidP="004D7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7478750"/>
      <w:docPartObj>
        <w:docPartGallery w:val="Page Numbers (Bottom of Page)"/>
        <w:docPartUnique/>
      </w:docPartObj>
    </w:sdtPr>
    <w:sdtEndPr>
      <w:rPr>
        <w:noProof/>
      </w:rPr>
    </w:sdtEndPr>
    <w:sdtContent>
      <w:p w14:paraId="41C84806" w14:textId="349BBD80" w:rsidR="004D723F" w:rsidRDefault="004D72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AC9EC5" w14:textId="77777777" w:rsidR="004D723F" w:rsidRDefault="004D72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4B1B1" w14:textId="77777777" w:rsidR="00502468" w:rsidRDefault="00502468" w:rsidP="004D723F">
      <w:pPr>
        <w:spacing w:after="0" w:line="240" w:lineRule="auto"/>
      </w:pPr>
      <w:r>
        <w:separator/>
      </w:r>
    </w:p>
  </w:footnote>
  <w:footnote w:type="continuationSeparator" w:id="0">
    <w:p w14:paraId="22481604" w14:textId="77777777" w:rsidR="00502468" w:rsidRDefault="00502468" w:rsidP="004D72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E4A0A"/>
    <w:multiLevelType w:val="multilevel"/>
    <w:tmpl w:val="65DC2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236B46"/>
    <w:multiLevelType w:val="multilevel"/>
    <w:tmpl w:val="6FB88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FA68D0"/>
    <w:multiLevelType w:val="hybridMultilevel"/>
    <w:tmpl w:val="60449E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8B1081"/>
    <w:multiLevelType w:val="multilevel"/>
    <w:tmpl w:val="C48CB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D13"/>
    <w:rsid w:val="00051CA0"/>
    <w:rsid w:val="00160940"/>
    <w:rsid w:val="00212101"/>
    <w:rsid w:val="00213D6E"/>
    <w:rsid w:val="00220067"/>
    <w:rsid w:val="002805BA"/>
    <w:rsid w:val="0042739E"/>
    <w:rsid w:val="00432D56"/>
    <w:rsid w:val="00484D13"/>
    <w:rsid w:val="004D723F"/>
    <w:rsid w:val="00502468"/>
    <w:rsid w:val="00572609"/>
    <w:rsid w:val="006639EB"/>
    <w:rsid w:val="006A1DDD"/>
    <w:rsid w:val="006C1B9C"/>
    <w:rsid w:val="00747935"/>
    <w:rsid w:val="0081406E"/>
    <w:rsid w:val="00871311"/>
    <w:rsid w:val="008C7CCC"/>
    <w:rsid w:val="00922363"/>
    <w:rsid w:val="00AA1F2A"/>
    <w:rsid w:val="00B40C9C"/>
    <w:rsid w:val="00B8703A"/>
    <w:rsid w:val="00BD5CFC"/>
    <w:rsid w:val="00D953A0"/>
    <w:rsid w:val="00E024D9"/>
    <w:rsid w:val="00E10B4D"/>
    <w:rsid w:val="00E46A2B"/>
    <w:rsid w:val="00EB1AD8"/>
    <w:rsid w:val="00EC0BAC"/>
    <w:rsid w:val="00F52944"/>
    <w:rsid w:val="00F729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6D7D4"/>
  <w15:chartTrackingRefBased/>
  <w15:docId w15:val="{1122B07C-ED03-48B6-A16C-39CD80F07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92C"/>
  </w:style>
  <w:style w:type="paragraph" w:styleId="Heading1">
    <w:name w:val="heading 1"/>
    <w:basedOn w:val="Normal"/>
    <w:next w:val="Normal"/>
    <w:link w:val="Heading1Char"/>
    <w:uiPriority w:val="9"/>
    <w:qFormat/>
    <w:rsid w:val="00922363"/>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link w:val="Heading2Char"/>
    <w:uiPriority w:val="9"/>
    <w:qFormat/>
    <w:rsid w:val="00922363"/>
    <w:pPr>
      <w:spacing w:before="100" w:beforeAutospacing="1" w:after="100" w:afterAutospacing="1" w:line="240" w:lineRule="auto"/>
      <w:outlineLvl w:val="1"/>
    </w:pPr>
    <w:rPr>
      <w:rFonts w:ascii="Arial" w:eastAsia="Times New Roman" w:hAnsi="Arial" w:cs="Times New Roman"/>
      <w:b/>
      <w:bCs/>
      <w:sz w:val="28"/>
      <w:szCs w:val="36"/>
    </w:rPr>
  </w:style>
  <w:style w:type="paragraph" w:styleId="Heading3">
    <w:name w:val="heading 3"/>
    <w:basedOn w:val="Normal"/>
    <w:link w:val="Heading3Char"/>
    <w:uiPriority w:val="9"/>
    <w:qFormat/>
    <w:rsid w:val="00484D13"/>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484D13"/>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22363"/>
    <w:rPr>
      <w:rFonts w:ascii="Arial" w:eastAsia="Times New Roman" w:hAnsi="Arial" w:cs="Times New Roman"/>
      <w:b/>
      <w:bCs/>
      <w:sz w:val="28"/>
      <w:szCs w:val="36"/>
    </w:rPr>
  </w:style>
  <w:style w:type="character" w:customStyle="1" w:styleId="Heading3Char">
    <w:name w:val="Heading 3 Char"/>
    <w:basedOn w:val="DefaultParagraphFont"/>
    <w:link w:val="Heading3"/>
    <w:uiPriority w:val="9"/>
    <w:rsid w:val="00484D13"/>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484D13"/>
    <w:rPr>
      <w:rFonts w:ascii="Times New Roman" w:eastAsia="Times New Roman" w:hAnsi="Times New Roman" w:cs="Times New Roman"/>
      <w:b/>
      <w:bCs/>
      <w:sz w:val="24"/>
      <w:szCs w:val="24"/>
    </w:rPr>
  </w:style>
  <w:style w:type="paragraph" w:styleId="NormalWeb">
    <w:name w:val="Normal (Web)"/>
    <w:basedOn w:val="Normal"/>
    <w:uiPriority w:val="99"/>
    <w:unhideWhenUsed/>
    <w:rsid w:val="00484D13"/>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484D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10B4D"/>
    <w:rPr>
      <w:b/>
      <w:bCs/>
    </w:rPr>
  </w:style>
  <w:style w:type="character" w:styleId="Emphasis">
    <w:name w:val="Emphasis"/>
    <w:basedOn w:val="DefaultParagraphFont"/>
    <w:uiPriority w:val="20"/>
    <w:qFormat/>
    <w:rsid w:val="00B8703A"/>
    <w:rPr>
      <w:i/>
      <w:iCs/>
    </w:rPr>
  </w:style>
  <w:style w:type="character" w:customStyle="1" w:styleId="Heading1Char">
    <w:name w:val="Heading 1 Char"/>
    <w:basedOn w:val="DefaultParagraphFont"/>
    <w:link w:val="Heading1"/>
    <w:uiPriority w:val="9"/>
    <w:rsid w:val="00922363"/>
    <w:rPr>
      <w:rFonts w:ascii="Arial" w:eastAsiaTheme="majorEastAsia" w:hAnsi="Arial" w:cstheme="majorBidi"/>
      <w:b/>
      <w:sz w:val="32"/>
      <w:szCs w:val="32"/>
    </w:rPr>
  </w:style>
  <w:style w:type="character" w:customStyle="1" w:styleId="mord">
    <w:name w:val="mord"/>
    <w:basedOn w:val="DefaultParagraphFont"/>
    <w:rsid w:val="00B40C9C"/>
  </w:style>
  <w:style w:type="character" w:customStyle="1" w:styleId="vlist-s">
    <w:name w:val="vlist-s"/>
    <w:basedOn w:val="DefaultParagraphFont"/>
    <w:rsid w:val="00B40C9C"/>
  </w:style>
  <w:style w:type="character" w:styleId="PlaceholderText">
    <w:name w:val="Placeholder Text"/>
    <w:basedOn w:val="DefaultParagraphFont"/>
    <w:uiPriority w:val="99"/>
    <w:semiHidden/>
    <w:rsid w:val="006A1DDD"/>
    <w:rPr>
      <w:color w:val="808080"/>
    </w:rPr>
  </w:style>
  <w:style w:type="character" w:customStyle="1" w:styleId="katex-mathml">
    <w:name w:val="katex-mathml"/>
    <w:basedOn w:val="DefaultParagraphFont"/>
    <w:rsid w:val="0042739E"/>
  </w:style>
  <w:style w:type="paragraph" w:styleId="NoSpacing">
    <w:name w:val="No Spacing"/>
    <w:uiPriority w:val="1"/>
    <w:qFormat/>
    <w:rsid w:val="00922363"/>
    <w:pPr>
      <w:spacing w:after="0" w:line="240" w:lineRule="auto"/>
    </w:pPr>
  </w:style>
  <w:style w:type="paragraph" w:styleId="TOCHeading">
    <w:name w:val="TOC Heading"/>
    <w:basedOn w:val="Heading1"/>
    <w:next w:val="Normal"/>
    <w:uiPriority w:val="39"/>
    <w:unhideWhenUsed/>
    <w:qFormat/>
    <w:rsid w:val="00432D56"/>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32D56"/>
    <w:pPr>
      <w:spacing w:after="100"/>
    </w:pPr>
  </w:style>
  <w:style w:type="paragraph" w:styleId="TOC2">
    <w:name w:val="toc 2"/>
    <w:basedOn w:val="Normal"/>
    <w:next w:val="Normal"/>
    <w:autoRedefine/>
    <w:uiPriority w:val="39"/>
    <w:unhideWhenUsed/>
    <w:rsid w:val="00432D56"/>
    <w:pPr>
      <w:spacing w:after="100"/>
      <w:ind w:left="220"/>
    </w:pPr>
  </w:style>
  <w:style w:type="paragraph" w:styleId="TOC3">
    <w:name w:val="toc 3"/>
    <w:basedOn w:val="Normal"/>
    <w:next w:val="Normal"/>
    <w:autoRedefine/>
    <w:uiPriority w:val="39"/>
    <w:unhideWhenUsed/>
    <w:rsid w:val="00432D56"/>
    <w:pPr>
      <w:spacing w:after="100"/>
      <w:ind w:left="440"/>
    </w:pPr>
  </w:style>
  <w:style w:type="character" w:styleId="Hyperlink">
    <w:name w:val="Hyperlink"/>
    <w:basedOn w:val="DefaultParagraphFont"/>
    <w:uiPriority w:val="99"/>
    <w:unhideWhenUsed/>
    <w:rsid w:val="00432D56"/>
    <w:rPr>
      <w:color w:val="0563C1" w:themeColor="hyperlink"/>
      <w:u w:val="single"/>
    </w:rPr>
  </w:style>
  <w:style w:type="paragraph" w:styleId="Header">
    <w:name w:val="header"/>
    <w:basedOn w:val="Normal"/>
    <w:link w:val="HeaderChar"/>
    <w:uiPriority w:val="99"/>
    <w:unhideWhenUsed/>
    <w:rsid w:val="004D72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723F"/>
  </w:style>
  <w:style w:type="paragraph" w:styleId="Footer">
    <w:name w:val="footer"/>
    <w:basedOn w:val="Normal"/>
    <w:link w:val="FooterChar"/>
    <w:uiPriority w:val="99"/>
    <w:unhideWhenUsed/>
    <w:rsid w:val="004D72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72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985700">
      <w:bodyDiv w:val="1"/>
      <w:marLeft w:val="0"/>
      <w:marRight w:val="0"/>
      <w:marTop w:val="0"/>
      <w:marBottom w:val="0"/>
      <w:divBdr>
        <w:top w:val="none" w:sz="0" w:space="0" w:color="auto"/>
        <w:left w:val="none" w:sz="0" w:space="0" w:color="auto"/>
        <w:bottom w:val="none" w:sz="0" w:space="0" w:color="auto"/>
        <w:right w:val="none" w:sz="0" w:space="0" w:color="auto"/>
      </w:divBdr>
    </w:div>
    <w:div w:id="563756386">
      <w:bodyDiv w:val="1"/>
      <w:marLeft w:val="0"/>
      <w:marRight w:val="0"/>
      <w:marTop w:val="0"/>
      <w:marBottom w:val="0"/>
      <w:divBdr>
        <w:top w:val="none" w:sz="0" w:space="0" w:color="auto"/>
        <w:left w:val="none" w:sz="0" w:space="0" w:color="auto"/>
        <w:bottom w:val="none" w:sz="0" w:space="0" w:color="auto"/>
        <w:right w:val="none" w:sz="0" w:space="0" w:color="auto"/>
      </w:divBdr>
    </w:div>
    <w:div w:id="662780647">
      <w:bodyDiv w:val="1"/>
      <w:marLeft w:val="0"/>
      <w:marRight w:val="0"/>
      <w:marTop w:val="0"/>
      <w:marBottom w:val="0"/>
      <w:divBdr>
        <w:top w:val="none" w:sz="0" w:space="0" w:color="auto"/>
        <w:left w:val="none" w:sz="0" w:space="0" w:color="auto"/>
        <w:bottom w:val="none" w:sz="0" w:space="0" w:color="auto"/>
        <w:right w:val="none" w:sz="0" w:space="0" w:color="auto"/>
      </w:divBdr>
    </w:div>
    <w:div w:id="754401131">
      <w:bodyDiv w:val="1"/>
      <w:marLeft w:val="0"/>
      <w:marRight w:val="0"/>
      <w:marTop w:val="0"/>
      <w:marBottom w:val="0"/>
      <w:divBdr>
        <w:top w:val="none" w:sz="0" w:space="0" w:color="auto"/>
        <w:left w:val="none" w:sz="0" w:space="0" w:color="auto"/>
        <w:bottom w:val="none" w:sz="0" w:space="0" w:color="auto"/>
        <w:right w:val="none" w:sz="0" w:space="0" w:color="auto"/>
      </w:divBdr>
    </w:div>
    <w:div w:id="879321374">
      <w:bodyDiv w:val="1"/>
      <w:marLeft w:val="0"/>
      <w:marRight w:val="0"/>
      <w:marTop w:val="0"/>
      <w:marBottom w:val="0"/>
      <w:divBdr>
        <w:top w:val="none" w:sz="0" w:space="0" w:color="auto"/>
        <w:left w:val="none" w:sz="0" w:space="0" w:color="auto"/>
        <w:bottom w:val="none" w:sz="0" w:space="0" w:color="auto"/>
        <w:right w:val="none" w:sz="0" w:space="0" w:color="auto"/>
      </w:divBdr>
    </w:div>
    <w:div w:id="917783383">
      <w:bodyDiv w:val="1"/>
      <w:marLeft w:val="0"/>
      <w:marRight w:val="0"/>
      <w:marTop w:val="0"/>
      <w:marBottom w:val="0"/>
      <w:divBdr>
        <w:top w:val="none" w:sz="0" w:space="0" w:color="auto"/>
        <w:left w:val="none" w:sz="0" w:space="0" w:color="auto"/>
        <w:bottom w:val="none" w:sz="0" w:space="0" w:color="auto"/>
        <w:right w:val="none" w:sz="0" w:space="0" w:color="auto"/>
      </w:divBdr>
    </w:div>
    <w:div w:id="1014183540">
      <w:bodyDiv w:val="1"/>
      <w:marLeft w:val="0"/>
      <w:marRight w:val="0"/>
      <w:marTop w:val="0"/>
      <w:marBottom w:val="0"/>
      <w:divBdr>
        <w:top w:val="none" w:sz="0" w:space="0" w:color="auto"/>
        <w:left w:val="none" w:sz="0" w:space="0" w:color="auto"/>
        <w:bottom w:val="none" w:sz="0" w:space="0" w:color="auto"/>
        <w:right w:val="none" w:sz="0" w:space="0" w:color="auto"/>
      </w:divBdr>
    </w:div>
    <w:div w:id="1133248899">
      <w:bodyDiv w:val="1"/>
      <w:marLeft w:val="0"/>
      <w:marRight w:val="0"/>
      <w:marTop w:val="0"/>
      <w:marBottom w:val="0"/>
      <w:divBdr>
        <w:top w:val="none" w:sz="0" w:space="0" w:color="auto"/>
        <w:left w:val="none" w:sz="0" w:space="0" w:color="auto"/>
        <w:bottom w:val="none" w:sz="0" w:space="0" w:color="auto"/>
        <w:right w:val="none" w:sz="0" w:space="0" w:color="auto"/>
      </w:divBdr>
    </w:div>
    <w:div w:id="1137188893">
      <w:bodyDiv w:val="1"/>
      <w:marLeft w:val="0"/>
      <w:marRight w:val="0"/>
      <w:marTop w:val="0"/>
      <w:marBottom w:val="0"/>
      <w:divBdr>
        <w:top w:val="none" w:sz="0" w:space="0" w:color="auto"/>
        <w:left w:val="none" w:sz="0" w:space="0" w:color="auto"/>
        <w:bottom w:val="none" w:sz="0" w:space="0" w:color="auto"/>
        <w:right w:val="none" w:sz="0" w:space="0" w:color="auto"/>
      </w:divBdr>
    </w:div>
    <w:div w:id="1137262426">
      <w:bodyDiv w:val="1"/>
      <w:marLeft w:val="0"/>
      <w:marRight w:val="0"/>
      <w:marTop w:val="0"/>
      <w:marBottom w:val="0"/>
      <w:divBdr>
        <w:top w:val="none" w:sz="0" w:space="0" w:color="auto"/>
        <w:left w:val="none" w:sz="0" w:space="0" w:color="auto"/>
        <w:bottom w:val="none" w:sz="0" w:space="0" w:color="auto"/>
        <w:right w:val="none" w:sz="0" w:space="0" w:color="auto"/>
      </w:divBdr>
    </w:div>
    <w:div w:id="1181314798">
      <w:bodyDiv w:val="1"/>
      <w:marLeft w:val="0"/>
      <w:marRight w:val="0"/>
      <w:marTop w:val="0"/>
      <w:marBottom w:val="0"/>
      <w:divBdr>
        <w:top w:val="none" w:sz="0" w:space="0" w:color="auto"/>
        <w:left w:val="none" w:sz="0" w:space="0" w:color="auto"/>
        <w:bottom w:val="none" w:sz="0" w:space="0" w:color="auto"/>
        <w:right w:val="none" w:sz="0" w:space="0" w:color="auto"/>
      </w:divBdr>
    </w:div>
    <w:div w:id="1234387162">
      <w:bodyDiv w:val="1"/>
      <w:marLeft w:val="0"/>
      <w:marRight w:val="0"/>
      <w:marTop w:val="0"/>
      <w:marBottom w:val="0"/>
      <w:divBdr>
        <w:top w:val="none" w:sz="0" w:space="0" w:color="auto"/>
        <w:left w:val="none" w:sz="0" w:space="0" w:color="auto"/>
        <w:bottom w:val="none" w:sz="0" w:space="0" w:color="auto"/>
        <w:right w:val="none" w:sz="0" w:space="0" w:color="auto"/>
      </w:divBdr>
    </w:div>
    <w:div w:id="1566723440">
      <w:bodyDiv w:val="1"/>
      <w:marLeft w:val="0"/>
      <w:marRight w:val="0"/>
      <w:marTop w:val="0"/>
      <w:marBottom w:val="0"/>
      <w:divBdr>
        <w:top w:val="none" w:sz="0" w:space="0" w:color="auto"/>
        <w:left w:val="none" w:sz="0" w:space="0" w:color="auto"/>
        <w:bottom w:val="none" w:sz="0" w:space="0" w:color="auto"/>
        <w:right w:val="none" w:sz="0" w:space="0" w:color="auto"/>
      </w:divBdr>
    </w:div>
    <w:div w:id="1752920954">
      <w:bodyDiv w:val="1"/>
      <w:marLeft w:val="0"/>
      <w:marRight w:val="0"/>
      <w:marTop w:val="0"/>
      <w:marBottom w:val="0"/>
      <w:divBdr>
        <w:top w:val="none" w:sz="0" w:space="0" w:color="auto"/>
        <w:left w:val="none" w:sz="0" w:space="0" w:color="auto"/>
        <w:bottom w:val="none" w:sz="0" w:space="0" w:color="auto"/>
        <w:right w:val="none" w:sz="0" w:space="0" w:color="auto"/>
      </w:divBdr>
    </w:div>
    <w:div w:id="1857233412">
      <w:bodyDiv w:val="1"/>
      <w:marLeft w:val="0"/>
      <w:marRight w:val="0"/>
      <w:marTop w:val="0"/>
      <w:marBottom w:val="0"/>
      <w:divBdr>
        <w:top w:val="none" w:sz="0" w:space="0" w:color="auto"/>
        <w:left w:val="none" w:sz="0" w:space="0" w:color="auto"/>
        <w:bottom w:val="none" w:sz="0" w:space="0" w:color="auto"/>
        <w:right w:val="none" w:sz="0" w:space="0" w:color="auto"/>
      </w:divBdr>
    </w:div>
    <w:div w:id="1957521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FIT\Desktop\Excel%20Working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FIT\Desktop\Excel%20Working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FIT\Desktop\Excel%20Working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FIT\Desktop\Excel%20Working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FIT\Desktop\Excel%20Working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DFIT\Desktop\Excel%20Working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Profitability</a:t>
            </a:r>
            <a:r>
              <a:rPr lang="en-US" baseline="0"/>
              <a:t> Ratios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'Profitability Ratios'!$H$6</c:f>
              <c:strCache>
                <c:ptCount val="1"/>
                <c:pt idx="0">
                  <c:v>Gross Profit Margin</c:v>
                </c:pt>
              </c:strCache>
            </c:strRef>
          </c:tx>
          <c:spPr>
            <a:solidFill>
              <a:schemeClr val="accent1"/>
            </a:solidFill>
            <a:ln>
              <a:noFill/>
            </a:ln>
            <a:effectLst/>
          </c:spPr>
          <c:invertIfNegative val="0"/>
          <c:cat>
            <c:numRef>
              <c:f>'Profitability Ratios'!$I$5:$M$5</c:f>
              <c:numCache>
                <c:formatCode>General</c:formatCode>
                <c:ptCount val="5"/>
                <c:pt idx="0">
                  <c:v>2020</c:v>
                </c:pt>
                <c:pt idx="1">
                  <c:v>2021</c:v>
                </c:pt>
                <c:pt idx="2">
                  <c:v>2022</c:v>
                </c:pt>
                <c:pt idx="3">
                  <c:v>2023</c:v>
                </c:pt>
                <c:pt idx="4">
                  <c:v>2024</c:v>
                </c:pt>
              </c:numCache>
            </c:numRef>
          </c:cat>
          <c:val>
            <c:numRef>
              <c:f>'Profitability Ratios'!$I$6:$M$6</c:f>
              <c:numCache>
                <c:formatCode>0.00%</c:formatCode>
                <c:ptCount val="5"/>
                <c:pt idx="0">
                  <c:v>0.28670000000000001</c:v>
                </c:pt>
                <c:pt idx="1">
                  <c:v>0.28760000000000002</c:v>
                </c:pt>
                <c:pt idx="2">
                  <c:v>0.28060000000000002</c:v>
                </c:pt>
                <c:pt idx="3">
                  <c:v>0.23200000000000001</c:v>
                </c:pt>
                <c:pt idx="4">
                  <c:v>0.28870000000000001</c:v>
                </c:pt>
              </c:numCache>
            </c:numRef>
          </c:val>
          <c:extLst>
            <c:ext xmlns:c16="http://schemas.microsoft.com/office/drawing/2014/chart" uri="{C3380CC4-5D6E-409C-BE32-E72D297353CC}">
              <c16:uniqueId val="{00000000-5CE1-4FE0-B42D-42A109476339}"/>
            </c:ext>
          </c:extLst>
        </c:ser>
        <c:ser>
          <c:idx val="1"/>
          <c:order val="1"/>
          <c:tx>
            <c:strRef>
              <c:f>'Profitability Ratios'!$H$7</c:f>
              <c:strCache>
                <c:ptCount val="1"/>
                <c:pt idx="0">
                  <c:v>Operating Profit Margin</c:v>
                </c:pt>
              </c:strCache>
            </c:strRef>
          </c:tx>
          <c:spPr>
            <a:solidFill>
              <a:schemeClr val="accent2"/>
            </a:solidFill>
            <a:ln>
              <a:noFill/>
            </a:ln>
            <a:effectLst/>
          </c:spPr>
          <c:invertIfNegative val="0"/>
          <c:cat>
            <c:numRef>
              <c:f>'Profitability Ratios'!$I$5:$M$5</c:f>
              <c:numCache>
                <c:formatCode>General</c:formatCode>
                <c:ptCount val="5"/>
                <c:pt idx="0">
                  <c:v>2020</c:v>
                </c:pt>
                <c:pt idx="1">
                  <c:v>2021</c:v>
                </c:pt>
                <c:pt idx="2">
                  <c:v>2022</c:v>
                </c:pt>
                <c:pt idx="3">
                  <c:v>2023</c:v>
                </c:pt>
                <c:pt idx="4">
                  <c:v>2024</c:v>
                </c:pt>
              </c:numCache>
            </c:numRef>
          </c:cat>
          <c:val>
            <c:numRef>
              <c:f>'Profitability Ratios'!$I$7:$M$7</c:f>
              <c:numCache>
                <c:formatCode>0.00%</c:formatCode>
                <c:ptCount val="5"/>
                <c:pt idx="0">
                  <c:v>6.0600000000000001E-2</c:v>
                </c:pt>
                <c:pt idx="1">
                  <c:v>3.8699999999999998E-2</c:v>
                </c:pt>
                <c:pt idx="2">
                  <c:v>2.6800000000000001E-2</c:v>
                </c:pt>
                <c:pt idx="3" formatCode="General">
                  <c:v>0</c:v>
                </c:pt>
                <c:pt idx="4" formatCode="General">
                  <c:v>0</c:v>
                </c:pt>
              </c:numCache>
            </c:numRef>
          </c:val>
          <c:extLst>
            <c:ext xmlns:c16="http://schemas.microsoft.com/office/drawing/2014/chart" uri="{C3380CC4-5D6E-409C-BE32-E72D297353CC}">
              <c16:uniqueId val="{00000001-5CE1-4FE0-B42D-42A109476339}"/>
            </c:ext>
          </c:extLst>
        </c:ser>
        <c:ser>
          <c:idx val="2"/>
          <c:order val="2"/>
          <c:tx>
            <c:strRef>
              <c:f>'Profitability Ratios'!$H$8</c:f>
              <c:strCache>
                <c:ptCount val="1"/>
                <c:pt idx="0">
                  <c:v>Net Profit Margin</c:v>
                </c:pt>
              </c:strCache>
            </c:strRef>
          </c:tx>
          <c:spPr>
            <a:solidFill>
              <a:schemeClr val="accent3"/>
            </a:solidFill>
            <a:ln>
              <a:noFill/>
            </a:ln>
            <a:effectLst/>
          </c:spPr>
          <c:invertIfNegative val="0"/>
          <c:cat>
            <c:numRef>
              <c:f>'Profitability Ratios'!$I$5:$M$5</c:f>
              <c:numCache>
                <c:formatCode>General</c:formatCode>
                <c:ptCount val="5"/>
                <c:pt idx="0">
                  <c:v>2020</c:v>
                </c:pt>
                <c:pt idx="1">
                  <c:v>2021</c:v>
                </c:pt>
                <c:pt idx="2">
                  <c:v>2022</c:v>
                </c:pt>
                <c:pt idx="3">
                  <c:v>2023</c:v>
                </c:pt>
                <c:pt idx="4">
                  <c:v>2024</c:v>
                </c:pt>
              </c:numCache>
            </c:numRef>
          </c:cat>
          <c:val>
            <c:numRef>
              <c:f>'Profitability Ratios'!$I$8:$M$8</c:f>
              <c:numCache>
                <c:formatCode>0.00%</c:formatCode>
                <c:ptCount val="5"/>
                <c:pt idx="0">
                  <c:v>6.2799999999999995E-2</c:v>
                </c:pt>
                <c:pt idx="1">
                  <c:v>8.8000000000000005E-3</c:v>
                </c:pt>
                <c:pt idx="2">
                  <c:v>8.0000000000000004E-4</c:v>
                </c:pt>
                <c:pt idx="3" formatCode="General">
                  <c:v>0</c:v>
                </c:pt>
                <c:pt idx="4" formatCode="General">
                  <c:v>0</c:v>
                </c:pt>
              </c:numCache>
            </c:numRef>
          </c:val>
          <c:extLst>
            <c:ext xmlns:c16="http://schemas.microsoft.com/office/drawing/2014/chart" uri="{C3380CC4-5D6E-409C-BE32-E72D297353CC}">
              <c16:uniqueId val="{00000002-5CE1-4FE0-B42D-42A109476339}"/>
            </c:ext>
          </c:extLst>
        </c:ser>
        <c:ser>
          <c:idx val="3"/>
          <c:order val="3"/>
          <c:tx>
            <c:strRef>
              <c:f>'Profitability Ratios'!$H$9</c:f>
              <c:strCache>
                <c:ptCount val="1"/>
                <c:pt idx="0">
                  <c:v>Return on Assets (ROA)</c:v>
                </c:pt>
              </c:strCache>
            </c:strRef>
          </c:tx>
          <c:spPr>
            <a:solidFill>
              <a:schemeClr val="accent4"/>
            </a:solidFill>
            <a:ln>
              <a:noFill/>
            </a:ln>
            <a:effectLst/>
          </c:spPr>
          <c:invertIfNegative val="0"/>
          <c:cat>
            <c:numRef>
              <c:f>'Profitability Ratios'!$I$5:$M$5</c:f>
              <c:numCache>
                <c:formatCode>General</c:formatCode>
                <c:ptCount val="5"/>
                <c:pt idx="0">
                  <c:v>2020</c:v>
                </c:pt>
                <c:pt idx="1">
                  <c:v>2021</c:v>
                </c:pt>
                <c:pt idx="2">
                  <c:v>2022</c:v>
                </c:pt>
                <c:pt idx="3">
                  <c:v>2023</c:v>
                </c:pt>
                <c:pt idx="4">
                  <c:v>2024</c:v>
                </c:pt>
              </c:numCache>
            </c:numRef>
          </c:cat>
          <c:val>
            <c:numRef>
              <c:f>'Profitability Ratios'!$I$9:$M$9</c:f>
              <c:numCache>
                <c:formatCode>0.00%</c:formatCode>
                <c:ptCount val="5"/>
                <c:pt idx="0">
                  <c:v>7.5600000000000001E-2</c:v>
                </c:pt>
                <c:pt idx="1">
                  <c:v>1.04E-2</c:v>
                </c:pt>
                <c:pt idx="2">
                  <c:v>8.0000000000000004E-4</c:v>
                </c:pt>
                <c:pt idx="3" formatCode="General">
                  <c:v>0</c:v>
                </c:pt>
                <c:pt idx="4" formatCode="General">
                  <c:v>0</c:v>
                </c:pt>
              </c:numCache>
            </c:numRef>
          </c:val>
          <c:extLst>
            <c:ext xmlns:c16="http://schemas.microsoft.com/office/drawing/2014/chart" uri="{C3380CC4-5D6E-409C-BE32-E72D297353CC}">
              <c16:uniqueId val="{00000003-5CE1-4FE0-B42D-42A109476339}"/>
            </c:ext>
          </c:extLst>
        </c:ser>
        <c:ser>
          <c:idx val="4"/>
          <c:order val="4"/>
          <c:tx>
            <c:strRef>
              <c:f>'Profitability Ratios'!$H$10</c:f>
              <c:strCache>
                <c:ptCount val="1"/>
                <c:pt idx="0">
                  <c:v>Return on Equity (ROE)</c:v>
                </c:pt>
              </c:strCache>
            </c:strRef>
          </c:tx>
          <c:spPr>
            <a:solidFill>
              <a:schemeClr val="accent5"/>
            </a:solidFill>
            <a:ln>
              <a:noFill/>
            </a:ln>
            <a:effectLst/>
          </c:spPr>
          <c:invertIfNegative val="0"/>
          <c:cat>
            <c:numRef>
              <c:f>'Profitability Ratios'!$I$5:$M$5</c:f>
              <c:numCache>
                <c:formatCode>General</c:formatCode>
                <c:ptCount val="5"/>
                <c:pt idx="0">
                  <c:v>2020</c:v>
                </c:pt>
                <c:pt idx="1">
                  <c:v>2021</c:v>
                </c:pt>
                <c:pt idx="2">
                  <c:v>2022</c:v>
                </c:pt>
                <c:pt idx="3">
                  <c:v>2023</c:v>
                </c:pt>
                <c:pt idx="4">
                  <c:v>2024</c:v>
                </c:pt>
              </c:numCache>
            </c:numRef>
          </c:cat>
          <c:val>
            <c:numRef>
              <c:f>'Profitability Ratios'!$I$10:$M$10</c:f>
              <c:numCache>
                <c:formatCode>0.00%</c:formatCode>
                <c:ptCount val="5"/>
                <c:pt idx="0">
                  <c:v>0.1231</c:v>
                </c:pt>
                <c:pt idx="1">
                  <c:v>1.9199999999999998E-2</c:v>
                </c:pt>
                <c:pt idx="2">
                  <c:v>1.5E-3</c:v>
                </c:pt>
                <c:pt idx="3" formatCode="General">
                  <c:v>0</c:v>
                </c:pt>
                <c:pt idx="4" formatCode="General">
                  <c:v>0</c:v>
                </c:pt>
              </c:numCache>
            </c:numRef>
          </c:val>
          <c:extLst>
            <c:ext xmlns:c16="http://schemas.microsoft.com/office/drawing/2014/chart" uri="{C3380CC4-5D6E-409C-BE32-E72D297353CC}">
              <c16:uniqueId val="{00000004-5CE1-4FE0-B42D-42A109476339}"/>
            </c:ext>
          </c:extLst>
        </c:ser>
        <c:dLbls>
          <c:showLegendKey val="0"/>
          <c:showVal val="0"/>
          <c:showCatName val="0"/>
          <c:showSerName val="0"/>
          <c:showPercent val="0"/>
          <c:showBubbleSize val="0"/>
        </c:dLbls>
        <c:gapWidth val="150"/>
        <c:overlap val="100"/>
        <c:axId val="756698848"/>
        <c:axId val="756702592"/>
      </c:barChart>
      <c:catAx>
        <c:axId val="756698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6702592"/>
        <c:crosses val="autoZero"/>
        <c:auto val="1"/>
        <c:lblAlgn val="ctr"/>
        <c:lblOffset val="100"/>
        <c:noMultiLvlLbl val="0"/>
      </c:catAx>
      <c:valAx>
        <c:axId val="7567025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6698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'Liquidity Ratios'!$I$7</c:f>
              <c:strCache>
                <c:ptCount val="1"/>
                <c:pt idx="0">
                  <c:v>Current Ratio</c:v>
                </c:pt>
              </c:strCache>
            </c:strRef>
          </c:tx>
          <c:spPr>
            <a:solidFill>
              <a:schemeClr val="accent1"/>
            </a:solidFill>
            <a:ln>
              <a:noFill/>
            </a:ln>
            <a:effectLst/>
          </c:spPr>
          <c:invertIfNegative val="0"/>
          <c:cat>
            <c:numRef>
              <c:f>'Liquidity Ratios'!$J$6:$N$6</c:f>
              <c:numCache>
                <c:formatCode>General</c:formatCode>
                <c:ptCount val="5"/>
                <c:pt idx="0">
                  <c:v>2020</c:v>
                </c:pt>
                <c:pt idx="1">
                  <c:v>2021</c:v>
                </c:pt>
                <c:pt idx="2">
                  <c:v>2022</c:v>
                </c:pt>
                <c:pt idx="3">
                  <c:v>2023</c:v>
                </c:pt>
                <c:pt idx="4">
                  <c:v>2024</c:v>
                </c:pt>
              </c:numCache>
            </c:numRef>
          </c:cat>
          <c:val>
            <c:numRef>
              <c:f>'Liquidity Ratios'!$J$7:$N$7</c:f>
              <c:numCache>
                <c:formatCode>General</c:formatCode>
                <c:ptCount val="5"/>
                <c:pt idx="0">
                  <c:v>1.82</c:v>
                </c:pt>
                <c:pt idx="1">
                  <c:v>1.56</c:v>
                </c:pt>
                <c:pt idx="2">
                  <c:v>1.56</c:v>
                </c:pt>
                <c:pt idx="3">
                  <c:v>1.61</c:v>
                </c:pt>
                <c:pt idx="4">
                  <c:v>1.53</c:v>
                </c:pt>
              </c:numCache>
            </c:numRef>
          </c:val>
          <c:extLst>
            <c:ext xmlns:c16="http://schemas.microsoft.com/office/drawing/2014/chart" uri="{C3380CC4-5D6E-409C-BE32-E72D297353CC}">
              <c16:uniqueId val="{00000000-9078-4E2E-BCD8-022999A4350E}"/>
            </c:ext>
          </c:extLst>
        </c:ser>
        <c:ser>
          <c:idx val="1"/>
          <c:order val="1"/>
          <c:tx>
            <c:strRef>
              <c:f>'Liquidity Ratios'!$I$8</c:f>
              <c:strCache>
                <c:ptCount val="1"/>
                <c:pt idx="0">
                  <c:v>Quick Ratio</c:v>
                </c:pt>
              </c:strCache>
            </c:strRef>
          </c:tx>
          <c:spPr>
            <a:solidFill>
              <a:schemeClr val="accent2"/>
            </a:solidFill>
            <a:ln>
              <a:noFill/>
            </a:ln>
            <a:effectLst/>
          </c:spPr>
          <c:invertIfNegative val="0"/>
          <c:cat>
            <c:numRef>
              <c:f>'Liquidity Ratios'!$J$6:$N$6</c:f>
              <c:numCache>
                <c:formatCode>General</c:formatCode>
                <c:ptCount val="5"/>
                <c:pt idx="0">
                  <c:v>2020</c:v>
                </c:pt>
                <c:pt idx="1">
                  <c:v>2021</c:v>
                </c:pt>
                <c:pt idx="2">
                  <c:v>2022</c:v>
                </c:pt>
                <c:pt idx="3">
                  <c:v>2023</c:v>
                </c:pt>
                <c:pt idx="4">
                  <c:v>2024</c:v>
                </c:pt>
              </c:numCache>
            </c:numRef>
          </c:cat>
          <c:val>
            <c:numRef>
              <c:f>'Liquidity Ratios'!$J$8:$N$8</c:f>
              <c:numCache>
                <c:formatCode>General</c:formatCode>
                <c:ptCount val="5"/>
                <c:pt idx="0">
                  <c:v>1.1499999999999999</c:v>
                </c:pt>
                <c:pt idx="1">
                  <c:v>0.93</c:v>
                </c:pt>
                <c:pt idx="2">
                  <c:v>0.91</c:v>
                </c:pt>
                <c:pt idx="3">
                  <c:v>1.06</c:v>
                </c:pt>
                <c:pt idx="4">
                  <c:v>1.03</c:v>
                </c:pt>
              </c:numCache>
            </c:numRef>
          </c:val>
          <c:extLst>
            <c:ext xmlns:c16="http://schemas.microsoft.com/office/drawing/2014/chart" uri="{C3380CC4-5D6E-409C-BE32-E72D297353CC}">
              <c16:uniqueId val="{00000001-9078-4E2E-BCD8-022999A4350E}"/>
            </c:ext>
          </c:extLst>
        </c:ser>
        <c:ser>
          <c:idx val="2"/>
          <c:order val="2"/>
          <c:tx>
            <c:strRef>
              <c:f>'Liquidity Ratios'!$I$9</c:f>
              <c:strCache>
                <c:ptCount val="1"/>
                <c:pt idx="0">
                  <c:v>Cash Ratio</c:v>
                </c:pt>
              </c:strCache>
            </c:strRef>
          </c:tx>
          <c:spPr>
            <a:solidFill>
              <a:schemeClr val="accent3"/>
            </a:solidFill>
            <a:ln>
              <a:noFill/>
            </a:ln>
            <a:effectLst/>
          </c:spPr>
          <c:invertIfNegative val="0"/>
          <c:cat>
            <c:numRef>
              <c:f>'Liquidity Ratios'!$J$6:$N$6</c:f>
              <c:numCache>
                <c:formatCode>General</c:formatCode>
                <c:ptCount val="5"/>
                <c:pt idx="0">
                  <c:v>2020</c:v>
                </c:pt>
                <c:pt idx="1">
                  <c:v>2021</c:v>
                </c:pt>
                <c:pt idx="2">
                  <c:v>2022</c:v>
                </c:pt>
                <c:pt idx="3">
                  <c:v>2023</c:v>
                </c:pt>
                <c:pt idx="4">
                  <c:v>2024</c:v>
                </c:pt>
              </c:numCache>
            </c:numRef>
          </c:cat>
          <c:val>
            <c:numRef>
              <c:f>'Liquidity Ratios'!$J$9:$N$9</c:f>
              <c:numCache>
                <c:formatCode>General</c:formatCode>
                <c:ptCount val="5"/>
                <c:pt idx="0">
                  <c:v>0.32</c:v>
                </c:pt>
                <c:pt idx="1">
                  <c:v>0.28000000000000003</c:v>
                </c:pt>
                <c:pt idx="2">
                  <c:v>0.31</c:v>
                </c:pt>
                <c:pt idx="3">
                  <c:v>0.27</c:v>
                </c:pt>
                <c:pt idx="4">
                  <c:v>0.17</c:v>
                </c:pt>
              </c:numCache>
            </c:numRef>
          </c:val>
          <c:extLst>
            <c:ext xmlns:c16="http://schemas.microsoft.com/office/drawing/2014/chart" uri="{C3380CC4-5D6E-409C-BE32-E72D297353CC}">
              <c16:uniqueId val="{00000002-9078-4E2E-BCD8-022999A4350E}"/>
            </c:ext>
          </c:extLst>
        </c:ser>
        <c:dLbls>
          <c:showLegendKey val="0"/>
          <c:showVal val="0"/>
          <c:showCatName val="0"/>
          <c:showSerName val="0"/>
          <c:showPercent val="0"/>
          <c:showBubbleSize val="0"/>
        </c:dLbls>
        <c:gapWidth val="150"/>
        <c:axId val="629858896"/>
        <c:axId val="604033984"/>
      </c:barChart>
      <c:catAx>
        <c:axId val="629858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4033984"/>
        <c:crosses val="autoZero"/>
        <c:auto val="1"/>
        <c:lblAlgn val="ctr"/>
        <c:lblOffset val="100"/>
        <c:noMultiLvlLbl val="0"/>
      </c:catAx>
      <c:valAx>
        <c:axId val="604033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9858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Efficiency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'Efficiency Ratios'!$I$7</c:f>
              <c:strCache>
                <c:ptCount val="1"/>
                <c:pt idx="0">
                  <c:v>Asset Turnover</c:v>
                </c:pt>
              </c:strCache>
            </c:strRef>
          </c:tx>
          <c:spPr>
            <a:solidFill>
              <a:schemeClr val="accent1"/>
            </a:solidFill>
            <a:ln>
              <a:noFill/>
            </a:ln>
            <a:effectLst/>
          </c:spPr>
          <c:invertIfNegative val="0"/>
          <c:cat>
            <c:numRef>
              <c:f>'Efficiency Ratios'!$J$6:$N$6</c:f>
              <c:numCache>
                <c:formatCode>General</c:formatCode>
                <c:ptCount val="5"/>
                <c:pt idx="0">
                  <c:v>2020</c:v>
                </c:pt>
                <c:pt idx="1">
                  <c:v>2021</c:v>
                </c:pt>
                <c:pt idx="2">
                  <c:v>2022</c:v>
                </c:pt>
                <c:pt idx="3">
                  <c:v>2023</c:v>
                </c:pt>
                <c:pt idx="4">
                  <c:v>2024</c:v>
                </c:pt>
              </c:numCache>
            </c:numRef>
          </c:cat>
          <c:val>
            <c:numRef>
              <c:f>'Efficiency Ratios'!$J$7:$N$7</c:f>
              <c:numCache>
                <c:formatCode>General</c:formatCode>
                <c:ptCount val="5"/>
                <c:pt idx="0">
                  <c:v>1.2</c:v>
                </c:pt>
                <c:pt idx="1">
                  <c:v>1.18</c:v>
                </c:pt>
                <c:pt idx="2">
                  <c:v>1.08</c:v>
                </c:pt>
                <c:pt idx="3">
                  <c:v>1.18</c:v>
                </c:pt>
                <c:pt idx="4">
                  <c:v>1.22</c:v>
                </c:pt>
              </c:numCache>
            </c:numRef>
          </c:val>
          <c:extLst>
            <c:ext xmlns:c16="http://schemas.microsoft.com/office/drawing/2014/chart" uri="{C3380CC4-5D6E-409C-BE32-E72D297353CC}">
              <c16:uniqueId val="{00000000-EF2E-468C-997D-B3105661F10D}"/>
            </c:ext>
          </c:extLst>
        </c:ser>
        <c:ser>
          <c:idx val="1"/>
          <c:order val="1"/>
          <c:tx>
            <c:strRef>
              <c:f>'Efficiency Ratios'!$I$8</c:f>
              <c:strCache>
                <c:ptCount val="1"/>
                <c:pt idx="0">
                  <c:v>Fixed Asset Turnover</c:v>
                </c:pt>
              </c:strCache>
            </c:strRef>
          </c:tx>
          <c:spPr>
            <a:solidFill>
              <a:schemeClr val="accent2"/>
            </a:solidFill>
            <a:ln>
              <a:noFill/>
            </a:ln>
            <a:effectLst/>
          </c:spPr>
          <c:invertIfNegative val="0"/>
          <c:cat>
            <c:numRef>
              <c:f>'Efficiency Ratios'!$J$6:$N$6</c:f>
              <c:numCache>
                <c:formatCode>General</c:formatCode>
                <c:ptCount val="5"/>
                <c:pt idx="0">
                  <c:v>2020</c:v>
                </c:pt>
                <c:pt idx="1">
                  <c:v>2021</c:v>
                </c:pt>
                <c:pt idx="2">
                  <c:v>2022</c:v>
                </c:pt>
                <c:pt idx="3">
                  <c:v>2023</c:v>
                </c:pt>
                <c:pt idx="4">
                  <c:v>2024</c:v>
                </c:pt>
              </c:numCache>
            </c:numRef>
          </c:cat>
          <c:val>
            <c:numRef>
              <c:f>'Efficiency Ratios'!$J$8:$N$8</c:f>
              <c:numCache>
                <c:formatCode>General</c:formatCode>
                <c:ptCount val="5"/>
                <c:pt idx="0">
                  <c:v>7.04</c:v>
                </c:pt>
                <c:pt idx="1">
                  <c:v>8.06</c:v>
                </c:pt>
                <c:pt idx="2">
                  <c:v>8.64</c:v>
                </c:pt>
                <c:pt idx="3">
                  <c:v>9.42</c:v>
                </c:pt>
                <c:pt idx="4">
                  <c:v>11.54</c:v>
                </c:pt>
              </c:numCache>
            </c:numRef>
          </c:val>
          <c:extLst>
            <c:ext xmlns:c16="http://schemas.microsoft.com/office/drawing/2014/chart" uri="{C3380CC4-5D6E-409C-BE32-E72D297353CC}">
              <c16:uniqueId val="{00000001-EF2E-468C-997D-B3105661F10D}"/>
            </c:ext>
          </c:extLst>
        </c:ser>
        <c:ser>
          <c:idx val="2"/>
          <c:order val="2"/>
          <c:tx>
            <c:strRef>
              <c:f>'Efficiency Ratios'!$I$9</c:f>
              <c:strCache>
                <c:ptCount val="1"/>
                <c:pt idx="0">
                  <c:v>Receivables Days</c:v>
                </c:pt>
              </c:strCache>
            </c:strRef>
          </c:tx>
          <c:spPr>
            <a:solidFill>
              <a:schemeClr val="accent3"/>
            </a:solidFill>
            <a:ln>
              <a:noFill/>
            </a:ln>
            <a:effectLst/>
          </c:spPr>
          <c:invertIfNegative val="0"/>
          <c:cat>
            <c:numRef>
              <c:f>'Efficiency Ratios'!$J$6:$N$6</c:f>
              <c:numCache>
                <c:formatCode>General</c:formatCode>
                <c:ptCount val="5"/>
                <c:pt idx="0">
                  <c:v>2020</c:v>
                </c:pt>
                <c:pt idx="1">
                  <c:v>2021</c:v>
                </c:pt>
                <c:pt idx="2">
                  <c:v>2022</c:v>
                </c:pt>
                <c:pt idx="3">
                  <c:v>2023</c:v>
                </c:pt>
                <c:pt idx="4">
                  <c:v>2024</c:v>
                </c:pt>
              </c:numCache>
            </c:numRef>
          </c:cat>
          <c:val>
            <c:numRef>
              <c:f>'Efficiency Ratios'!$J$9:$N$9</c:f>
              <c:numCache>
                <c:formatCode>General</c:formatCode>
                <c:ptCount val="5"/>
                <c:pt idx="0">
                  <c:v>76.86</c:v>
                </c:pt>
                <c:pt idx="1">
                  <c:v>78.400000000000006</c:v>
                </c:pt>
                <c:pt idx="2">
                  <c:v>75.55</c:v>
                </c:pt>
                <c:pt idx="3">
                  <c:v>97.74</c:v>
                </c:pt>
                <c:pt idx="4">
                  <c:v>105.54</c:v>
                </c:pt>
              </c:numCache>
            </c:numRef>
          </c:val>
          <c:extLst>
            <c:ext xmlns:c16="http://schemas.microsoft.com/office/drawing/2014/chart" uri="{C3380CC4-5D6E-409C-BE32-E72D297353CC}">
              <c16:uniqueId val="{00000002-EF2E-468C-997D-B3105661F10D}"/>
            </c:ext>
          </c:extLst>
        </c:ser>
        <c:ser>
          <c:idx val="3"/>
          <c:order val="3"/>
          <c:tx>
            <c:strRef>
              <c:f>'Efficiency Ratios'!$I$10</c:f>
              <c:strCache>
                <c:ptCount val="1"/>
                <c:pt idx="0">
                  <c:v>Inventory Days</c:v>
                </c:pt>
              </c:strCache>
            </c:strRef>
          </c:tx>
          <c:spPr>
            <a:solidFill>
              <a:schemeClr val="accent4"/>
            </a:solidFill>
            <a:ln>
              <a:noFill/>
            </a:ln>
            <a:effectLst/>
          </c:spPr>
          <c:invertIfNegative val="0"/>
          <c:cat>
            <c:numRef>
              <c:f>'Efficiency Ratios'!$J$6:$N$6</c:f>
              <c:numCache>
                <c:formatCode>General</c:formatCode>
                <c:ptCount val="5"/>
                <c:pt idx="0">
                  <c:v>2020</c:v>
                </c:pt>
                <c:pt idx="1">
                  <c:v>2021</c:v>
                </c:pt>
                <c:pt idx="2">
                  <c:v>2022</c:v>
                </c:pt>
                <c:pt idx="3">
                  <c:v>2023</c:v>
                </c:pt>
                <c:pt idx="4">
                  <c:v>2024</c:v>
                </c:pt>
              </c:numCache>
            </c:numRef>
          </c:cat>
          <c:val>
            <c:numRef>
              <c:f>'Efficiency Ratios'!$J$10:$N$10</c:f>
              <c:numCache>
                <c:formatCode>General</c:formatCode>
                <c:ptCount val="5"/>
                <c:pt idx="0">
                  <c:v>100.26</c:v>
                </c:pt>
                <c:pt idx="1">
                  <c:v>114.52</c:v>
                </c:pt>
                <c:pt idx="2">
                  <c:v>131.04</c:v>
                </c:pt>
                <c:pt idx="3">
                  <c:v>99.78</c:v>
                </c:pt>
                <c:pt idx="4">
                  <c:v>103.12</c:v>
                </c:pt>
              </c:numCache>
            </c:numRef>
          </c:val>
          <c:extLst>
            <c:ext xmlns:c16="http://schemas.microsoft.com/office/drawing/2014/chart" uri="{C3380CC4-5D6E-409C-BE32-E72D297353CC}">
              <c16:uniqueId val="{00000003-EF2E-468C-997D-B3105661F10D}"/>
            </c:ext>
          </c:extLst>
        </c:ser>
        <c:dLbls>
          <c:showLegendKey val="0"/>
          <c:showVal val="0"/>
          <c:showCatName val="0"/>
          <c:showSerName val="0"/>
          <c:showPercent val="0"/>
          <c:showBubbleSize val="0"/>
        </c:dLbls>
        <c:gapWidth val="150"/>
        <c:overlap val="100"/>
        <c:axId val="766235440"/>
        <c:axId val="766248336"/>
      </c:barChart>
      <c:catAx>
        <c:axId val="7662354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6248336"/>
        <c:crosses val="autoZero"/>
        <c:auto val="1"/>
        <c:lblAlgn val="ctr"/>
        <c:lblOffset val="100"/>
        <c:noMultiLvlLbl val="0"/>
      </c:catAx>
      <c:valAx>
        <c:axId val="76624833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6235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kumimoji="0" lang="en-US" sz="1400" b="0" i="0" u="none" strike="noStrike" kern="1200" cap="none" spc="0" normalizeH="0" baseline="0" noProof="0">
                <a:ln>
                  <a:noFill/>
                </a:ln>
                <a:solidFill>
                  <a:sysClr val="windowText" lastClr="000000">
                    <a:lumMod val="65000"/>
                    <a:lumOff val="35000"/>
                  </a:sysClr>
                </a:solidFill>
                <a:effectLst/>
                <a:uLnTx/>
                <a:uFillTx/>
                <a:latin typeface="Calibri" panose="020F0502020204030204"/>
              </a:rPr>
              <a:t>Gearing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'Gearing Ratios'!$K$7</c:f>
              <c:strCache>
                <c:ptCount val="1"/>
                <c:pt idx="0">
                  <c:v>Interest Coverage Ratio</c:v>
                </c:pt>
              </c:strCache>
            </c:strRef>
          </c:tx>
          <c:spPr>
            <a:solidFill>
              <a:schemeClr val="accent1"/>
            </a:solidFill>
            <a:ln w="25400">
              <a:noFill/>
            </a:ln>
            <a:effectLst/>
          </c:spPr>
          <c:invertIfNegative val="0"/>
          <c:cat>
            <c:numRef>
              <c:f>'Gearing Ratios'!$L$6:$P$6</c:f>
              <c:numCache>
                <c:formatCode>General</c:formatCode>
                <c:ptCount val="5"/>
                <c:pt idx="0">
                  <c:v>2020</c:v>
                </c:pt>
                <c:pt idx="1">
                  <c:v>2021</c:v>
                </c:pt>
                <c:pt idx="2">
                  <c:v>2022</c:v>
                </c:pt>
                <c:pt idx="3">
                  <c:v>2023</c:v>
                </c:pt>
                <c:pt idx="4">
                  <c:v>2024</c:v>
                </c:pt>
              </c:numCache>
            </c:numRef>
          </c:cat>
          <c:val>
            <c:numRef>
              <c:f>'Gearing Ratios'!$L$7:$P$7</c:f>
              <c:numCache>
                <c:formatCode>General</c:formatCode>
                <c:ptCount val="5"/>
                <c:pt idx="0">
                  <c:v>26.21</c:v>
                </c:pt>
                <c:pt idx="1">
                  <c:v>41.08</c:v>
                </c:pt>
                <c:pt idx="2">
                  <c:v>6.61</c:v>
                </c:pt>
                <c:pt idx="3">
                  <c:v>0</c:v>
                </c:pt>
                <c:pt idx="4">
                  <c:v>0</c:v>
                </c:pt>
              </c:numCache>
            </c:numRef>
          </c:val>
          <c:extLst>
            <c:ext xmlns:c16="http://schemas.microsoft.com/office/drawing/2014/chart" uri="{C3380CC4-5D6E-409C-BE32-E72D297353CC}">
              <c16:uniqueId val="{00000000-5E79-4959-B9E3-03817D458266}"/>
            </c:ext>
          </c:extLst>
        </c:ser>
        <c:ser>
          <c:idx val="1"/>
          <c:order val="1"/>
          <c:tx>
            <c:strRef>
              <c:f>'Gearing Ratios'!$K$8</c:f>
              <c:strCache>
                <c:ptCount val="1"/>
                <c:pt idx="0">
                  <c:v>Debt to Equity Ratio</c:v>
                </c:pt>
              </c:strCache>
            </c:strRef>
          </c:tx>
          <c:spPr>
            <a:solidFill>
              <a:schemeClr val="accent2"/>
            </a:solidFill>
            <a:ln w="25400">
              <a:noFill/>
            </a:ln>
            <a:effectLst/>
          </c:spPr>
          <c:invertIfNegative val="0"/>
          <c:cat>
            <c:numRef>
              <c:f>'Gearing Ratios'!$L$6:$P$6</c:f>
              <c:numCache>
                <c:formatCode>General</c:formatCode>
                <c:ptCount val="5"/>
                <c:pt idx="0">
                  <c:v>2020</c:v>
                </c:pt>
                <c:pt idx="1">
                  <c:v>2021</c:v>
                </c:pt>
                <c:pt idx="2">
                  <c:v>2022</c:v>
                </c:pt>
                <c:pt idx="3">
                  <c:v>2023</c:v>
                </c:pt>
                <c:pt idx="4">
                  <c:v>2024</c:v>
                </c:pt>
              </c:numCache>
            </c:numRef>
          </c:cat>
          <c:val>
            <c:numRef>
              <c:f>'Gearing Ratios'!$L$8:$P$8</c:f>
              <c:numCache>
                <c:formatCode>General</c:formatCode>
                <c:ptCount val="5"/>
                <c:pt idx="0">
                  <c:v>0.63</c:v>
                </c:pt>
                <c:pt idx="1">
                  <c:v>0.85</c:v>
                </c:pt>
                <c:pt idx="2">
                  <c:v>0.88</c:v>
                </c:pt>
                <c:pt idx="3">
                  <c:v>0.99</c:v>
                </c:pt>
                <c:pt idx="4">
                  <c:v>1.1100000000000001</c:v>
                </c:pt>
              </c:numCache>
            </c:numRef>
          </c:val>
          <c:extLst>
            <c:ext xmlns:c16="http://schemas.microsoft.com/office/drawing/2014/chart" uri="{C3380CC4-5D6E-409C-BE32-E72D297353CC}">
              <c16:uniqueId val="{00000001-5E79-4959-B9E3-03817D458266}"/>
            </c:ext>
          </c:extLst>
        </c:ser>
        <c:ser>
          <c:idx val="2"/>
          <c:order val="2"/>
          <c:tx>
            <c:strRef>
              <c:f>'Gearing Ratios'!$K$9</c:f>
              <c:strCache>
                <c:ptCount val="1"/>
                <c:pt idx="0">
                  <c:v>Debt to Capital Ratio</c:v>
                </c:pt>
              </c:strCache>
            </c:strRef>
          </c:tx>
          <c:spPr>
            <a:solidFill>
              <a:schemeClr val="accent3"/>
            </a:solidFill>
            <a:ln w="25400">
              <a:noFill/>
            </a:ln>
            <a:effectLst/>
          </c:spPr>
          <c:invertIfNegative val="0"/>
          <c:cat>
            <c:numRef>
              <c:f>'Gearing Ratios'!$L$6:$P$6</c:f>
              <c:numCache>
                <c:formatCode>General</c:formatCode>
                <c:ptCount val="5"/>
                <c:pt idx="0">
                  <c:v>2020</c:v>
                </c:pt>
                <c:pt idx="1">
                  <c:v>2021</c:v>
                </c:pt>
                <c:pt idx="2">
                  <c:v>2022</c:v>
                </c:pt>
                <c:pt idx="3">
                  <c:v>2023</c:v>
                </c:pt>
                <c:pt idx="4">
                  <c:v>2024</c:v>
                </c:pt>
              </c:numCache>
            </c:numRef>
          </c:cat>
          <c:val>
            <c:numRef>
              <c:f>'Gearing Ratios'!$L$9:$P$9</c:f>
              <c:numCache>
                <c:formatCode>General</c:formatCode>
                <c:ptCount val="5"/>
                <c:pt idx="0">
                  <c:v>0.39</c:v>
                </c:pt>
                <c:pt idx="1">
                  <c:v>0.46</c:v>
                </c:pt>
                <c:pt idx="2">
                  <c:v>0.47</c:v>
                </c:pt>
                <c:pt idx="3">
                  <c:v>0.5</c:v>
                </c:pt>
                <c:pt idx="4">
                  <c:v>0.53</c:v>
                </c:pt>
              </c:numCache>
            </c:numRef>
          </c:val>
          <c:extLst>
            <c:ext xmlns:c16="http://schemas.microsoft.com/office/drawing/2014/chart" uri="{C3380CC4-5D6E-409C-BE32-E72D297353CC}">
              <c16:uniqueId val="{00000002-5E79-4959-B9E3-03817D458266}"/>
            </c:ext>
          </c:extLst>
        </c:ser>
        <c:ser>
          <c:idx val="3"/>
          <c:order val="3"/>
          <c:tx>
            <c:strRef>
              <c:f>'Gearing Ratios'!$K$10</c:f>
              <c:strCache>
                <c:ptCount val="1"/>
                <c:pt idx="0">
                  <c:v>Equity Multiplier</c:v>
                </c:pt>
              </c:strCache>
            </c:strRef>
          </c:tx>
          <c:spPr>
            <a:solidFill>
              <a:schemeClr val="accent4"/>
            </a:solidFill>
            <a:ln w="25400">
              <a:noFill/>
            </a:ln>
            <a:effectLst/>
          </c:spPr>
          <c:invertIfNegative val="0"/>
          <c:cat>
            <c:numRef>
              <c:f>'Gearing Ratios'!$L$6:$P$6</c:f>
              <c:numCache>
                <c:formatCode>General</c:formatCode>
                <c:ptCount val="5"/>
                <c:pt idx="0">
                  <c:v>2020</c:v>
                </c:pt>
                <c:pt idx="1">
                  <c:v>2021</c:v>
                </c:pt>
                <c:pt idx="2">
                  <c:v>2022</c:v>
                </c:pt>
                <c:pt idx="3">
                  <c:v>2023</c:v>
                </c:pt>
                <c:pt idx="4">
                  <c:v>2024</c:v>
                </c:pt>
              </c:numCache>
            </c:numRef>
          </c:cat>
          <c:val>
            <c:numRef>
              <c:f>'Gearing Ratios'!$L$10:$P$10</c:f>
              <c:numCache>
                <c:formatCode>General</c:formatCode>
                <c:ptCount val="5"/>
                <c:pt idx="0">
                  <c:v>1.63</c:v>
                </c:pt>
                <c:pt idx="1">
                  <c:v>1.85</c:v>
                </c:pt>
                <c:pt idx="2">
                  <c:v>1.88</c:v>
                </c:pt>
                <c:pt idx="3">
                  <c:v>1.99</c:v>
                </c:pt>
                <c:pt idx="4">
                  <c:v>2.11</c:v>
                </c:pt>
              </c:numCache>
            </c:numRef>
          </c:val>
          <c:extLst>
            <c:ext xmlns:c16="http://schemas.microsoft.com/office/drawing/2014/chart" uri="{C3380CC4-5D6E-409C-BE32-E72D297353CC}">
              <c16:uniqueId val="{00000003-5E79-4959-B9E3-03817D458266}"/>
            </c:ext>
          </c:extLst>
        </c:ser>
        <c:dLbls>
          <c:showLegendKey val="0"/>
          <c:showVal val="0"/>
          <c:showCatName val="0"/>
          <c:showSerName val="0"/>
          <c:showPercent val="0"/>
          <c:showBubbleSize val="0"/>
        </c:dLbls>
        <c:gapWidth val="219"/>
        <c:overlap val="100"/>
        <c:axId val="835098656"/>
        <c:axId val="835110720"/>
      </c:barChart>
      <c:catAx>
        <c:axId val="8350986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5110720"/>
        <c:crosses val="autoZero"/>
        <c:auto val="1"/>
        <c:lblAlgn val="ctr"/>
        <c:lblOffset val="100"/>
        <c:noMultiLvlLbl val="0"/>
      </c:catAx>
      <c:valAx>
        <c:axId val="8351107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5098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baseline="0">
                <a:solidFill>
                  <a:schemeClr val="tx1">
                    <a:lumMod val="65000"/>
                    <a:lumOff val="35000"/>
                  </a:schemeClr>
                </a:solidFill>
                <a:latin typeface="+mj-lt"/>
                <a:ea typeface="+mj-ea"/>
                <a:cs typeface="+mj-cs"/>
              </a:defRPr>
            </a:pPr>
            <a:r>
              <a:rPr kumimoji="0" lang="en-US" sz="1400" b="0" i="0" u="none" strike="noStrike" kern="1200" cap="none" spc="0" normalizeH="0" baseline="0" noProof="0">
                <a:ln>
                  <a:noFill/>
                </a:ln>
                <a:solidFill>
                  <a:sysClr val="windowText" lastClr="000000">
                    <a:lumMod val="65000"/>
                    <a:lumOff val="35000"/>
                  </a:sysClr>
                </a:solidFill>
                <a:effectLst/>
                <a:uLnTx/>
                <a:uFillTx/>
                <a:latin typeface="Calibri" panose="020F0502020204030204"/>
              </a:rPr>
              <a:t>Investment Ratio (£)</a:t>
            </a:r>
          </a:p>
        </c:rich>
      </c:tx>
      <c:overlay val="0"/>
      <c:spPr>
        <a:noFill/>
        <a:ln>
          <a:noFill/>
        </a:ln>
        <a:effectLst/>
      </c:spPr>
      <c:txPr>
        <a:bodyPr rot="0" spcFirstLastPara="1" vertOverflow="ellipsis" vert="horz" wrap="square" anchor="ctr" anchorCtr="1"/>
        <a:lstStyle/>
        <a:p>
          <a:pPr>
            <a:defRPr sz="2000" b="0" i="0" u="none" strike="noStrike" baseline="0">
              <a:solidFill>
                <a:schemeClr val="tx1">
                  <a:lumMod val="65000"/>
                  <a:lumOff val="35000"/>
                </a:schemeClr>
              </a:solidFill>
              <a:latin typeface="+mj-lt"/>
              <a:ea typeface="+mj-ea"/>
              <a:cs typeface="+mj-cs"/>
            </a:defRPr>
          </a:pPr>
          <a:endParaRPr lang="en-US"/>
        </a:p>
      </c:txPr>
    </c:title>
    <c:autoTitleDeleted val="0"/>
    <c:plotArea>
      <c:layout/>
      <c:scatterChart>
        <c:scatterStyle val="lineMarker"/>
        <c:varyColors val="0"/>
        <c:ser>
          <c:idx val="0"/>
          <c:order val="0"/>
          <c:tx>
            <c:strRef>
              <c:f>'Investment Ratio '!$L$7</c:f>
              <c:strCache>
                <c:ptCount val="1"/>
                <c:pt idx="0">
                  <c:v>Earnings per Share (EPS) (£)</c:v>
                </c:pt>
              </c:strCache>
            </c:strRef>
          </c:tx>
          <c:spPr>
            <a:ln w="28575" cap="rnd">
              <a:solidFill>
                <a:schemeClr val="accent1"/>
              </a:solidFill>
              <a:round/>
            </a:ln>
            <a:effectLst/>
          </c:spPr>
          <c:marker>
            <c:symbol val="circle"/>
            <c:size val="8"/>
            <c:spPr>
              <a:solidFill>
                <a:schemeClr val="accent1">
                  <a:lumMod val="60000"/>
                </a:schemeClr>
              </a:solidFill>
              <a:ln>
                <a:noFill/>
              </a:ln>
              <a:effectLst/>
            </c:spPr>
          </c:marker>
          <c:xVal>
            <c:numRef>
              <c:f>'Investment Ratio '!$M$6:$Q$6</c:f>
              <c:numCache>
                <c:formatCode>General</c:formatCode>
                <c:ptCount val="5"/>
                <c:pt idx="0">
                  <c:v>2020</c:v>
                </c:pt>
                <c:pt idx="1">
                  <c:v>2021</c:v>
                </c:pt>
                <c:pt idx="2">
                  <c:v>2022</c:v>
                </c:pt>
                <c:pt idx="3">
                  <c:v>2023</c:v>
                </c:pt>
                <c:pt idx="4">
                  <c:v>2024</c:v>
                </c:pt>
              </c:numCache>
            </c:numRef>
          </c:xVal>
          <c:yVal>
            <c:numRef>
              <c:f>'Investment Ratio '!$M$7:$Q$7</c:f>
              <c:numCache>
                <c:formatCode>General</c:formatCode>
                <c:ptCount val="5"/>
                <c:pt idx="0">
                  <c:v>2.78</c:v>
                </c:pt>
                <c:pt idx="1">
                  <c:v>0.39</c:v>
                </c:pt>
                <c:pt idx="2">
                  <c:v>0.03</c:v>
                </c:pt>
                <c:pt idx="3">
                  <c:v>0</c:v>
                </c:pt>
                <c:pt idx="4">
                  <c:v>0</c:v>
                </c:pt>
              </c:numCache>
            </c:numRef>
          </c:yVal>
          <c:smooth val="0"/>
          <c:extLst>
            <c:ext xmlns:c16="http://schemas.microsoft.com/office/drawing/2014/chart" uri="{C3380CC4-5D6E-409C-BE32-E72D297353CC}">
              <c16:uniqueId val="{00000000-60CE-48D3-9C4F-8AD105EB8CFA}"/>
            </c:ext>
          </c:extLst>
        </c:ser>
        <c:ser>
          <c:idx val="1"/>
          <c:order val="1"/>
          <c:tx>
            <c:strRef>
              <c:f>'Investment Ratio '!$L$8</c:f>
              <c:strCache>
                <c:ptCount val="1"/>
                <c:pt idx="0">
                  <c:v>Price–Earnings Ratio</c:v>
                </c:pt>
              </c:strCache>
            </c:strRef>
          </c:tx>
          <c:spPr>
            <a:ln w="28575" cap="rnd">
              <a:solidFill>
                <a:schemeClr val="accent2"/>
              </a:solidFill>
              <a:round/>
            </a:ln>
            <a:effectLst/>
          </c:spPr>
          <c:marker>
            <c:symbol val="circle"/>
            <c:size val="8"/>
            <c:spPr>
              <a:solidFill>
                <a:schemeClr val="accent2">
                  <a:lumMod val="60000"/>
                </a:schemeClr>
              </a:solidFill>
              <a:ln>
                <a:noFill/>
              </a:ln>
              <a:effectLst/>
            </c:spPr>
          </c:marker>
          <c:xVal>
            <c:numRef>
              <c:f>'Investment Ratio '!$M$6:$Q$6</c:f>
              <c:numCache>
                <c:formatCode>General</c:formatCode>
                <c:ptCount val="5"/>
                <c:pt idx="0">
                  <c:v>2020</c:v>
                </c:pt>
                <c:pt idx="1">
                  <c:v>2021</c:v>
                </c:pt>
                <c:pt idx="2">
                  <c:v>2022</c:v>
                </c:pt>
                <c:pt idx="3">
                  <c:v>2023</c:v>
                </c:pt>
                <c:pt idx="4">
                  <c:v>2024</c:v>
                </c:pt>
              </c:numCache>
            </c:numRef>
          </c:xVal>
          <c:yVal>
            <c:numRef>
              <c:f>'Investment Ratio '!$M$8:$Q$8</c:f>
              <c:numCache>
                <c:formatCode>General</c:formatCode>
                <c:ptCount val="5"/>
                <c:pt idx="0">
                  <c:v>43.17</c:v>
                </c:pt>
                <c:pt idx="1">
                  <c:v>304.81</c:v>
                </c:pt>
                <c:pt idx="2" formatCode="#,##0.00">
                  <c:v>3745.36</c:v>
                </c:pt>
                <c:pt idx="3">
                  <c:v>0</c:v>
                </c:pt>
                <c:pt idx="4">
                  <c:v>0</c:v>
                </c:pt>
              </c:numCache>
            </c:numRef>
          </c:yVal>
          <c:smooth val="0"/>
          <c:extLst>
            <c:ext xmlns:c16="http://schemas.microsoft.com/office/drawing/2014/chart" uri="{C3380CC4-5D6E-409C-BE32-E72D297353CC}">
              <c16:uniqueId val="{00000001-60CE-48D3-9C4F-8AD105EB8CFA}"/>
            </c:ext>
          </c:extLst>
        </c:ser>
        <c:ser>
          <c:idx val="2"/>
          <c:order val="2"/>
          <c:tx>
            <c:strRef>
              <c:f>'Investment Ratio '!$L$9</c:f>
              <c:strCache>
                <c:ptCount val="1"/>
                <c:pt idx="0">
                  <c:v>Return on Equity (ROE)</c:v>
                </c:pt>
              </c:strCache>
            </c:strRef>
          </c:tx>
          <c:spPr>
            <a:ln w="28575" cap="rnd">
              <a:solidFill>
                <a:schemeClr val="accent3"/>
              </a:solidFill>
              <a:round/>
            </a:ln>
            <a:effectLst/>
          </c:spPr>
          <c:marker>
            <c:symbol val="circle"/>
            <c:size val="8"/>
            <c:spPr>
              <a:solidFill>
                <a:schemeClr val="accent3">
                  <a:lumMod val="60000"/>
                </a:schemeClr>
              </a:solidFill>
              <a:ln>
                <a:noFill/>
              </a:ln>
              <a:effectLst/>
            </c:spPr>
          </c:marker>
          <c:xVal>
            <c:numRef>
              <c:f>'Investment Ratio '!$M$6:$Q$6</c:f>
              <c:numCache>
                <c:formatCode>General</c:formatCode>
                <c:ptCount val="5"/>
                <c:pt idx="0">
                  <c:v>2020</c:v>
                </c:pt>
                <c:pt idx="1">
                  <c:v>2021</c:v>
                </c:pt>
                <c:pt idx="2">
                  <c:v>2022</c:v>
                </c:pt>
                <c:pt idx="3">
                  <c:v>2023</c:v>
                </c:pt>
                <c:pt idx="4">
                  <c:v>2024</c:v>
                </c:pt>
              </c:numCache>
            </c:numRef>
          </c:xVal>
          <c:yVal>
            <c:numRef>
              <c:f>'Investment Ratio '!$M$9:$Q$9</c:f>
              <c:numCache>
                <c:formatCode>0.00%</c:formatCode>
                <c:ptCount val="5"/>
                <c:pt idx="0">
                  <c:v>0.11890000000000001</c:v>
                </c:pt>
                <c:pt idx="1">
                  <c:v>8.43E-2</c:v>
                </c:pt>
                <c:pt idx="2">
                  <c:v>5.4199999999999998E-2</c:v>
                </c:pt>
                <c:pt idx="3" formatCode="General">
                  <c:v>0</c:v>
                </c:pt>
                <c:pt idx="4" formatCode="General">
                  <c:v>0</c:v>
                </c:pt>
              </c:numCache>
            </c:numRef>
          </c:yVal>
          <c:smooth val="0"/>
          <c:extLst>
            <c:ext xmlns:c16="http://schemas.microsoft.com/office/drawing/2014/chart" uri="{C3380CC4-5D6E-409C-BE32-E72D297353CC}">
              <c16:uniqueId val="{00000002-60CE-48D3-9C4F-8AD105EB8CFA}"/>
            </c:ext>
          </c:extLst>
        </c:ser>
        <c:dLbls>
          <c:showLegendKey val="0"/>
          <c:showVal val="0"/>
          <c:showCatName val="0"/>
          <c:showSerName val="0"/>
          <c:showPercent val="0"/>
          <c:showBubbleSize val="0"/>
        </c:dLbls>
        <c:axId val="891452672"/>
        <c:axId val="891454336"/>
      </c:scatterChart>
      <c:valAx>
        <c:axId val="891452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891454336"/>
        <c:crosses val="autoZero"/>
        <c:crossBetween val="midCat"/>
      </c:valAx>
      <c:valAx>
        <c:axId val="891454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89145267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'Cash Flow Ratios'!$I$8</c:f>
              <c:strCache>
                <c:ptCount val="1"/>
                <c:pt idx="0">
                  <c:v>Operating Cash Flow Ratio</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'Cash Flow Ratios'!$J$7:$N$7</c:f>
              <c:numCache>
                <c:formatCode>General</c:formatCode>
                <c:ptCount val="5"/>
                <c:pt idx="0">
                  <c:v>2020</c:v>
                </c:pt>
                <c:pt idx="1">
                  <c:v>2021</c:v>
                </c:pt>
                <c:pt idx="2">
                  <c:v>2022</c:v>
                </c:pt>
                <c:pt idx="3">
                  <c:v>2023</c:v>
                </c:pt>
                <c:pt idx="4">
                  <c:v>2024</c:v>
                </c:pt>
              </c:numCache>
            </c:numRef>
          </c:cat>
          <c:val>
            <c:numRef>
              <c:f>'Cash Flow Ratios'!$J$8:$N$8</c:f>
              <c:numCache>
                <c:formatCode>General</c:formatCode>
                <c:ptCount val="5"/>
                <c:pt idx="0">
                  <c:v>0.41</c:v>
                </c:pt>
                <c:pt idx="1">
                  <c:v>0.19</c:v>
                </c:pt>
                <c:pt idx="2">
                  <c:v>0.05</c:v>
                </c:pt>
                <c:pt idx="3">
                  <c:v>0.16</c:v>
                </c:pt>
                <c:pt idx="4">
                  <c:v>0.09</c:v>
                </c:pt>
              </c:numCache>
            </c:numRef>
          </c:val>
          <c:extLst>
            <c:ext xmlns:c16="http://schemas.microsoft.com/office/drawing/2014/chart" uri="{C3380CC4-5D6E-409C-BE32-E72D297353CC}">
              <c16:uniqueId val="{00000000-8B3F-46AF-B74C-6D1F17278FB3}"/>
            </c:ext>
          </c:extLst>
        </c:ser>
        <c:ser>
          <c:idx val="1"/>
          <c:order val="1"/>
          <c:tx>
            <c:strRef>
              <c:f>'Cash Flow Ratios'!$I$9</c:f>
              <c:strCache>
                <c:ptCount val="1"/>
                <c:pt idx="0">
                  <c:v>Cash Flow to Debt Ratio</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'Cash Flow Ratios'!$J$7:$N$7</c:f>
              <c:numCache>
                <c:formatCode>General</c:formatCode>
                <c:ptCount val="5"/>
                <c:pt idx="0">
                  <c:v>2020</c:v>
                </c:pt>
                <c:pt idx="1">
                  <c:v>2021</c:v>
                </c:pt>
                <c:pt idx="2">
                  <c:v>2022</c:v>
                </c:pt>
                <c:pt idx="3">
                  <c:v>2023</c:v>
                </c:pt>
                <c:pt idx="4">
                  <c:v>2024</c:v>
                </c:pt>
              </c:numCache>
            </c:numRef>
          </c:cat>
          <c:val>
            <c:numRef>
              <c:f>'Cash Flow Ratios'!$J$9:$N$9</c:f>
              <c:numCache>
                <c:formatCode>General</c:formatCode>
                <c:ptCount val="5"/>
                <c:pt idx="0">
                  <c:v>0.37</c:v>
                </c:pt>
                <c:pt idx="1">
                  <c:v>0.17</c:v>
                </c:pt>
                <c:pt idx="2">
                  <c:v>0.05</c:v>
                </c:pt>
                <c:pt idx="3">
                  <c:v>0.14000000000000001</c:v>
                </c:pt>
                <c:pt idx="4">
                  <c:v>0.09</c:v>
                </c:pt>
              </c:numCache>
            </c:numRef>
          </c:val>
          <c:extLst>
            <c:ext xmlns:c16="http://schemas.microsoft.com/office/drawing/2014/chart" uri="{C3380CC4-5D6E-409C-BE32-E72D297353CC}">
              <c16:uniqueId val="{00000001-8B3F-46AF-B74C-6D1F17278FB3}"/>
            </c:ext>
          </c:extLst>
        </c:ser>
        <c:ser>
          <c:idx val="2"/>
          <c:order val="2"/>
          <c:tx>
            <c:strRef>
              <c:f>'Cash Flow Ratios'!$I$10</c:f>
              <c:strCache>
                <c:ptCount val="1"/>
                <c:pt idx="0">
                  <c:v>Cash Flow Margin</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'Cash Flow Ratios'!$J$7:$N$7</c:f>
              <c:numCache>
                <c:formatCode>General</c:formatCode>
                <c:ptCount val="5"/>
                <c:pt idx="0">
                  <c:v>2020</c:v>
                </c:pt>
                <c:pt idx="1">
                  <c:v>2021</c:v>
                </c:pt>
                <c:pt idx="2">
                  <c:v>2022</c:v>
                </c:pt>
                <c:pt idx="3">
                  <c:v>2023</c:v>
                </c:pt>
                <c:pt idx="4">
                  <c:v>2024</c:v>
                </c:pt>
              </c:numCache>
            </c:numRef>
          </c:cat>
          <c:val>
            <c:numRef>
              <c:f>'Cash Flow Ratios'!$J$10:$N$10</c:f>
              <c:numCache>
                <c:formatCode>0.00%</c:formatCode>
                <c:ptCount val="5"/>
                <c:pt idx="0">
                  <c:v>0.11940000000000001</c:v>
                </c:pt>
                <c:pt idx="1">
                  <c:v>6.7000000000000004E-2</c:v>
                </c:pt>
                <c:pt idx="2">
                  <c:v>2.01E-2</c:v>
                </c:pt>
                <c:pt idx="3">
                  <c:v>5.9900000000000002E-2</c:v>
                </c:pt>
                <c:pt idx="4">
                  <c:v>3.7499999999999999E-2</c:v>
                </c:pt>
              </c:numCache>
            </c:numRef>
          </c:val>
          <c:extLst>
            <c:ext xmlns:c16="http://schemas.microsoft.com/office/drawing/2014/chart" uri="{C3380CC4-5D6E-409C-BE32-E72D297353CC}">
              <c16:uniqueId val="{00000002-8B3F-46AF-B74C-6D1F17278FB3}"/>
            </c:ext>
          </c:extLst>
        </c:ser>
        <c:dLbls>
          <c:showLegendKey val="0"/>
          <c:showVal val="0"/>
          <c:showCatName val="0"/>
          <c:showSerName val="0"/>
          <c:showPercent val="0"/>
          <c:showBubbleSize val="0"/>
        </c:dLbls>
        <c:gapWidth val="50"/>
        <c:shape val="box"/>
        <c:axId val="756703008"/>
        <c:axId val="756697600"/>
        <c:axId val="0"/>
      </c:bar3DChart>
      <c:catAx>
        <c:axId val="756703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756697600"/>
        <c:crosses val="autoZero"/>
        <c:auto val="1"/>
        <c:lblAlgn val="ctr"/>
        <c:lblOffset val="100"/>
        <c:noMultiLvlLbl val="0"/>
      </c:catAx>
      <c:valAx>
        <c:axId val="756697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7567030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89">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lt1">
        <a:lumMod val="65000"/>
        <a:lumOff val="35000"/>
      </a:schemeClr>
    </cs:fontRef>
    <cs:spPr>
      <a:solidFill>
        <a:schemeClr val="dk1">
          <a:lumMod val="15000"/>
          <a:lumOff val="8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lumMod val="60000"/>
        </a:schemeClr>
      </a:solidFill>
    </cs:spPr>
  </cs:dataPointMarker>
  <cs:dataPointMarkerLayout symbol="circle" size="8"/>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2857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25400" cap="flat" cmpd="sng" algn="ctr">
        <a:solidFill>
          <a:schemeClr val="tx1">
            <a:lumMod val="65000"/>
            <a:lumOff val="35000"/>
          </a:schemeClr>
        </a:solidFill>
        <a:round/>
      </a:ln>
    </cs:spPr>
  </cs:hiLoLine>
  <cs:leaderLine>
    <cs:lnRef idx="0"/>
    <cs:fillRef idx="0"/>
    <cs:effectRef idx="0"/>
    <cs:fontRef idx="minor">
      <a:schemeClr val="dk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ajor">
      <a:schemeClr val="tx1">
        <a:lumMod val="65000"/>
        <a:lumOff val="35000"/>
      </a:schemeClr>
    </cs:fontRef>
    <cs:defRPr sz="200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28575">
        <a:solidFill>
          <a:schemeClr val="tx1">
            <a:lumMod val="50000"/>
            <a:lumOff val="50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95">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739F33-42B1-4F48-87FF-155D27702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36</Pages>
  <Words>7766</Words>
  <Characters>44267</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16</cp:revision>
  <dcterms:created xsi:type="dcterms:W3CDTF">2025-12-15T21:17:00Z</dcterms:created>
  <dcterms:modified xsi:type="dcterms:W3CDTF">2025-12-16T09:04:00Z</dcterms:modified>
</cp:coreProperties>
</file>