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8EB5" w14:textId="4E082FA8" w:rsidR="001861B5" w:rsidRPr="002F4717" w:rsidRDefault="005B2660" w:rsidP="00A43DFD">
      <w:pPr>
        <w:spacing w:line="480" w:lineRule="auto"/>
        <w:rPr>
          <w:rFonts w:ascii="Arial" w:hAnsi="Arial" w:cs="Arial"/>
          <w:b/>
          <w:bCs/>
          <w:sz w:val="22"/>
          <w:szCs w:val="22"/>
        </w:rPr>
      </w:pPr>
      <w:r w:rsidRPr="002F4717">
        <w:rPr>
          <w:rFonts w:ascii="Arial" w:hAnsi="Arial" w:cs="Arial"/>
          <w:b/>
          <w:bCs/>
          <w:noProof/>
          <w:sz w:val="22"/>
          <w:szCs w:val="22"/>
        </w:rPr>
        <w:drawing>
          <wp:inline distT="0" distB="0" distL="0" distR="0" wp14:anchorId="2B1912AE" wp14:editId="7BEE5E18">
            <wp:extent cx="2301439" cy="1196444"/>
            <wp:effectExtent l="0" t="0" r="3810" b="3810"/>
            <wp:docPr id="1313687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687325" name=""/>
                    <pic:cNvPicPr/>
                  </pic:nvPicPr>
                  <pic:blipFill>
                    <a:blip r:embed="rId8"/>
                    <a:stretch>
                      <a:fillRect/>
                    </a:stretch>
                  </pic:blipFill>
                  <pic:spPr>
                    <a:xfrm>
                      <a:off x="0" y="0"/>
                      <a:ext cx="2301439" cy="1196444"/>
                    </a:xfrm>
                    <a:prstGeom prst="rect">
                      <a:avLst/>
                    </a:prstGeom>
                  </pic:spPr>
                </pic:pic>
              </a:graphicData>
            </a:graphic>
          </wp:inline>
        </w:drawing>
      </w:r>
    </w:p>
    <w:p w14:paraId="2B9F1C1C" w14:textId="77777777" w:rsidR="00F421EF" w:rsidRPr="002F4717" w:rsidRDefault="00F421EF" w:rsidP="00A43DFD">
      <w:pPr>
        <w:spacing w:line="480" w:lineRule="auto"/>
        <w:rPr>
          <w:rFonts w:ascii="Arial" w:hAnsi="Arial" w:cs="Arial"/>
          <w:b/>
          <w:bCs/>
          <w:sz w:val="22"/>
          <w:szCs w:val="22"/>
        </w:rPr>
      </w:pPr>
    </w:p>
    <w:p w14:paraId="36D5A95F" w14:textId="77777777" w:rsidR="00F421EF" w:rsidRPr="002F4717" w:rsidRDefault="00A43DFD" w:rsidP="00A43DFD">
      <w:pPr>
        <w:spacing w:line="480" w:lineRule="auto"/>
        <w:rPr>
          <w:rFonts w:ascii="Arial" w:hAnsi="Arial" w:cs="Arial"/>
          <w:sz w:val="22"/>
          <w:szCs w:val="22"/>
        </w:rPr>
      </w:pPr>
      <w:r w:rsidRPr="002F4717">
        <w:rPr>
          <w:rFonts w:ascii="Arial" w:hAnsi="Arial" w:cs="Arial"/>
          <w:b/>
          <w:bCs/>
          <w:sz w:val="22"/>
          <w:szCs w:val="22"/>
        </w:rPr>
        <w:t xml:space="preserve">Component 2: </w:t>
      </w:r>
      <w:r w:rsidRPr="002F4717">
        <w:rPr>
          <w:rFonts w:ascii="Arial" w:hAnsi="Arial" w:cs="Arial"/>
          <w:sz w:val="22"/>
          <w:szCs w:val="22"/>
        </w:rPr>
        <w:t>Analytical Report</w:t>
      </w:r>
    </w:p>
    <w:p w14:paraId="25E8313E" w14:textId="42CD5B28" w:rsidR="00A43DFD" w:rsidRPr="002F4717" w:rsidRDefault="00A43DFD" w:rsidP="00A43DFD">
      <w:pPr>
        <w:spacing w:line="480" w:lineRule="auto"/>
        <w:rPr>
          <w:rFonts w:ascii="Arial" w:hAnsi="Arial" w:cs="Arial"/>
          <w:sz w:val="22"/>
          <w:szCs w:val="22"/>
        </w:rPr>
      </w:pPr>
      <w:r w:rsidRPr="002F4717">
        <w:rPr>
          <w:rFonts w:ascii="Arial" w:hAnsi="Arial" w:cs="Arial"/>
          <w:b/>
          <w:bCs/>
          <w:sz w:val="22"/>
          <w:szCs w:val="22"/>
        </w:rPr>
        <w:t>Student Name</w:t>
      </w:r>
      <w:r w:rsidRPr="003935FF">
        <w:rPr>
          <w:rFonts w:ascii="Arial" w:hAnsi="Arial" w:cs="Arial"/>
          <w:sz w:val="22"/>
          <w:szCs w:val="22"/>
        </w:rPr>
        <w:t xml:space="preserve">: </w:t>
      </w:r>
      <w:r w:rsidR="000E04E9" w:rsidRPr="003935FF">
        <w:rPr>
          <w:rFonts w:ascii="Arial" w:hAnsi="Arial" w:cs="Arial"/>
          <w:sz w:val="22"/>
          <w:szCs w:val="22"/>
        </w:rPr>
        <w:t>Agomuo Onuoha Confidence Chinonyerem</w:t>
      </w:r>
    </w:p>
    <w:p w14:paraId="57B5DC02" w14:textId="487EA2A9" w:rsidR="00A43DFD" w:rsidRPr="003935FF" w:rsidRDefault="00A43DFD" w:rsidP="00A43DFD">
      <w:pPr>
        <w:spacing w:line="480" w:lineRule="auto"/>
        <w:rPr>
          <w:rFonts w:ascii="Arial" w:hAnsi="Arial" w:cs="Arial"/>
          <w:sz w:val="22"/>
          <w:szCs w:val="22"/>
        </w:rPr>
      </w:pPr>
      <w:r w:rsidRPr="002F4717">
        <w:rPr>
          <w:rFonts w:ascii="Arial" w:hAnsi="Arial" w:cs="Arial"/>
          <w:b/>
          <w:bCs/>
          <w:sz w:val="22"/>
          <w:szCs w:val="22"/>
        </w:rPr>
        <w:t>Student ID</w:t>
      </w:r>
      <w:r w:rsidRPr="003935FF">
        <w:rPr>
          <w:rFonts w:ascii="Arial" w:hAnsi="Arial" w:cs="Arial"/>
          <w:sz w:val="22"/>
          <w:szCs w:val="22"/>
        </w:rPr>
        <w:t xml:space="preserve">: </w:t>
      </w:r>
      <w:r w:rsidR="000E04E9" w:rsidRPr="003935FF">
        <w:rPr>
          <w:rFonts w:ascii="Arial" w:hAnsi="Arial" w:cs="Arial"/>
          <w:sz w:val="22"/>
          <w:szCs w:val="22"/>
        </w:rPr>
        <w:t>2244624</w:t>
      </w:r>
    </w:p>
    <w:p w14:paraId="76C61350" w14:textId="77777777" w:rsidR="00A43DFD" w:rsidRPr="002F4717" w:rsidRDefault="00A43DFD" w:rsidP="00A43DFD">
      <w:pPr>
        <w:spacing w:line="480" w:lineRule="auto"/>
        <w:rPr>
          <w:rFonts w:ascii="Arial" w:hAnsi="Arial" w:cs="Arial"/>
          <w:b/>
          <w:bCs/>
          <w:sz w:val="22"/>
          <w:szCs w:val="22"/>
        </w:rPr>
      </w:pPr>
      <w:r w:rsidRPr="002F4717">
        <w:rPr>
          <w:rFonts w:ascii="Arial" w:hAnsi="Arial" w:cs="Arial"/>
          <w:b/>
          <w:bCs/>
          <w:sz w:val="22"/>
          <w:szCs w:val="22"/>
        </w:rPr>
        <w:t xml:space="preserve">Module Code: </w:t>
      </w:r>
      <w:r w:rsidRPr="002F4717">
        <w:rPr>
          <w:rFonts w:ascii="Arial" w:hAnsi="Arial" w:cs="Arial"/>
          <w:sz w:val="22"/>
          <w:szCs w:val="22"/>
        </w:rPr>
        <w:t>LCHS7000</w:t>
      </w:r>
    </w:p>
    <w:p w14:paraId="27DFD50E" w14:textId="77777777" w:rsidR="00A43DFD" w:rsidRPr="002F4717" w:rsidRDefault="00A43DFD" w:rsidP="00A43DFD">
      <w:pPr>
        <w:spacing w:line="480" w:lineRule="auto"/>
        <w:rPr>
          <w:rFonts w:ascii="Arial" w:hAnsi="Arial" w:cs="Arial"/>
          <w:b/>
          <w:bCs/>
          <w:sz w:val="22"/>
          <w:szCs w:val="22"/>
        </w:rPr>
      </w:pPr>
      <w:r w:rsidRPr="002F4717">
        <w:rPr>
          <w:rFonts w:ascii="Arial" w:hAnsi="Arial" w:cs="Arial"/>
          <w:b/>
          <w:bCs/>
          <w:sz w:val="22"/>
          <w:szCs w:val="22"/>
        </w:rPr>
        <w:t xml:space="preserve">Module Title: </w:t>
      </w:r>
      <w:r w:rsidRPr="002F4717">
        <w:rPr>
          <w:rFonts w:ascii="Arial" w:hAnsi="Arial" w:cs="Arial"/>
          <w:sz w:val="22"/>
          <w:szCs w:val="22"/>
        </w:rPr>
        <w:t>Social Epidemiology and Public Health Development</w:t>
      </w:r>
    </w:p>
    <w:p w14:paraId="210B0276" w14:textId="3E2FC2DF" w:rsidR="00A43DFD" w:rsidRPr="002F4717" w:rsidRDefault="00A43DFD" w:rsidP="00A43DFD">
      <w:pPr>
        <w:spacing w:line="480" w:lineRule="auto"/>
        <w:rPr>
          <w:rFonts w:ascii="Arial" w:hAnsi="Arial" w:cs="Arial"/>
          <w:b/>
          <w:bCs/>
          <w:sz w:val="22"/>
          <w:szCs w:val="22"/>
        </w:rPr>
      </w:pPr>
      <w:r w:rsidRPr="002F4717">
        <w:rPr>
          <w:rFonts w:ascii="Arial" w:hAnsi="Arial" w:cs="Arial"/>
          <w:b/>
          <w:bCs/>
          <w:sz w:val="22"/>
          <w:szCs w:val="22"/>
        </w:rPr>
        <w:t xml:space="preserve">Module Tutor: </w:t>
      </w:r>
      <w:r w:rsidR="000E04E9" w:rsidRPr="003935FF">
        <w:rPr>
          <w:rFonts w:ascii="Arial" w:hAnsi="Arial" w:cs="Arial"/>
          <w:sz w:val="22"/>
          <w:szCs w:val="22"/>
        </w:rPr>
        <w:t>Itse Olaoye</w:t>
      </w:r>
    </w:p>
    <w:p w14:paraId="4FA96A24" w14:textId="04893BE7" w:rsidR="00A43DFD" w:rsidRPr="003935FF" w:rsidRDefault="00A43DFD" w:rsidP="00A43DFD">
      <w:pPr>
        <w:spacing w:line="480" w:lineRule="auto"/>
        <w:rPr>
          <w:rFonts w:ascii="Arial" w:hAnsi="Arial" w:cs="Arial"/>
          <w:sz w:val="22"/>
          <w:szCs w:val="22"/>
        </w:rPr>
      </w:pPr>
      <w:r w:rsidRPr="002F4717">
        <w:rPr>
          <w:rFonts w:ascii="Arial" w:hAnsi="Arial" w:cs="Arial"/>
          <w:b/>
          <w:bCs/>
          <w:sz w:val="22"/>
          <w:szCs w:val="22"/>
        </w:rPr>
        <w:t xml:space="preserve">Submission Date: </w:t>
      </w:r>
      <w:r w:rsidR="000E04E9" w:rsidRPr="003935FF">
        <w:rPr>
          <w:rFonts w:ascii="Arial" w:hAnsi="Arial" w:cs="Arial"/>
          <w:sz w:val="22"/>
          <w:szCs w:val="22"/>
        </w:rPr>
        <w:t>19</w:t>
      </w:r>
      <w:r w:rsidR="000E04E9" w:rsidRPr="003935FF">
        <w:rPr>
          <w:rFonts w:ascii="Arial" w:hAnsi="Arial" w:cs="Arial"/>
          <w:sz w:val="22"/>
          <w:szCs w:val="22"/>
          <w:vertAlign w:val="superscript"/>
        </w:rPr>
        <w:t>th</w:t>
      </w:r>
      <w:r w:rsidR="000E04E9" w:rsidRPr="003935FF">
        <w:rPr>
          <w:rFonts w:ascii="Arial" w:hAnsi="Arial" w:cs="Arial"/>
          <w:sz w:val="22"/>
          <w:szCs w:val="22"/>
        </w:rPr>
        <w:t xml:space="preserve"> August 2026</w:t>
      </w:r>
    </w:p>
    <w:p w14:paraId="60B82E3C" w14:textId="347E8C29" w:rsidR="00A43DFD" w:rsidRPr="002F4717" w:rsidRDefault="00A43DFD" w:rsidP="00A43DFD">
      <w:pPr>
        <w:spacing w:line="480" w:lineRule="auto"/>
        <w:rPr>
          <w:rFonts w:ascii="Arial" w:hAnsi="Arial" w:cs="Arial"/>
          <w:b/>
          <w:bCs/>
          <w:sz w:val="22"/>
          <w:szCs w:val="22"/>
        </w:rPr>
      </w:pPr>
      <w:r w:rsidRPr="002F4717">
        <w:rPr>
          <w:rFonts w:ascii="Arial" w:hAnsi="Arial" w:cs="Arial"/>
          <w:b/>
          <w:bCs/>
          <w:sz w:val="22"/>
          <w:szCs w:val="22"/>
        </w:rPr>
        <w:t xml:space="preserve">Word Count: </w:t>
      </w:r>
      <w:r w:rsidR="00CA6F00" w:rsidRPr="002F4717">
        <w:rPr>
          <w:rFonts w:ascii="Arial" w:hAnsi="Arial" w:cs="Arial"/>
          <w:sz w:val="22"/>
          <w:szCs w:val="22"/>
        </w:rPr>
        <w:t>2</w:t>
      </w:r>
      <w:r w:rsidR="000E04E9">
        <w:rPr>
          <w:rFonts w:ascii="Arial" w:hAnsi="Arial" w:cs="Arial"/>
          <w:sz w:val="22"/>
          <w:szCs w:val="22"/>
        </w:rPr>
        <w:t>500 words</w:t>
      </w:r>
    </w:p>
    <w:p w14:paraId="6E6502CE" w14:textId="77777777" w:rsidR="00A43DFD" w:rsidRPr="002F4717" w:rsidRDefault="00A43DFD">
      <w:pPr>
        <w:rPr>
          <w:rFonts w:ascii="Arial" w:hAnsi="Arial" w:cs="Arial"/>
          <w:b/>
          <w:bCs/>
          <w:sz w:val="22"/>
          <w:szCs w:val="22"/>
        </w:rPr>
      </w:pPr>
      <w:r w:rsidRPr="002F4717">
        <w:rPr>
          <w:rFonts w:ascii="Arial" w:hAnsi="Arial" w:cs="Arial"/>
          <w:b/>
          <w:bCs/>
          <w:sz w:val="22"/>
          <w:szCs w:val="22"/>
        </w:rPr>
        <w:br w:type="page"/>
      </w:r>
    </w:p>
    <w:p w14:paraId="78FDE538" w14:textId="14D299DA" w:rsidR="007D1964" w:rsidRPr="00E42786" w:rsidRDefault="007D1964" w:rsidP="00F413B1">
      <w:pPr>
        <w:spacing w:line="480" w:lineRule="auto"/>
        <w:rPr>
          <w:rFonts w:ascii="Arial" w:hAnsi="Arial" w:cs="Arial"/>
          <w:b/>
          <w:bCs/>
        </w:rPr>
      </w:pPr>
      <w:r w:rsidRPr="00E42786">
        <w:rPr>
          <w:rFonts w:ascii="Arial" w:hAnsi="Arial" w:cs="Arial"/>
          <w:b/>
          <w:bCs/>
        </w:rPr>
        <w:lastRenderedPageBreak/>
        <w:t>Task 1: Gender Health Inequalities Among Women in the United Kingdom</w:t>
      </w:r>
    </w:p>
    <w:p w14:paraId="681E5686" w14:textId="605005DD" w:rsidR="00C37563" w:rsidRPr="008B02FE" w:rsidRDefault="00C37563" w:rsidP="00F413B1">
      <w:pPr>
        <w:spacing w:line="480" w:lineRule="auto"/>
        <w:rPr>
          <w:rFonts w:ascii="Arial" w:hAnsi="Arial" w:cs="Arial"/>
          <w:b/>
          <w:bCs/>
          <w:sz w:val="28"/>
          <w:szCs w:val="28"/>
        </w:rPr>
      </w:pPr>
      <w:r w:rsidRPr="002F4717">
        <w:rPr>
          <w:rFonts w:ascii="Arial" w:hAnsi="Arial" w:cs="Arial"/>
          <w:b/>
          <w:bCs/>
          <w:sz w:val="22"/>
          <w:szCs w:val="22"/>
        </w:rPr>
        <w:t>1</w:t>
      </w:r>
      <w:r w:rsidRPr="008B02FE">
        <w:rPr>
          <w:rFonts w:ascii="Arial" w:hAnsi="Arial" w:cs="Arial"/>
          <w:b/>
          <w:bCs/>
          <w:sz w:val="28"/>
          <w:szCs w:val="28"/>
        </w:rPr>
        <w:t xml:space="preserve">. Introduction </w:t>
      </w:r>
    </w:p>
    <w:p w14:paraId="0405ABD3" w14:textId="6BDFAD01" w:rsidR="00C37563" w:rsidRPr="002F4717" w:rsidRDefault="00A5776A" w:rsidP="00BF0620">
      <w:pPr>
        <w:spacing w:line="360" w:lineRule="auto"/>
        <w:rPr>
          <w:rFonts w:ascii="Arial" w:hAnsi="Arial" w:cs="Arial"/>
          <w:sz w:val="22"/>
          <w:szCs w:val="22"/>
        </w:rPr>
      </w:pPr>
      <w:r w:rsidRPr="002F4717">
        <w:rPr>
          <w:rFonts w:ascii="Arial" w:hAnsi="Arial" w:cs="Arial"/>
          <w:sz w:val="22"/>
          <w:szCs w:val="22"/>
        </w:rPr>
        <w:t>Gender health inequalities are preventable differences in health status, access to healthcare, and wellbeing based on biological, social, economic</w:t>
      </w:r>
      <w:r w:rsidR="000A619D" w:rsidRPr="002F4717">
        <w:rPr>
          <w:rFonts w:ascii="Arial" w:hAnsi="Arial" w:cs="Arial"/>
          <w:sz w:val="22"/>
          <w:szCs w:val="22"/>
        </w:rPr>
        <w:t>,</w:t>
      </w:r>
      <w:r w:rsidRPr="002F4717">
        <w:rPr>
          <w:rFonts w:ascii="Arial" w:hAnsi="Arial" w:cs="Arial"/>
          <w:sz w:val="22"/>
          <w:szCs w:val="22"/>
        </w:rPr>
        <w:t xml:space="preserve"> and cultural conditions. While UK women have a longer life expectancy than men, there are still substantial differences in physical and mental health, access to health services</w:t>
      </w:r>
      <w:r w:rsidR="000A619D" w:rsidRPr="002F4717">
        <w:rPr>
          <w:rFonts w:ascii="Arial" w:hAnsi="Arial" w:cs="Arial"/>
          <w:sz w:val="22"/>
          <w:szCs w:val="22"/>
        </w:rPr>
        <w:t>,</w:t>
      </w:r>
      <w:r w:rsidRPr="002F4717">
        <w:rPr>
          <w:rFonts w:ascii="Arial" w:hAnsi="Arial" w:cs="Arial"/>
          <w:sz w:val="22"/>
          <w:szCs w:val="22"/>
        </w:rPr>
        <w:t xml:space="preserve"> and other social factors affecting wellbeing. The disparities are persistent, reflecting the importance of gender in shaping health and the need for more specific public health strategies. This report critically reviews key health and social inequalities faced by women in the United Kingdom</w:t>
      </w:r>
      <w:r w:rsidR="000A619D" w:rsidRPr="002F4717">
        <w:rPr>
          <w:rFonts w:ascii="Arial" w:hAnsi="Arial" w:cs="Arial"/>
          <w:sz w:val="22"/>
          <w:szCs w:val="22"/>
        </w:rPr>
        <w:t>, reviews existing national work to tackle these inequalities, and</w:t>
      </w:r>
      <w:r w:rsidRPr="002F4717">
        <w:rPr>
          <w:rFonts w:ascii="Arial" w:hAnsi="Arial" w:cs="Arial"/>
          <w:sz w:val="22"/>
          <w:szCs w:val="22"/>
        </w:rPr>
        <w:t xml:space="preserve"> considers how Women's Aid can help to achieve health equity and enhance women's wellbeing.</w:t>
      </w:r>
    </w:p>
    <w:p w14:paraId="3BF00428" w14:textId="77777777" w:rsidR="00360D5F" w:rsidRPr="008B02FE" w:rsidRDefault="00360D5F" w:rsidP="00360D5F">
      <w:pPr>
        <w:spacing w:line="480" w:lineRule="auto"/>
        <w:rPr>
          <w:rFonts w:ascii="Arial" w:hAnsi="Arial" w:cs="Arial"/>
          <w:b/>
          <w:bCs/>
          <w:sz w:val="28"/>
          <w:szCs w:val="28"/>
        </w:rPr>
      </w:pPr>
      <w:r w:rsidRPr="002F4717">
        <w:rPr>
          <w:rFonts w:ascii="Arial" w:hAnsi="Arial" w:cs="Arial"/>
          <w:b/>
          <w:bCs/>
          <w:sz w:val="22"/>
          <w:szCs w:val="22"/>
        </w:rPr>
        <w:t>2</w:t>
      </w:r>
      <w:r w:rsidRPr="008B02FE">
        <w:rPr>
          <w:rFonts w:ascii="Arial" w:hAnsi="Arial" w:cs="Arial"/>
          <w:b/>
          <w:bCs/>
          <w:sz w:val="28"/>
          <w:szCs w:val="28"/>
        </w:rPr>
        <w:t>. Contextual Background and Underlying Factors</w:t>
      </w:r>
    </w:p>
    <w:p w14:paraId="01DC4781" w14:textId="77777777" w:rsidR="00360D5F" w:rsidRPr="008B02FE" w:rsidRDefault="00360D5F" w:rsidP="00360D5F">
      <w:pPr>
        <w:spacing w:line="480" w:lineRule="auto"/>
        <w:rPr>
          <w:rFonts w:ascii="Arial" w:hAnsi="Arial" w:cs="Arial"/>
          <w:b/>
          <w:bCs/>
          <w:sz w:val="28"/>
          <w:szCs w:val="28"/>
        </w:rPr>
      </w:pPr>
      <w:r w:rsidRPr="002F4717">
        <w:rPr>
          <w:rFonts w:ascii="Arial" w:hAnsi="Arial" w:cs="Arial"/>
          <w:b/>
          <w:bCs/>
          <w:sz w:val="22"/>
          <w:szCs w:val="22"/>
        </w:rPr>
        <w:t xml:space="preserve">2.1 </w:t>
      </w:r>
      <w:r w:rsidRPr="008B02FE">
        <w:rPr>
          <w:rFonts w:ascii="Arial" w:hAnsi="Arial" w:cs="Arial"/>
          <w:b/>
          <w:bCs/>
          <w:sz w:val="28"/>
          <w:szCs w:val="28"/>
        </w:rPr>
        <w:t>Mental Health Disorders Among Women</w:t>
      </w:r>
    </w:p>
    <w:p w14:paraId="7AAFD296" w14:textId="28F03B0E" w:rsidR="00360D5F" w:rsidRPr="002F4717" w:rsidRDefault="00001D44" w:rsidP="00747E23">
      <w:pPr>
        <w:spacing w:line="360" w:lineRule="auto"/>
        <w:rPr>
          <w:rFonts w:ascii="Arial" w:hAnsi="Arial" w:cs="Arial"/>
          <w:sz w:val="22"/>
          <w:szCs w:val="22"/>
        </w:rPr>
      </w:pPr>
      <w:r w:rsidRPr="002F4717">
        <w:rPr>
          <w:rFonts w:ascii="Arial" w:hAnsi="Arial" w:cs="Arial"/>
          <w:sz w:val="22"/>
          <w:szCs w:val="22"/>
        </w:rPr>
        <w:t xml:space="preserve">There is </w:t>
      </w:r>
      <w:r w:rsidR="000A619D" w:rsidRPr="002F4717">
        <w:rPr>
          <w:rFonts w:ascii="Arial" w:hAnsi="Arial" w:cs="Arial"/>
          <w:sz w:val="22"/>
          <w:szCs w:val="22"/>
        </w:rPr>
        <w:t xml:space="preserve">a </w:t>
      </w:r>
      <w:r w:rsidRPr="002F4717">
        <w:rPr>
          <w:rFonts w:ascii="Arial" w:hAnsi="Arial" w:cs="Arial"/>
          <w:sz w:val="22"/>
          <w:szCs w:val="22"/>
        </w:rPr>
        <w:t>definite gender disparity in mental health status. The UK Mental Health Foundation (2025) found that in 2022/23, 37.1% of women compared to 29.9% of men reported high levels of anxiety. This imbalance is linked to gender-based violence, caring responsibilities, discrimination, gender-specific socio-economic stressors</w:t>
      </w:r>
      <w:r w:rsidR="000A619D" w:rsidRPr="002F4717">
        <w:rPr>
          <w:rFonts w:ascii="Arial" w:hAnsi="Arial" w:cs="Arial"/>
          <w:sz w:val="22"/>
          <w:szCs w:val="22"/>
        </w:rPr>
        <w:t>,</w:t>
      </w:r>
      <w:r w:rsidRPr="002F4717">
        <w:rPr>
          <w:rFonts w:ascii="Arial" w:hAnsi="Arial" w:cs="Arial"/>
          <w:sz w:val="22"/>
          <w:szCs w:val="22"/>
        </w:rPr>
        <w:t xml:space="preserve"> and others. According to the authors </w:t>
      </w:r>
      <w:r w:rsidR="000A619D" w:rsidRPr="002F4717">
        <w:rPr>
          <w:rFonts w:ascii="Arial" w:hAnsi="Arial" w:cs="Arial"/>
          <w:sz w:val="22"/>
          <w:szCs w:val="22"/>
        </w:rPr>
        <w:t>Abel and Newbigging (2018), inadequate and poorly gender-sensitive services may leave women's mental health needs unfulfilled</w:t>
      </w:r>
      <w:r w:rsidRPr="002F4717">
        <w:rPr>
          <w:rFonts w:ascii="Arial" w:hAnsi="Arial" w:cs="Arial"/>
          <w:sz w:val="22"/>
          <w:szCs w:val="22"/>
        </w:rPr>
        <w:t>. Access to gender responsive and trauma-informed services, early intervention</w:t>
      </w:r>
      <w:r w:rsidR="000A619D" w:rsidRPr="002F4717">
        <w:rPr>
          <w:rFonts w:ascii="Arial" w:hAnsi="Arial" w:cs="Arial"/>
          <w:sz w:val="22"/>
          <w:szCs w:val="22"/>
        </w:rPr>
        <w:t>,</w:t>
      </w:r>
      <w:r w:rsidRPr="002F4717">
        <w:rPr>
          <w:rFonts w:ascii="Arial" w:hAnsi="Arial" w:cs="Arial"/>
          <w:sz w:val="22"/>
          <w:szCs w:val="22"/>
        </w:rPr>
        <w:t xml:space="preserve"> and integrated services are needed to respond to this inequality. </w:t>
      </w:r>
    </w:p>
    <w:p w14:paraId="462EC393" w14:textId="77777777" w:rsidR="00360D5F" w:rsidRPr="00E42786" w:rsidRDefault="00360D5F" w:rsidP="00360D5F">
      <w:pPr>
        <w:spacing w:line="480" w:lineRule="auto"/>
        <w:rPr>
          <w:rFonts w:ascii="Arial" w:hAnsi="Arial" w:cs="Arial"/>
          <w:b/>
          <w:bCs/>
          <w:sz w:val="28"/>
          <w:szCs w:val="28"/>
        </w:rPr>
      </w:pPr>
      <w:r w:rsidRPr="002F4717">
        <w:rPr>
          <w:rFonts w:ascii="Arial" w:hAnsi="Arial" w:cs="Arial"/>
          <w:b/>
          <w:bCs/>
          <w:sz w:val="22"/>
          <w:szCs w:val="22"/>
        </w:rPr>
        <w:t xml:space="preserve">2.2 </w:t>
      </w:r>
      <w:r w:rsidRPr="00E42786">
        <w:rPr>
          <w:rFonts w:ascii="Arial" w:hAnsi="Arial" w:cs="Arial"/>
          <w:b/>
          <w:bCs/>
          <w:sz w:val="28"/>
          <w:szCs w:val="28"/>
        </w:rPr>
        <w:t>Breast and Cervical Cancer Inequalities</w:t>
      </w:r>
    </w:p>
    <w:p w14:paraId="0B11AB5B" w14:textId="4FEB1FCC" w:rsidR="00360D5F" w:rsidRPr="002F4717" w:rsidRDefault="0058688A" w:rsidP="00BF0620">
      <w:pPr>
        <w:spacing w:line="360" w:lineRule="auto"/>
        <w:rPr>
          <w:rFonts w:ascii="Arial" w:hAnsi="Arial" w:cs="Arial"/>
          <w:sz w:val="22"/>
          <w:szCs w:val="22"/>
        </w:rPr>
      </w:pPr>
      <w:r w:rsidRPr="002F4717">
        <w:rPr>
          <w:rFonts w:ascii="Arial" w:hAnsi="Arial" w:cs="Arial"/>
          <w:sz w:val="22"/>
          <w:szCs w:val="22"/>
        </w:rPr>
        <w:t xml:space="preserve">Inequalities in breast cancer and cervical cancer rates exist between women in the UK. Coverage for cervical screening in England was around 68.8% of women aged 25-49 in 2023-24, meaning that many women were not screened (Bolarinwa and Holt, 2023), and Black females are around 40% more likely to die from breast cancer than White females. These differences are linked to socio-economic </w:t>
      </w:r>
      <w:r w:rsidR="000A619D" w:rsidRPr="002F4717">
        <w:rPr>
          <w:rFonts w:ascii="Arial" w:hAnsi="Arial" w:cs="Arial"/>
          <w:sz w:val="22"/>
          <w:szCs w:val="22"/>
        </w:rPr>
        <w:t>disadvantages</w:t>
      </w:r>
      <w:r w:rsidRPr="002F4717">
        <w:rPr>
          <w:rFonts w:ascii="Arial" w:hAnsi="Arial" w:cs="Arial"/>
          <w:sz w:val="22"/>
          <w:szCs w:val="22"/>
        </w:rPr>
        <w:t>, cultural attitudes, language, low health literacy</w:t>
      </w:r>
      <w:r w:rsidR="000A619D" w:rsidRPr="002F4717">
        <w:rPr>
          <w:rFonts w:ascii="Arial" w:hAnsi="Arial" w:cs="Arial"/>
          <w:sz w:val="22"/>
          <w:szCs w:val="22"/>
        </w:rPr>
        <w:t>,</w:t>
      </w:r>
      <w:r w:rsidRPr="002F4717">
        <w:rPr>
          <w:rFonts w:ascii="Arial" w:hAnsi="Arial" w:cs="Arial"/>
          <w:sz w:val="22"/>
          <w:szCs w:val="22"/>
        </w:rPr>
        <w:t xml:space="preserve"> and service access issues. Culturally appropriate education, community outreach, </w:t>
      </w:r>
      <w:r w:rsidRPr="002F4717">
        <w:rPr>
          <w:rFonts w:ascii="Arial" w:hAnsi="Arial" w:cs="Arial"/>
          <w:sz w:val="22"/>
          <w:szCs w:val="22"/>
        </w:rPr>
        <w:lastRenderedPageBreak/>
        <w:t>reducing appointment times for screening, and engaging with vulnerable populations in a way that allows for earlier detection and survival (Cotterill, 2022).</w:t>
      </w:r>
    </w:p>
    <w:p w14:paraId="3FE78A71" w14:textId="77777777" w:rsidR="00360D5F" w:rsidRPr="00E42786" w:rsidRDefault="00360D5F" w:rsidP="00BF0620">
      <w:pPr>
        <w:spacing w:line="360" w:lineRule="auto"/>
        <w:rPr>
          <w:rFonts w:ascii="Arial" w:hAnsi="Arial" w:cs="Arial"/>
          <w:b/>
          <w:bCs/>
          <w:sz w:val="28"/>
          <w:szCs w:val="28"/>
        </w:rPr>
      </w:pPr>
      <w:r w:rsidRPr="002F4717">
        <w:rPr>
          <w:rFonts w:ascii="Arial" w:hAnsi="Arial" w:cs="Arial"/>
          <w:b/>
          <w:bCs/>
          <w:sz w:val="22"/>
          <w:szCs w:val="22"/>
        </w:rPr>
        <w:t xml:space="preserve">2.3 </w:t>
      </w:r>
      <w:r w:rsidRPr="00E42786">
        <w:rPr>
          <w:rFonts w:ascii="Arial" w:hAnsi="Arial" w:cs="Arial"/>
          <w:b/>
          <w:bCs/>
          <w:sz w:val="28"/>
          <w:szCs w:val="28"/>
        </w:rPr>
        <w:t>Maternal Morbidity and Mortality</w:t>
      </w:r>
    </w:p>
    <w:p w14:paraId="30B6D65C" w14:textId="38EB57C8" w:rsidR="00360D5F" w:rsidRPr="002F4717" w:rsidRDefault="00E3690C" w:rsidP="00BF0620">
      <w:pPr>
        <w:spacing w:line="360" w:lineRule="auto"/>
        <w:rPr>
          <w:rFonts w:ascii="Arial" w:hAnsi="Arial" w:cs="Arial"/>
          <w:sz w:val="22"/>
          <w:szCs w:val="22"/>
        </w:rPr>
      </w:pPr>
      <w:r w:rsidRPr="002F4717">
        <w:rPr>
          <w:rFonts w:ascii="Arial" w:hAnsi="Arial" w:cs="Arial"/>
          <w:sz w:val="22"/>
          <w:szCs w:val="22"/>
        </w:rPr>
        <w:t xml:space="preserve">There are significant ethnic disparities in the UK in terms of maternal mortality. MBRRACE-UK (2025) reported 29 maternal deaths per 100,000 maternities among Black women, compared with 10 per 100,000 among White women, while Asian women experienced 17 deaths per 100,000 maternities. These inequalities are linked to social </w:t>
      </w:r>
      <w:r w:rsidR="000A619D" w:rsidRPr="002F4717">
        <w:rPr>
          <w:rFonts w:ascii="Arial" w:hAnsi="Arial" w:cs="Arial"/>
          <w:sz w:val="22"/>
          <w:szCs w:val="22"/>
        </w:rPr>
        <w:t>disadvantages</w:t>
      </w:r>
      <w:r w:rsidRPr="002F4717">
        <w:rPr>
          <w:rFonts w:ascii="Arial" w:hAnsi="Arial" w:cs="Arial"/>
          <w:sz w:val="22"/>
          <w:szCs w:val="22"/>
        </w:rPr>
        <w:t>, discrimination</w:t>
      </w:r>
      <w:r w:rsidR="000A619D" w:rsidRPr="002F4717">
        <w:rPr>
          <w:rFonts w:ascii="Arial" w:hAnsi="Arial" w:cs="Arial"/>
          <w:sz w:val="22"/>
          <w:szCs w:val="22"/>
        </w:rPr>
        <w:t>, lack of access to maternity care,</w:t>
      </w:r>
      <w:r w:rsidRPr="002F4717">
        <w:rPr>
          <w:rFonts w:ascii="Arial" w:hAnsi="Arial" w:cs="Arial"/>
          <w:sz w:val="22"/>
          <w:szCs w:val="22"/>
        </w:rPr>
        <w:t xml:space="preserve"> and lack of addressing individual healthcare needs. </w:t>
      </w:r>
      <w:r w:rsidR="000A619D" w:rsidRPr="002F4717">
        <w:rPr>
          <w:rFonts w:ascii="Arial" w:hAnsi="Arial" w:cs="Arial"/>
          <w:sz w:val="22"/>
          <w:szCs w:val="22"/>
        </w:rPr>
        <w:t>Reducing</w:t>
      </w:r>
      <w:r w:rsidRPr="002F4717">
        <w:rPr>
          <w:rFonts w:ascii="Arial" w:hAnsi="Arial" w:cs="Arial"/>
          <w:sz w:val="22"/>
          <w:szCs w:val="22"/>
        </w:rPr>
        <w:t xml:space="preserve"> inequalities is a priority for the Department for Health and Social Care (2026). </w:t>
      </w:r>
      <w:r w:rsidR="00001D44" w:rsidRPr="002F4717">
        <w:rPr>
          <w:rFonts w:ascii="Arial" w:hAnsi="Arial" w:cs="Arial"/>
          <w:sz w:val="22"/>
          <w:szCs w:val="22"/>
        </w:rPr>
        <w:t xml:space="preserve"> </w:t>
      </w:r>
    </w:p>
    <w:p w14:paraId="714A61EF" w14:textId="77777777" w:rsidR="00360D5F" w:rsidRPr="00E42786" w:rsidRDefault="00360D5F" w:rsidP="00BF0620">
      <w:pPr>
        <w:spacing w:line="360" w:lineRule="auto"/>
        <w:rPr>
          <w:rFonts w:ascii="Arial" w:hAnsi="Arial" w:cs="Arial"/>
          <w:b/>
          <w:bCs/>
          <w:sz w:val="28"/>
          <w:szCs w:val="28"/>
        </w:rPr>
      </w:pPr>
      <w:r w:rsidRPr="002F4717">
        <w:rPr>
          <w:rFonts w:ascii="Arial" w:hAnsi="Arial" w:cs="Arial"/>
          <w:b/>
          <w:bCs/>
          <w:sz w:val="22"/>
          <w:szCs w:val="22"/>
        </w:rPr>
        <w:t xml:space="preserve">2.4 </w:t>
      </w:r>
      <w:r w:rsidRPr="00E42786">
        <w:rPr>
          <w:rFonts w:ascii="Arial" w:hAnsi="Arial" w:cs="Arial"/>
          <w:b/>
          <w:bCs/>
          <w:sz w:val="28"/>
          <w:szCs w:val="28"/>
        </w:rPr>
        <w:t>Gender-Based Violence</w:t>
      </w:r>
    </w:p>
    <w:p w14:paraId="4D9BF7D9" w14:textId="6AF0476C" w:rsidR="00360D5F" w:rsidRDefault="0077762F" w:rsidP="00BF0620">
      <w:pPr>
        <w:spacing w:line="360" w:lineRule="auto"/>
        <w:rPr>
          <w:rFonts w:ascii="Arial" w:hAnsi="Arial" w:cs="Arial"/>
          <w:sz w:val="22"/>
          <w:szCs w:val="22"/>
        </w:rPr>
      </w:pPr>
      <w:r w:rsidRPr="002F4717">
        <w:rPr>
          <w:rFonts w:ascii="Arial" w:hAnsi="Arial" w:cs="Arial"/>
          <w:sz w:val="22"/>
          <w:szCs w:val="22"/>
        </w:rPr>
        <w:t>Gender-based violence is a major public health inequality affecting women in the UK. Government data indicate that approximately 1.</w:t>
      </w:r>
      <w:r w:rsidR="00FC7C94" w:rsidRPr="002F4717">
        <w:rPr>
          <w:rFonts w:ascii="Arial" w:hAnsi="Arial" w:cs="Arial"/>
          <w:sz w:val="22"/>
          <w:szCs w:val="22"/>
        </w:rPr>
        <w:t>6</w:t>
      </w:r>
      <w:r w:rsidRPr="002F4717">
        <w:rPr>
          <w:rFonts w:ascii="Arial" w:hAnsi="Arial" w:cs="Arial"/>
          <w:sz w:val="22"/>
          <w:szCs w:val="22"/>
        </w:rPr>
        <w:t xml:space="preserve"> million women experienced domestic abuse in England and Wales in the year ending March 2024, demonstrating the scale of the problem (</w:t>
      </w:r>
      <w:r w:rsidR="00FC7C94" w:rsidRPr="002F4717">
        <w:rPr>
          <w:rFonts w:ascii="Arial" w:hAnsi="Arial" w:cs="Arial"/>
          <w:sz w:val="22"/>
          <w:szCs w:val="22"/>
        </w:rPr>
        <w:t>Office for National Statistics</w:t>
      </w:r>
      <w:r w:rsidRPr="002F4717">
        <w:rPr>
          <w:rFonts w:ascii="Arial" w:hAnsi="Arial" w:cs="Arial"/>
          <w:sz w:val="22"/>
          <w:szCs w:val="22"/>
        </w:rPr>
        <w:t>, 202</w:t>
      </w:r>
      <w:r w:rsidR="00FC7C94" w:rsidRPr="002F4717">
        <w:rPr>
          <w:rFonts w:ascii="Arial" w:hAnsi="Arial" w:cs="Arial"/>
          <w:sz w:val="22"/>
          <w:szCs w:val="22"/>
        </w:rPr>
        <w:t>4</w:t>
      </w:r>
      <w:r w:rsidRPr="002F4717">
        <w:rPr>
          <w:rFonts w:ascii="Arial" w:hAnsi="Arial" w:cs="Arial"/>
          <w:sz w:val="22"/>
          <w:szCs w:val="22"/>
        </w:rPr>
        <w:t xml:space="preserve">). Violence can result in physical injury, psychological distress, long-term health problems and social </w:t>
      </w:r>
      <w:r w:rsidR="002F4717" w:rsidRPr="002F4717">
        <w:rPr>
          <w:rFonts w:ascii="Arial" w:hAnsi="Arial" w:cs="Arial"/>
          <w:sz w:val="22"/>
          <w:szCs w:val="22"/>
        </w:rPr>
        <w:t>disadvantages</w:t>
      </w:r>
      <w:r w:rsidRPr="002F4717">
        <w:rPr>
          <w:rFonts w:ascii="Arial" w:hAnsi="Arial" w:cs="Arial"/>
          <w:sz w:val="22"/>
          <w:szCs w:val="22"/>
        </w:rPr>
        <w:t xml:space="preserve">. Contributing factors include gender inequality, harmful social norms, economic dependency and barriers to reporting abuse. Solutions include sustained investment in specialist services, </w:t>
      </w:r>
      <w:r w:rsidR="002F4717" w:rsidRPr="002F4717">
        <w:rPr>
          <w:rFonts w:ascii="Arial" w:hAnsi="Arial" w:cs="Arial"/>
          <w:sz w:val="22"/>
          <w:szCs w:val="22"/>
        </w:rPr>
        <w:t>survivor-centered healthcare, safe housing and coordinated support across health, social care, justice and community organisations</w:t>
      </w:r>
      <w:r w:rsidRPr="002F4717">
        <w:rPr>
          <w:rFonts w:ascii="Arial" w:hAnsi="Arial" w:cs="Arial"/>
          <w:sz w:val="22"/>
          <w:szCs w:val="22"/>
        </w:rPr>
        <w:t xml:space="preserve"> (Women's Aid, 2025).</w:t>
      </w:r>
      <w:r w:rsidR="00246F1B" w:rsidRPr="002F4717">
        <w:rPr>
          <w:rFonts w:ascii="Arial" w:hAnsi="Arial" w:cs="Arial"/>
          <w:sz w:val="22"/>
          <w:szCs w:val="22"/>
        </w:rPr>
        <w:t xml:space="preserve"> </w:t>
      </w:r>
    </w:p>
    <w:p w14:paraId="7E22C006" w14:textId="77777777" w:rsidR="00F825B4" w:rsidRPr="002F4717" w:rsidRDefault="00F825B4" w:rsidP="00BF0620">
      <w:pPr>
        <w:spacing w:line="360" w:lineRule="auto"/>
        <w:rPr>
          <w:rFonts w:ascii="Arial" w:hAnsi="Arial" w:cs="Arial"/>
          <w:sz w:val="22"/>
          <w:szCs w:val="22"/>
        </w:rPr>
      </w:pPr>
    </w:p>
    <w:p w14:paraId="73801A91" w14:textId="77777777" w:rsidR="00360D5F" w:rsidRPr="002F4717" w:rsidRDefault="00360D5F" w:rsidP="00BF0620">
      <w:pPr>
        <w:spacing w:line="360" w:lineRule="auto"/>
        <w:rPr>
          <w:rFonts w:ascii="Arial" w:hAnsi="Arial" w:cs="Arial"/>
          <w:b/>
          <w:bCs/>
          <w:sz w:val="22"/>
          <w:szCs w:val="22"/>
        </w:rPr>
      </w:pPr>
      <w:r w:rsidRPr="002F4717">
        <w:rPr>
          <w:rFonts w:ascii="Arial" w:hAnsi="Arial" w:cs="Arial"/>
          <w:b/>
          <w:bCs/>
          <w:sz w:val="22"/>
          <w:szCs w:val="22"/>
        </w:rPr>
        <w:t xml:space="preserve">2.5 </w:t>
      </w:r>
      <w:r w:rsidRPr="00E42786">
        <w:rPr>
          <w:rFonts w:ascii="Arial" w:hAnsi="Arial" w:cs="Arial"/>
          <w:b/>
          <w:bCs/>
          <w:sz w:val="28"/>
          <w:szCs w:val="28"/>
        </w:rPr>
        <w:t>Gender Pay Gap and Poverty</w:t>
      </w:r>
    </w:p>
    <w:p w14:paraId="14882B9B" w14:textId="7212CE91" w:rsidR="00360D5F" w:rsidRPr="002F4717" w:rsidRDefault="008953AC" w:rsidP="00BF0620">
      <w:pPr>
        <w:spacing w:line="360" w:lineRule="auto"/>
        <w:rPr>
          <w:rFonts w:ascii="Arial" w:hAnsi="Arial" w:cs="Arial"/>
          <w:sz w:val="22"/>
          <w:szCs w:val="22"/>
        </w:rPr>
      </w:pPr>
      <w:r w:rsidRPr="002F4717">
        <w:rPr>
          <w:rFonts w:ascii="Arial" w:hAnsi="Arial" w:cs="Arial"/>
          <w:sz w:val="22"/>
          <w:szCs w:val="22"/>
        </w:rPr>
        <w:t xml:space="preserve">Socio-economic inequality </w:t>
      </w:r>
      <w:r w:rsidR="008B02FE">
        <w:rPr>
          <w:rFonts w:ascii="Arial" w:hAnsi="Arial" w:cs="Arial"/>
          <w:sz w:val="22"/>
          <w:szCs w:val="22"/>
        </w:rPr>
        <w:t>contributes to</w:t>
      </w:r>
      <w:r w:rsidRPr="002F4717">
        <w:rPr>
          <w:rFonts w:ascii="Arial" w:hAnsi="Arial" w:cs="Arial"/>
          <w:sz w:val="22"/>
          <w:szCs w:val="22"/>
        </w:rPr>
        <w:t xml:space="preserve"> poorer health among women. In April 2025, the gender pay gap for full-time workers in the UK was 6.9%, meaning that the hourly median wage for men was greater than for women (ONS, 2025). Financial stress can result from economic </w:t>
      </w:r>
      <w:r w:rsidR="002F4717" w:rsidRPr="002F4717">
        <w:rPr>
          <w:rFonts w:ascii="Arial" w:hAnsi="Arial" w:cs="Arial"/>
          <w:sz w:val="22"/>
          <w:szCs w:val="22"/>
        </w:rPr>
        <w:t>disadvantages</w:t>
      </w:r>
      <w:r w:rsidRPr="002F4717">
        <w:rPr>
          <w:rFonts w:ascii="Arial" w:hAnsi="Arial" w:cs="Arial"/>
          <w:sz w:val="22"/>
          <w:szCs w:val="22"/>
        </w:rPr>
        <w:t xml:space="preserve"> and </w:t>
      </w:r>
      <w:r w:rsidR="002F4717" w:rsidRPr="002F4717">
        <w:rPr>
          <w:rFonts w:ascii="Arial" w:hAnsi="Arial" w:cs="Arial"/>
          <w:sz w:val="22"/>
          <w:szCs w:val="22"/>
        </w:rPr>
        <w:t>constrain resources for healthy living, including the ability to afford a safe home, food,</w:t>
      </w:r>
      <w:r w:rsidRPr="002F4717">
        <w:rPr>
          <w:rFonts w:ascii="Arial" w:hAnsi="Arial" w:cs="Arial"/>
          <w:sz w:val="22"/>
          <w:szCs w:val="22"/>
        </w:rPr>
        <w:t xml:space="preserve"> and health services. Gender inequality in jobs is thus related to broader social determinants of health. </w:t>
      </w:r>
      <w:r w:rsidR="002F4717" w:rsidRPr="002F4717">
        <w:rPr>
          <w:rFonts w:ascii="Arial" w:hAnsi="Arial" w:cs="Arial"/>
          <w:sz w:val="22"/>
          <w:szCs w:val="22"/>
        </w:rPr>
        <w:t>Veas et al. (2021) note a positive association between gender inequality and poorer health outcomes</w:t>
      </w:r>
      <w:r w:rsidRPr="002F4717">
        <w:rPr>
          <w:rFonts w:ascii="Arial" w:hAnsi="Arial" w:cs="Arial"/>
          <w:sz w:val="22"/>
          <w:szCs w:val="22"/>
        </w:rPr>
        <w:t xml:space="preserve">. </w:t>
      </w:r>
      <w:r w:rsidR="00001D44" w:rsidRPr="002F4717">
        <w:rPr>
          <w:rFonts w:ascii="Arial" w:hAnsi="Arial" w:cs="Arial"/>
          <w:sz w:val="22"/>
          <w:szCs w:val="22"/>
        </w:rPr>
        <w:t xml:space="preserve"> </w:t>
      </w:r>
    </w:p>
    <w:p w14:paraId="46FDA7C2" w14:textId="59EF7905" w:rsidR="00360D5F" w:rsidRPr="002F4717" w:rsidRDefault="00360D5F" w:rsidP="00BF0620">
      <w:pPr>
        <w:spacing w:line="360" w:lineRule="auto"/>
        <w:rPr>
          <w:rFonts w:ascii="Arial" w:hAnsi="Arial" w:cs="Arial"/>
          <w:b/>
          <w:bCs/>
          <w:sz w:val="22"/>
          <w:szCs w:val="22"/>
        </w:rPr>
      </w:pPr>
      <w:r w:rsidRPr="002F4717">
        <w:rPr>
          <w:rFonts w:ascii="Arial" w:hAnsi="Arial" w:cs="Arial"/>
          <w:b/>
          <w:bCs/>
          <w:sz w:val="22"/>
          <w:szCs w:val="22"/>
        </w:rPr>
        <w:t xml:space="preserve">2.6 </w:t>
      </w:r>
      <w:r w:rsidR="00E42786" w:rsidRPr="00E42786">
        <w:rPr>
          <w:rFonts w:ascii="Arial" w:hAnsi="Arial" w:cs="Arial"/>
          <w:b/>
          <w:bCs/>
          <w:sz w:val="28"/>
          <w:szCs w:val="28"/>
        </w:rPr>
        <w:t>Access Barriers</w:t>
      </w:r>
      <w:r w:rsidR="00E42786" w:rsidRPr="00E42786">
        <w:rPr>
          <w:rFonts w:ascii="Arial" w:hAnsi="Arial" w:cs="Arial"/>
          <w:b/>
          <w:bCs/>
          <w:sz w:val="28"/>
          <w:szCs w:val="28"/>
        </w:rPr>
        <w:t xml:space="preserve"> to Healthcare</w:t>
      </w:r>
      <w:r w:rsidR="00E42786" w:rsidRPr="002F4717">
        <w:rPr>
          <w:rFonts w:ascii="Arial" w:hAnsi="Arial" w:cs="Arial"/>
          <w:b/>
          <w:bCs/>
          <w:sz w:val="22"/>
          <w:szCs w:val="22"/>
        </w:rPr>
        <w:t xml:space="preserve"> </w:t>
      </w:r>
    </w:p>
    <w:p w14:paraId="0C199E23" w14:textId="087E3C60" w:rsidR="00360D5F" w:rsidRPr="002F4717" w:rsidRDefault="00360051" w:rsidP="00BF0620">
      <w:pPr>
        <w:spacing w:line="360" w:lineRule="auto"/>
        <w:rPr>
          <w:rFonts w:ascii="Arial" w:hAnsi="Arial" w:cs="Arial"/>
          <w:sz w:val="22"/>
          <w:szCs w:val="22"/>
        </w:rPr>
      </w:pPr>
      <w:r w:rsidRPr="002F4717">
        <w:rPr>
          <w:rFonts w:ascii="Arial" w:hAnsi="Arial" w:cs="Arial"/>
          <w:sz w:val="22"/>
          <w:szCs w:val="22"/>
        </w:rPr>
        <w:lastRenderedPageBreak/>
        <w:t>Inequalities in accessing health services persist for women. According to the Women's Health Strategy (Department of Health and Social Care, 2022)</w:t>
      </w:r>
      <w:r w:rsidR="002F4717" w:rsidRPr="002F4717">
        <w:rPr>
          <w:rFonts w:ascii="Arial" w:hAnsi="Arial" w:cs="Arial"/>
          <w:sz w:val="22"/>
          <w:szCs w:val="22"/>
        </w:rPr>
        <w:t>, 74% of women felt COVID-19 negatively impacted women's healthcare access; only 40% felt that accessing healthcare was convenient by location, and only 24% felt that the timing was convenient</w:t>
      </w:r>
      <w:r w:rsidRPr="002F4717">
        <w:rPr>
          <w:rFonts w:ascii="Arial" w:hAnsi="Arial" w:cs="Arial"/>
          <w:sz w:val="22"/>
          <w:szCs w:val="22"/>
        </w:rPr>
        <w:t xml:space="preserve">. These disparities are attributed to socioeconomic disadvantages, geographical barriers, cultural </w:t>
      </w:r>
      <w:r w:rsidR="002F4717">
        <w:rPr>
          <w:rFonts w:ascii="Arial" w:hAnsi="Arial" w:cs="Arial"/>
          <w:sz w:val="22"/>
          <w:szCs w:val="22"/>
        </w:rPr>
        <w:t>distinctions</w:t>
      </w:r>
      <w:r w:rsidRPr="002F4717">
        <w:rPr>
          <w:rFonts w:ascii="Arial" w:hAnsi="Arial" w:cs="Arial"/>
          <w:sz w:val="22"/>
          <w:szCs w:val="22"/>
        </w:rPr>
        <w:t xml:space="preserve">, and </w:t>
      </w:r>
      <w:r w:rsidR="002F4717">
        <w:rPr>
          <w:rFonts w:ascii="Arial" w:hAnsi="Arial" w:cs="Arial"/>
          <w:sz w:val="22"/>
          <w:szCs w:val="22"/>
        </w:rPr>
        <w:t>limited</w:t>
      </w:r>
      <w:r w:rsidRPr="002F4717">
        <w:rPr>
          <w:rFonts w:ascii="Arial" w:hAnsi="Arial" w:cs="Arial"/>
          <w:sz w:val="22"/>
          <w:szCs w:val="22"/>
        </w:rPr>
        <w:t xml:space="preserve"> health literacy. </w:t>
      </w:r>
      <w:r w:rsidR="00E42786">
        <w:rPr>
          <w:rFonts w:ascii="Arial" w:hAnsi="Arial" w:cs="Arial"/>
          <w:sz w:val="22"/>
          <w:szCs w:val="22"/>
        </w:rPr>
        <w:t xml:space="preserve">Integrated health services, accessible information, culturally responsive care, and improved service continuity can help </w:t>
      </w:r>
      <w:r w:rsidRPr="002F4717">
        <w:rPr>
          <w:rFonts w:ascii="Arial" w:hAnsi="Arial" w:cs="Arial"/>
          <w:sz w:val="22"/>
          <w:szCs w:val="22"/>
        </w:rPr>
        <w:t>ensure more equitable and timely access to health services for women (Qu, 2025).</w:t>
      </w:r>
      <w:r w:rsidR="006F4718" w:rsidRPr="002F4717">
        <w:rPr>
          <w:rFonts w:ascii="Arial" w:hAnsi="Arial" w:cs="Arial"/>
          <w:sz w:val="22"/>
          <w:szCs w:val="22"/>
        </w:rPr>
        <w:t xml:space="preserve"> </w:t>
      </w:r>
    </w:p>
    <w:p w14:paraId="23094787" w14:textId="6B096A5E" w:rsidR="00C37563" w:rsidRPr="00E42786" w:rsidRDefault="00C37563" w:rsidP="00BF0620">
      <w:pPr>
        <w:spacing w:line="360" w:lineRule="auto"/>
        <w:rPr>
          <w:rFonts w:ascii="Arial" w:hAnsi="Arial" w:cs="Arial"/>
          <w:b/>
          <w:bCs/>
          <w:sz w:val="28"/>
          <w:szCs w:val="28"/>
        </w:rPr>
      </w:pPr>
      <w:r w:rsidRPr="002F4717">
        <w:rPr>
          <w:rFonts w:ascii="Arial" w:hAnsi="Arial" w:cs="Arial"/>
          <w:b/>
          <w:bCs/>
          <w:sz w:val="22"/>
          <w:szCs w:val="22"/>
        </w:rPr>
        <w:t xml:space="preserve">3. </w:t>
      </w:r>
      <w:r w:rsidRPr="00E42786">
        <w:rPr>
          <w:rFonts w:ascii="Arial" w:hAnsi="Arial" w:cs="Arial"/>
          <w:b/>
          <w:bCs/>
          <w:sz w:val="28"/>
          <w:szCs w:val="28"/>
        </w:rPr>
        <w:t xml:space="preserve">National Responses to Reduce Gender Health Inequalities </w:t>
      </w:r>
    </w:p>
    <w:p w14:paraId="2E867055" w14:textId="77777777" w:rsidR="00C37563" w:rsidRPr="00E42786" w:rsidRDefault="00C37563" w:rsidP="00BF0620">
      <w:pPr>
        <w:spacing w:line="360" w:lineRule="auto"/>
        <w:rPr>
          <w:rFonts w:ascii="Arial" w:hAnsi="Arial" w:cs="Arial"/>
          <w:b/>
          <w:bCs/>
          <w:sz w:val="28"/>
          <w:szCs w:val="28"/>
        </w:rPr>
      </w:pPr>
      <w:r w:rsidRPr="00E42786">
        <w:rPr>
          <w:rFonts w:ascii="Arial" w:hAnsi="Arial" w:cs="Arial"/>
          <w:b/>
          <w:bCs/>
          <w:sz w:val="28"/>
          <w:szCs w:val="28"/>
        </w:rPr>
        <w:t>The Women's Health Strategy for England (2022)</w:t>
      </w:r>
    </w:p>
    <w:p w14:paraId="1461C9C5" w14:textId="56277709" w:rsidR="00C37563" w:rsidRPr="002F4717" w:rsidRDefault="0086298A" w:rsidP="00BF0620">
      <w:pPr>
        <w:spacing w:line="360" w:lineRule="auto"/>
        <w:rPr>
          <w:rFonts w:ascii="Arial" w:hAnsi="Arial" w:cs="Arial"/>
          <w:sz w:val="22"/>
          <w:szCs w:val="22"/>
        </w:rPr>
      </w:pPr>
      <w:r w:rsidRPr="002F4717">
        <w:rPr>
          <w:rFonts w:ascii="Arial" w:hAnsi="Arial" w:cs="Arial"/>
          <w:sz w:val="22"/>
          <w:szCs w:val="22"/>
        </w:rPr>
        <w:t xml:space="preserve">The UK Government has </w:t>
      </w:r>
      <w:r w:rsidR="008B02FE">
        <w:rPr>
          <w:rFonts w:ascii="Arial" w:hAnsi="Arial" w:cs="Arial"/>
          <w:sz w:val="22"/>
          <w:szCs w:val="22"/>
        </w:rPr>
        <w:t xml:space="preserve">taken a range of measures to tackle gender health inequalities, including a Renewed Women's Health Strategy for England, </w:t>
      </w:r>
      <w:r w:rsidRPr="002F4717">
        <w:rPr>
          <w:rFonts w:ascii="Arial" w:hAnsi="Arial" w:cs="Arial"/>
          <w:sz w:val="22"/>
          <w:szCs w:val="22"/>
        </w:rPr>
        <w:t>one of the most comprehensive policy responses</w:t>
      </w:r>
      <w:r w:rsidR="00870BBC" w:rsidRPr="002F4717">
        <w:rPr>
          <w:rFonts w:ascii="Arial" w:hAnsi="Arial" w:cs="Arial"/>
          <w:sz w:val="22"/>
          <w:szCs w:val="22"/>
        </w:rPr>
        <w:t xml:space="preserve"> (Jeffrey, 2025)</w:t>
      </w:r>
      <w:r w:rsidRPr="002F4717">
        <w:rPr>
          <w:rFonts w:ascii="Arial" w:hAnsi="Arial" w:cs="Arial"/>
          <w:sz w:val="22"/>
          <w:szCs w:val="22"/>
        </w:rPr>
        <w:t xml:space="preserve">. The strategy sets out to tackle inequalities in women's health across the life course by redressing inequalities in access to health services, particularly in reproductive health, menopause, maternity services and mental health. (Department for Health and Social Care, 2026). </w:t>
      </w:r>
      <w:r w:rsidR="00C37563" w:rsidRPr="002F4717">
        <w:rPr>
          <w:rFonts w:ascii="Arial" w:hAnsi="Arial" w:cs="Arial"/>
          <w:sz w:val="22"/>
          <w:szCs w:val="22"/>
        </w:rPr>
        <w:t xml:space="preserve"> </w:t>
      </w:r>
    </w:p>
    <w:p w14:paraId="06863BCD" w14:textId="77777777" w:rsidR="00C37563" w:rsidRPr="002F4717" w:rsidRDefault="00C37563" w:rsidP="00BF0620">
      <w:pPr>
        <w:spacing w:line="360" w:lineRule="auto"/>
        <w:rPr>
          <w:rFonts w:ascii="Arial" w:hAnsi="Arial" w:cs="Arial"/>
          <w:b/>
          <w:bCs/>
          <w:sz w:val="22"/>
          <w:szCs w:val="22"/>
        </w:rPr>
      </w:pPr>
      <w:r w:rsidRPr="002F4717">
        <w:rPr>
          <w:rFonts w:ascii="Arial" w:hAnsi="Arial" w:cs="Arial"/>
          <w:b/>
          <w:bCs/>
          <w:sz w:val="22"/>
          <w:szCs w:val="22"/>
        </w:rPr>
        <w:t>NHS Women's Health Hubs</w:t>
      </w:r>
    </w:p>
    <w:p w14:paraId="392DACAB" w14:textId="70872E10" w:rsidR="00C37563" w:rsidRDefault="005234B3" w:rsidP="00BF0620">
      <w:pPr>
        <w:spacing w:line="360" w:lineRule="auto"/>
        <w:rPr>
          <w:rFonts w:ascii="Arial" w:hAnsi="Arial" w:cs="Arial"/>
          <w:sz w:val="22"/>
          <w:szCs w:val="22"/>
        </w:rPr>
      </w:pPr>
      <w:r w:rsidRPr="002F4717">
        <w:rPr>
          <w:rFonts w:ascii="Arial" w:hAnsi="Arial" w:cs="Arial"/>
          <w:sz w:val="22"/>
          <w:szCs w:val="22"/>
        </w:rPr>
        <w:t xml:space="preserve"> The development of Women's Health Hubs, which offer integrated, community-based services </w:t>
      </w:r>
      <w:r w:rsidR="00E83D30">
        <w:rPr>
          <w:rFonts w:ascii="Arial" w:hAnsi="Arial" w:cs="Arial"/>
          <w:sz w:val="22"/>
          <w:szCs w:val="22"/>
        </w:rPr>
        <w:t>to enhance</w:t>
      </w:r>
      <w:r w:rsidRPr="002F4717">
        <w:rPr>
          <w:rFonts w:ascii="Arial" w:hAnsi="Arial" w:cs="Arial"/>
          <w:sz w:val="22"/>
          <w:szCs w:val="22"/>
        </w:rPr>
        <w:t xml:space="preserve"> access to care, is a complementary initiative. The Department of Health and Social Care (2024) stated </w:t>
      </w:r>
      <w:r w:rsidR="002F4717">
        <w:rPr>
          <w:rFonts w:ascii="Arial" w:hAnsi="Arial" w:cs="Arial"/>
          <w:sz w:val="22"/>
          <w:szCs w:val="22"/>
        </w:rPr>
        <w:t xml:space="preserve">that </w:t>
      </w:r>
      <w:r w:rsidRPr="002F4717">
        <w:rPr>
          <w:rFonts w:ascii="Arial" w:hAnsi="Arial" w:cs="Arial"/>
          <w:sz w:val="22"/>
          <w:szCs w:val="22"/>
        </w:rPr>
        <w:t xml:space="preserve">these hubs are designed to facilitate a range of services, such as menstrual health services, contraception, menopause support, and </w:t>
      </w:r>
      <w:r w:rsidR="002F4717">
        <w:rPr>
          <w:rFonts w:ascii="Arial" w:hAnsi="Arial" w:cs="Arial"/>
          <w:sz w:val="22"/>
          <w:szCs w:val="22"/>
        </w:rPr>
        <w:t>gynecological</w:t>
      </w:r>
      <w:r w:rsidRPr="002F4717">
        <w:rPr>
          <w:rFonts w:ascii="Arial" w:hAnsi="Arial" w:cs="Arial"/>
          <w:sz w:val="22"/>
          <w:szCs w:val="22"/>
        </w:rPr>
        <w:t xml:space="preserve"> services. </w:t>
      </w:r>
    </w:p>
    <w:p w14:paraId="493826EF" w14:textId="77777777" w:rsidR="00D47AE0" w:rsidRPr="002F4717" w:rsidRDefault="00D47AE0" w:rsidP="00BF0620">
      <w:pPr>
        <w:spacing w:line="360" w:lineRule="auto"/>
        <w:rPr>
          <w:rFonts w:ascii="Arial" w:hAnsi="Arial" w:cs="Arial"/>
          <w:sz w:val="22"/>
          <w:szCs w:val="22"/>
        </w:rPr>
      </w:pPr>
    </w:p>
    <w:p w14:paraId="1F97C8EE" w14:textId="034E9430" w:rsidR="00C37563" w:rsidRPr="00E42786" w:rsidRDefault="00C37563" w:rsidP="00BF0620">
      <w:pPr>
        <w:spacing w:line="360" w:lineRule="auto"/>
        <w:rPr>
          <w:rFonts w:ascii="Arial" w:hAnsi="Arial" w:cs="Arial"/>
          <w:b/>
          <w:bCs/>
          <w:sz w:val="28"/>
          <w:szCs w:val="28"/>
        </w:rPr>
      </w:pPr>
      <w:r w:rsidRPr="002F4717">
        <w:rPr>
          <w:rFonts w:ascii="Arial" w:hAnsi="Arial" w:cs="Arial"/>
          <w:b/>
          <w:bCs/>
          <w:sz w:val="22"/>
          <w:szCs w:val="22"/>
        </w:rPr>
        <w:t>4</w:t>
      </w:r>
      <w:r w:rsidRPr="00E42786">
        <w:rPr>
          <w:rFonts w:ascii="Arial" w:hAnsi="Arial" w:cs="Arial"/>
          <w:b/>
          <w:bCs/>
          <w:sz w:val="28"/>
          <w:szCs w:val="28"/>
        </w:rPr>
        <w:t>. Organisation Supporting Women</w:t>
      </w:r>
    </w:p>
    <w:p w14:paraId="100FA0DE" w14:textId="748912AD" w:rsidR="00D47AE0" w:rsidRDefault="00525B12" w:rsidP="00BF0620">
      <w:pPr>
        <w:spacing w:line="360" w:lineRule="auto"/>
        <w:rPr>
          <w:rStyle w:val="Strong"/>
          <w:rFonts w:ascii="Arial" w:hAnsi="Arial" w:cs="Arial"/>
          <w:b w:val="0"/>
          <w:bCs w:val="0"/>
          <w:sz w:val="22"/>
          <w:szCs w:val="22"/>
        </w:rPr>
      </w:pPr>
      <w:r w:rsidRPr="002F4717">
        <w:rPr>
          <w:rStyle w:val="Strong"/>
          <w:rFonts w:ascii="Arial" w:hAnsi="Arial" w:cs="Arial"/>
          <w:b w:val="0"/>
          <w:bCs w:val="0"/>
          <w:sz w:val="22"/>
          <w:szCs w:val="22"/>
        </w:rPr>
        <w:t>Women's Aid is one of the most prominent charities for domestic abuse and women and children who have suffered gender-based violence in the UK. Its mission is to protect survivors, prevent abuse</w:t>
      </w:r>
      <w:r w:rsidR="00E83D30">
        <w:rPr>
          <w:rStyle w:val="Strong"/>
          <w:rFonts w:ascii="Arial" w:hAnsi="Arial" w:cs="Arial"/>
          <w:b w:val="0"/>
          <w:bCs w:val="0"/>
          <w:sz w:val="22"/>
          <w:szCs w:val="22"/>
        </w:rPr>
        <w:t>,</w:t>
      </w:r>
      <w:r w:rsidRPr="002F4717">
        <w:rPr>
          <w:rStyle w:val="Strong"/>
          <w:rFonts w:ascii="Arial" w:hAnsi="Arial" w:cs="Arial"/>
          <w:b w:val="0"/>
          <w:bCs w:val="0"/>
          <w:sz w:val="22"/>
          <w:szCs w:val="22"/>
        </w:rPr>
        <w:t xml:space="preserve"> and advocate for systemic changes that promote gender equality and women's safety. Women's Aid (2025) reports that </w:t>
      </w:r>
      <w:r w:rsidR="002F4717">
        <w:rPr>
          <w:rStyle w:val="Strong"/>
          <w:rFonts w:ascii="Arial" w:hAnsi="Arial" w:cs="Arial"/>
          <w:b w:val="0"/>
          <w:bCs w:val="0"/>
          <w:sz w:val="22"/>
          <w:szCs w:val="22"/>
        </w:rPr>
        <w:t>it conducts research and policy advocacy to secure public attention, influence government policies and legislation,</w:t>
      </w:r>
      <w:r w:rsidRPr="002F4717">
        <w:rPr>
          <w:rStyle w:val="Strong"/>
          <w:rFonts w:ascii="Arial" w:hAnsi="Arial" w:cs="Arial"/>
          <w:b w:val="0"/>
          <w:bCs w:val="0"/>
          <w:sz w:val="22"/>
          <w:szCs w:val="22"/>
        </w:rPr>
        <w:t xml:space="preserve"> and raise awareness of the health and social impacts of domestic violence.   </w:t>
      </w:r>
    </w:p>
    <w:p w14:paraId="530D7464" w14:textId="77777777" w:rsidR="00D47AE0" w:rsidRDefault="00D47AE0" w:rsidP="00BF0620">
      <w:pPr>
        <w:spacing w:line="360" w:lineRule="auto"/>
        <w:rPr>
          <w:rStyle w:val="Strong"/>
          <w:rFonts w:ascii="Arial" w:hAnsi="Arial" w:cs="Arial"/>
          <w:b w:val="0"/>
          <w:bCs w:val="0"/>
          <w:sz w:val="22"/>
          <w:szCs w:val="22"/>
        </w:rPr>
      </w:pPr>
    </w:p>
    <w:p w14:paraId="4783E5A5" w14:textId="77777777" w:rsidR="00D47AE0" w:rsidRDefault="00D47AE0" w:rsidP="00BF0620">
      <w:pPr>
        <w:spacing w:line="360" w:lineRule="auto"/>
        <w:rPr>
          <w:rStyle w:val="Strong"/>
          <w:rFonts w:ascii="Arial" w:hAnsi="Arial" w:cs="Arial"/>
          <w:b w:val="0"/>
          <w:bCs w:val="0"/>
          <w:sz w:val="22"/>
          <w:szCs w:val="22"/>
        </w:rPr>
      </w:pPr>
    </w:p>
    <w:p w14:paraId="6D349EF9" w14:textId="77777777" w:rsidR="00D47AE0" w:rsidRDefault="00D47AE0" w:rsidP="00BF0620">
      <w:pPr>
        <w:spacing w:line="360" w:lineRule="auto"/>
        <w:rPr>
          <w:rStyle w:val="Strong"/>
          <w:rFonts w:ascii="Arial" w:hAnsi="Arial" w:cs="Arial"/>
          <w:b w:val="0"/>
          <w:bCs w:val="0"/>
          <w:sz w:val="22"/>
          <w:szCs w:val="22"/>
        </w:rPr>
      </w:pPr>
    </w:p>
    <w:p w14:paraId="6A88C27E" w14:textId="77777777" w:rsidR="00D47AE0" w:rsidRDefault="00D47AE0" w:rsidP="00BF0620">
      <w:pPr>
        <w:spacing w:line="360" w:lineRule="auto"/>
        <w:rPr>
          <w:rStyle w:val="Strong"/>
          <w:rFonts w:ascii="Arial" w:hAnsi="Arial" w:cs="Arial"/>
          <w:b w:val="0"/>
          <w:bCs w:val="0"/>
          <w:sz w:val="22"/>
          <w:szCs w:val="22"/>
        </w:rPr>
      </w:pPr>
    </w:p>
    <w:p w14:paraId="068EB3A2" w14:textId="77777777" w:rsidR="00D47AE0" w:rsidRDefault="00D47AE0" w:rsidP="00BF0620">
      <w:pPr>
        <w:spacing w:line="360" w:lineRule="auto"/>
        <w:rPr>
          <w:rStyle w:val="Strong"/>
          <w:rFonts w:ascii="Arial" w:hAnsi="Arial" w:cs="Arial"/>
          <w:b w:val="0"/>
          <w:bCs w:val="0"/>
          <w:sz w:val="22"/>
          <w:szCs w:val="22"/>
        </w:rPr>
      </w:pPr>
    </w:p>
    <w:p w14:paraId="713C01C7" w14:textId="77777777" w:rsidR="00D47AE0" w:rsidRDefault="00D47AE0" w:rsidP="00BF0620">
      <w:pPr>
        <w:spacing w:line="360" w:lineRule="auto"/>
        <w:rPr>
          <w:rStyle w:val="Strong"/>
          <w:rFonts w:ascii="Arial" w:hAnsi="Arial" w:cs="Arial"/>
          <w:b w:val="0"/>
          <w:bCs w:val="0"/>
          <w:sz w:val="22"/>
          <w:szCs w:val="22"/>
        </w:rPr>
      </w:pPr>
    </w:p>
    <w:p w14:paraId="520D6304" w14:textId="38D22757" w:rsidR="00C37563" w:rsidRPr="002F4717" w:rsidRDefault="00456A96" w:rsidP="00BF0620">
      <w:pPr>
        <w:spacing w:line="360" w:lineRule="auto"/>
        <w:rPr>
          <w:rFonts w:ascii="Arial" w:hAnsi="Arial" w:cs="Arial"/>
          <w:b/>
          <w:bCs/>
          <w:sz w:val="22"/>
          <w:szCs w:val="22"/>
        </w:rPr>
      </w:pPr>
      <w:r w:rsidRPr="002F4717">
        <w:rPr>
          <w:rFonts w:ascii="Arial" w:hAnsi="Arial" w:cs="Arial"/>
          <w:b/>
          <w:bCs/>
          <w:sz w:val="22"/>
          <w:szCs w:val="22"/>
        </w:rPr>
        <w:t xml:space="preserve"> </w:t>
      </w:r>
      <w:r w:rsidR="00C37563" w:rsidRPr="002F4717">
        <w:rPr>
          <w:rFonts w:ascii="Arial" w:hAnsi="Arial" w:cs="Arial"/>
          <w:b/>
          <w:bCs/>
          <w:sz w:val="22"/>
          <w:szCs w:val="22"/>
        </w:rPr>
        <w:t xml:space="preserve"> </w:t>
      </w:r>
    </w:p>
    <w:p w14:paraId="19E5CE13" w14:textId="1F510B76" w:rsidR="00C37563" w:rsidRPr="00E83D30" w:rsidRDefault="00C37563" w:rsidP="00BF0620">
      <w:pPr>
        <w:spacing w:line="360" w:lineRule="auto"/>
        <w:rPr>
          <w:rFonts w:ascii="Arial" w:hAnsi="Arial" w:cs="Arial"/>
          <w:b/>
          <w:bCs/>
          <w:sz w:val="28"/>
          <w:szCs w:val="28"/>
        </w:rPr>
      </w:pPr>
      <w:r w:rsidRPr="002F4717">
        <w:rPr>
          <w:rFonts w:ascii="Arial" w:hAnsi="Arial" w:cs="Arial"/>
          <w:b/>
          <w:bCs/>
          <w:sz w:val="22"/>
          <w:szCs w:val="22"/>
        </w:rPr>
        <w:t xml:space="preserve">5. </w:t>
      </w:r>
      <w:r w:rsidRPr="00E83D30">
        <w:rPr>
          <w:rFonts w:ascii="Arial" w:hAnsi="Arial" w:cs="Arial"/>
          <w:b/>
          <w:bCs/>
          <w:sz w:val="28"/>
          <w:szCs w:val="28"/>
        </w:rPr>
        <w:t xml:space="preserve">Conclusion </w:t>
      </w:r>
    </w:p>
    <w:p w14:paraId="5838BCD6" w14:textId="65ECB21D" w:rsidR="00A7423C" w:rsidRPr="002F4717" w:rsidRDefault="00B758C4" w:rsidP="00BF0620">
      <w:pPr>
        <w:spacing w:line="360" w:lineRule="auto"/>
        <w:rPr>
          <w:rFonts w:ascii="Arial" w:hAnsi="Arial" w:cs="Arial"/>
          <w:sz w:val="22"/>
          <w:szCs w:val="22"/>
        </w:rPr>
      </w:pPr>
      <w:r w:rsidRPr="002F4717">
        <w:rPr>
          <w:rFonts w:ascii="Arial" w:hAnsi="Arial" w:cs="Arial"/>
          <w:sz w:val="22"/>
          <w:szCs w:val="22"/>
        </w:rPr>
        <w:t>The health inequalities between women and men are a major public health problem in the United Kingdom and manifest in women's physical and mental health, and in inequities in access to health services across the life course. This report has shown how social and structural inequalities are interlinked to cause inequalities in mental health, cancer screening, maternal health, gender-based violence, economic inequality</w:t>
      </w:r>
      <w:r w:rsidR="002F4717">
        <w:rPr>
          <w:rFonts w:ascii="Arial" w:hAnsi="Arial" w:cs="Arial"/>
          <w:sz w:val="22"/>
          <w:szCs w:val="22"/>
        </w:rPr>
        <w:t xml:space="preserve">, and </w:t>
      </w:r>
      <w:r w:rsidRPr="002F4717">
        <w:rPr>
          <w:rFonts w:ascii="Arial" w:hAnsi="Arial" w:cs="Arial"/>
          <w:sz w:val="22"/>
          <w:szCs w:val="22"/>
        </w:rPr>
        <w:t xml:space="preserve">access to health care. While the Renewed Women's Health Strategy and Women's Health Hubs are good steps forward, continued implementation and equitable access are key to making a difference. </w:t>
      </w:r>
    </w:p>
    <w:p w14:paraId="1F4BD86A" w14:textId="77777777" w:rsidR="00A7423C" w:rsidRPr="00E83D30" w:rsidRDefault="00A7423C" w:rsidP="00BF0620">
      <w:pPr>
        <w:spacing w:line="360" w:lineRule="auto"/>
        <w:rPr>
          <w:rFonts w:ascii="Arial" w:hAnsi="Arial" w:cs="Arial"/>
        </w:rPr>
      </w:pPr>
      <w:r w:rsidRPr="00E83D30">
        <w:rPr>
          <w:rFonts w:ascii="Arial" w:hAnsi="Arial" w:cs="Arial"/>
        </w:rPr>
        <w:br w:type="page"/>
      </w:r>
    </w:p>
    <w:p w14:paraId="209FBA9C" w14:textId="7463BE68" w:rsidR="00C37563" w:rsidRPr="00E83D30" w:rsidRDefault="00AC75D7" w:rsidP="00AC1074">
      <w:pPr>
        <w:spacing w:line="360" w:lineRule="auto"/>
        <w:rPr>
          <w:rFonts w:ascii="Arial" w:hAnsi="Arial" w:cs="Arial"/>
          <w:b/>
          <w:bCs/>
        </w:rPr>
      </w:pPr>
      <w:r w:rsidRPr="00E83D30">
        <w:rPr>
          <w:rFonts w:ascii="Arial" w:hAnsi="Arial" w:cs="Arial"/>
          <w:b/>
          <w:bCs/>
        </w:rPr>
        <w:lastRenderedPageBreak/>
        <w:t>Task 2: An Epidemiological Analysis of Type 2 Diabetes Among Adults Aged 18 Years and Older in England</w:t>
      </w:r>
    </w:p>
    <w:p w14:paraId="13BAA6A5" w14:textId="038C01D8" w:rsidR="00AC75D7" w:rsidRPr="00E83D30" w:rsidRDefault="00AC75D7" w:rsidP="00AC1074">
      <w:pPr>
        <w:spacing w:line="360" w:lineRule="auto"/>
        <w:rPr>
          <w:rFonts w:ascii="Arial" w:hAnsi="Arial" w:cs="Arial"/>
          <w:b/>
          <w:bCs/>
          <w:sz w:val="28"/>
          <w:szCs w:val="28"/>
        </w:rPr>
      </w:pPr>
      <w:r w:rsidRPr="002F4717">
        <w:rPr>
          <w:rFonts w:ascii="Arial" w:hAnsi="Arial" w:cs="Arial"/>
          <w:b/>
          <w:bCs/>
          <w:sz w:val="22"/>
          <w:szCs w:val="22"/>
        </w:rPr>
        <w:t>1</w:t>
      </w:r>
      <w:r w:rsidRPr="00E83D30">
        <w:rPr>
          <w:rFonts w:ascii="Arial" w:hAnsi="Arial" w:cs="Arial"/>
          <w:b/>
          <w:bCs/>
          <w:sz w:val="28"/>
          <w:szCs w:val="28"/>
        </w:rPr>
        <w:t xml:space="preserve">. Introduction </w:t>
      </w:r>
    </w:p>
    <w:p w14:paraId="005769E9" w14:textId="77777777" w:rsidR="005837FA" w:rsidRDefault="00E117AD" w:rsidP="00AC1074">
      <w:pPr>
        <w:spacing w:line="360" w:lineRule="auto"/>
        <w:rPr>
          <w:rFonts w:ascii="Arial" w:hAnsi="Arial" w:cs="Arial"/>
          <w:sz w:val="22"/>
          <w:szCs w:val="22"/>
        </w:rPr>
      </w:pPr>
      <w:r w:rsidRPr="002F4717">
        <w:rPr>
          <w:rFonts w:ascii="Arial" w:hAnsi="Arial" w:cs="Arial"/>
          <w:sz w:val="22"/>
          <w:szCs w:val="22"/>
        </w:rPr>
        <w:t xml:space="preserve">Type 2 diabetes is a chronic non-communicable disease in which </w:t>
      </w:r>
      <w:r w:rsidR="00E80927">
        <w:rPr>
          <w:rFonts w:ascii="Arial" w:hAnsi="Arial" w:cs="Arial"/>
          <w:sz w:val="22"/>
          <w:szCs w:val="22"/>
        </w:rPr>
        <w:t xml:space="preserve">blood glucose levels are too high due to a lack of insulin </w:t>
      </w:r>
      <w:r w:rsidRPr="002F4717">
        <w:rPr>
          <w:rFonts w:ascii="Arial" w:hAnsi="Arial" w:cs="Arial"/>
          <w:sz w:val="22"/>
          <w:szCs w:val="22"/>
        </w:rPr>
        <w:t>or insulin resistance (NHS, 2023). It is one of the main public health problems in England due to its rising frequency, complications</w:t>
      </w:r>
      <w:r w:rsidR="00E83D30">
        <w:rPr>
          <w:rFonts w:ascii="Arial" w:hAnsi="Arial" w:cs="Arial"/>
          <w:sz w:val="22"/>
          <w:szCs w:val="22"/>
        </w:rPr>
        <w:t>, and massive costs to</w:t>
      </w:r>
      <w:r w:rsidRPr="002F4717">
        <w:rPr>
          <w:rFonts w:ascii="Arial" w:hAnsi="Arial" w:cs="Arial"/>
          <w:sz w:val="22"/>
          <w:szCs w:val="22"/>
        </w:rPr>
        <w:t xml:space="preserve"> the National Health Service (NHS). Diabetes UK (2023) states that Type 2 diabetes is responsible for approximately 90% of all cases of diabetes and is strongly associated with obesity, lack of activity</w:t>
      </w:r>
      <w:r w:rsidR="00E83D30">
        <w:rPr>
          <w:rFonts w:ascii="Arial" w:hAnsi="Arial" w:cs="Arial"/>
          <w:sz w:val="22"/>
          <w:szCs w:val="22"/>
        </w:rPr>
        <w:t>,</w:t>
      </w:r>
      <w:r w:rsidRPr="002F4717">
        <w:rPr>
          <w:rFonts w:ascii="Arial" w:hAnsi="Arial" w:cs="Arial"/>
          <w:sz w:val="22"/>
          <w:szCs w:val="22"/>
        </w:rPr>
        <w:t xml:space="preserve"> and unhelpful lifestyles. </w:t>
      </w:r>
    </w:p>
    <w:p w14:paraId="5BAD5E1D" w14:textId="3AF912EA" w:rsidR="00AC75D7" w:rsidRPr="002F4717" w:rsidRDefault="00E117AD" w:rsidP="00AC1074">
      <w:pPr>
        <w:spacing w:line="360" w:lineRule="auto"/>
        <w:rPr>
          <w:rFonts w:ascii="Arial" w:hAnsi="Arial" w:cs="Arial"/>
          <w:sz w:val="22"/>
          <w:szCs w:val="22"/>
        </w:rPr>
      </w:pPr>
      <w:r w:rsidRPr="002F4717">
        <w:rPr>
          <w:rFonts w:ascii="Arial" w:hAnsi="Arial" w:cs="Arial"/>
          <w:sz w:val="22"/>
          <w:szCs w:val="22"/>
        </w:rPr>
        <w:t>The disease negatively impacts ESRD, life expectancy</w:t>
      </w:r>
      <w:r w:rsidR="00E80927">
        <w:rPr>
          <w:rFonts w:ascii="Arial" w:hAnsi="Arial" w:cs="Arial"/>
          <w:sz w:val="22"/>
          <w:szCs w:val="22"/>
        </w:rPr>
        <w:t>,</w:t>
      </w:r>
      <w:r w:rsidRPr="002F4717">
        <w:rPr>
          <w:rFonts w:ascii="Arial" w:hAnsi="Arial" w:cs="Arial"/>
          <w:sz w:val="22"/>
          <w:szCs w:val="22"/>
        </w:rPr>
        <w:t xml:space="preserve"> and health disparities for socioeconomically disadvantaged populations not only clinically, but also </w:t>
      </w:r>
      <w:r w:rsidR="00BF0620">
        <w:rPr>
          <w:rFonts w:ascii="Arial" w:hAnsi="Arial" w:cs="Arial"/>
          <w:sz w:val="22"/>
          <w:szCs w:val="22"/>
        </w:rPr>
        <w:t>by reducing quality of life</w:t>
      </w:r>
      <w:r w:rsidRPr="002F4717">
        <w:rPr>
          <w:rFonts w:ascii="Arial" w:hAnsi="Arial" w:cs="Arial"/>
          <w:sz w:val="22"/>
          <w:szCs w:val="22"/>
        </w:rPr>
        <w:t xml:space="preserve">. Heald et al. (2020) showed that diabetes </w:t>
      </w:r>
      <w:r w:rsidR="00E80927">
        <w:rPr>
          <w:rFonts w:ascii="Arial" w:hAnsi="Arial" w:cs="Arial"/>
          <w:sz w:val="22"/>
          <w:szCs w:val="22"/>
        </w:rPr>
        <w:t>had a pronounced negative long-term effect on life expectancy for individuals and healthcare systems</w:t>
      </w:r>
      <w:r w:rsidRPr="002F4717">
        <w:rPr>
          <w:rFonts w:ascii="Arial" w:hAnsi="Arial" w:cs="Arial"/>
          <w:sz w:val="22"/>
          <w:szCs w:val="22"/>
        </w:rPr>
        <w:t>. This report covers the epidemiology of Type 2 diabetes in adults over 18 years of age in England, alongside a review of the public health interventions, risk factors, epidemiological evidence, surveillance and intervention strategies to reduce the burden of Type 2 diabetes.</w:t>
      </w:r>
      <w:r w:rsidR="002A45EB" w:rsidRPr="002F4717">
        <w:rPr>
          <w:rFonts w:ascii="Arial" w:hAnsi="Arial" w:cs="Arial"/>
          <w:sz w:val="22"/>
          <w:szCs w:val="22"/>
        </w:rPr>
        <w:t xml:space="preserve"> </w:t>
      </w:r>
      <w:r w:rsidR="00A40D82" w:rsidRPr="002F4717">
        <w:rPr>
          <w:rFonts w:ascii="Arial" w:hAnsi="Arial" w:cs="Arial"/>
          <w:sz w:val="22"/>
          <w:szCs w:val="22"/>
        </w:rPr>
        <w:t xml:space="preserve"> </w:t>
      </w:r>
    </w:p>
    <w:p w14:paraId="58B98658" w14:textId="4203408F" w:rsidR="00AC75D7" w:rsidRPr="00E83D30" w:rsidRDefault="00AC75D7" w:rsidP="00AC1074">
      <w:pPr>
        <w:spacing w:line="360" w:lineRule="auto"/>
        <w:rPr>
          <w:rFonts w:ascii="Arial" w:hAnsi="Arial" w:cs="Arial"/>
          <w:b/>
          <w:bCs/>
        </w:rPr>
      </w:pPr>
      <w:r w:rsidRPr="002F4717">
        <w:rPr>
          <w:rFonts w:ascii="Arial" w:hAnsi="Arial" w:cs="Arial"/>
          <w:b/>
          <w:bCs/>
          <w:sz w:val="22"/>
          <w:szCs w:val="22"/>
        </w:rPr>
        <w:t xml:space="preserve">2. </w:t>
      </w:r>
      <w:r w:rsidRPr="00E83D30">
        <w:rPr>
          <w:rFonts w:ascii="Arial" w:hAnsi="Arial" w:cs="Arial"/>
          <w:b/>
          <w:bCs/>
        </w:rPr>
        <w:t xml:space="preserve">Public Health Measures to Prevent, Manage and Reduce Type 2 Diabetes (3 Ps) </w:t>
      </w:r>
    </w:p>
    <w:p w14:paraId="362FF08D" w14:textId="77777777" w:rsidR="00AC1074" w:rsidRDefault="007C1136" w:rsidP="00AC1074">
      <w:pPr>
        <w:spacing w:line="360" w:lineRule="auto"/>
        <w:rPr>
          <w:rFonts w:ascii="Arial" w:hAnsi="Arial" w:cs="Arial"/>
          <w:sz w:val="22"/>
          <w:szCs w:val="22"/>
        </w:rPr>
      </w:pPr>
      <w:r w:rsidRPr="002F4717">
        <w:rPr>
          <w:rFonts w:ascii="Arial" w:hAnsi="Arial" w:cs="Arial"/>
          <w:sz w:val="22"/>
          <w:szCs w:val="22"/>
        </w:rPr>
        <w:t>Prevention emphasi</w:t>
      </w:r>
      <w:r w:rsidR="007562CB" w:rsidRPr="002F4717">
        <w:rPr>
          <w:rFonts w:ascii="Arial" w:hAnsi="Arial" w:cs="Arial"/>
          <w:sz w:val="22"/>
          <w:szCs w:val="22"/>
        </w:rPr>
        <w:t>s</w:t>
      </w:r>
      <w:r w:rsidRPr="002F4717">
        <w:rPr>
          <w:rFonts w:ascii="Arial" w:hAnsi="Arial" w:cs="Arial"/>
          <w:sz w:val="22"/>
          <w:szCs w:val="22"/>
        </w:rPr>
        <w:t>es minimi</w:t>
      </w:r>
      <w:r w:rsidR="007562CB" w:rsidRPr="002F4717">
        <w:rPr>
          <w:rFonts w:ascii="Arial" w:hAnsi="Arial" w:cs="Arial"/>
          <w:sz w:val="22"/>
          <w:szCs w:val="22"/>
        </w:rPr>
        <w:t>s</w:t>
      </w:r>
      <w:r w:rsidRPr="002F4717">
        <w:rPr>
          <w:rFonts w:ascii="Arial" w:hAnsi="Arial" w:cs="Arial"/>
          <w:sz w:val="22"/>
          <w:szCs w:val="22"/>
        </w:rPr>
        <w:t xml:space="preserve">ing the chances of developing Type 2 diabetes. </w:t>
      </w:r>
      <w:r w:rsidR="00E83D30">
        <w:rPr>
          <w:rFonts w:ascii="Arial" w:hAnsi="Arial" w:cs="Arial"/>
          <w:sz w:val="22"/>
          <w:szCs w:val="22"/>
        </w:rPr>
        <w:t>Public Health England (2018) aims to target high-risk individuals and promote weight management, healthy eating,</w:t>
      </w:r>
      <w:r w:rsidRPr="002F4717">
        <w:rPr>
          <w:rFonts w:ascii="Arial" w:hAnsi="Arial" w:cs="Arial"/>
          <w:sz w:val="22"/>
          <w:szCs w:val="22"/>
        </w:rPr>
        <w:t xml:space="preserve"> and more movement. There is also a need for structured changes, or early intervention, in the lifestyle of people at higher risk (NHS, 2023). </w:t>
      </w:r>
    </w:p>
    <w:p w14:paraId="5313E491" w14:textId="3D346A17" w:rsidR="00AC1074" w:rsidRDefault="007C1136" w:rsidP="00AC1074">
      <w:pPr>
        <w:spacing w:line="360" w:lineRule="auto"/>
        <w:rPr>
          <w:rFonts w:ascii="Arial" w:hAnsi="Arial" w:cs="Arial"/>
          <w:sz w:val="22"/>
          <w:szCs w:val="22"/>
        </w:rPr>
      </w:pPr>
      <w:r w:rsidRPr="002F4717">
        <w:rPr>
          <w:rFonts w:ascii="Arial" w:hAnsi="Arial" w:cs="Arial"/>
          <w:sz w:val="22"/>
          <w:szCs w:val="22"/>
        </w:rPr>
        <w:t xml:space="preserve">Promotion </w:t>
      </w:r>
      <w:r w:rsidR="00E80927">
        <w:rPr>
          <w:rFonts w:ascii="Arial" w:hAnsi="Arial" w:cs="Arial"/>
          <w:sz w:val="22"/>
          <w:szCs w:val="22"/>
        </w:rPr>
        <w:t xml:space="preserve">involves providing people and communities with equal, easily </w:t>
      </w:r>
      <w:r w:rsidR="00E83D30">
        <w:rPr>
          <w:rFonts w:ascii="Arial" w:hAnsi="Arial" w:cs="Arial"/>
          <w:sz w:val="22"/>
          <w:szCs w:val="22"/>
        </w:rPr>
        <w:t>accessible</w:t>
      </w:r>
      <w:r w:rsidR="00E80927">
        <w:rPr>
          <w:rFonts w:ascii="Arial" w:hAnsi="Arial" w:cs="Arial"/>
          <w:sz w:val="22"/>
          <w:szCs w:val="22"/>
        </w:rPr>
        <w:t xml:space="preserve"> information about diabetes risk, good nutrition, exercise, and diabetes management</w:t>
      </w:r>
      <w:r w:rsidRPr="002F4717">
        <w:rPr>
          <w:rFonts w:ascii="Arial" w:hAnsi="Arial" w:cs="Arial"/>
          <w:sz w:val="22"/>
          <w:szCs w:val="22"/>
        </w:rPr>
        <w:t>. Culturally appropriate</w:t>
      </w:r>
      <w:r w:rsidR="00E83D30">
        <w:rPr>
          <w:rFonts w:ascii="Arial" w:hAnsi="Arial" w:cs="Arial"/>
          <w:sz w:val="22"/>
          <w:szCs w:val="22"/>
        </w:rPr>
        <w:t>, locally designed activities would help enhance health literacy and support</w:t>
      </w:r>
      <w:r w:rsidRPr="002F4717">
        <w:rPr>
          <w:rFonts w:ascii="Arial" w:hAnsi="Arial" w:cs="Arial"/>
          <w:sz w:val="22"/>
          <w:szCs w:val="22"/>
        </w:rPr>
        <w:t xml:space="preserve"> maintenance of </w:t>
      </w:r>
      <w:r w:rsidR="00E80927">
        <w:rPr>
          <w:rFonts w:ascii="Arial" w:hAnsi="Arial" w:cs="Arial"/>
          <w:sz w:val="22"/>
          <w:szCs w:val="22"/>
        </w:rPr>
        <w:t>behavior change through community-based programs</w:t>
      </w:r>
      <w:r w:rsidRPr="002F4717">
        <w:rPr>
          <w:rFonts w:ascii="Arial" w:hAnsi="Arial" w:cs="Arial"/>
          <w:sz w:val="22"/>
          <w:szCs w:val="22"/>
        </w:rPr>
        <w:t xml:space="preserve">. Barry et al. (2023) argue </w:t>
      </w:r>
      <w:r w:rsidR="00E83D30">
        <w:rPr>
          <w:rFonts w:ascii="Arial" w:hAnsi="Arial" w:cs="Arial"/>
          <w:sz w:val="22"/>
          <w:szCs w:val="22"/>
        </w:rPr>
        <w:t>that England's high-risk strategy should include targeted prevention</w:t>
      </w:r>
      <w:r w:rsidR="00AC1074">
        <w:rPr>
          <w:rFonts w:ascii="Arial" w:hAnsi="Arial" w:cs="Arial"/>
          <w:sz w:val="22"/>
          <w:szCs w:val="22"/>
        </w:rPr>
        <w:t>.</w:t>
      </w:r>
    </w:p>
    <w:p w14:paraId="5F147CDB" w14:textId="13E8FA70" w:rsidR="008E17D5" w:rsidRPr="002F4717" w:rsidRDefault="007C1136" w:rsidP="00AC1074">
      <w:pPr>
        <w:spacing w:line="360" w:lineRule="auto"/>
        <w:rPr>
          <w:rFonts w:ascii="Arial" w:hAnsi="Arial" w:cs="Arial"/>
          <w:sz w:val="22"/>
          <w:szCs w:val="22"/>
        </w:rPr>
      </w:pPr>
      <w:r w:rsidRPr="002F4717">
        <w:rPr>
          <w:rFonts w:ascii="Arial" w:hAnsi="Arial" w:cs="Arial"/>
          <w:sz w:val="22"/>
          <w:szCs w:val="22"/>
        </w:rPr>
        <w:t xml:space="preserve">Protection refers to factors beyond the environment that can contribute to </w:t>
      </w:r>
      <w:r w:rsidR="00784A5D">
        <w:rPr>
          <w:rFonts w:ascii="Arial" w:hAnsi="Arial" w:cs="Arial"/>
          <w:sz w:val="22"/>
          <w:szCs w:val="22"/>
        </w:rPr>
        <w:t>diabetes development</w:t>
      </w:r>
      <w:r w:rsidRPr="002F4717">
        <w:rPr>
          <w:rFonts w:ascii="Arial" w:hAnsi="Arial" w:cs="Arial"/>
          <w:sz w:val="22"/>
          <w:szCs w:val="22"/>
        </w:rPr>
        <w:t xml:space="preserve">. Solutions that address socio-economic inequalities, </w:t>
      </w:r>
      <w:r w:rsidR="00E83D30">
        <w:rPr>
          <w:rFonts w:ascii="Arial" w:hAnsi="Arial" w:cs="Arial"/>
          <w:sz w:val="22"/>
          <w:szCs w:val="22"/>
        </w:rPr>
        <w:t>minimise exposure to unhealthy food environments, and increase access to healthier foods can support</w:t>
      </w:r>
      <w:r w:rsidRPr="002F4717">
        <w:rPr>
          <w:rFonts w:ascii="Arial" w:hAnsi="Arial" w:cs="Arial"/>
          <w:sz w:val="22"/>
          <w:szCs w:val="22"/>
        </w:rPr>
        <w:t xml:space="preserve"> good population health. </w:t>
      </w:r>
      <w:r w:rsidR="00E80927">
        <w:rPr>
          <w:rFonts w:ascii="Arial" w:hAnsi="Arial" w:cs="Arial"/>
          <w:sz w:val="22"/>
          <w:szCs w:val="22"/>
        </w:rPr>
        <w:t>As Barry et al. (2023) point out, a very high-risk</w:t>
      </w:r>
      <w:r w:rsidRPr="002F4717">
        <w:rPr>
          <w:rFonts w:ascii="Arial" w:hAnsi="Arial" w:cs="Arial"/>
          <w:sz w:val="22"/>
          <w:szCs w:val="22"/>
        </w:rPr>
        <w:t xml:space="preserve"> strategy might overlook the </w:t>
      </w:r>
      <w:r w:rsidRPr="002F4717">
        <w:rPr>
          <w:rFonts w:ascii="Arial" w:hAnsi="Arial" w:cs="Arial"/>
          <w:sz w:val="22"/>
          <w:szCs w:val="22"/>
        </w:rPr>
        <w:lastRenderedPageBreak/>
        <w:t xml:space="preserve">systemic factors driving a population. Thus, </w:t>
      </w:r>
      <w:r w:rsidR="00E83D30">
        <w:rPr>
          <w:rFonts w:ascii="Arial" w:hAnsi="Arial" w:cs="Arial"/>
          <w:sz w:val="22"/>
          <w:szCs w:val="22"/>
        </w:rPr>
        <w:t xml:space="preserve">public health interventions should combine individual prevention and health promotion </w:t>
      </w:r>
      <w:r w:rsidR="00F825B4">
        <w:rPr>
          <w:rFonts w:ascii="Arial" w:hAnsi="Arial" w:cs="Arial"/>
          <w:sz w:val="22"/>
          <w:szCs w:val="22"/>
        </w:rPr>
        <w:t>with population protection</w:t>
      </w:r>
      <w:r w:rsidRPr="002F4717">
        <w:rPr>
          <w:rFonts w:ascii="Arial" w:hAnsi="Arial" w:cs="Arial"/>
          <w:sz w:val="22"/>
          <w:szCs w:val="22"/>
        </w:rPr>
        <w:t xml:space="preserve">. Combining </w:t>
      </w:r>
      <w:r w:rsidR="00E80927">
        <w:rPr>
          <w:rFonts w:ascii="Arial" w:hAnsi="Arial" w:cs="Arial"/>
          <w:sz w:val="22"/>
          <w:szCs w:val="22"/>
        </w:rPr>
        <w:t xml:space="preserve">these three approaches can help reduce the likelihood of developing Type 2 diabetes, </w:t>
      </w:r>
      <w:r w:rsidRPr="002F4717">
        <w:rPr>
          <w:rFonts w:ascii="Arial" w:hAnsi="Arial" w:cs="Arial"/>
          <w:sz w:val="22"/>
          <w:szCs w:val="22"/>
        </w:rPr>
        <w:t>address health disparities</w:t>
      </w:r>
      <w:r w:rsidR="00E80927">
        <w:rPr>
          <w:rFonts w:ascii="Arial" w:hAnsi="Arial" w:cs="Arial"/>
          <w:sz w:val="22"/>
          <w:szCs w:val="22"/>
        </w:rPr>
        <w:t>,</w:t>
      </w:r>
      <w:r w:rsidRPr="002F4717">
        <w:rPr>
          <w:rFonts w:ascii="Arial" w:hAnsi="Arial" w:cs="Arial"/>
          <w:sz w:val="22"/>
          <w:szCs w:val="22"/>
        </w:rPr>
        <w:t xml:space="preserve"> and enable earlier interventions. </w:t>
      </w:r>
    </w:p>
    <w:p w14:paraId="6EB7390A" w14:textId="56463963" w:rsidR="00AC75D7" w:rsidRPr="00E83D30" w:rsidRDefault="00AC75D7" w:rsidP="00AC1074">
      <w:pPr>
        <w:spacing w:line="360" w:lineRule="auto"/>
        <w:rPr>
          <w:rFonts w:ascii="Arial" w:hAnsi="Arial" w:cs="Arial"/>
          <w:b/>
          <w:bCs/>
          <w:sz w:val="28"/>
          <w:szCs w:val="28"/>
        </w:rPr>
      </w:pPr>
      <w:r w:rsidRPr="002F4717">
        <w:rPr>
          <w:rFonts w:ascii="Arial" w:hAnsi="Arial" w:cs="Arial"/>
          <w:b/>
          <w:bCs/>
          <w:sz w:val="22"/>
          <w:szCs w:val="22"/>
        </w:rPr>
        <w:t xml:space="preserve">3. </w:t>
      </w:r>
      <w:r w:rsidRPr="00E83D30">
        <w:rPr>
          <w:rFonts w:ascii="Arial" w:hAnsi="Arial" w:cs="Arial"/>
          <w:b/>
          <w:bCs/>
          <w:sz w:val="28"/>
          <w:szCs w:val="28"/>
        </w:rPr>
        <w:t>Key Determinants and Risk Factors</w:t>
      </w:r>
    </w:p>
    <w:p w14:paraId="63F93A16" w14:textId="0A5CFA02" w:rsidR="00AC1074" w:rsidRDefault="00E83D30" w:rsidP="00AC1074">
      <w:pPr>
        <w:spacing w:line="360" w:lineRule="auto"/>
        <w:rPr>
          <w:rFonts w:ascii="Arial" w:hAnsi="Arial" w:cs="Arial"/>
          <w:sz w:val="22"/>
          <w:szCs w:val="22"/>
        </w:rPr>
      </w:pPr>
      <w:r>
        <w:rPr>
          <w:rFonts w:ascii="Arial" w:hAnsi="Arial" w:cs="Arial"/>
          <w:sz w:val="22"/>
          <w:szCs w:val="22"/>
        </w:rPr>
        <w:t xml:space="preserve">Several biological, </w:t>
      </w:r>
      <w:r w:rsidR="009016C9">
        <w:rPr>
          <w:rFonts w:ascii="Arial" w:hAnsi="Arial" w:cs="Arial"/>
          <w:sz w:val="22"/>
          <w:szCs w:val="22"/>
        </w:rPr>
        <w:t>behavioural</w:t>
      </w:r>
      <w:r>
        <w:rPr>
          <w:rFonts w:ascii="Arial" w:hAnsi="Arial" w:cs="Arial"/>
          <w:sz w:val="22"/>
          <w:szCs w:val="22"/>
        </w:rPr>
        <w:t>, and social factors affect the development of Type 2 diabetes</w:t>
      </w:r>
      <w:r w:rsidR="004C33DE" w:rsidRPr="002F4717">
        <w:rPr>
          <w:rFonts w:ascii="Arial" w:hAnsi="Arial" w:cs="Arial"/>
          <w:sz w:val="22"/>
          <w:szCs w:val="22"/>
        </w:rPr>
        <w:t xml:space="preserve"> and contribute to the risk of developing the disease. Obesity is the most important modifiable risk factor because it leads to insulin resistance (Diabetes UK, 2023). Other factors found to be significant drivers of pre-diabetes and undiagnosed Type 2 diabetes in England were increasing age, physical inactivity, unhealthy diets</w:t>
      </w:r>
      <w:r w:rsidR="009016C9">
        <w:rPr>
          <w:rFonts w:ascii="Arial" w:hAnsi="Arial" w:cs="Arial"/>
          <w:sz w:val="22"/>
          <w:szCs w:val="22"/>
        </w:rPr>
        <w:t>,</w:t>
      </w:r>
      <w:r w:rsidR="004C33DE" w:rsidRPr="002F4717">
        <w:rPr>
          <w:rFonts w:ascii="Arial" w:hAnsi="Arial" w:cs="Arial"/>
          <w:sz w:val="22"/>
          <w:szCs w:val="22"/>
        </w:rPr>
        <w:t xml:space="preserve"> and smoking (Office for National Statistics, 2024). </w:t>
      </w:r>
    </w:p>
    <w:p w14:paraId="1F83B3FC" w14:textId="2C37515B" w:rsidR="00AC75D7" w:rsidRPr="002F4717" w:rsidRDefault="004C33DE" w:rsidP="00AC1074">
      <w:pPr>
        <w:spacing w:line="360" w:lineRule="auto"/>
        <w:rPr>
          <w:rFonts w:ascii="Arial" w:hAnsi="Arial" w:cs="Arial"/>
          <w:sz w:val="22"/>
          <w:szCs w:val="22"/>
        </w:rPr>
      </w:pPr>
      <w:r w:rsidRPr="002F4717">
        <w:rPr>
          <w:rFonts w:ascii="Arial" w:hAnsi="Arial" w:cs="Arial"/>
          <w:sz w:val="22"/>
          <w:szCs w:val="22"/>
        </w:rPr>
        <w:t xml:space="preserve">Additionally, there are health inequalities </w:t>
      </w:r>
      <w:r w:rsidR="00E83D30">
        <w:rPr>
          <w:rFonts w:ascii="Arial" w:hAnsi="Arial" w:cs="Arial"/>
          <w:sz w:val="22"/>
          <w:szCs w:val="22"/>
        </w:rPr>
        <w:t>among people of South Asian and black ethnic groups, who have a higher risk, and those from deprived communities,</w:t>
      </w:r>
      <w:r w:rsidRPr="002F4717">
        <w:rPr>
          <w:rFonts w:ascii="Arial" w:hAnsi="Arial" w:cs="Arial"/>
          <w:sz w:val="22"/>
          <w:szCs w:val="22"/>
        </w:rPr>
        <w:t xml:space="preserve"> who also have a higher risk compared to others. Hanlon et al. (2021) also demonstrated that </w:t>
      </w:r>
      <w:r w:rsidR="00E80927" w:rsidRPr="002F4717">
        <w:rPr>
          <w:rFonts w:ascii="Arial" w:hAnsi="Arial" w:cs="Arial"/>
          <w:sz w:val="22"/>
          <w:szCs w:val="22"/>
        </w:rPr>
        <w:t>most</w:t>
      </w:r>
      <w:r w:rsidRPr="002F4717">
        <w:rPr>
          <w:rFonts w:ascii="Arial" w:hAnsi="Arial" w:cs="Arial"/>
          <w:sz w:val="22"/>
          <w:szCs w:val="22"/>
        </w:rPr>
        <w:t xml:space="preserve"> people with Type 2 diabetes have frailty and multimorbidity, which makes disease management more complex and healthcare </w:t>
      </w:r>
      <w:r w:rsidR="009016C9">
        <w:rPr>
          <w:rFonts w:ascii="Arial" w:hAnsi="Arial" w:cs="Arial"/>
          <w:sz w:val="22"/>
          <w:szCs w:val="22"/>
        </w:rPr>
        <w:t>need</w:t>
      </w:r>
      <w:r w:rsidRPr="002F4717">
        <w:rPr>
          <w:rFonts w:ascii="Arial" w:hAnsi="Arial" w:cs="Arial"/>
          <w:sz w:val="22"/>
          <w:szCs w:val="22"/>
        </w:rPr>
        <w:t xml:space="preserve"> greater. </w:t>
      </w:r>
    </w:p>
    <w:p w14:paraId="02DD43DC" w14:textId="0D5E1F98" w:rsidR="00AC75D7" w:rsidRPr="002F4717" w:rsidRDefault="00AC75D7" w:rsidP="00AC1074">
      <w:pPr>
        <w:spacing w:line="360" w:lineRule="auto"/>
        <w:rPr>
          <w:rFonts w:ascii="Arial" w:hAnsi="Arial" w:cs="Arial"/>
          <w:b/>
          <w:bCs/>
          <w:sz w:val="22"/>
          <w:szCs w:val="22"/>
        </w:rPr>
      </w:pPr>
      <w:r w:rsidRPr="002F4717">
        <w:rPr>
          <w:rFonts w:ascii="Arial" w:hAnsi="Arial" w:cs="Arial"/>
          <w:b/>
          <w:bCs/>
          <w:sz w:val="22"/>
          <w:szCs w:val="22"/>
        </w:rPr>
        <w:t xml:space="preserve">4. Epidemiological Studies and Health Needs Assessment </w:t>
      </w:r>
    </w:p>
    <w:p w14:paraId="01BD243F" w14:textId="77777777" w:rsidR="00AC1074" w:rsidRDefault="00337BE5" w:rsidP="00AC1074">
      <w:pPr>
        <w:spacing w:line="360" w:lineRule="auto"/>
        <w:rPr>
          <w:rFonts w:ascii="Arial" w:hAnsi="Arial" w:cs="Arial"/>
          <w:sz w:val="22"/>
          <w:szCs w:val="22"/>
        </w:rPr>
      </w:pPr>
      <w:r w:rsidRPr="002F4717">
        <w:rPr>
          <w:rFonts w:ascii="Arial" w:hAnsi="Arial" w:cs="Arial"/>
          <w:sz w:val="22"/>
          <w:szCs w:val="22"/>
        </w:rPr>
        <w:t>Epidemiological studies are crucial for understanding the distribution, determinants</w:t>
      </w:r>
      <w:r w:rsidR="008A6525">
        <w:rPr>
          <w:rFonts w:ascii="Arial" w:hAnsi="Arial" w:cs="Arial"/>
          <w:sz w:val="22"/>
          <w:szCs w:val="22"/>
        </w:rPr>
        <w:t>,</w:t>
      </w:r>
      <w:r w:rsidRPr="002F4717">
        <w:rPr>
          <w:rFonts w:ascii="Arial" w:hAnsi="Arial" w:cs="Arial"/>
          <w:sz w:val="22"/>
          <w:szCs w:val="22"/>
        </w:rPr>
        <w:t xml:space="preserve"> and burden of Type 2 diabetes in England </w:t>
      </w:r>
      <w:r w:rsidR="008A6525">
        <w:rPr>
          <w:rFonts w:ascii="Arial" w:hAnsi="Arial" w:cs="Arial"/>
          <w:sz w:val="22"/>
          <w:szCs w:val="22"/>
        </w:rPr>
        <w:t>and for informing</w:t>
      </w:r>
      <w:r w:rsidRPr="002F4717">
        <w:rPr>
          <w:rFonts w:ascii="Arial" w:hAnsi="Arial" w:cs="Arial"/>
          <w:sz w:val="22"/>
          <w:szCs w:val="22"/>
        </w:rPr>
        <w:t xml:space="preserve"> public health policy and resource allocation. Heald et al. (2020) reported that an analysis of data from the National Diabetes Audit and the Office for National Statistics showed that diabetes leads to significant decreases in life expectancy, </w:t>
      </w:r>
      <w:r w:rsidR="00E80927">
        <w:rPr>
          <w:rFonts w:ascii="Arial" w:hAnsi="Arial" w:cs="Arial"/>
          <w:sz w:val="22"/>
          <w:szCs w:val="22"/>
        </w:rPr>
        <w:t>emphasising its role in</w:t>
      </w:r>
      <w:r w:rsidRPr="002F4717">
        <w:rPr>
          <w:rFonts w:ascii="Arial" w:hAnsi="Arial" w:cs="Arial"/>
          <w:sz w:val="22"/>
          <w:szCs w:val="22"/>
        </w:rPr>
        <w:t xml:space="preserve"> premature mortality.</w:t>
      </w:r>
    </w:p>
    <w:p w14:paraId="079983CB" w14:textId="77777777" w:rsidR="00AC1074" w:rsidRDefault="00337BE5" w:rsidP="00AC1074">
      <w:pPr>
        <w:spacing w:line="360" w:lineRule="auto"/>
        <w:rPr>
          <w:rFonts w:ascii="Arial" w:hAnsi="Arial" w:cs="Arial"/>
          <w:sz w:val="22"/>
          <w:szCs w:val="22"/>
        </w:rPr>
      </w:pPr>
      <w:r w:rsidRPr="002F4717">
        <w:rPr>
          <w:rFonts w:ascii="Arial" w:hAnsi="Arial" w:cs="Arial"/>
          <w:sz w:val="22"/>
          <w:szCs w:val="22"/>
        </w:rPr>
        <w:t>In addition, Hanlon et al. (2021) identified that people with Type 2 diabetes often have multimorbidity and frailty, making the management of their diabetes more complex and requiring more health and social care to address.</w:t>
      </w:r>
      <w:r w:rsidR="00510267" w:rsidRPr="002F4717">
        <w:rPr>
          <w:rFonts w:ascii="Arial" w:hAnsi="Arial" w:cs="Arial"/>
          <w:sz w:val="22"/>
          <w:szCs w:val="22"/>
        </w:rPr>
        <w:t xml:space="preserve"> </w:t>
      </w:r>
      <w:r w:rsidRPr="002F4717">
        <w:rPr>
          <w:rFonts w:ascii="Arial" w:hAnsi="Arial" w:cs="Arial"/>
          <w:sz w:val="22"/>
          <w:szCs w:val="22"/>
        </w:rPr>
        <w:t xml:space="preserve">Basic health needs assessment is essential </w:t>
      </w:r>
      <w:r w:rsidR="00784A5D">
        <w:rPr>
          <w:rFonts w:ascii="Arial" w:hAnsi="Arial" w:cs="Arial"/>
          <w:sz w:val="22"/>
          <w:szCs w:val="22"/>
        </w:rPr>
        <w:t xml:space="preserve">for identifying the highest-risk population groups and </w:t>
      </w:r>
      <w:r w:rsidR="00E80927">
        <w:rPr>
          <w:rFonts w:ascii="Arial" w:hAnsi="Arial" w:cs="Arial"/>
          <w:sz w:val="22"/>
          <w:szCs w:val="22"/>
        </w:rPr>
        <w:t>planning health services based on population needs</w:t>
      </w:r>
      <w:r w:rsidRPr="002F4717">
        <w:rPr>
          <w:rFonts w:ascii="Arial" w:hAnsi="Arial" w:cs="Arial"/>
          <w:sz w:val="22"/>
          <w:szCs w:val="22"/>
        </w:rPr>
        <w:t>.</w:t>
      </w:r>
    </w:p>
    <w:p w14:paraId="54824F27" w14:textId="2761B0E7" w:rsidR="00AC75D7" w:rsidRPr="002F4717" w:rsidRDefault="00337BE5" w:rsidP="00AC1074">
      <w:pPr>
        <w:spacing w:line="360" w:lineRule="auto"/>
        <w:rPr>
          <w:rFonts w:ascii="Arial" w:hAnsi="Arial" w:cs="Arial"/>
          <w:sz w:val="22"/>
          <w:szCs w:val="22"/>
        </w:rPr>
      </w:pPr>
      <w:r w:rsidRPr="002F4717">
        <w:rPr>
          <w:rFonts w:ascii="Arial" w:hAnsi="Arial" w:cs="Arial"/>
          <w:sz w:val="22"/>
          <w:szCs w:val="22"/>
        </w:rPr>
        <w:t xml:space="preserve">In England, the Office for National Statistics (2024) found that there was a strong correlation </w:t>
      </w:r>
      <w:r w:rsidR="008A6525">
        <w:rPr>
          <w:rFonts w:ascii="Arial" w:hAnsi="Arial" w:cs="Arial"/>
          <w:sz w:val="22"/>
          <w:szCs w:val="22"/>
        </w:rPr>
        <w:t>between obesity, age, socioeconomic deprivation, and ethnicity and</w:t>
      </w:r>
      <w:r w:rsidRPr="002F4717">
        <w:rPr>
          <w:rFonts w:ascii="Arial" w:hAnsi="Arial" w:cs="Arial"/>
          <w:sz w:val="22"/>
          <w:szCs w:val="22"/>
        </w:rPr>
        <w:t xml:space="preserve"> </w:t>
      </w:r>
      <w:r w:rsidR="00E80927" w:rsidRPr="002F4717">
        <w:rPr>
          <w:rFonts w:ascii="Arial" w:hAnsi="Arial" w:cs="Arial"/>
          <w:sz w:val="22"/>
          <w:szCs w:val="22"/>
        </w:rPr>
        <w:t>prediabetes</w:t>
      </w:r>
      <w:r w:rsidRPr="002F4717">
        <w:rPr>
          <w:rFonts w:ascii="Arial" w:hAnsi="Arial" w:cs="Arial"/>
          <w:sz w:val="22"/>
          <w:szCs w:val="22"/>
        </w:rPr>
        <w:t xml:space="preserve"> and undiagnosed Type 2 diabetes. These epidemiological patterns help </w:t>
      </w:r>
      <w:r w:rsidR="00E80927">
        <w:rPr>
          <w:rFonts w:ascii="Arial" w:hAnsi="Arial" w:cs="Arial"/>
          <w:sz w:val="22"/>
          <w:szCs w:val="22"/>
        </w:rPr>
        <w:t>direct prevention resources to individuals with the greatest risk and minimize</w:t>
      </w:r>
      <w:r w:rsidRPr="002F4717">
        <w:rPr>
          <w:rFonts w:ascii="Arial" w:hAnsi="Arial" w:cs="Arial"/>
          <w:sz w:val="22"/>
          <w:szCs w:val="22"/>
        </w:rPr>
        <w:t xml:space="preserve"> inequity in care. </w:t>
      </w:r>
      <w:r w:rsidR="00FB59A3" w:rsidRPr="002F4717">
        <w:rPr>
          <w:rFonts w:ascii="Arial" w:hAnsi="Arial" w:cs="Arial"/>
          <w:sz w:val="22"/>
          <w:szCs w:val="22"/>
        </w:rPr>
        <w:t xml:space="preserve"> </w:t>
      </w:r>
    </w:p>
    <w:p w14:paraId="37E983C3" w14:textId="7F1430BB" w:rsidR="00AC75D7" w:rsidRPr="002F4717" w:rsidRDefault="00AC75D7" w:rsidP="00AC1074">
      <w:pPr>
        <w:spacing w:line="360" w:lineRule="auto"/>
        <w:rPr>
          <w:rFonts w:ascii="Arial" w:hAnsi="Arial" w:cs="Arial"/>
          <w:b/>
          <w:bCs/>
          <w:sz w:val="22"/>
          <w:szCs w:val="22"/>
        </w:rPr>
      </w:pPr>
      <w:r w:rsidRPr="002F4717">
        <w:rPr>
          <w:rFonts w:ascii="Arial" w:hAnsi="Arial" w:cs="Arial"/>
          <w:b/>
          <w:bCs/>
          <w:sz w:val="22"/>
          <w:szCs w:val="22"/>
        </w:rPr>
        <w:lastRenderedPageBreak/>
        <w:t>5.</w:t>
      </w:r>
      <w:r w:rsidR="009771E9" w:rsidRPr="002F4717">
        <w:rPr>
          <w:rFonts w:ascii="Arial" w:hAnsi="Arial" w:cs="Arial"/>
          <w:b/>
          <w:bCs/>
          <w:sz w:val="22"/>
          <w:szCs w:val="22"/>
        </w:rPr>
        <w:t xml:space="preserve"> </w:t>
      </w:r>
      <w:r w:rsidRPr="008A6525">
        <w:rPr>
          <w:rFonts w:ascii="Arial" w:hAnsi="Arial" w:cs="Arial"/>
          <w:b/>
          <w:bCs/>
          <w:sz w:val="28"/>
          <w:szCs w:val="28"/>
        </w:rPr>
        <w:t>Surveillance and Monitoring Systems</w:t>
      </w:r>
      <w:r w:rsidRPr="002F4717">
        <w:rPr>
          <w:rFonts w:ascii="Arial" w:hAnsi="Arial" w:cs="Arial"/>
          <w:b/>
          <w:bCs/>
          <w:sz w:val="22"/>
          <w:szCs w:val="22"/>
        </w:rPr>
        <w:t xml:space="preserve"> </w:t>
      </w:r>
    </w:p>
    <w:p w14:paraId="61145664" w14:textId="77777777" w:rsidR="00AC1074" w:rsidRDefault="000301ED" w:rsidP="00AC1074">
      <w:pPr>
        <w:spacing w:line="360" w:lineRule="auto"/>
        <w:rPr>
          <w:rFonts w:ascii="Arial" w:hAnsi="Arial" w:cs="Arial"/>
          <w:sz w:val="22"/>
          <w:szCs w:val="22"/>
        </w:rPr>
      </w:pPr>
      <w:r w:rsidRPr="002F4717">
        <w:rPr>
          <w:rFonts w:ascii="Arial" w:hAnsi="Arial" w:cs="Arial"/>
          <w:sz w:val="22"/>
          <w:szCs w:val="22"/>
        </w:rPr>
        <w:t>Surveillance and monitoring systems are needed to determine the burden of Type 2 diabetes</w:t>
      </w:r>
      <w:r w:rsidR="00E80927">
        <w:rPr>
          <w:rFonts w:ascii="Arial" w:hAnsi="Arial" w:cs="Arial"/>
          <w:sz w:val="22"/>
          <w:szCs w:val="22"/>
        </w:rPr>
        <w:t>, to measure the quality of health services, and to support public health decision-making</w:t>
      </w:r>
      <w:r w:rsidRPr="002F4717">
        <w:rPr>
          <w:rFonts w:ascii="Arial" w:hAnsi="Arial" w:cs="Arial"/>
          <w:sz w:val="22"/>
          <w:szCs w:val="22"/>
        </w:rPr>
        <w:t>. The National Diabetes Audit (NDA) provides national data on diabetes care processes, treatment outcomes</w:t>
      </w:r>
      <w:r w:rsidR="008A6525">
        <w:rPr>
          <w:rFonts w:ascii="Arial" w:hAnsi="Arial" w:cs="Arial"/>
          <w:sz w:val="22"/>
          <w:szCs w:val="22"/>
        </w:rPr>
        <w:t>,</w:t>
      </w:r>
      <w:r w:rsidRPr="002F4717">
        <w:rPr>
          <w:rFonts w:ascii="Arial" w:hAnsi="Arial" w:cs="Arial"/>
          <w:sz w:val="22"/>
          <w:szCs w:val="22"/>
        </w:rPr>
        <w:t xml:space="preserve"> and diabetes complication rates, which can be benchmarked and used to drive service improvement across England (NHS Digital, 2025).</w:t>
      </w:r>
    </w:p>
    <w:p w14:paraId="70DAAE88" w14:textId="64431451" w:rsidR="007314BA" w:rsidRPr="002F4717" w:rsidRDefault="000301ED" w:rsidP="00AC1074">
      <w:pPr>
        <w:spacing w:line="360" w:lineRule="auto"/>
        <w:rPr>
          <w:rFonts w:ascii="Arial" w:hAnsi="Arial" w:cs="Arial"/>
          <w:sz w:val="22"/>
          <w:szCs w:val="22"/>
        </w:rPr>
      </w:pPr>
      <w:r w:rsidRPr="002F4717">
        <w:rPr>
          <w:rFonts w:ascii="Arial" w:hAnsi="Arial" w:cs="Arial"/>
          <w:sz w:val="22"/>
          <w:szCs w:val="22"/>
        </w:rPr>
        <w:t xml:space="preserve">Hospital Episode Statistics (HES) also includes data on hospital admissions for diabetes and its complications, which can be used to </w:t>
      </w:r>
      <w:r w:rsidR="008A6525">
        <w:rPr>
          <w:rFonts w:ascii="Arial" w:hAnsi="Arial" w:cs="Arial"/>
          <w:sz w:val="22"/>
          <w:szCs w:val="22"/>
        </w:rPr>
        <w:t>identify trends in healthcare use</w:t>
      </w:r>
      <w:r w:rsidRPr="002F4717">
        <w:rPr>
          <w:rFonts w:ascii="Arial" w:hAnsi="Arial" w:cs="Arial"/>
          <w:sz w:val="22"/>
          <w:szCs w:val="22"/>
        </w:rPr>
        <w:t xml:space="preserve"> (NHS Digital, 2015). Mortality data from the ONS also contributes to national surveillance by tracking diabetes-related deaths and aiding long-term planning (Heald et al., 2020). These systems </w:t>
      </w:r>
      <w:r w:rsidR="00E80927" w:rsidRPr="002F4717">
        <w:rPr>
          <w:rFonts w:ascii="Arial" w:hAnsi="Arial" w:cs="Arial"/>
          <w:sz w:val="22"/>
          <w:szCs w:val="22"/>
        </w:rPr>
        <w:t>could</w:t>
      </w:r>
      <w:r w:rsidRPr="002F4717">
        <w:rPr>
          <w:rFonts w:ascii="Arial" w:hAnsi="Arial" w:cs="Arial"/>
          <w:sz w:val="22"/>
          <w:szCs w:val="22"/>
        </w:rPr>
        <w:t xml:space="preserve"> create comprehensive national datasets but come with limitations.  </w:t>
      </w:r>
    </w:p>
    <w:p w14:paraId="14B09DAE" w14:textId="137E5923" w:rsidR="00AC75D7" w:rsidRPr="008A6525" w:rsidRDefault="00AC75D7" w:rsidP="00AC1074">
      <w:pPr>
        <w:spacing w:line="360" w:lineRule="auto"/>
        <w:rPr>
          <w:rFonts w:ascii="Arial" w:hAnsi="Arial" w:cs="Arial"/>
          <w:b/>
          <w:bCs/>
          <w:sz w:val="28"/>
          <w:szCs w:val="28"/>
        </w:rPr>
      </w:pPr>
      <w:r w:rsidRPr="002F4717">
        <w:rPr>
          <w:rFonts w:ascii="Arial" w:hAnsi="Arial" w:cs="Arial"/>
          <w:b/>
          <w:bCs/>
          <w:sz w:val="22"/>
          <w:szCs w:val="22"/>
        </w:rPr>
        <w:t>6</w:t>
      </w:r>
      <w:r w:rsidRPr="008A6525">
        <w:rPr>
          <w:rFonts w:ascii="Arial" w:hAnsi="Arial" w:cs="Arial"/>
          <w:b/>
          <w:bCs/>
          <w:sz w:val="28"/>
          <w:szCs w:val="28"/>
        </w:rPr>
        <w:t xml:space="preserve">. Public Health Impact and Consequences </w:t>
      </w:r>
    </w:p>
    <w:p w14:paraId="5404F56A" w14:textId="77777777" w:rsidR="00AC1074" w:rsidRDefault="005563DD" w:rsidP="00AC1074">
      <w:pPr>
        <w:spacing w:line="360" w:lineRule="auto"/>
        <w:rPr>
          <w:rFonts w:ascii="Arial" w:hAnsi="Arial" w:cs="Arial"/>
          <w:sz w:val="22"/>
          <w:szCs w:val="22"/>
        </w:rPr>
      </w:pPr>
      <w:r w:rsidRPr="002F4717">
        <w:rPr>
          <w:rFonts w:ascii="Arial" w:hAnsi="Arial" w:cs="Arial"/>
          <w:sz w:val="22"/>
          <w:szCs w:val="22"/>
        </w:rPr>
        <w:t>Type 2 diabetes has both short-term and long-term impacts on the individual, healthcare services</w:t>
      </w:r>
      <w:r w:rsidR="00E80927">
        <w:rPr>
          <w:rFonts w:ascii="Arial" w:hAnsi="Arial" w:cs="Arial"/>
          <w:sz w:val="22"/>
          <w:szCs w:val="22"/>
        </w:rPr>
        <w:t>,</w:t>
      </w:r>
      <w:r w:rsidRPr="002F4717">
        <w:rPr>
          <w:rFonts w:ascii="Arial" w:hAnsi="Arial" w:cs="Arial"/>
          <w:sz w:val="22"/>
          <w:szCs w:val="22"/>
        </w:rPr>
        <w:t xml:space="preserve"> and society. Poorly managed diabetes can lead to </w:t>
      </w:r>
      <w:r w:rsidR="008A6525">
        <w:rPr>
          <w:rFonts w:ascii="Arial" w:hAnsi="Arial" w:cs="Arial"/>
          <w:sz w:val="22"/>
          <w:szCs w:val="22"/>
        </w:rPr>
        <w:t>short-term hyperglycemia</w:t>
      </w:r>
      <w:r w:rsidR="00E80927">
        <w:rPr>
          <w:rFonts w:ascii="Arial" w:hAnsi="Arial" w:cs="Arial"/>
          <w:sz w:val="22"/>
          <w:szCs w:val="22"/>
        </w:rPr>
        <w:t xml:space="preserve">, affecting quality of life, increasing hospital visits, and increasing the </w:t>
      </w:r>
      <w:r w:rsidRPr="002F4717">
        <w:rPr>
          <w:rFonts w:ascii="Arial" w:hAnsi="Arial" w:cs="Arial"/>
          <w:sz w:val="22"/>
          <w:szCs w:val="22"/>
        </w:rPr>
        <w:t xml:space="preserve">complexity of clinical management (Pasquel et al., 2021). </w:t>
      </w:r>
    </w:p>
    <w:p w14:paraId="1ED59466" w14:textId="7C6F4708" w:rsidR="00AC75D7" w:rsidRPr="002F4717" w:rsidRDefault="005563DD" w:rsidP="00AC1074">
      <w:pPr>
        <w:spacing w:line="360" w:lineRule="auto"/>
        <w:rPr>
          <w:rFonts w:ascii="Arial" w:hAnsi="Arial" w:cs="Arial"/>
          <w:sz w:val="22"/>
          <w:szCs w:val="22"/>
        </w:rPr>
      </w:pPr>
      <w:r w:rsidRPr="002F4717">
        <w:rPr>
          <w:rFonts w:ascii="Arial" w:hAnsi="Arial" w:cs="Arial"/>
          <w:sz w:val="22"/>
          <w:szCs w:val="22"/>
        </w:rPr>
        <w:t>The long-term consequences of chronic hyperglycaemia are also significant risk factors for cardiovascular disease, chronic kidney disease, diabetic retinopathy</w:t>
      </w:r>
      <w:r w:rsidR="008A6525">
        <w:rPr>
          <w:rFonts w:ascii="Arial" w:hAnsi="Arial" w:cs="Arial"/>
          <w:sz w:val="22"/>
          <w:szCs w:val="22"/>
        </w:rPr>
        <w:t>,</w:t>
      </w:r>
      <w:r w:rsidRPr="002F4717">
        <w:rPr>
          <w:rFonts w:ascii="Arial" w:hAnsi="Arial" w:cs="Arial"/>
          <w:sz w:val="22"/>
          <w:szCs w:val="22"/>
        </w:rPr>
        <w:t xml:space="preserve"> and lower-limb amputation, which result in disability and early death. Heald et al. (2020) showed that diabetes significantly decreases life expectancy</w:t>
      </w:r>
      <w:r w:rsidR="00E80927">
        <w:rPr>
          <w:rFonts w:ascii="Arial" w:hAnsi="Arial" w:cs="Arial"/>
          <w:sz w:val="22"/>
          <w:szCs w:val="22"/>
        </w:rPr>
        <w:t>,</w:t>
      </w:r>
      <w:r w:rsidRPr="002F4717">
        <w:rPr>
          <w:rFonts w:ascii="Arial" w:hAnsi="Arial" w:cs="Arial"/>
          <w:sz w:val="22"/>
          <w:szCs w:val="22"/>
        </w:rPr>
        <w:t xml:space="preserve"> and Hanlon et al. (2021) discussed the extra burden of frailty and multimorbidity on those who have diabetes.</w:t>
      </w:r>
      <w:r w:rsidR="007314BA" w:rsidRPr="002F4717">
        <w:rPr>
          <w:rFonts w:ascii="Arial" w:hAnsi="Arial" w:cs="Arial"/>
          <w:sz w:val="22"/>
          <w:szCs w:val="22"/>
        </w:rPr>
        <w:t xml:space="preserve"> </w:t>
      </w:r>
    </w:p>
    <w:p w14:paraId="6FC223DF" w14:textId="42E5EE09" w:rsidR="00AC75D7" w:rsidRPr="008A6525" w:rsidRDefault="00AC75D7" w:rsidP="00AC1074">
      <w:pPr>
        <w:spacing w:line="360" w:lineRule="auto"/>
        <w:rPr>
          <w:rFonts w:ascii="Arial" w:hAnsi="Arial" w:cs="Arial"/>
          <w:b/>
          <w:bCs/>
          <w:sz w:val="28"/>
          <w:szCs w:val="28"/>
        </w:rPr>
      </w:pPr>
      <w:r w:rsidRPr="002F4717">
        <w:rPr>
          <w:rFonts w:ascii="Arial" w:hAnsi="Arial" w:cs="Arial"/>
          <w:b/>
          <w:bCs/>
          <w:sz w:val="22"/>
          <w:szCs w:val="22"/>
        </w:rPr>
        <w:t xml:space="preserve">7. </w:t>
      </w:r>
      <w:r w:rsidRPr="008A6525">
        <w:rPr>
          <w:rFonts w:ascii="Arial" w:hAnsi="Arial" w:cs="Arial"/>
          <w:b/>
          <w:bCs/>
          <w:sz w:val="28"/>
          <w:szCs w:val="28"/>
        </w:rPr>
        <w:t xml:space="preserve">Proposed Health Intervention </w:t>
      </w:r>
      <w:r w:rsidR="00E80927" w:rsidRPr="008A6525">
        <w:rPr>
          <w:rFonts w:ascii="Arial" w:hAnsi="Arial" w:cs="Arial"/>
          <w:b/>
          <w:bCs/>
          <w:sz w:val="28"/>
          <w:szCs w:val="28"/>
        </w:rPr>
        <w:t>Program</w:t>
      </w:r>
      <w:r w:rsidRPr="008A6525">
        <w:rPr>
          <w:rFonts w:ascii="Arial" w:hAnsi="Arial" w:cs="Arial"/>
          <w:b/>
          <w:bCs/>
          <w:sz w:val="28"/>
          <w:szCs w:val="28"/>
        </w:rPr>
        <w:t xml:space="preserve"> and Evaluation </w:t>
      </w:r>
    </w:p>
    <w:p w14:paraId="64091B92" w14:textId="67488094" w:rsidR="00780E68" w:rsidRPr="008A6525" w:rsidRDefault="00780E68" w:rsidP="00AC1074">
      <w:pPr>
        <w:spacing w:line="360" w:lineRule="auto"/>
        <w:rPr>
          <w:rFonts w:ascii="Arial" w:hAnsi="Arial" w:cs="Arial"/>
          <w:b/>
          <w:bCs/>
          <w:sz w:val="28"/>
          <w:szCs w:val="28"/>
        </w:rPr>
      </w:pPr>
      <w:r w:rsidRPr="002F4717">
        <w:rPr>
          <w:rFonts w:ascii="Arial" w:hAnsi="Arial" w:cs="Arial"/>
          <w:b/>
          <w:bCs/>
          <w:sz w:val="22"/>
          <w:szCs w:val="22"/>
        </w:rPr>
        <w:t xml:space="preserve">7.1 </w:t>
      </w:r>
      <w:r w:rsidR="00E80927" w:rsidRPr="008A6525">
        <w:rPr>
          <w:rFonts w:ascii="Arial" w:hAnsi="Arial" w:cs="Arial"/>
          <w:b/>
          <w:bCs/>
          <w:sz w:val="28"/>
          <w:szCs w:val="28"/>
        </w:rPr>
        <w:t>Program</w:t>
      </w:r>
      <w:r w:rsidRPr="008A6525">
        <w:rPr>
          <w:rFonts w:ascii="Arial" w:hAnsi="Arial" w:cs="Arial"/>
          <w:b/>
          <w:bCs/>
          <w:sz w:val="28"/>
          <w:szCs w:val="28"/>
        </w:rPr>
        <w:t xml:space="preserve"> Aim and SMART Objectives</w:t>
      </w:r>
    </w:p>
    <w:p w14:paraId="4C73A1EE" w14:textId="52C43C6B" w:rsidR="00780E68" w:rsidRPr="002F4717" w:rsidRDefault="00544517" w:rsidP="00AC1074">
      <w:pPr>
        <w:spacing w:line="360" w:lineRule="auto"/>
        <w:rPr>
          <w:rFonts w:ascii="Arial" w:hAnsi="Arial" w:cs="Arial"/>
          <w:sz w:val="22"/>
          <w:szCs w:val="22"/>
        </w:rPr>
      </w:pPr>
      <w:r w:rsidRPr="002F4717">
        <w:rPr>
          <w:rFonts w:ascii="Arial" w:hAnsi="Arial" w:cs="Arial"/>
          <w:sz w:val="22"/>
          <w:szCs w:val="22"/>
        </w:rPr>
        <w:t xml:space="preserve">The </w:t>
      </w:r>
      <w:r w:rsidR="00F825B4">
        <w:rPr>
          <w:rFonts w:ascii="Arial" w:hAnsi="Arial" w:cs="Arial"/>
          <w:sz w:val="22"/>
          <w:szCs w:val="22"/>
        </w:rPr>
        <w:t>Community-Based Diabetes Prevention and Lifestyle Management Program</w:t>
      </w:r>
      <w:r w:rsidRPr="002F4717">
        <w:rPr>
          <w:rFonts w:ascii="Arial" w:hAnsi="Arial" w:cs="Arial"/>
          <w:sz w:val="22"/>
          <w:szCs w:val="22"/>
        </w:rPr>
        <w:t xml:space="preserve"> proposed will help lower the risk of Type 2 diabetes among adults aged 40 years and older, especially those at higher risk, such as those with prediabetes, who have an increased risk of developing Type 2 diabetes, and those who are obese or socially disadvantaged. The </w:t>
      </w:r>
      <w:r w:rsidR="00E80927">
        <w:rPr>
          <w:rFonts w:ascii="Arial" w:hAnsi="Arial" w:cs="Arial"/>
          <w:sz w:val="22"/>
          <w:szCs w:val="22"/>
        </w:rPr>
        <w:t>program will aim to reduce participants' baseline body weight by 5% over 12 months, increase physical activity to 150 minutes per week, and improve diet by delivering structured guidance on nutritional behavior (Public</w:t>
      </w:r>
      <w:r w:rsidRPr="002F4717">
        <w:rPr>
          <w:rFonts w:ascii="Arial" w:hAnsi="Arial" w:cs="Arial"/>
          <w:sz w:val="22"/>
          <w:szCs w:val="22"/>
        </w:rPr>
        <w:t xml:space="preserve"> Health England, 2018).</w:t>
      </w:r>
    </w:p>
    <w:p w14:paraId="0B1804E6" w14:textId="77777777" w:rsidR="00780E68" w:rsidRPr="008A6525" w:rsidRDefault="00780E68" w:rsidP="00AC1074">
      <w:pPr>
        <w:spacing w:line="360" w:lineRule="auto"/>
        <w:rPr>
          <w:rFonts w:ascii="Arial" w:hAnsi="Arial" w:cs="Arial"/>
          <w:b/>
          <w:bCs/>
          <w:sz w:val="28"/>
          <w:szCs w:val="28"/>
        </w:rPr>
      </w:pPr>
      <w:r w:rsidRPr="002F4717">
        <w:rPr>
          <w:rFonts w:ascii="Arial" w:hAnsi="Arial" w:cs="Arial"/>
          <w:b/>
          <w:bCs/>
          <w:sz w:val="22"/>
          <w:szCs w:val="22"/>
        </w:rPr>
        <w:lastRenderedPageBreak/>
        <w:t xml:space="preserve">7.2 </w:t>
      </w:r>
      <w:r w:rsidRPr="008A6525">
        <w:rPr>
          <w:rFonts w:ascii="Arial" w:hAnsi="Arial" w:cs="Arial"/>
          <w:b/>
          <w:bCs/>
          <w:sz w:val="28"/>
          <w:szCs w:val="28"/>
        </w:rPr>
        <w:t>Target Population</w:t>
      </w:r>
    </w:p>
    <w:p w14:paraId="3380B270" w14:textId="06DD6191" w:rsidR="00780E68" w:rsidRPr="002F4717" w:rsidRDefault="00BC22A7" w:rsidP="00AC1074">
      <w:pPr>
        <w:spacing w:line="360" w:lineRule="auto"/>
        <w:rPr>
          <w:rFonts w:ascii="Arial" w:hAnsi="Arial" w:cs="Arial"/>
          <w:sz w:val="22"/>
          <w:szCs w:val="22"/>
        </w:rPr>
      </w:pPr>
      <w:r w:rsidRPr="002F4717">
        <w:rPr>
          <w:rFonts w:ascii="Arial" w:hAnsi="Arial" w:cs="Arial"/>
          <w:sz w:val="22"/>
          <w:szCs w:val="22"/>
        </w:rPr>
        <w:t xml:space="preserve">The </w:t>
      </w:r>
      <w:r w:rsidR="00D44DD6">
        <w:rPr>
          <w:rFonts w:ascii="Arial" w:hAnsi="Arial" w:cs="Arial"/>
          <w:sz w:val="22"/>
          <w:szCs w:val="22"/>
        </w:rPr>
        <w:t>program will reach high-risk adults</w:t>
      </w:r>
      <w:r w:rsidRPr="002F4717">
        <w:rPr>
          <w:rFonts w:ascii="Arial" w:hAnsi="Arial" w:cs="Arial"/>
          <w:sz w:val="22"/>
          <w:szCs w:val="22"/>
        </w:rPr>
        <w:t xml:space="preserve"> via GP practices, pharmacists, local government and charity groups. Accessible</w:t>
      </w:r>
      <w:r w:rsidR="00CC36A7">
        <w:rPr>
          <w:rFonts w:ascii="Arial" w:hAnsi="Arial" w:cs="Arial"/>
          <w:sz w:val="22"/>
          <w:szCs w:val="22"/>
        </w:rPr>
        <w:t>, culturally appropriate education, healthy cooking sessions, physical activity, and weight-management support will be available to</w:t>
      </w:r>
      <w:r w:rsidRPr="002F4717">
        <w:rPr>
          <w:rFonts w:ascii="Arial" w:hAnsi="Arial" w:cs="Arial"/>
          <w:sz w:val="22"/>
          <w:szCs w:val="22"/>
        </w:rPr>
        <w:t xml:space="preserve"> promote continued engagement (Barry et al., 2023).</w:t>
      </w:r>
    </w:p>
    <w:p w14:paraId="6B4A4615" w14:textId="77777777" w:rsidR="00780E68" w:rsidRPr="00CC36A7" w:rsidRDefault="00780E68" w:rsidP="00AC1074">
      <w:pPr>
        <w:spacing w:line="360" w:lineRule="auto"/>
        <w:rPr>
          <w:rFonts w:ascii="Arial" w:hAnsi="Arial" w:cs="Arial"/>
          <w:b/>
          <w:bCs/>
          <w:sz w:val="28"/>
          <w:szCs w:val="28"/>
        </w:rPr>
      </w:pPr>
      <w:r w:rsidRPr="002F4717">
        <w:rPr>
          <w:rFonts w:ascii="Arial" w:hAnsi="Arial" w:cs="Arial"/>
          <w:b/>
          <w:bCs/>
          <w:sz w:val="22"/>
          <w:szCs w:val="22"/>
        </w:rPr>
        <w:t xml:space="preserve">7.3 </w:t>
      </w:r>
      <w:r w:rsidRPr="00CC36A7">
        <w:rPr>
          <w:rFonts w:ascii="Arial" w:hAnsi="Arial" w:cs="Arial"/>
          <w:b/>
          <w:bCs/>
          <w:sz w:val="28"/>
          <w:szCs w:val="28"/>
        </w:rPr>
        <w:t>Community Engagement and Education</w:t>
      </w:r>
    </w:p>
    <w:p w14:paraId="1B6F73D7" w14:textId="73CDF52C" w:rsidR="00780E68" w:rsidRPr="002F4717" w:rsidRDefault="00A90D75" w:rsidP="00AC1074">
      <w:pPr>
        <w:spacing w:line="360" w:lineRule="auto"/>
        <w:rPr>
          <w:rFonts w:ascii="Arial" w:hAnsi="Arial" w:cs="Arial"/>
          <w:sz w:val="22"/>
          <w:szCs w:val="22"/>
        </w:rPr>
      </w:pPr>
      <w:r w:rsidRPr="002F4717">
        <w:rPr>
          <w:rFonts w:ascii="Arial" w:hAnsi="Arial" w:cs="Arial"/>
          <w:sz w:val="22"/>
          <w:szCs w:val="22"/>
        </w:rPr>
        <w:t xml:space="preserve">Collaborations will be made with </w:t>
      </w:r>
      <w:r w:rsidR="00E42786">
        <w:rPr>
          <w:rFonts w:ascii="Arial" w:hAnsi="Arial" w:cs="Arial"/>
          <w:sz w:val="22"/>
          <w:szCs w:val="22"/>
        </w:rPr>
        <w:t>local community members</w:t>
      </w:r>
      <w:r w:rsidRPr="002F4717">
        <w:rPr>
          <w:rFonts w:ascii="Arial" w:hAnsi="Arial" w:cs="Arial"/>
          <w:sz w:val="22"/>
          <w:szCs w:val="22"/>
        </w:rPr>
        <w:t xml:space="preserve">, such as GP practices, community </w:t>
      </w:r>
      <w:r w:rsidR="00D44DD6">
        <w:rPr>
          <w:rFonts w:ascii="Arial" w:hAnsi="Arial" w:cs="Arial"/>
          <w:sz w:val="22"/>
          <w:szCs w:val="22"/>
        </w:rPr>
        <w:t>centers, pharmacies</w:t>
      </w:r>
      <w:r w:rsidR="00CC36A7">
        <w:rPr>
          <w:rFonts w:ascii="Arial" w:hAnsi="Arial" w:cs="Arial"/>
          <w:sz w:val="22"/>
          <w:szCs w:val="22"/>
        </w:rPr>
        <w:t>, and local voluntary organizations,</w:t>
      </w:r>
      <w:r w:rsidR="00D44DD6">
        <w:rPr>
          <w:rFonts w:ascii="Arial" w:hAnsi="Arial" w:cs="Arial"/>
          <w:sz w:val="22"/>
          <w:szCs w:val="22"/>
        </w:rPr>
        <w:t xml:space="preserve"> to provide diabetes education and improve</w:t>
      </w:r>
      <w:r w:rsidRPr="002F4717">
        <w:rPr>
          <w:rFonts w:ascii="Arial" w:hAnsi="Arial" w:cs="Arial"/>
          <w:sz w:val="22"/>
          <w:szCs w:val="22"/>
        </w:rPr>
        <w:t xml:space="preserve"> </w:t>
      </w:r>
      <w:r w:rsidR="00CC36A7">
        <w:rPr>
          <w:rFonts w:ascii="Arial" w:hAnsi="Arial" w:cs="Arial"/>
          <w:sz w:val="22"/>
          <w:szCs w:val="22"/>
        </w:rPr>
        <w:t>community health literacy</w:t>
      </w:r>
      <w:r w:rsidRPr="002F4717">
        <w:rPr>
          <w:rFonts w:ascii="Arial" w:hAnsi="Arial" w:cs="Arial"/>
          <w:sz w:val="22"/>
          <w:szCs w:val="22"/>
        </w:rPr>
        <w:t xml:space="preserve">. </w:t>
      </w:r>
      <w:r w:rsidR="00CC36A7">
        <w:rPr>
          <w:rFonts w:ascii="Arial" w:hAnsi="Arial" w:cs="Arial"/>
          <w:sz w:val="22"/>
          <w:szCs w:val="22"/>
        </w:rPr>
        <w:t>Participants will be educated about diabetes risk factors</w:t>
      </w:r>
      <w:r w:rsidRPr="002F4717">
        <w:rPr>
          <w:rFonts w:ascii="Arial" w:hAnsi="Arial" w:cs="Arial"/>
          <w:sz w:val="22"/>
          <w:szCs w:val="22"/>
        </w:rPr>
        <w:t xml:space="preserve">, healthy eating, physical activity, weight management, and regular health check-ups. </w:t>
      </w:r>
      <w:r w:rsidR="00D44DD6">
        <w:rPr>
          <w:rFonts w:ascii="Arial" w:hAnsi="Arial" w:cs="Arial"/>
          <w:sz w:val="22"/>
          <w:szCs w:val="22"/>
        </w:rPr>
        <w:t>Group</w:t>
      </w:r>
      <w:r w:rsidRPr="002F4717">
        <w:rPr>
          <w:rFonts w:ascii="Arial" w:hAnsi="Arial" w:cs="Arial"/>
          <w:sz w:val="22"/>
          <w:szCs w:val="22"/>
        </w:rPr>
        <w:t xml:space="preserve"> and Education Sessions allow for peer-to-peer interactions and continued engagement. Culturally appropriate resources and delivery times should be used to tailor resources and delivery modes to the needs of the diverse communities (Barry et al., 2023).</w:t>
      </w:r>
    </w:p>
    <w:p w14:paraId="1DBBBB46" w14:textId="77777777" w:rsidR="00780E68" w:rsidRPr="008A6525" w:rsidRDefault="00780E68" w:rsidP="00AC1074">
      <w:pPr>
        <w:spacing w:line="360" w:lineRule="auto"/>
        <w:rPr>
          <w:rFonts w:ascii="Arial" w:hAnsi="Arial" w:cs="Arial"/>
          <w:b/>
          <w:bCs/>
          <w:sz w:val="28"/>
          <w:szCs w:val="28"/>
        </w:rPr>
      </w:pPr>
      <w:r w:rsidRPr="002F4717">
        <w:rPr>
          <w:rFonts w:ascii="Arial" w:hAnsi="Arial" w:cs="Arial"/>
          <w:b/>
          <w:bCs/>
          <w:sz w:val="22"/>
          <w:szCs w:val="22"/>
        </w:rPr>
        <w:t xml:space="preserve">7.4 </w:t>
      </w:r>
      <w:r w:rsidRPr="008A6525">
        <w:rPr>
          <w:rFonts w:ascii="Arial" w:hAnsi="Arial" w:cs="Arial"/>
          <w:b/>
          <w:bCs/>
          <w:sz w:val="28"/>
          <w:szCs w:val="28"/>
        </w:rPr>
        <w:t>Health Promotion and Lifestyle Activities</w:t>
      </w:r>
    </w:p>
    <w:p w14:paraId="460C40CD" w14:textId="3ECA6779" w:rsidR="00780E68" w:rsidRPr="002F4717" w:rsidRDefault="00A90D75" w:rsidP="00AC1074">
      <w:pPr>
        <w:spacing w:line="360" w:lineRule="auto"/>
        <w:rPr>
          <w:rFonts w:ascii="Arial" w:hAnsi="Arial" w:cs="Arial"/>
          <w:sz w:val="22"/>
          <w:szCs w:val="22"/>
        </w:rPr>
      </w:pPr>
      <w:r w:rsidRPr="002F4717">
        <w:rPr>
          <w:rFonts w:ascii="Arial" w:hAnsi="Arial" w:cs="Arial"/>
          <w:sz w:val="22"/>
          <w:szCs w:val="22"/>
        </w:rPr>
        <w:t>Personal dietary advice, healthy cooking sessions, physical activity sessions, weight management assistance</w:t>
      </w:r>
      <w:r w:rsidR="00D44DD6">
        <w:rPr>
          <w:rFonts w:ascii="Arial" w:hAnsi="Arial" w:cs="Arial"/>
          <w:sz w:val="22"/>
          <w:szCs w:val="22"/>
        </w:rPr>
        <w:t>, and behavior advising will be provided</w:t>
      </w:r>
      <w:r w:rsidRPr="002F4717">
        <w:rPr>
          <w:rFonts w:ascii="Arial" w:hAnsi="Arial" w:cs="Arial"/>
          <w:sz w:val="22"/>
          <w:szCs w:val="22"/>
        </w:rPr>
        <w:t xml:space="preserve">. The participant(s) will be encouraged to gradually implement </w:t>
      </w:r>
      <w:r w:rsidR="00CC36A7">
        <w:rPr>
          <w:rFonts w:ascii="Arial" w:hAnsi="Arial" w:cs="Arial"/>
          <w:sz w:val="22"/>
          <w:szCs w:val="22"/>
        </w:rPr>
        <w:t xml:space="preserve">a more active lifestyle and long-term dietary </w:t>
      </w:r>
      <w:proofErr w:type="spellStart"/>
      <w:r w:rsidR="00CC36A7">
        <w:rPr>
          <w:rFonts w:ascii="Arial" w:hAnsi="Arial" w:cs="Arial"/>
          <w:sz w:val="22"/>
          <w:szCs w:val="22"/>
        </w:rPr>
        <w:t>behaviors</w:t>
      </w:r>
      <w:proofErr w:type="spellEnd"/>
      <w:r w:rsidRPr="002F4717">
        <w:rPr>
          <w:rFonts w:ascii="Arial" w:hAnsi="Arial" w:cs="Arial"/>
          <w:sz w:val="22"/>
          <w:szCs w:val="22"/>
        </w:rPr>
        <w:t>, rather than short-term measures. For individuals at risk of or with Type 2 diabetes</w:t>
      </w:r>
      <w:r w:rsidR="00D44DD6">
        <w:rPr>
          <w:rFonts w:ascii="Arial" w:hAnsi="Arial" w:cs="Arial"/>
          <w:sz w:val="22"/>
          <w:szCs w:val="22"/>
        </w:rPr>
        <w:t>,</w:t>
      </w:r>
      <w:r w:rsidRPr="002F4717">
        <w:rPr>
          <w:rFonts w:ascii="Arial" w:hAnsi="Arial" w:cs="Arial"/>
          <w:sz w:val="22"/>
          <w:szCs w:val="22"/>
        </w:rPr>
        <w:t xml:space="preserve"> emphasis is laid on lifestyle changes in addition to suitable clinical management as an integral part of their treatment (NHS 2025).  </w:t>
      </w:r>
      <w:r w:rsidR="00E01F4C" w:rsidRPr="002F4717">
        <w:rPr>
          <w:rFonts w:ascii="Arial" w:hAnsi="Arial" w:cs="Arial"/>
          <w:sz w:val="22"/>
          <w:szCs w:val="22"/>
        </w:rPr>
        <w:t xml:space="preserve"> </w:t>
      </w:r>
      <w:r w:rsidR="00780E68" w:rsidRPr="002F4717">
        <w:rPr>
          <w:rFonts w:ascii="Arial" w:hAnsi="Arial" w:cs="Arial"/>
          <w:sz w:val="22"/>
          <w:szCs w:val="22"/>
        </w:rPr>
        <w:t xml:space="preserve"> </w:t>
      </w:r>
    </w:p>
    <w:p w14:paraId="5F1EC02D" w14:textId="77777777" w:rsidR="00780E68" w:rsidRPr="002F4717" w:rsidRDefault="00780E68" w:rsidP="00AC1074">
      <w:pPr>
        <w:spacing w:line="360" w:lineRule="auto"/>
        <w:rPr>
          <w:rFonts w:ascii="Arial" w:hAnsi="Arial" w:cs="Arial"/>
          <w:b/>
          <w:bCs/>
          <w:sz w:val="22"/>
          <w:szCs w:val="22"/>
        </w:rPr>
      </w:pPr>
      <w:r w:rsidRPr="002F4717">
        <w:rPr>
          <w:rFonts w:ascii="Arial" w:hAnsi="Arial" w:cs="Arial"/>
          <w:b/>
          <w:bCs/>
          <w:sz w:val="22"/>
          <w:szCs w:val="22"/>
        </w:rPr>
        <w:t xml:space="preserve">7.5 </w:t>
      </w:r>
      <w:r w:rsidRPr="00CC36A7">
        <w:rPr>
          <w:rFonts w:ascii="Arial" w:hAnsi="Arial" w:cs="Arial"/>
          <w:b/>
          <w:bCs/>
          <w:sz w:val="28"/>
          <w:szCs w:val="28"/>
        </w:rPr>
        <w:t>Stakeholders and Implementation</w:t>
      </w:r>
    </w:p>
    <w:p w14:paraId="39BF7808" w14:textId="7D710E4B" w:rsidR="00780E68" w:rsidRPr="002F4717" w:rsidRDefault="00A90D75" w:rsidP="00AC1074">
      <w:pPr>
        <w:spacing w:line="360" w:lineRule="auto"/>
        <w:rPr>
          <w:rFonts w:ascii="Arial" w:hAnsi="Arial" w:cs="Arial"/>
          <w:sz w:val="22"/>
          <w:szCs w:val="22"/>
        </w:rPr>
      </w:pPr>
      <w:r w:rsidRPr="002F4717">
        <w:rPr>
          <w:rFonts w:ascii="Arial" w:hAnsi="Arial" w:cs="Arial"/>
          <w:sz w:val="22"/>
          <w:szCs w:val="22"/>
        </w:rPr>
        <w:t xml:space="preserve">Eligible participants will be identified and referred by general practices, and supported by a dietitian, diabetes nurse and health trainer. Outcomes and inequalities monitoring could be informed by </w:t>
      </w:r>
      <w:r w:rsidR="00D44DD6">
        <w:rPr>
          <w:rFonts w:ascii="Arial" w:hAnsi="Arial" w:cs="Arial"/>
          <w:sz w:val="22"/>
          <w:szCs w:val="22"/>
        </w:rPr>
        <w:t>the NHS Digital</w:t>
      </w:r>
      <w:r w:rsidRPr="002F4717">
        <w:rPr>
          <w:rFonts w:ascii="Arial" w:hAnsi="Arial" w:cs="Arial"/>
          <w:sz w:val="22"/>
          <w:szCs w:val="22"/>
        </w:rPr>
        <w:t xml:space="preserve"> (2025) National Diabetes Audit.</w:t>
      </w:r>
    </w:p>
    <w:p w14:paraId="016CA426" w14:textId="77777777" w:rsidR="00780E68" w:rsidRPr="00CC36A7" w:rsidRDefault="00780E68" w:rsidP="00AC1074">
      <w:pPr>
        <w:spacing w:line="360" w:lineRule="auto"/>
        <w:rPr>
          <w:rFonts w:ascii="Arial" w:hAnsi="Arial" w:cs="Arial"/>
          <w:b/>
          <w:bCs/>
          <w:sz w:val="28"/>
          <w:szCs w:val="28"/>
        </w:rPr>
      </w:pPr>
      <w:r w:rsidRPr="002F4717">
        <w:rPr>
          <w:rFonts w:ascii="Arial" w:hAnsi="Arial" w:cs="Arial"/>
          <w:b/>
          <w:bCs/>
          <w:sz w:val="22"/>
          <w:szCs w:val="22"/>
        </w:rPr>
        <w:t xml:space="preserve">7.6 </w:t>
      </w:r>
      <w:r w:rsidRPr="00CC36A7">
        <w:rPr>
          <w:rFonts w:ascii="Arial" w:hAnsi="Arial" w:cs="Arial"/>
          <w:b/>
          <w:bCs/>
          <w:sz w:val="28"/>
          <w:szCs w:val="28"/>
        </w:rPr>
        <w:t>Evaluation</w:t>
      </w:r>
    </w:p>
    <w:p w14:paraId="3FE20618" w14:textId="7C114E52" w:rsidR="00780E68" w:rsidRDefault="005E40CC" w:rsidP="00AC1074">
      <w:pPr>
        <w:spacing w:line="360" w:lineRule="auto"/>
        <w:rPr>
          <w:rFonts w:ascii="Arial" w:hAnsi="Arial" w:cs="Arial"/>
          <w:sz w:val="22"/>
          <w:szCs w:val="22"/>
        </w:rPr>
      </w:pPr>
      <w:r w:rsidRPr="002F4717">
        <w:rPr>
          <w:rFonts w:ascii="Arial" w:hAnsi="Arial" w:cs="Arial"/>
          <w:sz w:val="22"/>
          <w:szCs w:val="22"/>
        </w:rPr>
        <w:t xml:space="preserve">Measures for process evaluation will include participation, attendance, </w:t>
      </w:r>
      <w:r w:rsidR="00D47AE0">
        <w:rPr>
          <w:rFonts w:ascii="Arial" w:hAnsi="Arial" w:cs="Arial"/>
          <w:sz w:val="22"/>
          <w:szCs w:val="22"/>
        </w:rPr>
        <w:t>program</w:t>
      </w:r>
      <w:r w:rsidRPr="002F4717">
        <w:rPr>
          <w:rFonts w:ascii="Arial" w:hAnsi="Arial" w:cs="Arial"/>
          <w:sz w:val="22"/>
          <w:szCs w:val="22"/>
        </w:rPr>
        <w:t xml:space="preserve"> completion, quality of delivery and satisfaction. </w:t>
      </w:r>
      <w:r w:rsidR="00D44DD6">
        <w:rPr>
          <w:rFonts w:ascii="Arial" w:hAnsi="Arial" w:cs="Arial"/>
          <w:sz w:val="22"/>
          <w:szCs w:val="22"/>
        </w:rPr>
        <w:t>Outcome evaluation will include weight, HbA1C, physical activity, dietary behaviours,</w:t>
      </w:r>
      <w:r w:rsidRPr="002F4717">
        <w:rPr>
          <w:rFonts w:ascii="Arial" w:hAnsi="Arial" w:cs="Arial"/>
          <w:sz w:val="22"/>
          <w:szCs w:val="22"/>
        </w:rPr>
        <w:t xml:space="preserve"> and transition to Type 2 diabetes. </w:t>
      </w:r>
      <w:r w:rsidR="00D44DD6">
        <w:rPr>
          <w:rFonts w:ascii="Arial" w:hAnsi="Arial" w:cs="Arial"/>
          <w:sz w:val="22"/>
          <w:szCs w:val="22"/>
        </w:rPr>
        <w:t xml:space="preserve">Resource limitations, participant </w:t>
      </w:r>
      <w:r w:rsidR="00D44DD6">
        <w:rPr>
          <w:rFonts w:ascii="Arial" w:hAnsi="Arial" w:cs="Arial"/>
          <w:sz w:val="22"/>
          <w:szCs w:val="22"/>
        </w:rPr>
        <w:lastRenderedPageBreak/>
        <w:t>loss, and socioeconomic factors may diminish impact, but frequent evaluation and program modification can increase sustainability and</w:t>
      </w:r>
      <w:r w:rsidRPr="002F4717">
        <w:rPr>
          <w:rFonts w:ascii="Arial" w:hAnsi="Arial" w:cs="Arial"/>
          <w:sz w:val="22"/>
          <w:szCs w:val="22"/>
        </w:rPr>
        <w:t xml:space="preserve"> reduce diabetes inequities (Barry et al., 2023).</w:t>
      </w:r>
    </w:p>
    <w:p w14:paraId="07B241D7" w14:textId="77777777" w:rsidR="00D47AE0" w:rsidRPr="002F4717" w:rsidRDefault="00D47AE0" w:rsidP="00AC1074">
      <w:pPr>
        <w:spacing w:line="360" w:lineRule="auto"/>
        <w:rPr>
          <w:rFonts w:ascii="Arial" w:hAnsi="Arial" w:cs="Arial"/>
          <w:sz w:val="22"/>
          <w:szCs w:val="22"/>
        </w:rPr>
      </w:pPr>
    </w:p>
    <w:p w14:paraId="6BDC5B79" w14:textId="3CB71605" w:rsidR="00AC75D7" w:rsidRPr="002F4717" w:rsidRDefault="00AC75D7" w:rsidP="00AC1074">
      <w:pPr>
        <w:spacing w:line="360" w:lineRule="auto"/>
        <w:rPr>
          <w:rFonts w:ascii="Arial" w:hAnsi="Arial" w:cs="Arial"/>
          <w:b/>
          <w:bCs/>
          <w:sz w:val="22"/>
          <w:szCs w:val="22"/>
        </w:rPr>
      </w:pPr>
      <w:r w:rsidRPr="002F4717">
        <w:rPr>
          <w:rFonts w:ascii="Arial" w:hAnsi="Arial" w:cs="Arial"/>
          <w:b/>
          <w:bCs/>
          <w:sz w:val="22"/>
          <w:szCs w:val="22"/>
        </w:rPr>
        <w:t xml:space="preserve">8. </w:t>
      </w:r>
      <w:r w:rsidRPr="00CC36A7">
        <w:rPr>
          <w:rFonts w:ascii="Arial" w:hAnsi="Arial" w:cs="Arial"/>
          <w:b/>
          <w:bCs/>
          <w:sz w:val="28"/>
          <w:szCs w:val="28"/>
        </w:rPr>
        <w:t>Strengths and Weaknesses of the Epidemiological Approach</w:t>
      </w:r>
      <w:r w:rsidRPr="002F4717">
        <w:rPr>
          <w:rFonts w:ascii="Arial" w:hAnsi="Arial" w:cs="Arial"/>
          <w:b/>
          <w:bCs/>
          <w:sz w:val="22"/>
          <w:szCs w:val="22"/>
        </w:rPr>
        <w:t xml:space="preserve"> </w:t>
      </w:r>
    </w:p>
    <w:p w14:paraId="587E6149" w14:textId="23B37FC0" w:rsidR="00AC75D7" w:rsidRDefault="00B7359F" w:rsidP="00AC1074">
      <w:pPr>
        <w:spacing w:line="360" w:lineRule="auto"/>
        <w:rPr>
          <w:rFonts w:ascii="Arial" w:hAnsi="Arial" w:cs="Arial"/>
          <w:sz w:val="22"/>
          <w:szCs w:val="22"/>
        </w:rPr>
      </w:pPr>
      <w:r w:rsidRPr="002F4717">
        <w:rPr>
          <w:rFonts w:ascii="Arial" w:hAnsi="Arial" w:cs="Arial"/>
          <w:sz w:val="22"/>
          <w:szCs w:val="22"/>
        </w:rPr>
        <w:t>Epidemiology is a good basis for understanding the burden of Type 2 diabetes and informing public health action. The National Diabetes Audit, Hospital Episode Statistics</w:t>
      </w:r>
      <w:r w:rsidR="00CC36A7">
        <w:rPr>
          <w:rFonts w:ascii="Arial" w:hAnsi="Arial" w:cs="Arial"/>
          <w:sz w:val="22"/>
          <w:szCs w:val="22"/>
        </w:rPr>
        <w:t>, and the Office for National Statistics (ONS) provide large national datasets for evidence-based planning, service evaluation,</w:t>
      </w:r>
      <w:r w:rsidRPr="002F4717">
        <w:rPr>
          <w:rFonts w:ascii="Arial" w:hAnsi="Arial" w:cs="Arial"/>
          <w:sz w:val="22"/>
          <w:szCs w:val="22"/>
        </w:rPr>
        <w:t xml:space="preserve"> and policy development (NHS Digital, 2025). </w:t>
      </w:r>
      <w:r w:rsidR="00CC36A7">
        <w:rPr>
          <w:rFonts w:ascii="Arial" w:hAnsi="Arial" w:cs="Arial"/>
          <w:sz w:val="22"/>
          <w:szCs w:val="22"/>
        </w:rPr>
        <w:t>However, there are major exceptions</w:t>
      </w:r>
      <w:r w:rsidRPr="002F4717">
        <w:rPr>
          <w:rFonts w:ascii="Arial" w:hAnsi="Arial" w:cs="Arial"/>
          <w:sz w:val="22"/>
          <w:szCs w:val="22"/>
        </w:rPr>
        <w:t xml:space="preserve">. Prevalence may be underestimated due to underdiagnosis or delayed diagnosis, and </w:t>
      </w:r>
      <w:r w:rsidR="00D44DD6">
        <w:rPr>
          <w:rFonts w:ascii="Arial" w:hAnsi="Arial" w:cs="Arial"/>
          <w:sz w:val="22"/>
          <w:szCs w:val="22"/>
        </w:rPr>
        <w:t xml:space="preserve">differences in data quality and regional reporting </w:t>
      </w:r>
      <w:r w:rsidRPr="002F4717">
        <w:rPr>
          <w:rFonts w:ascii="Arial" w:hAnsi="Arial" w:cs="Arial"/>
          <w:sz w:val="22"/>
          <w:szCs w:val="22"/>
        </w:rPr>
        <w:t xml:space="preserve">limit comparability between populations. In addition, epidemiological data are </w:t>
      </w:r>
      <w:r w:rsidR="00CC36A7">
        <w:rPr>
          <w:rFonts w:ascii="Arial" w:hAnsi="Arial" w:cs="Arial"/>
          <w:sz w:val="22"/>
          <w:szCs w:val="22"/>
        </w:rPr>
        <w:t xml:space="preserve">insufficient to capture </w:t>
      </w:r>
      <w:proofErr w:type="spellStart"/>
      <w:r w:rsidR="00CC36A7">
        <w:rPr>
          <w:rFonts w:ascii="Arial" w:hAnsi="Arial" w:cs="Arial"/>
          <w:sz w:val="22"/>
          <w:szCs w:val="22"/>
        </w:rPr>
        <w:t>behavioral</w:t>
      </w:r>
      <w:proofErr w:type="spellEnd"/>
      <w:r w:rsidR="00CC36A7">
        <w:rPr>
          <w:rFonts w:ascii="Arial" w:hAnsi="Arial" w:cs="Arial"/>
          <w:sz w:val="22"/>
          <w:szCs w:val="22"/>
        </w:rPr>
        <w:t>, cultural, and socioeconomic factors that affect</w:t>
      </w:r>
      <w:r w:rsidRPr="002F4717">
        <w:rPr>
          <w:rFonts w:ascii="Arial" w:hAnsi="Arial" w:cs="Arial"/>
          <w:sz w:val="22"/>
          <w:szCs w:val="22"/>
        </w:rPr>
        <w:t xml:space="preserve"> diabetes risk (NHS Digital, 2015). As such, quantitative surveillance should be supplemented by a wider range of population health assessments </w:t>
      </w:r>
      <w:r w:rsidR="00D44DD6" w:rsidRPr="002F4717">
        <w:rPr>
          <w:rFonts w:ascii="Arial" w:hAnsi="Arial" w:cs="Arial"/>
          <w:sz w:val="22"/>
          <w:szCs w:val="22"/>
        </w:rPr>
        <w:t>to</w:t>
      </w:r>
      <w:r w:rsidRPr="002F4717">
        <w:rPr>
          <w:rFonts w:ascii="Arial" w:hAnsi="Arial" w:cs="Arial"/>
          <w:sz w:val="22"/>
          <w:szCs w:val="22"/>
        </w:rPr>
        <w:t xml:space="preserve"> enable more equitable and effective public health action.</w:t>
      </w:r>
    </w:p>
    <w:p w14:paraId="078ABF2A" w14:textId="77777777" w:rsidR="00F825B4" w:rsidRDefault="00F825B4" w:rsidP="00AC1074">
      <w:pPr>
        <w:spacing w:line="360" w:lineRule="auto"/>
        <w:rPr>
          <w:rFonts w:ascii="Arial" w:hAnsi="Arial" w:cs="Arial"/>
          <w:sz w:val="22"/>
          <w:szCs w:val="22"/>
        </w:rPr>
      </w:pPr>
    </w:p>
    <w:p w14:paraId="1D65EA1A" w14:textId="77777777" w:rsidR="00F825B4" w:rsidRPr="00CC36A7" w:rsidRDefault="00F825B4" w:rsidP="00CA08A3">
      <w:pPr>
        <w:spacing w:line="480" w:lineRule="auto"/>
        <w:rPr>
          <w:rFonts w:ascii="Arial" w:hAnsi="Arial" w:cs="Arial"/>
          <w:sz w:val="28"/>
          <w:szCs w:val="28"/>
        </w:rPr>
      </w:pPr>
    </w:p>
    <w:p w14:paraId="24E24B74" w14:textId="59A932E1" w:rsidR="00AC75D7" w:rsidRPr="002F4717" w:rsidRDefault="00AC75D7" w:rsidP="00AC1074">
      <w:pPr>
        <w:spacing w:line="360" w:lineRule="auto"/>
        <w:rPr>
          <w:rFonts w:ascii="Arial" w:hAnsi="Arial" w:cs="Arial"/>
          <w:b/>
          <w:bCs/>
          <w:sz w:val="22"/>
          <w:szCs w:val="22"/>
        </w:rPr>
      </w:pPr>
      <w:r w:rsidRPr="00CC36A7">
        <w:rPr>
          <w:rFonts w:ascii="Arial" w:hAnsi="Arial" w:cs="Arial"/>
          <w:b/>
          <w:bCs/>
          <w:sz w:val="28"/>
          <w:szCs w:val="28"/>
        </w:rPr>
        <w:t xml:space="preserve">9. Conclusion </w:t>
      </w:r>
    </w:p>
    <w:p w14:paraId="17810086" w14:textId="2558D567" w:rsidR="00CD35B2" w:rsidRPr="002F4717" w:rsidRDefault="0052363E" w:rsidP="00AC1074">
      <w:pPr>
        <w:spacing w:line="360" w:lineRule="auto"/>
        <w:rPr>
          <w:rFonts w:ascii="Arial" w:hAnsi="Arial" w:cs="Arial"/>
          <w:sz w:val="22"/>
          <w:szCs w:val="22"/>
        </w:rPr>
      </w:pPr>
      <w:r w:rsidRPr="002F4717">
        <w:rPr>
          <w:rFonts w:ascii="Arial" w:hAnsi="Arial" w:cs="Arial"/>
          <w:sz w:val="22"/>
          <w:szCs w:val="22"/>
        </w:rPr>
        <w:t xml:space="preserve">Type 2 diabetes is a major public health problem in England in adults due to the high prevalence, long-term consequences and inequity in accessing it. This report has shown the importance of epidemiological evidence, surveillance systems and health needs assessments in identifying </w:t>
      </w:r>
      <w:r w:rsidR="00D44DD6">
        <w:rPr>
          <w:rFonts w:ascii="Arial" w:hAnsi="Arial" w:cs="Arial"/>
          <w:sz w:val="22"/>
          <w:szCs w:val="22"/>
        </w:rPr>
        <w:t>high-risk</w:t>
      </w:r>
      <w:r w:rsidRPr="002F4717">
        <w:rPr>
          <w:rFonts w:ascii="Arial" w:hAnsi="Arial" w:cs="Arial"/>
          <w:sz w:val="22"/>
          <w:szCs w:val="22"/>
        </w:rPr>
        <w:t xml:space="preserve"> groups and providing information for effective prevention and management. Despite a particular focus on primary, secondary and tertiary prevention, ongoing investment in early diagnosis, national surveillance and </w:t>
      </w:r>
      <w:r w:rsidR="00D44DD6">
        <w:rPr>
          <w:rFonts w:ascii="Arial" w:hAnsi="Arial" w:cs="Arial"/>
          <w:sz w:val="22"/>
          <w:szCs w:val="22"/>
        </w:rPr>
        <w:t xml:space="preserve">community interventions </w:t>
      </w:r>
      <w:r w:rsidRPr="002F4717">
        <w:rPr>
          <w:rFonts w:ascii="Arial" w:hAnsi="Arial" w:cs="Arial"/>
          <w:sz w:val="22"/>
          <w:szCs w:val="22"/>
        </w:rPr>
        <w:t>is necessary. Increasing the evidence base and tackling the broader social determinants of health will help to alleviate the Type 2 diabetes burden and enhance health and health equity in England.</w:t>
      </w:r>
      <w:r w:rsidR="00CD35B2" w:rsidRPr="002F4717">
        <w:rPr>
          <w:rFonts w:ascii="Arial" w:hAnsi="Arial" w:cs="Arial"/>
          <w:sz w:val="22"/>
          <w:szCs w:val="22"/>
        </w:rPr>
        <w:br w:type="page"/>
      </w:r>
    </w:p>
    <w:p w14:paraId="7905A539" w14:textId="77777777" w:rsidR="00CC36A7" w:rsidRDefault="00CC36A7" w:rsidP="00AC1074">
      <w:pPr>
        <w:spacing w:line="360" w:lineRule="auto"/>
        <w:rPr>
          <w:rFonts w:ascii="Arial" w:hAnsi="Arial" w:cs="Arial"/>
          <w:b/>
          <w:bCs/>
          <w:sz w:val="22"/>
          <w:szCs w:val="22"/>
        </w:rPr>
      </w:pPr>
    </w:p>
    <w:p w14:paraId="5DA7570B" w14:textId="5BFFA263" w:rsidR="00C37563" w:rsidRPr="00CC36A7" w:rsidRDefault="00A7423C" w:rsidP="00AC1074">
      <w:pPr>
        <w:spacing w:line="360" w:lineRule="auto"/>
        <w:rPr>
          <w:rFonts w:ascii="Arial" w:hAnsi="Arial" w:cs="Arial"/>
          <w:b/>
          <w:bCs/>
          <w:sz w:val="28"/>
          <w:szCs w:val="28"/>
        </w:rPr>
      </w:pPr>
      <w:r w:rsidRPr="00CC36A7">
        <w:rPr>
          <w:rFonts w:ascii="Arial" w:hAnsi="Arial" w:cs="Arial"/>
          <w:b/>
          <w:bCs/>
          <w:sz w:val="28"/>
          <w:szCs w:val="28"/>
        </w:rPr>
        <w:t>References</w:t>
      </w:r>
    </w:p>
    <w:p w14:paraId="2C7F6BB6" w14:textId="77777777" w:rsidR="00E42786" w:rsidRPr="00A7423C" w:rsidRDefault="00E42786" w:rsidP="00AC1074">
      <w:pPr>
        <w:spacing w:line="360" w:lineRule="auto"/>
        <w:rPr>
          <w:rFonts w:ascii="Arial" w:hAnsi="Arial" w:cs="Arial"/>
          <w:sz w:val="22"/>
          <w:szCs w:val="22"/>
        </w:rPr>
      </w:pPr>
    </w:p>
    <w:p w14:paraId="2F53F72A"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Abel, K. and Newbigging, K. (2018) </w:t>
      </w:r>
      <w:r w:rsidRPr="002F4717">
        <w:rPr>
          <w:rFonts w:ascii="Arial" w:hAnsi="Arial" w:cs="Arial"/>
          <w:i/>
          <w:iCs/>
          <w:sz w:val="22"/>
          <w:szCs w:val="22"/>
        </w:rPr>
        <w:t>Addressing unmet needs in women’s mental health Addressing unmet needs in women’s mental health</w:t>
      </w:r>
      <w:r w:rsidRPr="002F4717">
        <w:rPr>
          <w:rFonts w:ascii="Arial" w:hAnsi="Arial" w:cs="Arial"/>
          <w:sz w:val="22"/>
          <w:szCs w:val="22"/>
        </w:rPr>
        <w:t xml:space="preserve">. Available at: </w:t>
      </w:r>
      <w:hyperlink r:id="rId9" w:history="1">
        <w:r w:rsidRPr="002F4717">
          <w:rPr>
            <w:rStyle w:val="Hyperlink"/>
            <w:rFonts w:ascii="Arial" w:hAnsi="Arial" w:cs="Arial"/>
            <w:sz w:val="22"/>
            <w:szCs w:val="22"/>
          </w:rPr>
          <w:t>https://www.bma.org.uk/media/2115/bma-womens-mental-health-report-aug-2018.pdf</w:t>
        </w:r>
      </w:hyperlink>
      <w:r w:rsidRPr="002F4717">
        <w:rPr>
          <w:rFonts w:ascii="Arial" w:hAnsi="Arial" w:cs="Arial"/>
          <w:sz w:val="22"/>
          <w:szCs w:val="22"/>
        </w:rPr>
        <w:t xml:space="preserve"> (Accessed: 8 July 2026).</w:t>
      </w:r>
    </w:p>
    <w:p w14:paraId="433DDC20"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Barry, E., Greenhalgh, T., Shaw, S. and Papoutsi, C. (2023) “Explaining the UK’s ‘high-risk’ approach to type 2 diabetes prevention: Findings from a qualitative interview study with policymakers in England</w:t>
      </w:r>
      <w:r>
        <w:rPr>
          <w:rFonts w:ascii="Arial" w:hAnsi="Arial" w:cs="Arial"/>
          <w:sz w:val="22"/>
          <w:szCs w:val="22"/>
        </w:rPr>
        <w:t>.</w:t>
      </w:r>
      <w:r w:rsidRPr="002F4717">
        <w:rPr>
          <w:rFonts w:ascii="Arial" w:hAnsi="Arial" w:cs="Arial"/>
          <w:sz w:val="22"/>
          <w:szCs w:val="22"/>
        </w:rPr>
        <w:t xml:space="preserve">” </w:t>
      </w:r>
      <w:r w:rsidRPr="002F4717">
        <w:rPr>
          <w:rFonts w:ascii="Arial" w:hAnsi="Arial" w:cs="Arial"/>
          <w:i/>
          <w:iCs/>
          <w:sz w:val="22"/>
          <w:szCs w:val="22"/>
        </w:rPr>
        <w:t>BMJ Open</w:t>
      </w:r>
      <w:r w:rsidRPr="002F4717">
        <w:rPr>
          <w:rFonts w:ascii="Arial" w:hAnsi="Arial" w:cs="Arial"/>
          <w:sz w:val="22"/>
          <w:szCs w:val="22"/>
        </w:rPr>
        <w:t xml:space="preserve"> 13(2), p. e066301. </w:t>
      </w:r>
      <w:proofErr w:type="spellStart"/>
      <w:r w:rsidRPr="002F4717">
        <w:rPr>
          <w:rFonts w:ascii="Arial" w:hAnsi="Arial" w:cs="Arial"/>
          <w:sz w:val="22"/>
          <w:szCs w:val="22"/>
        </w:rPr>
        <w:t>doi</w:t>
      </w:r>
      <w:proofErr w:type="spellEnd"/>
      <w:r w:rsidRPr="002F4717">
        <w:rPr>
          <w:rFonts w:ascii="Arial" w:hAnsi="Arial" w:cs="Arial"/>
          <w:sz w:val="22"/>
          <w:szCs w:val="22"/>
        </w:rPr>
        <w:t>: 10.1136/bmjopen-2022-066301.</w:t>
      </w:r>
    </w:p>
    <w:p w14:paraId="3732979C"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Bolarinwa, O.A. and Holt, N. (2023) “Barriers to breast and cervical cancer screening uptake among Black, Asian, and Minority Ethnic women in the United Kingdom: Evidence from a mixed-methods systematic review.” </w:t>
      </w:r>
      <w:r w:rsidRPr="002F4717">
        <w:rPr>
          <w:rFonts w:ascii="Arial" w:hAnsi="Arial" w:cs="Arial"/>
          <w:i/>
          <w:iCs/>
          <w:sz w:val="22"/>
          <w:szCs w:val="22"/>
        </w:rPr>
        <w:t xml:space="preserve">BMC </w:t>
      </w:r>
      <w:r>
        <w:rPr>
          <w:rFonts w:ascii="Arial" w:hAnsi="Arial" w:cs="Arial"/>
          <w:i/>
          <w:iCs/>
          <w:sz w:val="22"/>
          <w:szCs w:val="22"/>
        </w:rPr>
        <w:t>Health Services Research</w:t>
      </w:r>
      <w:r w:rsidRPr="002F4717">
        <w:rPr>
          <w:rFonts w:ascii="Arial" w:hAnsi="Arial" w:cs="Arial"/>
          <w:sz w:val="22"/>
          <w:szCs w:val="22"/>
        </w:rPr>
        <w:t xml:space="preserve"> 23(1), p. 390. Available at: </w:t>
      </w:r>
      <w:hyperlink r:id="rId10" w:history="1">
        <w:r w:rsidRPr="002F4717">
          <w:rPr>
            <w:rStyle w:val="Hyperlink"/>
            <w:rFonts w:ascii="Arial" w:hAnsi="Arial" w:cs="Arial"/>
            <w:sz w:val="22"/>
            <w:szCs w:val="22"/>
          </w:rPr>
          <w:t>https://pubmed.ncbi.nlm.nih.gov/37087506/</w:t>
        </w:r>
      </w:hyperlink>
      <w:r w:rsidRPr="002F4717">
        <w:rPr>
          <w:rFonts w:ascii="Arial" w:hAnsi="Arial" w:cs="Arial"/>
          <w:sz w:val="22"/>
          <w:szCs w:val="22"/>
        </w:rPr>
        <w:t xml:space="preserve"> (Accessed: 8 July 2026).</w:t>
      </w:r>
    </w:p>
    <w:p w14:paraId="2AEF094D"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Cotterill, J. (2022) </w:t>
      </w:r>
      <w:r w:rsidRPr="002F4717">
        <w:rPr>
          <w:rFonts w:ascii="Arial" w:hAnsi="Arial" w:cs="Arial"/>
          <w:i/>
          <w:iCs/>
          <w:sz w:val="22"/>
          <w:szCs w:val="22"/>
        </w:rPr>
        <w:t>Health inequalities: Breaking down barriers to cancer screening</w:t>
      </w:r>
      <w:r w:rsidRPr="002F4717">
        <w:rPr>
          <w:rFonts w:ascii="Arial" w:hAnsi="Arial" w:cs="Arial"/>
          <w:sz w:val="22"/>
          <w:szCs w:val="22"/>
        </w:rPr>
        <w:t xml:space="preserve">. Available at: </w:t>
      </w:r>
      <w:hyperlink r:id="rId11" w:history="1">
        <w:r w:rsidRPr="002F4717">
          <w:rPr>
            <w:rStyle w:val="Hyperlink"/>
            <w:rFonts w:ascii="Arial" w:hAnsi="Arial" w:cs="Arial"/>
            <w:sz w:val="22"/>
            <w:szCs w:val="22"/>
          </w:rPr>
          <w:t>https://news.cancerresearchuk.org/2022/09/23/health-inequalities-breaking-down-barriers-to-cancer-screening/</w:t>
        </w:r>
      </w:hyperlink>
      <w:r w:rsidRPr="002F4717">
        <w:rPr>
          <w:rFonts w:ascii="Arial" w:hAnsi="Arial" w:cs="Arial"/>
          <w:sz w:val="22"/>
          <w:szCs w:val="22"/>
        </w:rPr>
        <w:t xml:space="preserve"> (Accessed: 8 July 2026).</w:t>
      </w:r>
    </w:p>
    <w:p w14:paraId="2F448958"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Department for Health and Social Care (2026) </w:t>
      </w:r>
      <w:r w:rsidRPr="002F4717">
        <w:rPr>
          <w:rFonts w:ascii="Arial" w:hAnsi="Arial" w:cs="Arial"/>
          <w:i/>
          <w:iCs/>
          <w:sz w:val="22"/>
          <w:szCs w:val="22"/>
        </w:rPr>
        <w:t>Renewed Women’s Health Strategy for England</w:t>
      </w:r>
      <w:r w:rsidRPr="002F4717">
        <w:rPr>
          <w:rFonts w:ascii="Arial" w:hAnsi="Arial" w:cs="Arial"/>
          <w:sz w:val="22"/>
          <w:szCs w:val="22"/>
        </w:rPr>
        <w:t xml:space="preserve">. Available at: </w:t>
      </w:r>
      <w:hyperlink r:id="rId12" w:history="1">
        <w:r w:rsidRPr="002F4717">
          <w:rPr>
            <w:rStyle w:val="Hyperlink"/>
            <w:rFonts w:ascii="Arial" w:hAnsi="Arial" w:cs="Arial"/>
            <w:sz w:val="22"/>
            <w:szCs w:val="22"/>
          </w:rPr>
          <w:t>https://www.gov.uk/government/publications/renewed-womens-health-strategy-for-england</w:t>
        </w:r>
      </w:hyperlink>
      <w:r w:rsidRPr="002F4717">
        <w:rPr>
          <w:rFonts w:ascii="Arial" w:hAnsi="Arial" w:cs="Arial"/>
          <w:sz w:val="22"/>
          <w:szCs w:val="22"/>
        </w:rPr>
        <w:t xml:space="preserve"> (Accessed: 8 July 2026).</w:t>
      </w:r>
    </w:p>
    <w:p w14:paraId="7355BB8C"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Department of Health and Social Care (2024) </w:t>
      </w:r>
      <w:r w:rsidRPr="002F4717">
        <w:rPr>
          <w:rFonts w:ascii="Arial" w:hAnsi="Arial" w:cs="Arial"/>
          <w:i/>
          <w:iCs/>
          <w:sz w:val="22"/>
          <w:szCs w:val="22"/>
        </w:rPr>
        <w:t>Women’s health hubs: Core specification</w:t>
      </w:r>
      <w:r w:rsidRPr="002F4717">
        <w:rPr>
          <w:rFonts w:ascii="Arial" w:hAnsi="Arial" w:cs="Arial"/>
          <w:sz w:val="22"/>
          <w:szCs w:val="22"/>
        </w:rPr>
        <w:t xml:space="preserve">. Available at: </w:t>
      </w:r>
      <w:hyperlink r:id="rId13" w:history="1">
        <w:r w:rsidRPr="002F4717">
          <w:rPr>
            <w:rStyle w:val="Hyperlink"/>
            <w:rFonts w:ascii="Arial" w:hAnsi="Arial" w:cs="Arial"/>
            <w:sz w:val="22"/>
            <w:szCs w:val="22"/>
          </w:rPr>
          <w:t>https://www.gov.uk/government/publications/womens-health-hubs-information-and-guidance/womens-health-hubs-core-specification</w:t>
        </w:r>
      </w:hyperlink>
      <w:r w:rsidRPr="002F4717">
        <w:rPr>
          <w:rFonts w:ascii="Arial" w:hAnsi="Arial" w:cs="Arial"/>
          <w:sz w:val="22"/>
          <w:szCs w:val="22"/>
        </w:rPr>
        <w:t xml:space="preserve"> (Accessed: 8 July 2026).</w:t>
      </w:r>
    </w:p>
    <w:p w14:paraId="3B08EE1C"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Development Office (2025) </w:t>
      </w:r>
      <w:r w:rsidRPr="002F4717">
        <w:rPr>
          <w:rFonts w:ascii="Arial" w:hAnsi="Arial" w:cs="Arial"/>
          <w:i/>
          <w:iCs/>
          <w:sz w:val="22"/>
          <w:szCs w:val="22"/>
        </w:rPr>
        <w:t>FCDO gender-based violence results: Factsheet 2023 to 2024</w:t>
      </w:r>
      <w:r w:rsidRPr="002F4717">
        <w:rPr>
          <w:rFonts w:ascii="Arial" w:hAnsi="Arial" w:cs="Arial"/>
          <w:sz w:val="22"/>
          <w:szCs w:val="22"/>
        </w:rPr>
        <w:t xml:space="preserve">. Available at: </w:t>
      </w:r>
      <w:hyperlink r:id="rId14" w:history="1">
        <w:r w:rsidRPr="002F4717">
          <w:rPr>
            <w:rStyle w:val="Hyperlink"/>
            <w:rFonts w:ascii="Arial" w:hAnsi="Arial" w:cs="Arial"/>
            <w:sz w:val="22"/>
            <w:szCs w:val="22"/>
          </w:rPr>
          <w:t>https://www.gov.uk/government/publications/fcdo-gender-based-violence-results-factsheet-2023-to-2024</w:t>
        </w:r>
      </w:hyperlink>
      <w:r w:rsidRPr="002F4717">
        <w:rPr>
          <w:rFonts w:ascii="Arial" w:hAnsi="Arial" w:cs="Arial"/>
          <w:sz w:val="22"/>
          <w:szCs w:val="22"/>
        </w:rPr>
        <w:t xml:space="preserve"> (Accessed: 8 July 2026).</w:t>
      </w:r>
    </w:p>
    <w:p w14:paraId="60A37293"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Diabetes UK (2023) </w:t>
      </w:r>
      <w:r w:rsidRPr="002F4717">
        <w:rPr>
          <w:rFonts w:ascii="Arial" w:hAnsi="Arial" w:cs="Arial"/>
          <w:i/>
          <w:iCs/>
          <w:sz w:val="22"/>
          <w:szCs w:val="22"/>
        </w:rPr>
        <w:t>Type 2 diabetes</w:t>
      </w:r>
      <w:r w:rsidRPr="002F4717">
        <w:rPr>
          <w:rFonts w:ascii="Arial" w:hAnsi="Arial" w:cs="Arial"/>
          <w:sz w:val="22"/>
          <w:szCs w:val="22"/>
        </w:rPr>
        <w:t xml:space="preserve">. Available at: </w:t>
      </w:r>
      <w:hyperlink r:id="rId15" w:history="1">
        <w:r w:rsidRPr="002F4717">
          <w:rPr>
            <w:rStyle w:val="Hyperlink"/>
            <w:rFonts w:ascii="Arial" w:hAnsi="Arial" w:cs="Arial"/>
            <w:sz w:val="22"/>
            <w:szCs w:val="22"/>
          </w:rPr>
          <w:t>https://www.diabetes.org.uk/about-diabetes/type-2-diabetes</w:t>
        </w:r>
      </w:hyperlink>
      <w:r w:rsidRPr="002F4717">
        <w:rPr>
          <w:rFonts w:ascii="Arial" w:hAnsi="Arial" w:cs="Arial"/>
          <w:sz w:val="22"/>
          <w:szCs w:val="22"/>
        </w:rPr>
        <w:t xml:space="preserve"> (Accessed: 8 July 2026).</w:t>
      </w:r>
    </w:p>
    <w:p w14:paraId="796F5966"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lastRenderedPageBreak/>
        <w:t xml:space="preserve">England, N. (2026) </w:t>
      </w:r>
      <w:r w:rsidRPr="002F4717">
        <w:rPr>
          <w:rFonts w:ascii="Arial" w:hAnsi="Arial" w:cs="Arial"/>
          <w:i/>
          <w:iCs/>
          <w:sz w:val="22"/>
          <w:szCs w:val="22"/>
        </w:rPr>
        <w:t>NHS England » The Maternal Care Bundle</w:t>
      </w:r>
      <w:r w:rsidRPr="002F4717">
        <w:rPr>
          <w:rFonts w:ascii="Arial" w:hAnsi="Arial" w:cs="Arial"/>
          <w:sz w:val="22"/>
          <w:szCs w:val="22"/>
        </w:rPr>
        <w:t xml:space="preserve">. Available at: </w:t>
      </w:r>
      <w:hyperlink r:id="rId16" w:history="1">
        <w:r w:rsidRPr="002F4717">
          <w:rPr>
            <w:rStyle w:val="Hyperlink"/>
            <w:rFonts w:ascii="Arial" w:hAnsi="Arial" w:cs="Arial"/>
            <w:sz w:val="22"/>
            <w:szCs w:val="22"/>
          </w:rPr>
          <w:t>https://www.england.nhs.uk/long-read/the-maternal-care-bundle/</w:t>
        </w:r>
      </w:hyperlink>
      <w:r w:rsidRPr="002F4717">
        <w:rPr>
          <w:rFonts w:ascii="Arial" w:hAnsi="Arial" w:cs="Arial"/>
          <w:sz w:val="22"/>
          <w:szCs w:val="22"/>
        </w:rPr>
        <w:t xml:space="preserve"> (Accessed: 8 July 2026).</w:t>
      </w:r>
    </w:p>
    <w:p w14:paraId="3FC5A2C1"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Hanlon, P., Jani, B.D., Butterly, E., Nicholl, B., Lewsey, J., McAllister, D.A. and Mair, F.S. (2021) “An analysis of frailty and multimorbidity in 20,566 UK Biobank participants with type 2 diabetes.” </w:t>
      </w:r>
      <w:r w:rsidRPr="002F4717">
        <w:rPr>
          <w:rFonts w:ascii="Arial" w:hAnsi="Arial" w:cs="Arial"/>
          <w:i/>
          <w:iCs/>
          <w:sz w:val="22"/>
          <w:szCs w:val="22"/>
        </w:rPr>
        <w:t>Communications Medicine</w:t>
      </w:r>
      <w:r w:rsidRPr="002F4717">
        <w:rPr>
          <w:rFonts w:ascii="Arial" w:hAnsi="Arial" w:cs="Arial"/>
          <w:sz w:val="22"/>
          <w:szCs w:val="22"/>
        </w:rPr>
        <w:t xml:space="preserve"> 1(1). </w:t>
      </w:r>
      <w:proofErr w:type="spellStart"/>
      <w:r w:rsidRPr="002F4717">
        <w:rPr>
          <w:rFonts w:ascii="Arial" w:hAnsi="Arial" w:cs="Arial"/>
          <w:sz w:val="22"/>
          <w:szCs w:val="22"/>
        </w:rPr>
        <w:t>doi</w:t>
      </w:r>
      <w:proofErr w:type="spellEnd"/>
      <w:r w:rsidRPr="002F4717">
        <w:rPr>
          <w:rFonts w:ascii="Arial" w:hAnsi="Arial" w:cs="Arial"/>
          <w:sz w:val="22"/>
          <w:szCs w:val="22"/>
        </w:rPr>
        <w:t>: 10.1038/s43856-021-00029-9.</w:t>
      </w:r>
    </w:p>
    <w:p w14:paraId="1C0193F7"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Heald, A.H. et al. (2020) “Estimating life years lost to diabetes: Outcomes from analysis of National Diabetes Audit and Office </w:t>
      </w:r>
      <w:r>
        <w:rPr>
          <w:rFonts w:ascii="Arial" w:hAnsi="Arial" w:cs="Arial"/>
          <w:sz w:val="22"/>
          <w:szCs w:val="22"/>
        </w:rPr>
        <w:t>for National Statistics data.</w:t>
      </w:r>
      <w:r w:rsidRPr="002F4717">
        <w:rPr>
          <w:rFonts w:ascii="Arial" w:hAnsi="Arial" w:cs="Arial"/>
          <w:sz w:val="22"/>
          <w:szCs w:val="22"/>
        </w:rPr>
        <w:t xml:space="preserve">” </w:t>
      </w:r>
      <w:r w:rsidRPr="002F4717">
        <w:rPr>
          <w:rFonts w:ascii="Arial" w:hAnsi="Arial" w:cs="Arial"/>
          <w:i/>
          <w:iCs/>
          <w:sz w:val="22"/>
          <w:szCs w:val="22"/>
        </w:rPr>
        <w:t>Cardiovascular Endocrinology &amp; Metabolism</w:t>
      </w:r>
      <w:r w:rsidRPr="002F4717">
        <w:rPr>
          <w:rFonts w:ascii="Arial" w:hAnsi="Arial" w:cs="Arial"/>
          <w:sz w:val="22"/>
          <w:szCs w:val="22"/>
        </w:rPr>
        <w:t xml:space="preserve"> 9(4), pp. 183–185. </w:t>
      </w:r>
      <w:proofErr w:type="spellStart"/>
      <w:r w:rsidRPr="002F4717">
        <w:rPr>
          <w:rFonts w:ascii="Arial" w:hAnsi="Arial" w:cs="Arial"/>
          <w:sz w:val="22"/>
          <w:szCs w:val="22"/>
        </w:rPr>
        <w:t>doi</w:t>
      </w:r>
      <w:proofErr w:type="spellEnd"/>
      <w:r w:rsidRPr="002F4717">
        <w:rPr>
          <w:rFonts w:ascii="Arial" w:hAnsi="Arial" w:cs="Arial"/>
          <w:sz w:val="22"/>
          <w:szCs w:val="22"/>
        </w:rPr>
        <w:t>: 10.1097/xce.0000000000000210.</w:t>
      </w:r>
    </w:p>
    <w:p w14:paraId="03963A02"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Jeffrey, G. (2025) “Barriers to Women in Accessing Healthcare in the UK – A Review</w:t>
      </w:r>
      <w:r>
        <w:rPr>
          <w:rFonts w:ascii="Arial" w:hAnsi="Arial" w:cs="Arial"/>
          <w:sz w:val="22"/>
          <w:szCs w:val="22"/>
        </w:rPr>
        <w:t>.</w:t>
      </w:r>
      <w:r w:rsidRPr="002F4717">
        <w:rPr>
          <w:rFonts w:ascii="Arial" w:hAnsi="Arial" w:cs="Arial"/>
          <w:sz w:val="22"/>
          <w:szCs w:val="22"/>
        </w:rPr>
        <w:t xml:space="preserve">” </w:t>
      </w:r>
      <w:r w:rsidRPr="002F4717">
        <w:rPr>
          <w:rFonts w:ascii="Arial" w:hAnsi="Arial" w:cs="Arial"/>
          <w:i/>
          <w:iCs/>
          <w:sz w:val="22"/>
          <w:szCs w:val="22"/>
        </w:rPr>
        <w:t>LSE Public Policy Review</w:t>
      </w:r>
      <w:r w:rsidRPr="002F4717">
        <w:rPr>
          <w:rFonts w:ascii="Arial" w:hAnsi="Arial" w:cs="Arial"/>
          <w:sz w:val="22"/>
          <w:szCs w:val="22"/>
        </w:rPr>
        <w:t xml:space="preserve"> 3(4). Available at: </w:t>
      </w:r>
      <w:hyperlink r:id="rId17" w:history="1">
        <w:r w:rsidRPr="002F4717">
          <w:rPr>
            <w:rStyle w:val="Hyperlink"/>
            <w:rFonts w:ascii="Arial" w:hAnsi="Arial" w:cs="Arial"/>
            <w:sz w:val="22"/>
            <w:szCs w:val="22"/>
          </w:rPr>
          <w:t>https://ppr.lse.ac.uk/articles/122/files/67d423f88d53c.pdf</w:t>
        </w:r>
      </w:hyperlink>
      <w:r w:rsidRPr="002F4717">
        <w:rPr>
          <w:rFonts w:ascii="Arial" w:hAnsi="Arial" w:cs="Arial"/>
          <w:sz w:val="22"/>
          <w:szCs w:val="22"/>
        </w:rPr>
        <w:t xml:space="preserve"> (Accessed: 8 July 2026).</w:t>
      </w:r>
    </w:p>
    <w:p w14:paraId="353C18F2"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Johansen, P., Chubb, B., Hunt, B., Malkin, S.J.P., Sandberg, A. and Capehorn, M. (2020) “Evaluating the Long-Term Cost-Effectiveness of Once-Weekly Semaglutide Versus Once-Daily Liraglutide for the Treatment of Type 2 Diabetes in the UK.” </w:t>
      </w:r>
      <w:r w:rsidRPr="002F4717">
        <w:rPr>
          <w:rFonts w:ascii="Arial" w:hAnsi="Arial" w:cs="Arial"/>
          <w:i/>
          <w:iCs/>
          <w:sz w:val="22"/>
          <w:szCs w:val="22"/>
        </w:rPr>
        <w:t>Advances in Therapy</w:t>
      </w:r>
      <w:r w:rsidRPr="002F4717">
        <w:rPr>
          <w:rFonts w:ascii="Arial" w:hAnsi="Arial" w:cs="Arial"/>
          <w:sz w:val="22"/>
          <w:szCs w:val="22"/>
        </w:rPr>
        <w:t xml:space="preserve"> 37(5), pp. 2427–2441. </w:t>
      </w:r>
      <w:proofErr w:type="spellStart"/>
      <w:r w:rsidRPr="002F4717">
        <w:rPr>
          <w:rFonts w:ascii="Arial" w:hAnsi="Arial" w:cs="Arial"/>
          <w:sz w:val="22"/>
          <w:szCs w:val="22"/>
        </w:rPr>
        <w:t>doi</w:t>
      </w:r>
      <w:proofErr w:type="spellEnd"/>
      <w:r w:rsidRPr="002F4717">
        <w:rPr>
          <w:rFonts w:ascii="Arial" w:hAnsi="Arial" w:cs="Arial"/>
          <w:sz w:val="22"/>
          <w:szCs w:val="22"/>
        </w:rPr>
        <w:t>: 10.1007/s12325-020-01337-7.</w:t>
      </w:r>
    </w:p>
    <w:p w14:paraId="5D95DAEC"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MBRRACE-UK (2025) “Maternal, Newborn and Infant Clinical Outcome Review </w:t>
      </w:r>
      <w:r>
        <w:rPr>
          <w:rFonts w:ascii="Arial" w:hAnsi="Arial" w:cs="Arial"/>
          <w:sz w:val="22"/>
          <w:szCs w:val="22"/>
        </w:rPr>
        <w:t>Program</w:t>
      </w:r>
      <w:r w:rsidRPr="002F4717">
        <w:rPr>
          <w:rFonts w:ascii="Arial" w:hAnsi="Arial" w:cs="Arial"/>
          <w:sz w:val="22"/>
          <w:szCs w:val="22"/>
        </w:rPr>
        <w:t xml:space="preserve"> State of the Nation Report Saving Lives, Improving Mothers’ Care...” Available at: https://www.npeu.ox.ac.uk/assets/downloads/mbrrace-uk/reports/maternal-report-2025/MBRRACE-UK%20Maternal%20Report%202025%20-%20SON%20v1.0.pdf (Accessed: 27 July 2026).</w:t>
      </w:r>
    </w:p>
    <w:p w14:paraId="58FC75DC"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MBRRACE-UK (2025) Saving Lives, Improving Mothers’ Care Lessons learned to inform maternity care from the UK and Ireland: Confidential </w:t>
      </w:r>
      <w:r>
        <w:rPr>
          <w:rFonts w:ascii="Arial" w:hAnsi="Arial" w:cs="Arial"/>
          <w:sz w:val="22"/>
          <w:szCs w:val="22"/>
        </w:rPr>
        <w:t>Inquiries</w:t>
      </w:r>
      <w:r w:rsidRPr="002F4717">
        <w:rPr>
          <w:rFonts w:ascii="Arial" w:hAnsi="Arial" w:cs="Arial"/>
          <w:sz w:val="22"/>
          <w:szCs w:val="22"/>
        </w:rPr>
        <w:t xml:space="preserve"> into Maternal Deaths and Morbidity 2021-23. Available at: </w:t>
      </w:r>
      <w:hyperlink r:id="rId18" w:history="1">
        <w:r w:rsidRPr="002F4717">
          <w:rPr>
            <w:rStyle w:val="Hyperlink"/>
            <w:rFonts w:ascii="Arial" w:hAnsi="Arial" w:cs="Arial"/>
            <w:sz w:val="22"/>
            <w:szCs w:val="22"/>
          </w:rPr>
          <w:t>https://www.npeu.ox.ac.uk/assets/downloads/mbrrace-uk/reports/maternal-report-2025/MBRRACE-UK%20Maternal%20Report%202025%20-%20Main%20ONLINE%20v1.0.pdf</w:t>
        </w:r>
      </w:hyperlink>
      <w:r w:rsidRPr="002F4717">
        <w:rPr>
          <w:rFonts w:ascii="Arial" w:hAnsi="Arial" w:cs="Arial"/>
          <w:sz w:val="22"/>
          <w:szCs w:val="22"/>
        </w:rPr>
        <w:t xml:space="preserve"> (Accessed: 25 July 2026).</w:t>
      </w:r>
    </w:p>
    <w:p w14:paraId="684268DD"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Mental Health Foundation (2021) </w:t>
      </w:r>
      <w:r w:rsidRPr="002F4717">
        <w:rPr>
          <w:rFonts w:ascii="Arial" w:hAnsi="Arial" w:cs="Arial"/>
          <w:i/>
          <w:iCs/>
          <w:sz w:val="22"/>
          <w:szCs w:val="22"/>
        </w:rPr>
        <w:t>Women and mental health</w:t>
      </w:r>
      <w:r w:rsidRPr="002F4717">
        <w:rPr>
          <w:rFonts w:ascii="Arial" w:hAnsi="Arial" w:cs="Arial"/>
          <w:sz w:val="22"/>
          <w:szCs w:val="22"/>
        </w:rPr>
        <w:t xml:space="preserve">. Available at: </w:t>
      </w:r>
      <w:hyperlink r:id="rId19" w:history="1">
        <w:r w:rsidRPr="002F4717">
          <w:rPr>
            <w:rStyle w:val="Hyperlink"/>
            <w:rFonts w:ascii="Arial" w:hAnsi="Arial" w:cs="Arial"/>
            <w:sz w:val="22"/>
            <w:szCs w:val="22"/>
          </w:rPr>
          <w:t>https://www.mentalhealth.org.uk/explore-mental-health/a-z-topics/women-and-mental-health</w:t>
        </w:r>
      </w:hyperlink>
      <w:r w:rsidRPr="002F4717">
        <w:rPr>
          <w:rFonts w:ascii="Arial" w:hAnsi="Arial" w:cs="Arial"/>
          <w:sz w:val="22"/>
          <w:szCs w:val="22"/>
        </w:rPr>
        <w:t xml:space="preserve"> (Accessed: 8 July 2026).</w:t>
      </w:r>
    </w:p>
    <w:p w14:paraId="56BDCE5C"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Mental Health Foundation (2025) </w:t>
      </w:r>
      <w:r w:rsidRPr="002F4717">
        <w:rPr>
          <w:rFonts w:ascii="Arial" w:hAnsi="Arial" w:cs="Arial"/>
          <w:i/>
          <w:iCs/>
          <w:sz w:val="22"/>
          <w:szCs w:val="22"/>
        </w:rPr>
        <w:t>Anxiety: Statistics</w:t>
      </w:r>
      <w:r w:rsidRPr="002F4717">
        <w:rPr>
          <w:rFonts w:ascii="Arial" w:hAnsi="Arial" w:cs="Arial"/>
          <w:sz w:val="22"/>
          <w:szCs w:val="22"/>
        </w:rPr>
        <w:t xml:space="preserve">. Available at: </w:t>
      </w:r>
      <w:hyperlink r:id="rId20" w:history="1">
        <w:r w:rsidRPr="002F4717">
          <w:rPr>
            <w:rStyle w:val="Hyperlink"/>
            <w:rFonts w:ascii="Arial" w:hAnsi="Arial" w:cs="Arial"/>
            <w:sz w:val="22"/>
            <w:szCs w:val="22"/>
          </w:rPr>
          <w:t>https://www.mentalhealth.org.uk/explore-mental-health/statistics/anxiety-statistics</w:t>
        </w:r>
      </w:hyperlink>
      <w:r w:rsidRPr="002F4717">
        <w:rPr>
          <w:rFonts w:ascii="Arial" w:hAnsi="Arial" w:cs="Arial"/>
          <w:sz w:val="22"/>
          <w:szCs w:val="22"/>
        </w:rPr>
        <w:t xml:space="preserve"> (Accessed: 25 July 2026).</w:t>
      </w:r>
    </w:p>
    <w:p w14:paraId="4AA284B9"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lastRenderedPageBreak/>
        <w:t xml:space="preserve">NHS (2023) </w:t>
      </w:r>
      <w:r w:rsidRPr="002F4717">
        <w:rPr>
          <w:rFonts w:ascii="Arial" w:hAnsi="Arial" w:cs="Arial"/>
          <w:i/>
          <w:iCs/>
          <w:sz w:val="22"/>
          <w:szCs w:val="22"/>
        </w:rPr>
        <w:t>What is type 2 diabetes?</w:t>
      </w:r>
      <w:r w:rsidRPr="002F4717">
        <w:rPr>
          <w:rFonts w:ascii="Arial" w:hAnsi="Arial" w:cs="Arial"/>
          <w:sz w:val="22"/>
          <w:szCs w:val="22"/>
        </w:rPr>
        <w:t xml:space="preserve"> Available at: </w:t>
      </w:r>
      <w:hyperlink r:id="rId21" w:history="1">
        <w:r w:rsidRPr="002F4717">
          <w:rPr>
            <w:rStyle w:val="Hyperlink"/>
            <w:rFonts w:ascii="Arial" w:hAnsi="Arial" w:cs="Arial"/>
            <w:sz w:val="22"/>
            <w:szCs w:val="22"/>
          </w:rPr>
          <w:t>https://www.nhs.uk/conditions/type-2-diabetes/</w:t>
        </w:r>
      </w:hyperlink>
      <w:r w:rsidRPr="002F4717">
        <w:rPr>
          <w:rFonts w:ascii="Arial" w:hAnsi="Arial" w:cs="Arial"/>
          <w:sz w:val="22"/>
          <w:szCs w:val="22"/>
        </w:rPr>
        <w:t xml:space="preserve"> (Accessed: 8 July 2026).</w:t>
      </w:r>
    </w:p>
    <w:p w14:paraId="57CA9D39"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NHS (2025) </w:t>
      </w:r>
      <w:r w:rsidRPr="002F4717">
        <w:rPr>
          <w:rFonts w:ascii="Arial" w:hAnsi="Arial" w:cs="Arial"/>
          <w:i/>
          <w:iCs/>
          <w:sz w:val="22"/>
          <w:szCs w:val="22"/>
        </w:rPr>
        <w:t>Treatment for Type 2 diabetes</w:t>
      </w:r>
      <w:r w:rsidRPr="002F4717">
        <w:rPr>
          <w:rFonts w:ascii="Arial" w:hAnsi="Arial" w:cs="Arial"/>
          <w:sz w:val="22"/>
          <w:szCs w:val="22"/>
        </w:rPr>
        <w:t xml:space="preserve">. Available at: </w:t>
      </w:r>
      <w:hyperlink r:id="rId22" w:history="1">
        <w:r w:rsidRPr="002F4717">
          <w:rPr>
            <w:rStyle w:val="Hyperlink"/>
            <w:rFonts w:ascii="Arial" w:hAnsi="Arial" w:cs="Arial"/>
            <w:sz w:val="22"/>
            <w:szCs w:val="22"/>
          </w:rPr>
          <w:t>https://www.nhs.uk/conditions/type-2-diabetes/treatment/</w:t>
        </w:r>
      </w:hyperlink>
      <w:r w:rsidRPr="002F4717">
        <w:rPr>
          <w:rFonts w:ascii="Arial" w:hAnsi="Arial" w:cs="Arial"/>
          <w:sz w:val="22"/>
          <w:szCs w:val="22"/>
        </w:rPr>
        <w:t xml:space="preserve"> (Accessed: 8 July 2026).</w:t>
      </w:r>
    </w:p>
    <w:p w14:paraId="12FE82C1"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NHS Digital (2015) </w:t>
      </w:r>
      <w:r w:rsidRPr="002F4717">
        <w:rPr>
          <w:rFonts w:ascii="Arial" w:hAnsi="Arial" w:cs="Arial"/>
          <w:i/>
          <w:iCs/>
          <w:sz w:val="22"/>
          <w:szCs w:val="22"/>
        </w:rPr>
        <w:t>Hospital Episode Statistics (HES) - NHS Digital</w:t>
      </w:r>
      <w:r w:rsidRPr="002F4717">
        <w:rPr>
          <w:rFonts w:ascii="Arial" w:hAnsi="Arial" w:cs="Arial"/>
          <w:sz w:val="22"/>
          <w:szCs w:val="22"/>
        </w:rPr>
        <w:t xml:space="preserve">. Available at: </w:t>
      </w:r>
      <w:hyperlink r:id="rId23" w:history="1">
        <w:r w:rsidRPr="002F4717">
          <w:rPr>
            <w:rStyle w:val="Hyperlink"/>
            <w:rFonts w:ascii="Arial" w:hAnsi="Arial" w:cs="Arial"/>
            <w:sz w:val="22"/>
            <w:szCs w:val="22"/>
          </w:rPr>
          <w:t>https://digital.nhs.uk/data-and-information/data-tools-and-services/data-services/hospital-episode-statistics</w:t>
        </w:r>
      </w:hyperlink>
      <w:r w:rsidRPr="002F4717">
        <w:rPr>
          <w:rFonts w:ascii="Arial" w:hAnsi="Arial" w:cs="Arial"/>
          <w:sz w:val="22"/>
          <w:szCs w:val="22"/>
        </w:rPr>
        <w:t xml:space="preserve"> (Accessed: 8 July 2026).</w:t>
      </w:r>
    </w:p>
    <w:p w14:paraId="48EAE0EF"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NHS </w:t>
      </w:r>
      <w:r>
        <w:rPr>
          <w:rFonts w:ascii="Arial" w:hAnsi="Arial" w:cs="Arial"/>
          <w:sz w:val="22"/>
          <w:szCs w:val="22"/>
        </w:rPr>
        <w:t>Digital (2025) National Diabetes Audit Program</w:t>
      </w:r>
      <w:r w:rsidRPr="002F4717">
        <w:rPr>
          <w:rFonts w:ascii="Arial" w:hAnsi="Arial" w:cs="Arial"/>
          <w:i/>
          <w:iCs/>
          <w:sz w:val="22"/>
          <w:szCs w:val="22"/>
        </w:rPr>
        <w:t xml:space="preserve"> - NHS Digital</w:t>
      </w:r>
      <w:r w:rsidRPr="002F4717">
        <w:rPr>
          <w:rFonts w:ascii="Arial" w:hAnsi="Arial" w:cs="Arial"/>
          <w:sz w:val="22"/>
          <w:szCs w:val="22"/>
        </w:rPr>
        <w:t xml:space="preserve">. Available at: </w:t>
      </w:r>
      <w:hyperlink r:id="rId24" w:history="1">
        <w:r w:rsidRPr="002F4717">
          <w:rPr>
            <w:rStyle w:val="Hyperlink"/>
            <w:rFonts w:ascii="Arial" w:hAnsi="Arial" w:cs="Arial"/>
            <w:sz w:val="22"/>
            <w:szCs w:val="22"/>
          </w:rPr>
          <w:t>https://digital.nhs.uk/data-and-information/clinical-audits-and-registries/national-diabetes-audit</w:t>
        </w:r>
      </w:hyperlink>
      <w:r w:rsidRPr="002F4717">
        <w:rPr>
          <w:rFonts w:ascii="Arial" w:hAnsi="Arial" w:cs="Arial"/>
          <w:sz w:val="22"/>
          <w:szCs w:val="22"/>
        </w:rPr>
        <w:t xml:space="preserve">  (Accessed: 8 July 2026).</w:t>
      </w:r>
    </w:p>
    <w:p w14:paraId="75C3FADA"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Office for </w:t>
      </w:r>
      <w:r>
        <w:rPr>
          <w:rFonts w:ascii="Arial" w:hAnsi="Arial" w:cs="Arial"/>
          <w:sz w:val="22"/>
          <w:szCs w:val="22"/>
        </w:rPr>
        <w:t>National Statistics (2024) Domestic abuse in England and Wales</w:t>
      </w:r>
      <w:r w:rsidRPr="002F4717">
        <w:rPr>
          <w:rFonts w:ascii="Arial" w:hAnsi="Arial" w:cs="Arial"/>
          <w:i/>
          <w:iCs/>
          <w:sz w:val="22"/>
          <w:szCs w:val="22"/>
        </w:rPr>
        <w:t xml:space="preserve"> overview</w:t>
      </w:r>
      <w:r w:rsidRPr="002F4717">
        <w:rPr>
          <w:rFonts w:ascii="Arial" w:hAnsi="Arial" w:cs="Arial"/>
          <w:sz w:val="22"/>
          <w:szCs w:val="22"/>
        </w:rPr>
        <w:t xml:space="preserve">. Office for National Statistics. Available at: </w:t>
      </w:r>
      <w:hyperlink r:id="rId25" w:history="1">
        <w:r w:rsidRPr="002F4717">
          <w:rPr>
            <w:rStyle w:val="Hyperlink"/>
            <w:rFonts w:ascii="Arial" w:hAnsi="Arial" w:cs="Arial"/>
            <w:sz w:val="22"/>
            <w:szCs w:val="22"/>
          </w:rPr>
          <w:t>https://www.ons.gov.uk/peoplepopulationandcommunity/crimeandjustice/bulletins/domesticabuseinenglandandwalesoverview/november2024</w:t>
        </w:r>
      </w:hyperlink>
      <w:r w:rsidRPr="002F4717">
        <w:rPr>
          <w:rFonts w:ascii="Arial" w:hAnsi="Arial" w:cs="Arial"/>
          <w:sz w:val="22"/>
          <w:szCs w:val="22"/>
        </w:rPr>
        <w:t xml:space="preserve"> (Accessed: 27 July 2026).</w:t>
      </w:r>
    </w:p>
    <w:p w14:paraId="7A7B68B7"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Office for </w:t>
      </w:r>
      <w:r>
        <w:rPr>
          <w:rFonts w:ascii="Arial" w:hAnsi="Arial" w:cs="Arial"/>
          <w:sz w:val="22"/>
          <w:szCs w:val="22"/>
        </w:rPr>
        <w:t>National Statistics</w:t>
      </w:r>
      <w:r w:rsidRPr="002F4717">
        <w:rPr>
          <w:rFonts w:ascii="Arial" w:hAnsi="Arial" w:cs="Arial"/>
          <w:sz w:val="22"/>
          <w:szCs w:val="22"/>
        </w:rPr>
        <w:t xml:space="preserve"> (2024) </w:t>
      </w:r>
      <w:r w:rsidRPr="002F4717">
        <w:rPr>
          <w:rFonts w:ascii="Arial" w:hAnsi="Arial" w:cs="Arial"/>
          <w:i/>
          <w:iCs/>
          <w:sz w:val="22"/>
          <w:szCs w:val="22"/>
        </w:rPr>
        <w:t>Risk factors for pre-diabetes and undiagnosed type 2 diabetes in England - Office for National Statistics</w:t>
      </w:r>
      <w:r w:rsidRPr="002F4717">
        <w:rPr>
          <w:rFonts w:ascii="Arial" w:hAnsi="Arial" w:cs="Arial"/>
          <w:sz w:val="22"/>
          <w:szCs w:val="22"/>
        </w:rPr>
        <w:t xml:space="preserve">. Available at: </w:t>
      </w:r>
      <w:hyperlink r:id="rId26" w:history="1">
        <w:r w:rsidRPr="002F4717">
          <w:rPr>
            <w:rStyle w:val="Hyperlink"/>
            <w:rFonts w:ascii="Arial" w:hAnsi="Arial" w:cs="Arial"/>
            <w:sz w:val="22"/>
            <w:szCs w:val="22"/>
          </w:rPr>
          <w:t>https://www.ons.gov.uk/peoplepopulationandcommunity/healthandsocialcare/healthinequalities/bulletins/riskfactorsforprediabetesandundiagnosedtype2diabetesinengland/2013to2019</w:t>
        </w:r>
      </w:hyperlink>
      <w:r w:rsidRPr="002F4717">
        <w:rPr>
          <w:rFonts w:ascii="Arial" w:hAnsi="Arial" w:cs="Arial"/>
          <w:sz w:val="22"/>
          <w:szCs w:val="22"/>
        </w:rPr>
        <w:t xml:space="preserve"> (Accessed: 8 July 2026).</w:t>
      </w:r>
    </w:p>
    <w:p w14:paraId="6B6D277E"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Office for National Statistics (2025) </w:t>
      </w:r>
      <w:r w:rsidRPr="002F4717">
        <w:rPr>
          <w:rFonts w:ascii="Arial" w:hAnsi="Arial" w:cs="Arial"/>
          <w:i/>
          <w:iCs/>
          <w:sz w:val="22"/>
          <w:szCs w:val="22"/>
        </w:rPr>
        <w:t>Gender pay gap in the UK</w:t>
      </w:r>
      <w:r w:rsidRPr="002F4717">
        <w:rPr>
          <w:rFonts w:ascii="Arial" w:hAnsi="Arial" w:cs="Arial"/>
          <w:sz w:val="22"/>
          <w:szCs w:val="22"/>
        </w:rPr>
        <w:t xml:space="preserve">. Office for National Statistics. Available at: </w:t>
      </w:r>
      <w:hyperlink r:id="rId27" w:history="1">
        <w:r w:rsidRPr="002F4717">
          <w:rPr>
            <w:rStyle w:val="Hyperlink"/>
            <w:rFonts w:ascii="Arial" w:hAnsi="Arial" w:cs="Arial"/>
            <w:sz w:val="22"/>
            <w:szCs w:val="22"/>
          </w:rPr>
          <w:t>https://www.ons.gov.uk/employmentandlabourmarket/peopleinwork/earningsandworkinghours/bulletins/genderpaygapintheuk/2025</w:t>
        </w:r>
      </w:hyperlink>
      <w:r w:rsidRPr="002F4717">
        <w:rPr>
          <w:rFonts w:ascii="Arial" w:hAnsi="Arial" w:cs="Arial"/>
          <w:sz w:val="22"/>
          <w:szCs w:val="22"/>
        </w:rPr>
        <w:t xml:space="preserve"> (Accessed: 25 July 2026).</w:t>
      </w:r>
    </w:p>
    <w:p w14:paraId="55910615"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Office of National Statistics (2025) </w:t>
      </w:r>
      <w:r w:rsidRPr="002F4717">
        <w:rPr>
          <w:rFonts w:ascii="Arial" w:hAnsi="Arial" w:cs="Arial"/>
          <w:i/>
          <w:iCs/>
          <w:sz w:val="22"/>
          <w:szCs w:val="22"/>
        </w:rPr>
        <w:t>Gender pay gap in the UK</w:t>
      </w:r>
      <w:r w:rsidRPr="002F4717">
        <w:rPr>
          <w:rFonts w:ascii="Arial" w:hAnsi="Arial" w:cs="Arial"/>
          <w:sz w:val="22"/>
          <w:szCs w:val="22"/>
        </w:rPr>
        <w:t xml:space="preserve">. Available at: </w:t>
      </w:r>
      <w:hyperlink r:id="rId28" w:history="1">
        <w:r w:rsidRPr="002F4717">
          <w:rPr>
            <w:rStyle w:val="Hyperlink"/>
            <w:rFonts w:ascii="Arial" w:hAnsi="Arial" w:cs="Arial"/>
            <w:sz w:val="22"/>
            <w:szCs w:val="22"/>
          </w:rPr>
          <w:t>https://www.ons.gov.uk/employmentandlabourmarket/peopleinwork/earningsandworkinghours/bulletins/genderpaygapintheuk/2025</w:t>
        </w:r>
      </w:hyperlink>
      <w:r w:rsidRPr="002F4717">
        <w:rPr>
          <w:rFonts w:ascii="Arial" w:hAnsi="Arial" w:cs="Arial"/>
          <w:sz w:val="22"/>
          <w:szCs w:val="22"/>
        </w:rPr>
        <w:t xml:space="preserve"> (Accessed: 8 July 2026).</w:t>
      </w:r>
    </w:p>
    <w:p w14:paraId="37A33077"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Oxley, G. and Lipscombe, S. (2025) </w:t>
      </w:r>
      <w:r w:rsidRPr="002F4717">
        <w:rPr>
          <w:rFonts w:ascii="Arial" w:hAnsi="Arial" w:cs="Arial"/>
          <w:i/>
          <w:iCs/>
          <w:sz w:val="22"/>
          <w:szCs w:val="22"/>
        </w:rPr>
        <w:t>Tackling violence against women and girls</w:t>
      </w:r>
      <w:r w:rsidRPr="002F4717">
        <w:rPr>
          <w:rFonts w:ascii="Arial" w:hAnsi="Arial" w:cs="Arial"/>
          <w:sz w:val="22"/>
          <w:szCs w:val="22"/>
        </w:rPr>
        <w:t xml:space="preserve">. Available at: </w:t>
      </w:r>
      <w:hyperlink r:id="rId29" w:history="1">
        <w:r w:rsidRPr="002F4717">
          <w:rPr>
            <w:rStyle w:val="Hyperlink"/>
            <w:rFonts w:ascii="Arial" w:hAnsi="Arial" w:cs="Arial"/>
            <w:sz w:val="22"/>
            <w:szCs w:val="22"/>
          </w:rPr>
          <w:t>https://commonslibrary.parliament.uk/research-briefings/cdp-2024-0183/</w:t>
        </w:r>
      </w:hyperlink>
      <w:r w:rsidRPr="002F4717">
        <w:rPr>
          <w:rFonts w:ascii="Arial" w:hAnsi="Arial" w:cs="Arial"/>
          <w:sz w:val="22"/>
          <w:szCs w:val="22"/>
        </w:rPr>
        <w:t xml:space="preserve"> (Accessed: 8 July 2026).</w:t>
      </w:r>
    </w:p>
    <w:p w14:paraId="0A872119"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lastRenderedPageBreak/>
        <w:t xml:space="preserve">Pasquel, F.J., Lansang, M.C., </w:t>
      </w:r>
      <w:proofErr w:type="spellStart"/>
      <w:r w:rsidRPr="002F4717">
        <w:rPr>
          <w:rFonts w:ascii="Arial" w:hAnsi="Arial" w:cs="Arial"/>
          <w:sz w:val="22"/>
          <w:szCs w:val="22"/>
        </w:rPr>
        <w:t>Dhatariya</w:t>
      </w:r>
      <w:proofErr w:type="spellEnd"/>
      <w:r w:rsidRPr="002F4717">
        <w:rPr>
          <w:rFonts w:ascii="Arial" w:hAnsi="Arial" w:cs="Arial"/>
          <w:sz w:val="22"/>
          <w:szCs w:val="22"/>
        </w:rPr>
        <w:t xml:space="preserve">, K. and Umpierrez, G.E. (2021) “Management of Diabetes and Hyperglycaemia in the Hospital.” </w:t>
      </w:r>
      <w:r w:rsidRPr="002F4717">
        <w:rPr>
          <w:rFonts w:ascii="Arial" w:hAnsi="Arial" w:cs="Arial"/>
          <w:i/>
          <w:iCs/>
          <w:sz w:val="22"/>
          <w:szCs w:val="22"/>
        </w:rPr>
        <w:t>The Lancet Diabetes &amp; Endocrinology</w:t>
      </w:r>
      <w:r w:rsidRPr="002F4717">
        <w:rPr>
          <w:rFonts w:ascii="Arial" w:hAnsi="Arial" w:cs="Arial"/>
          <w:sz w:val="22"/>
          <w:szCs w:val="22"/>
        </w:rPr>
        <w:t xml:space="preserve"> 9(3), pp. 174–188. Available at: </w:t>
      </w:r>
      <w:hyperlink r:id="rId30" w:history="1">
        <w:r w:rsidRPr="002F4717">
          <w:rPr>
            <w:rStyle w:val="Hyperlink"/>
            <w:rFonts w:ascii="Arial" w:hAnsi="Arial" w:cs="Arial"/>
            <w:sz w:val="22"/>
            <w:szCs w:val="22"/>
          </w:rPr>
          <w:t>https://www.thelancet.com/journals/landia/article/PIIS2213-8587(20)30381-8/fulltext</w:t>
        </w:r>
      </w:hyperlink>
      <w:r w:rsidRPr="002F4717">
        <w:rPr>
          <w:rFonts w:ascii="Arial" w:hAnsi="Arial" w:cs="Arial"/>
          <w:sz w:val="22"/>
          <w:szCs w:val="22"/>
        </w:rPr>
        <w:t xml:space="preserve"> (Accessed: 8 July 2026).</w:t>
      </w:r>
    </w:p>
    <w:p w14:paraId="7D0D63B7"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Public Health England (2018) </w:t>
      </w:r>
      <w:r w:rsidRPr="002F4717">
        <w:rPr>
          <w:rFonts w:ascii="Arial" w:hAnsi="Arial" w:cs="Arial"/>
          <w:i/>
          <w:iCs/>
          <w:sz w:val="22"/>
          <w:szCs w:val="22"/>
        </w:rPr>
        <w:t>Health matters: Preventing Type 2 Diabetes</w:t>
      </w:r>
      <w:r w:rsidRPr="002F4717">
        <w:rPr>
          <w:rFonts w:ascii="Arial" w:hAnsi="Arial" w:cs="Arial"/>
          <w:sz w:val="22"/>
          <w:szCs w:val="22"/>
        </w:rPr>
        <w:t xml:space="preserve">. Available at: </w:t>
      </w:r>
      <w:hyperlink r:id="rId31" w:history="1">
        <w:r w:rsidRPr="002F4717">
          <w:rPr>
            <w:rStyle w:val="Hyperlink"/>
            <w:rFonts w:ascii="Arial" w:hAnsi="Arial" w:cs="Arial"/>
            <w:sz w:val="22"/>
            <w:szCs w:val="22"/>
          </w:rPr>
          <w:t>https://www.gov.uk/government/publications/health-matters-preventing-type-2-diabetes/health-matters-preventing-type-2-diabetes</w:t>
        </w:r>
      </w:hyperlink>
      <w:r w:rsidRPr="002F4717">
        <w:rPr>
          <w:rFonts w:ascii="Arial" w:hAnsi="Arial" w:cs="Arial"/>
          <w:sz w:val="22"/>
          <w:szCs w:val="22"/>
        </w:rPr>
        <w:t xml:space="preserve"> (Accessed: 8 July 2026).</w:t>
      </w:r>
    </w:p>
    <w:p w14:paraId="05B7670F"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Qu, C. (2025) “Female versus viral: Understanding the UK gender health inequalities during the Covid-19 pandemic using e-archives.” </w:t>
      </w:r>
      <w:r w:rsidRPr="002F4717">
        <w:rPr>
          <w:rFonts w:ascii="Arial" w:hAnsi="Arial" w:cs="Arial"/>
          <w:i/>
          <w:iCs/>
          <w:sz w:val="22"/>
          <w:szCs w:val="22"/>
        </w:rPr>
        <w:t>Social Science &amp; Medicine</w:t>
      </w:r>
      <w:r w:rsidRPr="002F4717">
        <w:rPr>
          <w:rFonts w:ascii="Arial" w:hAnsi="Arial" w:cs="Arial"/>
          <w:sz w:val="22"/>
          <w:szCs w:val="22"/>
        </w:rPr>
        <w:t xml:space="preserve"> 366, p. 117589. </w:t>
      </w:r>
      <w:proofErr w:type="spellStart"/>
      <w:r w:rsidRPr="002F4717">
        <w:rPr>
          <w:rFonts w:ascii="Arial" w:hAnsi="Arial" w:cs="Arial"/>
          <w:sz w:val="22"/>
          <w:szCs w:val="22"/>
        </w:rPr>
        <w:t>doi</w:t>
      </w:r>
      <w:proofErr w:type="spellEnd"/>
      <w:r w:rsidRPr="002F4717">
        <w:rPr>
          <w:rFonts w:ascii="Arial" w:hAnsi="Arial" w:cs="Arial"/>
          <w:sz w:val="22"/>
          <w:szCs w:val="22"/>
        </w:rPr>
        <w:t>: 10.1016/j.socscimed.2024.117589.</w:t>
      </w:r>
    </w:p>
    <w:p w14:paraId="67F95C6D"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Underwood, S. et al. (2025) “Cancer inequalities in the United Kingdom and the data used to measure them: A scoping </w:t>
      </w:r>
      <w:proofErr w:type="gramStart"/>
      <w:r w:rsidRPr="002F4717">
        <w:rPr>
          <w:rFonts w:ascii="Arial" w:hAnsi="Arial" w:cs="Arial"/>
          <w:sz w:val="22"/>
          <w:szCs w:val="22"/>
        </w:rPr>
        <w:t>review..</w:t>
      </w:r>
      <w:proofErr w:type="gramEnd"/>
      <w:r w:rsidRPr="002F4717">
        <w:rPr>
          <w:rFonts w:ascii="Arial" w:hAnsi="Arial" w:cs="Arial"/>
          <w:sz w:val="22"/>
          <w:szCs w:val="22"/>
        </w:rPr>
        <w:t xml:space="preserve">” </w:t>
      </w:r>
      <w:r w:rsidRPr="002F4717">
        <w:rPr>
          <w:rFonts w:ascii="Arial" w:hAnsi="Arial" w:cs="Arial"/>
          <w:i/>
          <w:iCs/>
          <w:sz w:val="22"/>
          <w:szCs w:val="22"/>
        </w:rPr>
        <w:t>The Lancet Regional Health - Europe</w:t>
      </w:r>
      <w:r w:rsidRPr="002F4717">
        <w:rPr>
          <w:rFonts w:ascii="Arial" w:hAnsi="Arial" w:cs="Arial"/>
          <w:sz w:val="22"/>
          <w:szCs w:val="22"/>
        </w:rPr>
        <w:t xml:space="preserve"> 52, p. 101246. Available at: </w:t>
      </w:r>
      <w:hyperlink r:id="rId32" w:history="1">
        <w:r w:rsidRPr="002F4717">
          <w:rPr>
            <w:rStyle w:val="Hyperlink"/>
            <w:rFonts w:ascii="Arial" w:hAnsi="Arial" w:cs="Arial"/>
            <w:sz w:val="22"/>
            <w:szCs w:val="22"/>
          </w:rPr>
          <w:t>https://www.thelancet.com/journals/lanepe/article/PIIS2666-7762(25)00038-9/fulltext</w:t>
        </w:r>
      </w:hyperlink>
      <w:r w:rsidRPr="002F4717">
        <w:rPr>
          <w:rFonts w:ascii="Arial" w:hAnsi="Arial" w:cs="Arial"/>
          <w:sz w:val="22"/>
          <w:szCs w:val="22"/>
        </w:rPr>
        <w:t xml:space="preserve"> (Accessed: 8 July 2026).</w:t>
      </w:r>
    </w:p>
    <w:p w14:paraId="645BA15B" w14:textId="77777777" w:rsidR="00E42786" w:rsidRPr="002F4717" w:rsidRDefault="00E42786" w:rsidP="00AC1074">
      <w:pPr>
        <w:spacing w:line="360" w:lineRule="auto"/>
        <w:rPr>
          <w:rFonts w:ascii="Arial" w:hAnsi="Arial" w:cs="Arial"/>
          <w:sz w:val="22"/>
          <w:szCs w:val="22"/>
        </w:rPr>
      </w:pPr>
      <w:r w:rsidRPr="002F4717">
        <w:rPr>
          <w:rFonts w:ascii="Arial" w:hAnsi="Arial" w:cs="Arial"/>
          <w:sz w:val="22"/>
          <w:szCs w:val="22"/>
        </w:rPr>
        <w:t xml:space="preserve">Viljoen, A., Hoxer, C.S., Johansen, P., Malkin, S., Hunt, B. and Bain, S.C. (2018) “Evaluation of the long-term cost-effectiveness of once-weekly semaglutide versus dulaglutide for treatment of type 2 diabetes mellitus in the UK.” </w:t>
      </w:r>
      <w:r w:rsidRPr="002F4717">
        <w:rPr>
          <w:rFonts w:ascii="Arial" w:hAnsi="Arial" w:cs="Arial"/>
          <w:i/>
          <w:iCs/>
          <w:sz w:val="22"/>
          <w:szCs w:val="22"/>
        </w:rPr>
        <w:t>Diabetes, Obesity and Metabolism</w:t>
      </w:r>
      <w:r w:rsidRPr="002F4717">
        <w:rPr>
          <w:rFonts w:ascii="Arial" w:hAnsi="Arial" w:cs="Arial"/>
          <w:sz w:val="22"/>
          <w:szCs w:val="22"/>
        </w:rPr>
        <w:t xml:space="preserve"> 21(3), pp. 611–621. </w:t>
      </w:r>
      <w:proofErr w:type="spellStart"/>
      <w:r w:rsidRPr="002F4717">
        <w:rPr>
          <w:rFonts w:ascii="Arial" w:hAnsi="Arial" w:cs="Arial"/>
          <w:sz w:val="22"/>
          <w:szCs w:val="22"/>
        </w:rPr>
        <w:t>doi</w:t>
      </w:r>
      <w:proofErr w:type="spellEnd"/>
      <w:r w:rsidRPr="002F4717">
        <w:rPr>
          <w:rFonts w:ascii="Arial" w:hAnsi="Arial" w:cs="Arial"/>
          <w:sz w:val="22"/>
          <w:szCs w:val="22"/>
        </w:rPr>
        <w:t>: 10.1111/dom.13564.</w:t>
      </w:r>
    </w:p>
    <w:sectPr w:rsidR="00E42786" w:rsidRPr="002F4717">
      <w:head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35990" w14:textId="77777777" w:rsidR="00385978" w:rsidRPr="002F4717" w:rsidRDefault="00385978" w:rsidP="001861B5">
      <w:pPr>
        <w:spacing w:after="0" w:line="240" w:lineRule="auto"/>
      </w:pPr>
      <w:r w:rsidRPr="002F4717">
        <w:separator/>
      </w:r>
    </w:p>
  </w:endnote>
  <w:endnote w:type="continuationSeparator" w:id="0">
    <w:p w14:paraId="3F03E54F" w14:textId="77777777" w:rsidR="00385978" w:rsidRPr="002F4717" w:rsidRDefault="00385978" w:rsidP="001861B5">
      <w:pPr>
        <w:spacing w:after="0" w:line="240" w:lineRule="auto"/>
      </w:pPr>
      <w:r w:rsidRPr="002F47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6E06B" w14:textId="77777777" w:rsidR="00385978" w:rsidRPr="002F4717" w:rsidRDefault="00385978" w:rsidP="001861B5">
      <w:pPr>
        <w:spacing w:after="0" w:line="240" w:lineRule="auto"/>
      </w:pPr>
      <w:r w:rsidRPr="002F4717">
        <w:separator/>
      </w:r>
    </w:p>
  </w:footnote>
  <w:footnote w:type="continuationSeparator" w:id="0">
    <w:p w14:paraId="3F3DD188" w14:textId="77777777" w:rsidR="00385978" w:rsidRPr="002F4717" w:rsidRDefault="00385978" w:rsidP="001861B5">
      <w:pPr>
        <w:spacing w:after="0" w:line="240" w:lineRule="auto"/>
      </w:pPr>
      <w:r w:rsidRPr="002F471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685407066"/>
      <w:docPartObj>
        <w:docPartGallery w:val="Page Numbers (Top of Page)"/>
        <w:docPartUnique/>
      </w:docPartObj>
    </w:sdtPr>
    <w:sdtContent>
      <w:p w14:paraId="7BF00BBB" w14:textId="669244FB" w:rsidR="001861B5" w:rsidRPr="002F4717" w:rsidRDefault="001861B5">
        <w:pPr>
          <w:pStyle w:val="Header"/>
          <w:jc w:val="right"/>
          <w:rPr>
            <w:rFonts w:ascii="Arial" w:hAnsi="Arial" w:cs="Arial"/>
          </w:rPr>
        </w:pPr>
        <w:r w:rsidRPr="002F4717">
          <w:rPr>
            <w:rFonts w:ascii="Arial" w:hAnsi="Arial" w:cs="Arial"/>
          </w:rPr>
          <w:fldChar w:fldCharType="begin"/>
        </w:r>
        <w:r w:rsidRPr="002F4717">
          <w:rPr>
            <w:rFonts w:ascii="Arial" w:hAnsi="Arial" w:cs="Arial"/>
          </w:rPr>
          <w:instrText xml:space="preserve"> PAGE   \* MERGEFORMAT </w:instrText>
        </w:r>
        <w:r w:rsidRPr="002F4717">
          <w:rPr>
            <w:rFonts w:ascii="Arial" w:hAnsi="Arial" w:cs="Arial"/>
          </w:rPr>
          <w:fldChar w:fldCharType="separate"/>
        </w:r>
        <w:r w:rsidRPr="002F4717">
          <w:rPr>
            <w:rFonts w:ascii="Arial" w:hAnsi="Arial" w:cs="Arial"/>
          </w:rPr>
          <w:t>2</w:t>
        </w:r>
        <w:r w:rsidRPr="002F4717">
          <w:rPr>
            <w:rFonts w:ascii="Arial" w:hAnsi="Arial" w:cs="Arial"/>
          </w:rPr>
          <w:fldChar w:fldCharType="end"/>
        </w:r>
      </w:p>
    </w:sdtContent>
  </w:sdt>
  <w:p w14:paraId="32C56096" w14:textId="77777777" w:rsidR="001861B5" w:rsidRPr="002F4717" w:rsidRDefault="001861B5">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41CB6"/>
    <w:multiLevelType w:val="multilevel"/>
    <w:tmpl w:val="6126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D147A8"/>
    <w:multiLevelType w:val="multilevel"/>
    <w:tmpl w:val="82F46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528D8"/>
    <w:multiLevelType w:val="multilevel"/>
    <w:tmpl w:val="3B280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FA52DA"/>
    <w:multiLevelType w:val="multilevel"/>
    <w:tmpl w:val="5F78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54B2B"/>
    <w:multiLevelType w:val="multilevel"/>
    <w:tmpl w:val="D4F67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A7A33"/>
    <w:multiLevelType w:val="multilevel"/>
    <w:tmpl w:val="97203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176DA"/>
    <w:multiLevelType w:val="multilevel"/>
    <w:tmpl w:val="C700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65AA4"/>
    <w:multiLevelType w:val="multilevel"/>
    <w:tmpl w:val="211C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D06772"/>
    <w:multiLevelType w:val="multilevel"/>
    <w:tmpl w:val="C16A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7F7484"/>
    <w:multiLevelType w:val="multilevel"/>
    <w:tmpl w:val="5A94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02966"/>
    <w:multiLevelType w:val="multilevel"/>
    <w:tmpl w:val="F6B2B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672E8C"/>
    <w:multiLevelType w:val="multilevel"/>
    <w:tmpl w:val="C6BE1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A65716"/>
    <w:multiLevelType w:val="multilevel"/>
    <w:tmpl w:val="621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F538CA"/>
    <w:multiLevelType w:val="multilevel"/>
    <w:tmpl w:val="DF92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A032E1"/>
    <w:multiLevelType w:val="multilevel"/>
    <w:tmpl w:val="23C2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296B3A"/>
    <w:multiLevelType w:val="multilevel"/>
    <w:tmpl w:val="B120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343228"/>
    <w:multiLevelType w:val="multilevel"/>
    <w:tmpl w:val="E0DC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1D5795"/>
    <w:multiLevelType w:val="multilevel"/>
    <w:tmpl w:val="679C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1673D1"/>
    <w:multiLevelType w:val="multilevel"/>
    <w:tmpl w:val="ADA8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B6003A"/>
    <w:multiLevelType w:val="multilevel"/>
    <w:tmpl w:val="DA48A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2D77F2"/>
    <w:multiLevelType w:val="multilevel"/>
    <w:tmpl w:val="9CF8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1B46B6"/>
    <w:multiLevelType w:val="multilevel"/>
    <w:tmpl w:val="E12E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B24B40"/>
    <w:multiLevelType w:val="multilevel"/>
    <w:tmpl w:val="1EE4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695E43"/>
    <w:multiLevelType w:val="multilevel"/>
    <w:tmpl w:val="FB72E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B27C68"/>
    <w:multiLevelType w:val="multilevel"/>
    <w:tmpl w:val="D2CC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6B692B"/>
    <w:multiLevelType w:val="multilevel"/>
    <w:tmpl w:val="DB86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9517565">
    <w:abstractNumId w:val="11"/>
  </w:num>
  <w:num w:numId="2" w16cid:durableId="1333607664">
    <w:abstractNumId w:val="9"/>
  </w:num>
  <w:num w:numId="3" w16cid:durableId="1671789653">
    <w:abstractNumId w:val="0"/>
  </w:num>
  <w:num w:numId="4" w16cid:durableId="1055392379">
    <w:abstractNumId w:val="2"/>
  </w:num>
  <w:num w:numId="5" w16cid:durableId="1685087483">
    <w:abstractNumId w:val="23"/>
  </w:num>
  <w:num w:numId="6" w16cid:durableId="1350453161">
    <w:abstractNumId w:val="16"/>
  </w:num>
  <w:num w:numId="7" w16cid:durableId="1131097725">
    <w:abstractNumId w:val="22"/>
  </w:num>
  <w:num w:numId="8" w16cid:durableId="1871916472">
    <w:abstractNumId w:val="7"/>
  </w:num>
  <w:num w:numId="9" w16cid:durableId="163476926">
    <w:abstractNumId w:val="5"/>
  </w:num>
  <w:num w:numId="10" w16cid:durableId="1917322755">
    <w:abstractNumId w:val="19"/>
  </w:num>
  <w:num w:numId="11" w16cid:durableId="1932156751">
    <w:abstractNumId w:val="20"/>
  </w:num>
  <w:num w:numId="12" w16cid:durableId="1997223669">
    <w:abstractNumId w:val="25"/>
  </w:num>
  <w:num w:numId="13" w16cid:durableId="1788694645">
    <w:abstractNumId w:val="1"/>
  </w:num>
  <w:num w:numId="14" w16cid:durableId="1301885309">
    <w:abstractNumId w:val="18"/>
  </w:num>
  <w:num w:numId="15" w16cid:durableId="55011446">
    <w:abstractNumId w:val="15"/>
  </w:num>
  <w:num w:numId="16" w16cid:durableId="1237940187">
    <w:abstractNumId w:val="12"/>
  </w:num>
  <w:num w:numId="17" w16cid:durableId="1846746151">
    <w:abstractNumId w:val="24"/>
  </w:num>
  <w:num w:numId="18" w16cid:durableId="2078236085">
    <w:abstractNumId w:val="10"/>
  </w:num>
  <w:num w:numId="19" w16cid:durableId="287931502">
    <w:abstractNumId w:val="14"/>
  </w:num>
  <w:num w:numId="20" w16cid:durableId="604271617">
    <w:abstractNumId w:val="21"/>
  </w:num>
  <w:num w:numId="21" w16cid:durableId="797261261">
    <w:abstractNumId w:val="3"/>
  </w:num>
  <w:num w:numId="22" w16cid:durableId="830832066">
    <w:abstractNumId w:val="6"/>
  </w:num>
  <w:num w:numId="23" w16cid:durableId="64881560">
    <w:abstractNumId w:val="13"/>
  </w:num>
  <w:num w:numId="24" w16cid:durableId="1113666704">
    <w:abstractNumId w:val="4"/>
  </w:num>
  <w:num w:numId="25" w16cid:durableId="2023120140">
    <w:abstractNumId w:val="8"/>
  </w:num>
  <w:num w:numId="26" w16cid:durableId="3697212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563"/>
    <w:rsid w:val="00001D44"/>
    <w:rsid w:val="00024EA7"/>
    <w:rsid w:val="000301ED"/>
    <w:rsid w:val="000415B8"/>
    <w:rsid w:val="00073F0A"/>
    <w:rsid w:val="00091857"/>
    <w:rsid w:val="000A619D"/>
    <w:rsid w:val="000B4139"/>
    <w:rsid w:val="000E04E9"/>
    <w:rsid w:val="00130CED"/>
    <w:rsid w:val="0013728B"/>
    <w:rsid w:val="001861B5"/>
    <w:rsid w:val="001B3505"/>
    <w:rsid w:val="001E7856"/>
    <w:rsid w:val="00202842"/>
    <w:rsid w:val="002327E4"/>
    <w:rsid w:val="00246F1B"/>
    <w:rsid w:val="0025553D"/>
    <w:rsid w:val="002A45EB"/>
    <w:rsid w:val="002B72F1"/>
    <w:rsid w:val="002C37C3"/>
    <w:rsid w:val="002C6E4B"/>
    <w:rsid w:val="002F3859"/>
    <w:rsid w:val="002F4717"/>
    <w:rsid w:val="00317B93"/>
    <w:rsid w:val="0032052D"/>
    <w:rsid w:val="00320F38"/>
    <w:rsid w:val="00337BE5"/>
    <w:rsid w:val="0034473A"/>
    <w:rsid w:val="003550DE"/>
    <w:rsid w:val="00360051"/>
    <w:rsid w:val="0036027B"/>
    <w:rsid w:val="00360D5F"/>
    <w:rsid w:val="003650A5"/>
    <w:rsid w:val="00385978"/>
    <w:rsid w:val="0039122F"/>
    <w:rsid w:val="003935FF"/>
    <w:rsid w:val="003E13A0"/>
    <w:rsid w:val="00410A2D"/>
    <w:rsid w:val="0045543A"/>
    <w:rsid w:val="00456A96"/>
    <w:rsid w:val="00463906"/>
    <w:rsid w:val="00491B25"/>
    <w:rsid w:val="004C1267"/>
    <w:rsid w:val="004C33DE"/>
    <w:rsid w:val="004C4651"/>
    <w:rsid w:val="00510267"/>
    <w:rsid w:val="005234B3"/>
    <w:rsid w:val="0052363E"/>
    <w:rsid w:val="00525B12"/>
    <w:rsid w:val="005275A1"/>
    <w:rsid w:val="0053752B"/>
    <w:rsid w:val="00544517"/>
    <w:rsid w:val="005563DD"/>
    <w:rsid w:val="005837FA"/>
    <w:rsid w:val="0058688A"/>
    <w:rsid w:val="005B1275"/>
    <w:rsid w:val="005B2660"/>
    <w:rsid w:val="005E40CC"/>
    <w:rsid w:val="0061499A"/>
    <w:rsid w:val="00620340"/>
    <w:rsid w:val="006206D2"/>
    <w:rsid w:val="006351D8"/>
    <w:rsid w:val="00635C71"/>
    <w:rsid w:val="00636EC5"/>
    <w:rsid w:val="0068579A"/>
    <w:rsid w:val="006857D2"/>
    <w:rsid w:val="00697FE7"/>
    <w:rsid w:val="006B435F"/>
    <w:rsid w:val="006C3F37"/>
    <w:rsid w:val="006F4718"/>
    <w:rsid w:val="006F5D01"/>
    <w:rsid w:val="007161DA"/>
    <w:rsid w:val="00721B14"/>
    <w:rsid w:val="00730F57"/>
    <w:rsid w:val="007314BA"/>
    <w:rsid w:val="00747E23"/>
    <w:rsid w:val="007562CB"/>
    <w:rsid w:val="00757E9F"/>
    <w:rsid w:val="00764925"/>
    <w:rsid w:val="00776890"/>
    <w:rsid w:val="0077762F"/>
    <w:rsid w:val="00780E68"/>
    <w:rsid w:val="00784A5D"/>
    <w:rsid w:val="007C0E56"/>
    <w:rsid w:val="007C1136"/>
    <w:rsid w:val="007D1964"/>
    <w:rsid w:val="007E7020"/>
    <w:rsid w:val="007F19F3"/>
    <w:rsid w:val="007F705F"/>
    <w:rsid w:val="008009D6"/>
    <w:rsid w:val="008212C6"/>
    <w:rsid w:val="00822FF4"/>
    <w:rsid w:val="0084211C"/>
    <w:rsid w:val="0086298A"/>
    <w:rsid w:val="00870BBC"/>
    <w:rsid w:val="00873513"/>
    <w:rsid w:val="008736BD"/>
    <w:rsid w:val="008953AC"/>
    <w:rsid w:val="008A33F8"/>
    <w:rsid w:val="008A6525"/>
    <w:rsid w:val="008B02FE"/>
    <w:rsid w:val="008E17D5"/>
    <w:rsid w:val="009016C9"/>
    <w:rsid w:val="009039B1"/>
    <w:rsid w:val="00974957"/>
    <w:rsid w:val="00976966"/>
    <w:rsid w:val="009771E9"/>
    <w:rsid w:val="00977842"/>
    <w:rsid w:val="009C3F15"/>
    <w:rsid w:val="00A40D82"/>
    <w:rsid w:val="00A43DFD"/>
    <w:rsid w:val="00A5776A"/>
    <w:rsid w:val="00A7423C"/>
    <w:rsid w:val="00A90D75"/>
    <w:rsid w:val="00A97102"/>
    <w:rsid w:val="00AA0C6B"/>
    <w:rsid w:val="00AA5E59"/>
    <w:rsid w:val="00AB0DDF"/>
    <w:rsid w:val="00AC1074"/>
    <w:rsid w:val="00AC75D7"/>
    <w:rsid w:val="00AE195A"/>
    <w:rsid w:val="00AF72BF"/>
    <w:rsid w:val="00B15408"/>
    <w:rsid w:val="00B6759D"/>
    <w:rsid w:val="00B7359F"/>
    <w:rsid w:val="00B7577E"/>
    <w:rsid w:val="00B758C4"/>
    <w:rsid w:val="00B77D7D"/>
    <w:rsid w:val="00BC22A7"/>
    <w:rsid w:val="00BE0783"/>
    <w:rsid w:val="00BF0620"/>
    <w:rsid w:val="00C265D8"/>
    <w:rsid w:val="00C37563"/>
    <w:rsid w:val="00C41072"/>
    <w:rsid w:val="00C43312"/>
    <w:rsid w:val="00C51E5A"/>
    <w:rsid w:val="00C578C4"/>
    <w:rsid w:val="00C60584"/>
    <w:rsid w:val="00C65853"/>
    <w:rsid w:val="00C76257"/>
    <w:rsid w:val="00C9402A"/>
    <w:rsid w:val="00CA08A3"/>
    <w:rsid w:val="00CA5959"/>
    <w:rsid w:val="00CA6A15"/>
    <w:rsid w:val="00CA6F00"/>
    <w:rsid w:val="00CB4165"/>
    <w:rsid w:val="00CC36A7"/>
    <w:rsid w:val="00CD35B2"/>
    <w:rsid w:val="00CF3436"/>
    <w:rsid w:val="00D25F76"/>
    <w:rsid w:val="00D350A7"/>
    <w:rsid w:val="00D44DD6"/>
    <w:rsid w:val="00D47AE0"/>
    <w:rsid w:val="00D566F5"/>
    <w:rsid w:val="00D82E6E"/>
    <w:rsid w:val="00D949D1"/>
    <w:rsid w:val="00DD6734"/>
    <w:rsid w:val="00DD72E4"/>
    <w:rsid w:val="00E01F4C"/>
    <w:rsid w:val="00E117AD"/>
    <w:rsid w:val="00E3690C"/>
    <w:rsid w:val="00E42786"/>
    <w:rsid w:val="00E6300D"/>
    <w:rsid w:val="00E748FB"/>
    <w:rsid w:val="00E80927"/>
    <w:rsid w:val="00E83D30"/>
    <w:rsid w:val="00E8409D"/>
    <w:rsid w:val="00EB5F1F"/>
    <w:rsid w:val="00EB63E2"/>
    <w:rsid w:val="00ED0096"/>
    <w:rsid w:val="00EF5E75"/>
    <w:rsid w:val="00F00BC6"/>
    <w:rsid w:val="00F172A5"/>
    <w:rsid w:val="00F413B1"/>
    <w:rsid w:val="00F421EF"/>
    <w:rsid w:val="00F825B4"/>
    <w:rsid w:val="00FB59A3"/>
    <w:rsid w:val="00FC7C94"/>
    <w:rsid w:val="00FE2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76445"/>
  <w15:chartTrackingRefBased/>
  <w15:docId w15:val="{8EE31029-3EE1-40C9-8072-60C7B6BFD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375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75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75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75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75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75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75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75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75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75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75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75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75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75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7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7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7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7563"/>
    <w:rPr>
      <w:rFonts w:eastAsiaTheme="majorEastAsia" w:cstheme="majorBidi"/>
      <w:color w:val="272727" w:themeColor="text1" w:themeTint="D8"/>
    </w:rPr>
  </w:style>
  <w:style w:type="paragraph" w:styleId="Title">
    <w:name w:val="Title"/>
    <w:basedOn w:val="Normal"/>
    <w:next w:val="Normal"/>
    <w:link w:val="TitleChar"/>
    <w:uiPriority w:val="10"/>
    <w:qFormat/>
    <w:rsid w:val="00C37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7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7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7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7563"/>
    <w:pPr>
      <w:spacing w:before="160"/>
      <w:jc w:val="center"/>
    </w:pPr>
    <w:rPr>
      <w:i/>
      <w:iCs/>
      <w:color w:val="404040" w:themeColor="text1" w:themeTint="BF"/>
    </w:rPr>
  </w:style>
  <w:style w:type="character" w:customStyle="1" w:styleId="QuoteChar">
    <w:name w:val="Quote Char"/>
    <w:basedOn w:val="DefaultParagraphFont"/>
    <w:link w:val="Quote"/>
    <w:uiPriority w:val="29"/>
    <w:rsid w:val="00C37563"/>
    <w:rPr>
      <w:i/>
      <w:iCs/>
      <w:color w:val="404040" w:themeColor="text1" w:themeTint="BF"/>
    </w:rPr>
  </w:style>
  <w:style w:type="paragraph" w:styleId="ListParagraph">
    <w:name w:val="List Paragraph"/>
    <w:basedOn w:val="Normal"/>
    <w:uiPriority w:val="34"/>
    <w:qFormat/>
    <w:rsid w:val="00C37563"/>
    <w:pPr>
      <w:ind w:left="720"/>
      <w:contextualSpacing/>
    </w:pPr>
  </w:style>
  <w:style w:type="character" w:styleId="IntenseEmphasis">
    <w:name w:val="Intense Emphasis"/>
    <w:basedOn w:val="DefaultParagraphFont"/>
    <w:uiPriority w:val="21"/>
    <w:qFormat/>
    <w:rsid w:val="00C37563"/>
    <w:rPr>
      <w:i/>
      <w:iCs/>
      <w:color w:val="2F5496" w:themeColor="accent1" w:themeShade="BF"/>
    </w:rPr>
  </w:style>
  <w:style w:type="paragraph" w:styleId="IntenseQuote">
    <w:name w:val="Intense Quote"/>
    <w:basedOn w:val="Normal"/>
    <w:next w:val="Normal"/>
    <w:link w:val="IntenseQuoteChar"/>
    <w:uiPriority w:val="30"/>
    <w:qFormat/>
    <w:rsid w:val="00C375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7563"/>
    <w:rPr>
      <w:i/>
      <w:iCs/>
      <w:color w:val="2F5496" w:themeColor="accent1" w:themeShade="BF"/>
    </w:rPr>
  </w:style>
  <w:style w:type="character" w:styleId="IntenseReference">
    <w:name w:val="Intense Reference"/>
    <w:basedOn w:val="DefaultParagraphFont"/>
    <w:uiPriority w:val="32"/>
    <w:qFormat/>
    <w:rsid w:val="00C37563"/>
    <w:rPr>
      <w:b/>
      <w:bCs/>
      <w:smallCaps/>
      <w:color w:val="2F5496" w:themeColor="accent1" w:themeShade="BF"/>
      <w:spacing w:val="5"/>
    </w:rPr>
  </w:style>
  <w:style w:type="character" w:styleId="Strong">
    <w:name w:val="Strong"/>
    <w:basedOn w:val="DefaultParagraphFont"/>
    <w:uiPriority w:val="22"/>
    <w:qFormat/>
    <w:rsid w:val="00456A96"/>
    <w:rPr>
      <w:b/>
      <w:bCs/>
    </w:rPr>
  </w:style>
  <w:style w:type="paragraph" w:styleId="Header">
    <w:name w:val="header"/>
    <w:basedOn w:val="Normal"/>
    <w:link w:val="HeaderChar"/>
    <w:uiPriority w:val="99"/>
    <w:unhideWhenUsed/>
    <w:rsid w:val="001861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61B5"/>
  </w:style>
  <w:style w:type="paragraph" w:styleId="Footer">
    <w:name w:val="footer"/>
    <w:basedOn w:val="Normal"/>
    <w:link w:val="FooterChar"/>
    <w:uiPriority w:val="99"/>
    <w:unhideWhenUsed/>
    <w:rsid w:val="001861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1B5"/>
  </w:style>
  <w:style w:type="character" w:styleId="Hyperlink">
    <w:name w:val="Hyperlink"/>
    <w:basedOn w:val="DefaultParagraphFont"/>
    <w:uiPriority w:val="99"/>
    <w:unhideWhenUsed/>
    <w:rsid w:val="009039B1"/>
    <w:rPr>
      <w:color w:val="0563C1" w:themeColor="hyperlink"/>
      <w:u w:val="single"/>
    </w:rPr>
  </w:style>
  <w:style w:type="character" w:styleId="UnresolvedMention">
    <w:name w:val="Unresolved Mention"/>
    <w:basedOn w:val="DefaultParagraphFont"/>
    <w:uiPriority w:val="99"/>
    <w:semiHidden/>
    <w:unhideWhenUsed/>
    <w:rsid w:val="009039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mens-health-hubs-information-and-guidance/womens-health-hubs-core-specification" TargetMode="External"/><Relationship Id="rId18" Type="http://schemas.openxmlformats.org/officeDocument/2006/relationships/hyperlink" Target="https://www.npeu.ox.ac.uk/assets/downloads/mbrrace-uk/reports/maternal-report-2025/MBRRACE-UK%20Maternal%20Report%202025%20-%20Main%20ONLINE%20v1.0.pdf" TargetMode="External"/><Relationship Id="rId26" Type="http://schemas.openxmlformats.org/officeDocument/2006/relationships/hyperlink" Target="https://www.ons.gov.uk/peoplepopulationandcommunity/healthandsocialcare/healthinequalities/bulletins/riskfactorsforprediabetesandundiagnosedtype2diabetesinengland/2013to2019" TargetMode="External"/><Relationship Id="rId3" Type="http://schemas.openxmlformats.org/officeDocument/2006/relationships/styles" Target="styles.xml"/><Relationship Id="rId21" Type="http://schemas.openxmlformats.org/officeDocument/2006/relationships/hyperlink" Target="https://www.nhs.uk/conditions/type-2-diabete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overnment/publications/renewed-womens-health-strategy-for-england" TargetMode="External"/><Relationship Id="rId17" Type="http://schemas.openxmlformats.org/officeDocument/2006/relationships/hyperlink" Target="https://ppr.lse.ac.uk/articles/122/files/67d423f88d53c.pdf" TargetMode="External"/><Relationship Id="rId25" Type="http://schemas.openxmlformats.org/officeDocument/2006/relationships/hyperlink" Target="https://www.ons.gov.uk/peoplepopulationandcommunity/crimeandjustice/bulletins/domesticabuseinenglandandwalesoverview/november2024"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ngland.nhs.uk/long-read/the-maternal-care-bundle/" TargetMode="External"/><Relationship Id="rId20" Type="http://schemas.openxmlformats.org/officeDocument/2006/relationships/hyperlink" Target="https://www.mentalhealth.org.uk/explore-mental-health/statistics/anxiety-statistics" TargetMode="External"/><Relationship Id="rId29" Type="http://schemas.openxmlformats.org/officeDocument/2006/relationships/hyperlink" Target="https://commonslibrary.parliament.uk/research-briefings/cdp-2024-01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cancerresearchuk.org/2022/09/23/health-inequalities-breaking-down-barriers-to-cancer-screening/" TargetMode="External"/><Relationship Id="rId24" Type="http://schemas.openxmlformats.org/officeDocument/2006/relationships/hyperlink" Target="https://digital.nhs.uk/data-and-information/clinical-audits-and-registries/national-diabetes-audit" TargetMode="External"/><Relationship Id="rId32" Type="http://schemas.openxmlformats.org/officeDocument/2006/relationships/hyperlink" Target="https://www.thelancet.com/journals/lanepe/article/PIIS2666-7762(25)00038-9/fulltext" TargetMode="External"/><Relationship Id="rId5" Type="http://schemas.openxmlformats.org/officeDocument/2006/relationships/webSettings" Target="webSettings.xml"/><Relationship Id="rId15" Type="http://schemas.openxmlformats.org/officeDocument/2006/relationships/hyperlink" Target="https://www.diabetes.org.uk/about-diabetes/type-2-diabetes" TargetMode="External"/><Relationship Id="rId23" Type="http://schemas.openxmlformats.org/officeDocument/2006/relationships/hyperlink" Target="https://digital.nhs.uk/data-and-information/data-tools-and-services/data-services/hospital-episode-statistics" TargetMode="External"/><Relationship Id="rId28" Type="http://schemas.openxmlformats.org/officeDocument/2006/relationships/hyperlink" Target="https://www.ons.gov.uk/employmentandlabourmarket/peopleinwork/earningsandworkinghours/bulletins/genderpaygapintheuk/2025" TargetMode="External"/><Relationship Id="rId10" Type="http://schemas.openxmlformats.org/officeDocument/2006/relationships/hyperlink" Target="https://pubmed.ncbi.nlm.nih.gov/37087506/" TargetMode="External"/><Relationship Id="rId19" Type="http://schemas.openxmlformats.org/officeDocument/2006/relationships/hyperlink" Target="https://www.mentalhealth.org.uk/explore-mental-health/a-z-topics/women-and-mental-health" TargetMode="External"/><Relationship Id="rId31" Type="http://schemas.openxmlformats.org/officeDocument/2006/relationships/hyperlink" Target="https://www.gov.uk/government/publications/health-matters-preventing-type-2-diabetes/health-matters-preventing-type-2-diabetes" TargetMode="External"/><Relationship Id="rId4" Type="http://schemas.openxmlformats.org/officeDocument/2006/relationships/settings" Target="settings.xml"/><Relationship Id="rId9" Type="http://schemas.openxmlformats.org/officeDocument/2006/relationships/hyperlink" Target="https://www.bma.org.uk/media/2115/bma-womens-mental-health-report-aug-2018.pdf" TargetMode="External"/><Relationship Id="rId14" Type="http://schemas.openxmlformats.org/officeDocument/2006/relationships/hyperlink" Target="https://www.gov.uk/government/publications/fcdo-gender-based-violence-results-factsheet-2023-to-2024" TargetMode="External"/><Relationship Id="rId22" Type="http://schemas.openxmlformats.org/officeDocument/2006/relationships/hyperlink" Target="https://www.nhs.uk/conditions/type-2-diabetes/treatment/" TargetMode="External"/><Relationship Id="rId27" Type="http://schemas.openxmlformats.org/officeDocument/2006/relationships/hyperlink" Target="https://www.ons.gov.uk/employmentandlabourmarket/peopleinwork/earningsandworkinghours/bulletins/genderpaygapintheuk/2025" TargetMode="External"/><Relationship Id="rId30" Type="http://schemas.openxmlformats.org/officeDocument/2006/relationships/hyperlink" Target="https://www.thelancet.com/journals/landia/article/PIIS2213-8587(20)30381-8/fulltext"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BFE82-5329-4C32-A49B-D2E735918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4301</Words>
  <Characters>24520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Confidence Agomuo Onuoha (2244624)</cp:lastModifiedBy>
  <cp:revision>2</cp:revision>
  <dcterms:created xsi:type="dcterms:W3CDTF">2026-08-18T10:18:00Z</dcterms:created>
  <dcterms:modified xsi:type="dcterms:W3CDTF">2026-08-18T10:18:00Z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b5fbc40b-4d93-4ec0-95d3-6ff010a2ee57</vt:lpwstr>
  </property>
</Properties>
</file>