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63CAA" w14:textId="77777777" w:rsidR="0072225D" w:rsidRPr="0072225D" w:rsidRDefault="0072225D" w:rsidP="0072225D">
      <w:pPr>
        <w:spacing w:after="0" w:line="240" w:lineRule="auto"/>
        <w:jc w:val="right"/>
        <w:rPr>
          <w:rFonts w:ascii="Arial" w:eastAsia="Times New Roman" w:hAnsi="Arial" w:cs="Arial"/>
          <w:b/>
          <w:sz w:val="28"/>
          <w:szCs w:val="28"/>
          <w:lang w:eastAsia="en-GB"/>
        </w:rPr>
      </w:pPr>
      <w:r w:rsidRPr="0072225D">
        <w:rPr>
          <w:rFonts w:ascii="Arial" w:eastAsia="Times New Roman" w:hAnsi="Arial" w:cs="Arial"/>
          <w:b/>
          <w:sz w:val="28"/>
          <w:szCs w:val="28"/>
          <w:lang w:eastAsia="en-GB"/>
        </w:rPr>
        <w:t>APPENDIX GA36a</w:t>
      </w:r>
    </w:p>
    <w:p w14:paraId="64120751" w14:textId="77777777" w:rsidR="0072225D" w:rsidRPr="0072225D" w:rsidRDefault="0072225D" w:rsidP="0072225D">
      <w:pPr>
        <w:spacing w:after="0" w:line="240" w:lineRule="auto"/>
        <w:rPr>
          <w:rFonts w:ascii="Arial" w:eastAsia="Times New Roman" w:hAnsi="Arial" w:cs="Arial"/>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2225D" w:rsidRPr="0072225D" w14:paraId="486C4C6D" w14:textId="77777777" w:rsidTr="0072225D">
        <w:tc>
          <w:tcPr>
            <w:tcW w:w="8624" w:type="dxa"/>
            <w:shd w:val="clear" w:color="auto" w:fill="C0C0C0"/>
          </w:tcPr>
          <w:p w14:paraId="22AFAC28" w14:textId="77777777" w:rsidR="0072225D" w:rsidRPr="0072225D" w:rsidRDefault="0072225D" w:rsidP="0072225D">
            <w:pPr>
              <w:keepNext/>
              <w:spacing w:before="120" w:after="120" w:line="240" w:lineRule="auto"/>
              <w:jc w:val="center"/>
              <w:outlineLvl w:val="3"/>
              <w:rPr>
                <w:rFonts w:ascii="Arial" w:eastAsia="Times New Roman" w:hAnsi="Arial" w:cs="Arial"/>
                <w:b/>
                <w:sz w:val="40"/>
                <w:szCs w:val="20"/>
                <w:lang w:eastAsia="en-GB"/>
              </w:rPr>
            </w:pPr>
            <w:r w:rsidRPr="0072225D">
              <w:rPr>
                <w:rFonts w:ascii="Arial" w:eastAsia="Times New Roman" w:hAnsi="Arial" w:cs="Arial"/>
                <w:b/>
                <w:sz w:val="40"/>
                <w:szCs w:val="20"/>
                <w:lang w:eastAsia="en-GB"/>
              </w:rPr>
              <w:t xml:space="preserve">LEVEL 4 ASSESSMENT SPECIFICATION </w:t>
            </w:r>
          </w:p>
        </w:tc>
      </w:tr>
    </w:tbl>
    <w:p w14:paraId="7DBCDFE3" w14:textId="77777777" w:rsidR="0072225D" w:rsidRPr="0072225D" w:rsidRDefault="0072225D" w:rsidP="0072225D">
      <w:pPr>
        <w:spacing w:after="0" w:line="240" w:lineRule="auto"/>
        <w:jc w:val="center"/>
        <w:rPr>
          <w:rFonts w:ascii="Arial" w:eastAsia="Times New Roman" w:hAnsi="Arial" w:cs="Arial"/>
          <w:b/>
          <w:i/>
          <w:sz w:val="32"/>
          <w:szCs w:val="20"/>
          <w:lang w:eastAsia="en-GB"/>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2225D" w:rsidRPr="0072225D" w14:paraId="59044C5B" w14:textId="77777777" w:rsidTr="0072225D">
        <w:tc>
          <w:tcPr>
            <w:tcW w:w="2093" w:type="dxa"/>
            <w:shd w:val="pct15" w:color="auto" w:fill="auto"/>
          </w:tcPr>
          <w:p w14:paraId="51E6160D"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Student name:</w:t>
            </w:r>
          </w:p>
        </w:tc>
        <w:tc>
          <w:tcPr>
            <w:tcW w:w="3293" w:type="dxa"/>
          </w:tcPr>
          <w:p w14:paraId="02E8E40B" w14:textId="423DE669" w:rsidR="0072225D" w:rsidRPr="0072225D" w:rsidRDefault="0072225D" w:rsidP="0072225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Khairuzzaman Rob</w:t>
            </w:r>
          </w:p>
        </w:tc>
        <w:tc>
          <w:tcPr>
            <w:tcW w:w="2268" w:type="dxa"/>
            <w:shd w:val="clear" w:color="auto" w:fill="D9D9D9"/>
          </w:tcPr>
          <w:p w14:paraId="3B811C04"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Student ID number:</w:t>
            </w:r>
          </w:p>
        </w:tc>
        <w:tc>
          <w:tcPr>
            <w:tcW w:w="2268" w:type="dxa"/>
          </w:tcPr>
          <w:p w14:paraId="631C8AC3" w14:textId="0DF52244" w:rsidR="0072225D" w:rsidRPr="0072225D" w:rsidRDefault="0072225D" w:rsidP="0072225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1915327</w:t>
            </w:r>
          </w:p>
        </w:tc>
      </w:tr>
      <w:tr w:rsidR="0072225D" w:rsidRPr="0072225D" w14:paraId="02073314" w14:textId="77777777" w:rsidTr="0072225D">
        <w:tc>
          <w:tcPr>
            <w:tcW w:w="2093" w:type="dxa"/>
            <w:shd w:val="pct15" w:color="auto" w:fill="auto"/>
          </w:tcPr>
          <w:p w14:paraId="14F22005"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Programme:</w:t>
            </w:r>
          </w:p>
        </w:tc>
        <w:tc>
          <w:tcPr>
            <w:tcW w:w="7829" w:type="dxa"/>
            <w:gridSpan w:val="3"/>
          </w:tcPr>
          <w:p w14:paraId="27C314F1"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Public services, Policing, Criminology and Law portfolio</w:t>
            </w:r>
          </w:p>
        </w:tc>
      </w:tr>
      <w:tr w:rsidR="0072225D" w:rsidRPr="0072225D" w14:paraId="3C0CD50D" w14:textId="77777777" w:rsidTr="0072225D">
        <w:tc>
          <w:tcPr>
            <w:tcW w:w="2093" w:type="dxa"/>
            <w:shd w:val="pct15" w:color="auto" w:fill="auto"/>
          </w:tcPr>
          <w:p w14:paraId="693F2B5A"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Module:</w:t>
            </w:r>
          </w:p>
        </w:tc>
        <w:tc>
          <w:tcPr>
            <w:tcW w:w="7829" w:type="dxa"/>
            <w:gridSpan w:val="3"/>
            <w:shd w:val="clear" w:color="auto" w:fill="auto"/>
          </w:tcPr>
          <w:p w14:paraId="376F1887"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CRIMINAL LAW</w:t>
            </w:r>
          </w:p>
        </w:tc>
      </w:tr>
      <w:tr w:rsidR="0072225D" w:rsidRPr="0072225D" w14:paraId="52D21708" w14:textId="77777777" w:rsidTr="0072225D">
        <w:tc>
          <w:tcPr>
            <w:tcW w:w="2093" w:type="dxa"/>
            <w:shd w:val="pct15" w:color="auto" w:fill="auto"/>
          </w:tcPr>
          <w:p w14:paraId="53561DAD"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Module code:</w:t>
            </w:r>
          </w:p>
        </w:tc>
        <w:tc>
          <w:tcPr>
            <w:tcW w:w="3293" w:type="dxa"/>
          </w:tcPr>
          <w:p w14:paraId="29BD5A67"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BMLW4002/BMPL4004</w:t>
            </w:r>
          </w:p>
        </w:tc>
        <w:tc>
          <w:tcPr>
            <w:tcW w:w="2268" w:type="dxa"/>
            <w:shd w:val="clear" w:color="auto" w:fill="D9D9D9"/>
          </w:tcPr>
          <w:p w14:paraId="6041F21D" w14:textId="77777777" w:rsidR="0072225D" w:rsidRPr="0072225D" w:rsidRDefault="0072225D" w:rsidP="0072225D">
            <w:pPr>
              <w:keepNext/>
              <w:spacing w:after="0" w:line="240" w:lineRule="auto"/>
              <w:jc w:val="both"/>
              <w:outlineLvl w:val="1"/>
              <w:rPr>
                <w:rFonts w:ascii="Arial" w:eastAsia="Times New Roman" w:hAnsi="Arial" w:cs="Arial"/>
                <w:b/>
                <w:lang w:eastAsia="en-GB"/>
              </w:rPr>
            </w:pPr>
            <w:r w:rsidRPr="0072225D">
              <w:rPr>
                <w:rFonts w:ascii="Arial" w:eastAsia="Times New Roman" w:hAnsi="Arial" w:cs="Arial"/>
                <w:b/>
                <w:lang w:eastAsia="en-GB"/>
              </w:rPr>
              <w:t>Contribution to Overall Module Assessment (%):</w:t>
            </w:r>
          </w:p>
        </w:tc>
        <w:tc>
          <w:tcPr>
            <w:tcW w:w="2268" w:type="dxa"/>
          </w:tcPr>
          <w:p w14:paraId="5CF2346D"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50%</w:t>
            </w:r>
          </w:p>
        </w:tc>
      </w:tr>
      <w:tr w:rsidR="0072225D" w:rsidRPr="0072225D" w14:paraId="096ABF48" w14:textId="77777777" w:rsidTr="0072225D">
        <w:tc>
          <w:tcPr>
            <w:tcW w:w="2093" w:type="dxa"/>
            <w:shd w:val="pct15" w:color="auto" w:fill="auto"/>
          </w:tcPr>
          <w:p w14:paraId="60CA7B26"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Lecturer:</w:t>
            </w:r>
          </w:p>
        </w:tc>
        <w:tc>
          <w:tcPr>
            <w:tcW w:w="3293" w:type="dxa"/>
          </w:tcPr>
          <w:p w14:paraId="52E35A90"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LAURA KNIGHT</w:t>
            </w:r>
          </w:p>
        </w:tc>
        <w:tc>
          <w:tcPr>
            <w:tcW w:w="2268" w:type="dxa"/>
            <w:shd w:val="clear" w:color="auto" w:fill="D9D9D9"/>
          </w:tcPr>
          <w:p w14:paraId="77162684"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Internal Verifier:</w:t>
            </w:r>
          </w:p>
        </w:tc>
        <w:tc>
          <w:tcPr>
            <w:tcW w:w="2268" w:type="dxa"/>
          </w:tcPr>
          <w:p w14:paraId="27D09ED9"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LOUISE HOLMES</w:t>
            </w:r>
          </w:p>
        </w:tc>
      </w:tr>
      <w:tr w:rsidR="0072225D" w:rsidRPr="0072225D" w14:paraId="79C786F9" w14:textId="77777777" w:rsidTr="0072225D">
        <w:tc>
          <w:tcPr>
            <w:tcW w:w="2093" w:type="dxa"/>
            <w:shd w:val="pct15" w:color="auto" w:fill="auto"/>
          </w:tcPr>
          <w:p w14:paraId="5F38D577"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Assignment Title:</w:t>
            </w:r>
          </w:p>
        </w:tc>
        <w:tc>
          <w:tcPr>
            <w:tcW w:w="3293" w:type="dxa"/>
          </w:tcPr>
          <w:p w14:paraId="22622BCC"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Assignment 2</w:t>
            </w:r>
          </w:p>
        </w:tc>
        <w:tc>
          <w:tcPr>
            <w:tcW w:w="2268" w:type="dxa"/>
            <w:shd w:val="pct15" w:color="auto" w:fill="auto"/>
          </w:tcPr>
          <w:p w14:paraId="2B36E45D"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Word count (or equivalent):</w:t>
            </w:r>
          </w:p>
        </w:tc>
        <w:tc>
          <w:tcPr>
            <w:tcW w:w="2268" w:type="dxa"/>
          </w:tcPr>
          <w:p w14:paraId="73E3808D"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2,000</w:t>
            </w:r>
          </w:p>
        </w:tc>
      </w:tr>
      <w:tr w:rsidR="0072225D" w:rsidRPr="0072225D" w14:paraId="44A099C6" w14:textId="77777777" w:rsidTr="0072225D">
        <w:tc>
          <w:tcPr>
            <w:tcW w:w="2093" w:type="dxa"/>
            <w:shd w:val="pct15" w:color="auto" w:fill="auto"/>
          </w:tcPr>
          <w:p w14:paraId="7691F212"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Submission deadline:</w:t>
            </w:r>
          </w:p>
        </w:tc>
        <w:tc>
          <w:tcPr>
            <w:tcW w:w="3293" w:type="dxa"/>
            <w:shd w:val="clear" w:color="auto" w:fill="auto"/>
          </w:tcPr>
          <w:p w14:paraId="580080DE"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Friday 7</w:t>
            </w:r>
            <w:r w:rsidRPr="0072225D">
              <w:rPr>
                <w:rFonts w:ascii="Arial" w:eastAsia="Times New Roman" w:hAnsi="Arial" w:cs="Arial"/>
                <w:b/>
                <w:vertAlign w:val="superscript"/>
                <w:lang w:eastAsia="en-GB"/>
              </w:rPr>
              <w:t>th</w:t>
            </w:r>
            <w:r w:rsidRPr="0072225D">
              <w:rPr>
                <w:rFonts w:ascii="Arial" w:eastAsia="Times New Roman" w:hAnsi="Arial" w:cs="Arial"/>
                <w:b/>
                <w:lang w:eastAsia="en-GB"/>
              </w:rPr>
              <w:t xml:space="preserve"> May 2021 at 23:59</w:t>
            </w:r>
          </w:p>
        </w:tc>
        <w:tc>
          <w:tcPr>
            <w:tcW w:w="2268" w:type="dxa"/>
            <w:shd w:val="pct15" w:color="auto" w:fill="auto"/>
          </w:tcPr>
          <w:p w14:paraId="265CA6E2"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Return date of provisional marks &amp; written feedback:</w:t>
            </w:r>
          </w:p>
        </w:tc>
        <w:tc>
          <w:tcPr>
            <w:tcW w:w="2268" w:type="dxa"/>
          </w:tcPr>
          <w:p w14:paraId="4B7AE499"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Monday 7</w:t>
            </w:r>
            <w:r w:rsidRPr="0072225D">
              <w:rPr>
                <w:rFonts w:ascii="Arial" w:eastAsia="Times New Roman" w:hAnsi="Arial" w:cs="Arial"/>
                <w:b/>
                <w:vertAlign w:val="superscript"/>
                <w:lang w:eastAsia="en-GB"/>
              </w:rPr>
              <w:t>th</w:t>
            </w:r>
            <w:r w:rsidRPr="0072225D">
              <w:rPr>
                <w:rFonts w:ascii="Arial" w:eastAsia="Times New Roman" w:hAnsi="Arial" w:cs="Arial"/>
                <w:b/>
                <w:lang w:eastAsia="en-GB"/>
              </w:rPr>
              <w:t xml:space="preserve"> June</w:t>
            </w:r>
          </w:p>
        </w:tc>
      </w:tr>
      <w:tr w:rsidR="0072225D" w:rsidRPr="0072225D" w14:paraId="2ECD680C" w14:textId="77777777" w:rsidTr="0072225D">
        <w:tc>
          <w:tcPr>
            <w:tcW w:w="2093" w:type="dxa"/>
            <w:shd w:val="pct15" w:color="auto" w:fill="auto"/>
          </w:tcPr>
          <w:p w14:paraId="603812C0"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Submission method:</w:t>
            </w:r>
          </w:p>
        </w:tc>
        <w:tc>
          <w:tcPr>
            <w:tcW w:w="7829" w:type="dxa"/>
            <w:gridSpan w:val="3"/>
            <w:shd w:val="clear" w:color="auto" w:fill="auto"/>
          </w:tcPr>
          <w:p w14:paraId="62343713" w14:textId="77777777" w:rsidR="0072225D" w:rsidRPr="0072225D" w:rsidRDefault="0072225D" w:rsidP="0072225D">
            <w:pPr>
              <w:spacing w:after="0" w:line="240" w:lineRule="auto"/>
              <w:rPr>
                <w:rFonts w:ascii="Arial" w:eastAsia="Times New Roman" w:hAnsi="Arial" w:cs="Arial"/>
                <w:lang w:eastAsia="en-GB"/>
              </w:rPr>
            </w:pPr>
            <w:r w:rsidRPr="0072225D">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31C041"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 xml:space="preserve">Alternative submission method (if applicable): </w:t>
            </w:r>
          </w:p>
          <w:p w14:paraId="77A923C0" w14:textId="77777777" w:rsidR="0072225D" w:rsidRPr="0072225D" w:rsidRDefault="0072225D" w:rsidP="0072225D">
            <w:pPr>
              <w:spacing w:before="120" w:after="120" w:line="240" w:lineRule="auto"/>
              <w:jc w:val="both"/>
              <w:rPr>
                <w:rFonts w:ascii="Arial" w:eastAsia="Times New Roman" w:hAnsi="Arial" w:cs="Arial"/>
                <w:b/>
                <w:lang w:eastAsia="en-GB"/>
              </w:rPr>
            </w:pPr>
            <w:r w:rsidRPr="0072225D">
              <w:rPr>
                <w:rFonts w:ascii="Arial" w:eastAsia="Times New Roman" w:hAnsi="Arial" w:cs="Arial"/>
                <w:b/>
                <w:lang w:eastAsia="en-GB"/>
              </w:rPr>
              <w:t xml:space="preserve">Late submission of the assessment will result in a late penalty mark.  </w:t>
            </w:r>
            <w:r w:rsidRPr="0072225D">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2225D" w:rsidRPr="0072225D" w14:paraId="1EBFE3CC" w14:textId="77777777" w:rsidTr="0072225D">
        <w:tc>
          <w:tcPr>
            <w:tcW w:w="2093" w:type="dxa"/>
            <w:shd w:val="pct15" w:color="auto" w:fill="auto"/>
          </w:tcPr>
          <w:p w14:paraId="191D7266" w14:textId="77777777" w:rsidR="0072225D" w:rsidRPr="0072225D" w:rsidRDefault="0072225D" w:rsidP="0072225D">
            <w:pPr>
              <w:spacing w:before="120" w:after="120" w:line="240" w:lineRule="auto"/>
              <w:rPr>
                <w:rFonts w:ascii="Arial" w:eastAsia="Times New Roman" w:hAnsi="Arial" w:cs="Arial"/>
                <w:b/>
                <w:lang w:eastAsia="en-GB"/>
              </w:rPr>
            </w:pPr>
            <w:r w:rsidRPr="0072225D">
              <w:rPr>
                <w:rFonts w:ascii="Arial" w:eastAsia="Times New Roman" w:hAnsi="Arial" w:cs="Arial"/>
                <w:b/>
                <w:lang w:eastAsia="en-GB"/>
              </w:rPr>
              <w:t>Academic honesty / referencing:</w:t>
            </w:r>
          </w:p>
        </w:tc>
        <w:tc>
          <w:tcPr>
            <w:tcW w:w="7829" w:type="dxa"/>
            <w:gridSpan w:val="3"/>
            <w:shd w:val="clear" w:color="auto" w:fill="auto"/>
          </w:tcPr>
          <w:p w14:paraId="19BA64F6" w14:textId="77777777" w:rsidR="0072225D" w:rsidRPr="0072225D" w:rsidRDefault="0072225D" w:rsidP="0072225D">
            <w:pPr>
              <w:spacing w:before="120" w:after="120" w:line="240" w:lineRule="auto"/>
              <w:jc w:val="both"/>
              <w:rPr>
                <w:rFonts w:ascii="Arial" w:eastAsia="Times New Roman" w:hAnsi="Arial" w:cs="Arial"/>
                <w:lang w:eastAsia="en-GB"/>
              </w:rPr>
            </w:pPr>
            <w:r w:rsidRPr="0072225D">
              <w:rPr>
                <w:rFonts w:ascii="Arial" w:eastAsia="Times New Roman" w:hAnsi="Arial" w:cs="Arial"/>
                <w:lang w:eastAsia="en-GB"/>
              </w:rPr>
              <w:t xml:space="preserve">Academic honesty is required. In the main body of your </w:t>
            </w:r>
            <w:proofErr w:type="gramStart"/>
            <w:r w:rsidRPr="0072225D">
              <w:rPr>
                <w:rFonts w:ascii="Arial" w:eastAsia="Times New Roman" w:hAnsi="Arial" w:cs="Arial"/>
                <w:lang w:eastAsia="en-GB"/>
              </w:rPr>
              <w:t>submission</w:t>
            </w:r>
            <w:proofErr w:type="gramEnd"/>
            <w:r w:rsidRPr="0072225D">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72225D">
              <w:rPr>
                <w:rFonts w:ascii="Arial" w:eastAsia="Times New Roman" w:hAnsi="Arial" w:cs="Arial"/>
                <w:lang w:eastAsia="en-GB"/>
              </w:rPr>
              <w:t>cited</w:t>
            </w:r>
            <w:proofErr w:type="gramEnd"/>
            <w:r w:rsidRPr="0072225D">
              <w:rPr>
                <w:rFonts w:ascii="Arial" w:eastAsia="Times New Roman" w:hAnsi="Arial" w:cs="Arial"/>
                <w:lang w:eastAsia="en-GB"/>
              </w:rPr>
              <w:t xml:space="preserve"> or quoted in order to complete this assessment.  </w:t>
            </w:r>
          </w:p>
        </w:tc>
      </w:tr>
    </w:tbl>
    <w:p w14:paraId="7128E4EA" w14:textId="77777777" w:rsidR="00EB6ED3" w:rsidRPr="0072225D" w:rsidRDefault="00EB6ED3" w:rsidP="00EB6ED3">
      <w:pPr>
        <w:keepNext/>
        <w:keepLines/>
        <w:spacing w:before="480" w:after="0" w:line="276" w:lineRule="auto"/>
        <w:outlineLvl w:val="0"/>
        <w:rPr>
          <w:rFonts w:ascii="Calibri" w:eastAsia="SimSun" w:hAnsi="Calibri" w:cs="Times New Roman"/>
          <w:b/>
          <w:bCs/>
          <w:color w:val="365F91"/>
          <w:sz w:val="28"/>
          <w:szCs w:val="28"/>
          <w:lang w:eastAsia="zh-CN"/>
        </w:rPr>
      </w:pPr>
    </w:p>
    <w:p w14:paraId="48E2C717" w14:textId="77777777" w:rsidR="00EB6ED3" w:rsidRPr="00EB6ED3" w:rsidRDefault="00EB6ED3" w:rsidP="00EB6ED3">
      <w:pPr>
        <w:keepNext/>
        <w:keepLines/>
        <w:spacing w:before="480" w:after="0" w:line="276" w:lineRule="auto"/>
        <w:outlineLvl w:val="0"/>
        <w:rPr>
          <w:rFonts w:ascii="Calibri" w:eastAsia="SimSun" w:hAnsi="Calibri" w:cs="Times New Roman"/>
          <w:b/>
          <w:bCs/>
          <w:color w:val="365F91"/>
          <w:sz w:val="28"/>
          <w:szCs w:val="28"/>
          <w:lang w:val="en-US" w:eastAsia="zh-CN"/>
        </w:rPr>
      </w:pPr>
    </w:p>
    <w:sdt>
      <w:sdtPr>
        <w:rPr>
          <w:rFonts w:ascii="Arial" w:eastAsia="Times New Roman" w:hAnsi="Arial" w:cs="Arial"/>
          <w:color w:val="000000" w:themeColor="text1"/>
          <w:lang w:eastAsia="en-GB"/>
        </w:rPr>
        <w:id w:val="1475333501"/>
        <w:docPartObj>
          <w:docPartGallery w:val="Table of Contents"/>
          <w:docPartUnique/>
        </w:docPartObj>
      </w:sdtPr>
      <w:sdtEndPr>
        <w:rPr>
          <w:noProof/>
        </w:rPr>
      </w:sdtEndPr>
      <w:sdtContent>
        <w:p w14:paraId="3EFC8E5A" w14:textId="77777777" w:rsidR="00EB6ED3" w:rsidRPr="00EB6ED3" w:rsidRDefault="00EB6ED3" w:rsidP="00EB6ED3">
          <w:pPr>
            <w:keepNext/>
            <w:keepLines/>
            <w:spacing w:before="480" w:after="0" w:line="360" w:lineRule="auto"/>
            <w:rPr>
              <w:rFonts w:ascii="Arial" w:eastAsiaTheme="majorEastAsia" w:hAnsi="Arial" w:cs="Arial"/>
              <w:b/>
              <w:bCs/>
              <w:color w:val="000000" w:themeColor="text1"/>
              <w:lang w:val="en-US"/>
            </w:rPr>
          </w:pPr>
          <w:r w:rsidRPr="00EB6ED3">
            <w:rPr>
              <w:rFonts w:ascii="Arial" w:eastAsiaTheme="majorEastAsia" w:hAnsi="Arial" w:cs="Arial"/>
              <w:b/>
              <w:bCs/>
              <w:color w:val="000000" w:themeColor="text1"/>
              <w:lang w:val="en-US"/>
            </w:rPr>
            <w:t>Table of Contents</w:t>
          </w:r>
        </w:p>
        <w:p w14:paraId="79EDFA18" w14:textId="77777777" w:rsidR="00EB6ED3" w:rsidRPr="00EB6ED3" w:rsidRDefault="00EB6ED3" w:rsidP="00EB6ED3">
          <w:pPr>
            <w:tabs>
              <w:tab w:val="right" w:leader="dot" w:pos="9016"/>
            </w:tabs>
            <w:spacing w:before="120" w:after="0" w:line="240" w:lineRule="auto"/>
            <w:rPr>
              <w:rFonts w:eastAsiaTheme="minorEastAsia"/>
              <w:noProof/>
              <w:sz w:val="24"/>
              <w:szCs w:val="24"/>
              <w:lang w:eastAsia="en-GB"/>
            </w:rPr>
          </w:pPr>
          <w:r w:rsidRPr="00EB6ED3">
            <w:rPr>
              <w:rFonts w:ascii="Arial" w:eastAsia="Times New Roman" w:hAnsi="Arial" w:cs="Arial"/>
              <w:i/>
              <w:iCs/>
              <w:color w:val="000000" w:themeColor="text1"/>
              <w:lang w:eastAsia="en-GB"/>
            </w:rPr>
            <w:fldChar w:fldCharType="begin"/>
          </w:r>
          <w:r w:rsidRPr="00EB6ED3">
            <w:rPr>
              <w:rFonts w:ascii="Arial" w:eastAsia="Times New Roman" w:hAnsi="Arial" w:cs="Arial"/>
              <w:b/>
              <w:bCs/>
              <w:i/>
              <w:iCs/>
              <w:color w:val="000000" w:themeColor="text1"/>
              <w:lang w:eastAsia="en-GB"/>
            </w:rPr>
            <w:instrText xml:space="preserve"> TOC \o "1-3" \h \z \u </w:instrText>
          </w:r>
          <w:r w:rsidRPr="00EB6ED3">
            <w:rPr>
              <w:rFonts w:ascii="Arial" w:eastAsia="Times New Roman" w:hAnsi="Arial" w:cs="Arial"/>
              <w:i/>
              <w:iCs/>
              <w:color w:val="000000" w:themeColor="text1"/>
              <w:lang w:eastAsia="en-GB"/>
            </w:rPr>
            <w:fldChar w:fldCharType="separate"/>
          </w:r>
          <w:hyperlink w:anchor="_Toc69737136" w:history="1">
            <w:r w:rsidRPr="00EB6ED3">
              <w:rPr>
                <w:rFonts w:ascii="Arial" w:eastAsia="Times New Roman" w:hAnsi="Arial" w:cs="Arial"/>
                <w:b/>
                <w:bCs/>
                <w:i/>
                <w:iCs/>
                <w:noProof/>
                <w:color w:val="0000FF"/>
                <w:sz w:val="24"/>
                <w:szCs w:val="24"/>
                <w:u w:val="single"/>
                <w:lang w:eastAsia="en-GB"/>
              </w:rPr>
              <w:t>Part 1</w:t>
            </w:r>
            <w:r w:rsidRPr="00EB6ED3">
              <w:rPr>
                <w:rFonts w:eastAsia="Times New Roman" w:cstheme="minorHAnsi"/>
                <w:b/>
                <w:bCs/>
                <w:i/>
                <w:iCs/>
                <w:noProof/>
                <w:webHidden/>
                <w:sz w:val="24"/>
                <w:szCs w:val="24"/>
                <w:lang w:eastAsia="en-GB"/>
              </w:rPr>
              <w:tab/>
            </w:r>
            <w:r w:rsidRPr="00EB6ED3">
              <w:rPr>
                <w:rFonts w:eastAsia="Times New Roman" w:cstheme="minorHAnsi"/>
                <w:b/>
                <w:bCs/>
                <w:i/>
                <w:iCs/>
                <w:noProof/>
                <w:webHidden/>
                <w:sz w:val="24"/>
                <w:szCs w:val="24"/>
                <w:lang w:eastAsia="en-GB"/>
              </w:rPr>
              <w:fldChar w:fldCharType="begin"/>
            </w:r>
            <w:r w:rsidRPr="00EB6ED3">
              <w:rPr>
                <w:rFonts w:eastAsia="Times New Roman" w:cstheme="minorHAnsi"/>
                <w:b/>
                <w:bCs/>
                <w:i/>
                <w:iCs/>
                <w:noProof/>
                <w:webHidden/>
                <w:sz w:val="24"/>
                <w:szCs w:val="24"/>
                <w:lang w:eastAsia="en-GB"/>
              </w:rPr>
              <w:instrText xml:space="preserve"> PAGEREF _Toc69737136 \h </w:instrText>
            </w:r>
            <w:r w:rsidRPr="00EB6ED3">
              <w:rPr>
                <w:rFonts w:eastAsia="Times New Roman" w:cstheme="minorHAnsi"/>
                <w:b/>
                <w:bCs/>
                <w:i/>
                <w:iCs/>
                <w:noProof/>
                <w:webHidden/>
                <w:sz w:val="24"/>
                <w:szCs w:val="24"/>
                <w:lang w:eastAsia="en-GB"/>
              </w:rPr>
            </w:r>
            <w:r w:rsidRPr="00EB6ED3">
              <w:rPr>
                <w:rFonts w:eastAsia="Times New Roman" w:cstheme="minorHAnsi"/>
                <w:b/>
                <w:bCs/>
                <w:i/>
                <w:iCs/>
                <w:noProof/>
                <w:webHidden/>
                <w:sz w:val="24"/>
                <w:szCs w:val="24"/>
                <w:lang w:eastAsia="en-GB"/>
              </w:rPr>
              <w:fldChar w:fldCharType="separate"/>
            </w:r>
            <w:r w:rsidRPr="00EB6ED3">
              <w:rPr>
                <w:rFonts w:eastAsia="Times New Roman" w:cstheme="minorHAnsi"/>
                <w:b/>
                <w:bCs/>
                <w:i/>
                <w:iCs/>
                <w:noProof/>
                <w:webHidden/>
                <w:sz w:val="24"/>
                <w:szCs w:val="24"/>
                <w:lang w:eastAsia="en-GB"/>
              </w:rPr>
              <w:t>1</w:t>
            </w:r>
            <w:r w:rsidRPr="00EB6ED3">
              <w:rPr>
                <w:rFonts w:eastAsia="Times New Roman" w:cstheme="minorHAnsi"/>
                <w:b/>
                <w:bCs/>
                <w:i/>
                <w:iCs/>
                <w:noProof/>
                <w:webHidden/>
                <w:sz w:val="24"/>
                <w:szCs w:val="24"/>
                <w:lang w:eastAsia="en-GB"/>
              </w:rPr>
              <w:fldChar w:fldCharType="end"/>
            </w:r>
          </w:hyperlink>
        </w:p>
        <w:p w14:paraId="39A05E09" w14:textId="77777777" w:rsidR="00EB6ED3" w:rsidRPr="00EB6ED3" w:rsidRDefault="00D86166" w:rsidP="00EB6ED3">
          <w:pPr>
            <w:tabs>
              <w:tab w:val="right" w:leader="dot" w:pos="9016"/>
            </w:tabs>
            <w:spacing w:before="120" w:after="0" w:line="240" w:lineRule="auto"/>
            <w:rPr>
              <w:rFonts w:eastAsiaTheme="minorEastAsia"/>
              <w:noProof/>
              <w:sz w:val="24"/>
              <w:szCs w:val="24"/>
              <w:lang w:eastAsia="en-GB"/>
            </w:rPr>
          </w:pPr>
          <w:hyperlink w:anchor="_Toc69737137" w:history="1">
            <w:r w:rsidR="00EB6ED3" w:rsidRPr="00EB6ED3">
              <w:rPr>
                <w:rFonts w:ascii="Arial" w:eastAsia="Times New Roman" w:hAnsi="Arial" w:cs="Arial"/>
                <w:b/>
                <w:bCs/>
                <w:i/>
                <w:iCs/>
                <w:noProof/>
                <w:color w:val="0000FF"/>
                <w:sz w:val="24"/>
                <w:szCs w:val="24"/>
                <w:u w:val="single"/>
                <w:lang w:eastAsia="en-GB"/>
              </w:rPr>
              <w:t>Introduction</w:t>
            </w:r>
            <w:r w:rsidR="00EB6ED3" w:rsidRPr="00EB6ED3">
              <w:rPr>
                <w:rFonts w:eastAsia="Times New Roman" w:cstheme="minorHAnsi"/>
                <w:b/>
                <w:bCs/>
                <w:i/>
                <w:iCs/>
                <w:noProof/>
                <w:webHidden/>
                <w:sz w:val="24"/>
                <w:szCs w:val="24"/>
                <w:lang w:eastAsia="en-GB"/>
              </w:rPr>
              <w:tab/>
            </w:r>
            <w:r w:rsidR="00EB6ED3" w:rsidRPr="00EB6ED3">
              <w:rPr>
                <w:rFonts w:eastAsia="Times New Roman" w:cstheme="minorHAnsi"/>
                <w:b/>
                <w:bCs/>
                <w:i/>
                <w:iCs/>
                <w:noProof/>
                <w:webHidden/>
                <w:sz w:val="24"/>
                <w:szCs w:val="24"/>
                <w:lang w:eastAsia="en-GB"/>
              </w:rPr>
              <w:fldChar w:fldCharType="begin"/>
            </w:r>
            <w:r w:rsidR="00EB6ED3" w:rsidRPr="00EB6ED3">
              <w:rPr>
                <w:rFonts w:eastAsia="Times New Roman" w:cstheme="minorHAnsi"/>
                <w:b/>
                <w:bCs/>
                <w:i/>
                <w:iCs/>
                <w:noProof/>
                <w:webHidden/>
                <w:sz w:val="24"/>
                <w:szCs w:val="24"/>
                <w:lang w:eastAsia="en-GB"/>
              </w:rPr>
              <w:instrText xml:space="preserve"> PAGEREF _Toc69737137 \h </w:instrText>
            </w:r>
            <w:r w:rsidR="00EB6ED3" w:rsidRPr="00EB6ED3">
              <w:rPr>
                <w:rFonts w:eastAsia="Times New Roman" w:cstheme="minorHAnsi"/>
                <w:b/>
                <w:bCs/>
                <w:i/>
                <w:iCs/>
                <w:noProof/>
                <w:webHidden/>
                <w:sz w:val="24"/>
                <w:szCs w:val="24"/>
                <w:lang w:eastAsia="en-GB"/>
              </w:rPr>
            </w:r>
            <w:r w:rsidR="00EB6ED3" w:rsidRPr="00EB6ED3">
              <w:rPr>
                <w:rFonts w:eastAsia="Times New Roman" w:cstheme="minorHAnsi"/>
                <w:b/>
                <w:bCs/>
                <w:i/>
                <w:iCs/>
                <w:noProof/>
                <w:webHidden/>
                <w:sz w:val="24"/>
                <w:szCs w:val="24"/>
                <w:lang w:eastAsia="en-GB"/>
              </w:rPr>
              <w:fldChar w:fldCharType="separate"/>
            </w:r>
            <w:r w:rsidR="00EB6ED3" w:rsidRPr="00EB6ED3">
              <w:rPr>
                <w:rFonts w:eastAsia="Times New Roman" w:cstheme="minorHAnsi"/>
                <w:b/>
                <w:bCs/>
                <w:i/>
                <w:iCs/>
                <w:noProof/>
                <w:webHidden/>
                <w:sz w:val="24"/>
                <w:szCs w:val="24"/>
                <w:lang w:eastAsia="en-GB"/>
              </w:rPr>
              <w:t>2</w:t>
            </w:r>
            <w:r w:rsidR="00EB6ED3" w:rsidRPr="00EB6ED3">
              <w:rPr>
                <w:rFonts w:eastAsia="Times New Roman" w:cstheme="minorHAnsi"/>
                <w:b/>
                <w:bCs/>
                <w:i/>
                <w:iCs/>
                <w:noProof/>
                <w:webHidden/>
                <w:sz w:val="24"/>
                <w:szCs w:val="24"/>
                <w:lang w:eastAsia="en-GB"/>
              </w:rPr>
              <w:fldChar w:fldCharType="end"/>
            </w:r>
          </w:hyperlink>
        </w:p>
        <w:p w14:paraId="584447B9" w14:textId="77777777" w:rsidR="00EB6ED3" w:rsidRPr="00EB6ED3" w:rsidRDefault="00D86166" w:rsidP="00EB6ED3">
          <w:pPr>
            <w:tabs>
              <w:tab w:val="right" w:leader="dot" w:pos="9016"/>
            </w:tabs>
            <w:spacing w:before="120" w:after="0" w:line="240" w:lineRule="auto"/>
            <w:rPr>
              <w:rFonts w:eastAsiaTheme="minorEastAsia"/>
              <w:noProof/>
              <w:sz w:val="24"/>
              <w:szCs w:val="24"/>
              <w:lang w:eastAsia="en-GB"/>
            </w:rPr>
          </w:pPr>
          <w:hyperlink w:anchor="_Toc69737138" w:history="1">
            <w:r w:rsidR="00EB6ED3" w:rsidRPr="00EB6ED3">
              <w:rPr>
                <w:rFonts w:ascii="Arial" w:eastAsia="Times New Roman" w:hAnsi="Arial" w:cs="Arial"/>
                <w:b/>
                <w:bCs/>
                <w:i/>
                <w:iCs/>
                <w:noProof/>
                <w:color w:val="0000FF"/>
                <w:sz w:val="24"/>
                <w:szCs w:val="24"/>
                <w:u w:val="single"/>
                <w:lang w:eastAsia="en-GB"/>
              </w:rPr>
              <w:t>Defence of Insanity and conditions</w:t>
            </w:r>
            <w:r w:rsidR="00EB6ED3" w:rsidRPr="00EB6ED3">
              <w:rPr>
                <w:rFonts w:eastAsia="Times New Roman" w:cstheme="minorHAnsi"/>
                <w:b/>
                <w:bCs/>
                <w:i/>
                <w:iCs/>
                <w:noProof/>
                <w:webHidden/>
                <w:sz w:val="24"/>
                <w:szCs w:val="24"/>
                <w:lang w:eastAsia="en-GB"/>
              </w:rPr>
              <w:tab/>
            </w:r>
            <w:r w:rsidR="00EB6ED3" w:rsidRPr="00EB6ED3">
              <w:rPr>
                <w:rFonts w:eastAsia="Times New Roman" w:cstheme="minorHAnsi"/>
                <w:b/>
                <w:bCs/>
                <w:i/>
                <w:iCs/>
                <w:noProof/>
                <w:webHidden/>
                <w:sz w:val="24"/>
                <w:szCs w:val="24"/>
                <w:lang w:eastAsia="en-GB"/>
              </w:rPr>
              <w:fldChar w:fldCharType="begin"/>
            </w:r>
            <w:r w:rsidR="00EB6ED3" w:rsidRPr="00EB6ED3">
              <w:rPr>
                <w:rFonts w:eastAsia="Times New Roman" w:cstheme="minorHAnsi"/>
                <w:b/>
                <w:bCs/>
                <w:i/>
                <w:iCs/>
                <w:noProof/>
                <w:webHidden/>
                <w:sz w:val="24"/>
                <w:szCs w:val="24"/>
                <w:lang w:eastAsia="en-GB"/>
              </w:rPr>
              <w:instrText xml:space="preserve"> PAGEREF _Toc69737138 \h </w:instrText>
            </w:r>
            <w:r w:rsidR="00EB6ED3" w:rsidRPr="00EB6ED3">
              <w:rPr>
                <w:rFonts w:eastAsia="Times New Roman" w:cstheme="minorHAnsi"/>
                <w:b/>
                <w:bCs/>
                <w:i/>
                <w:iCs/>
                <w:noProof/>
                <w:webHidden/>
                <w:sz w:val="24"/>
                <w:szCs w:val="24"/>
                <w:lang w:eastAsia="en-GB"/>
              </w:rPr>
            </w:r>
            <w:r w:rsidR="00EB6ED3" w:rsidRPr="00EB6ED3">
              <w:rPr>
                <w:rFonts w:eastAsia="Times New Roman" w:cstheme="minorHAnsi"/>
                <w:b/>
                <w:bCs/>
                <w:i/>
                <w:iCs/>
                <w:noProof/>
                <w:webHidden/>
                <w:sz w:val="24"/>
                <w:szCs w:val="24"/>
                <w:lang w:eastAsia="en-GB"/>
              </w:rPr>
              <w:fldChar w:fldCharType="separate"/>
            </w:r>
            <w:r w:rsidR="00EB6ED3" w:rsidRPr="00EB6ED3">
              <w:rPr>
                <w:rFonts w:eastAsia="Times New Roman" w:cstheme="minorHAnsi"/>
                <w:b/>
                <w:bCs/>
                <w:i/>
                <w:iCs/>
                <w:noProof/>
                <w:webHidden/>
                <w:sz w:val="24"/>
                <w:szCs w:val="24"/>
                <w:lang w:eastAsia="en-GB"/>
              </w:rPr>
              <w:t>2</w:t>
            </w:r>
            <w:r w:rsidR="00EB6ED3" w:rsidRPr="00EB6ED3">
              <w:rPr>
                <w:rFonts w:eastAsia="Times New Roman" w:cstheme="minorHAnsi"/>
                <w:b/>
                <w:bCs/>
                <w:i/>
                <w:iCs/>
                <w:noProof/>
                <w:webHidden/>
                <w:sz w:val="24"/>
                <w:szCs w:val="24"/>
                <w:lang w:eastAsia="en-GB"/>
              </w:rPr>
              <w:fldChar w:fldCharType="end"/>
            </w:r>
          </w:hyperlink>
        </w:p>
        <w:p w14:paraId="4E8076D9"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39" w:history="1">
            <w:r w:rsidR="00EB6ED3" w:rsidRPr="00EB6ED3">
              <w:rPr>
                <w:rFonts w:ascii="Arial" w:eastAsia="Times New Roman" w:hAnsi="Arial" w:cs="Arial"/>
                <w:b/>
                <w:bCs/>
                <w:noProof/>
                <w:color w:val="0000FF"/>
                <w:u w:val="single"/>
                <w:lang w:eastAsia="en-GB"/>
              </w:rPr>
              <w:t>Medical evidence in defence of insanity</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_Toc69737139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3</w:t>
            </w:r>
            <w:r w:rsidR="00EB6ED3" w:rsidRPr="00EB6ED3">
              <w:rPr>
                <w:rFonts w:eastAsia="Times New Roman" w:cstheme="minorHAnsi"/>
                <w:b/>
                <w:bCs/>
                <w:noProof/>
                <w:webHidden/>
                <w:lang w:eastAsia="en-GB"/>
              </w:rPr>
              <w:fldChar w:fldCharType="end"/>
            </w:r>
          </w:hyperlink>
        </w:p>
        <w:p w14:paraId="315C393A"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0" w:history="1">
            <w:r w:rsidR="00EB6ED3" w:rsidRPr="00EB6ED3">
              <w:rPr>
                <w:rFonts w:ascii="Arial" w:eastAsia="Times New Roman" w:hAnsi="Arial" w:cs="Arial"/>
                <w:b/>
                <w:bCs/>
                <w:noProof/>
                <w:color w:val="0000FF"/>
                <w:u w:val="single"/>
                <w:lang w:eastAsia="en-GB"/>
              </w:rPr>
              <w:t>Comparison of Automatism and Defence of Insanity</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_Toc69737140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3</w:t>
            </w:r>
            <w:r w:rsidR="00EB6ED3" w:rsidRPr="00EB6ED3">
              <w:rPr>
                <w:rFonts w:eastAsia="Times New Roman" w:cstheme="minorHAnsi"/>
                <w:b/>
                <w:bCs/>
                <w:noProof/>
                <w:webHidden/>
                <w:lang w:eastAsia="en-GB"/>
              </w:rPr>
              <w:fldChar w:fldCharType="end"/>
            </w:r>
          </w:hyperlink>
        </w:p>
        <w:p w14:paraId="3A0C2A1B"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1" w:history="1">
            <w:r w:rsidR="00EB6ED3" w:rsidRPr="00EB6ED3">
              <w:rPr>
                <w:rFonts w:ascii="Arial" w:eastAsia="Times New Roman" w:hAnsi="Arial" w:cs="Arial"/>
                <w:b/>
                <w:bCs/>
                <w:noProof/>
                <w:color w:val="0000FF"/>
                <w:u w:val="single"/>
                <w:lang w:eastAsia="en-GB"/>
              </w:rPr>
              <w:t>Problems with defence of insanity</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_Toc69737141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3</w:t>
            </w:r>
            <w:r w:rsidR="00EB6ED3" w:rsidRPr="00EB6ED3">
              <w:rPr>
                <w:rFonts w:eastAsia="Times New Roman" w:cstheme="minorHAnsi"/>
                <w:b/>
                <w:bCs/>
                <w:noProof/>
                <w:webHidden/>
                <w:lang w:eastAsia="en-GB"/>
              </w:rPr>
              <w:fldChar w:fldCharType="end"/>
            </w:r>
          </w:hyperlink>
        </w:p>
        <w:p w14:paraId="7FB824F2"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2" w:history="1">
            <w:r w:rsidR="00EB6ED3" w:rsidRPr="00EB6ED3">
              <w:rPr>
                <w:rFonts w:ascii="Arial" w:eastAsia="Times New Roman" w:hAnsi="Arial" w:cs="Arial"/>
                <w:b/>
                <w:bCs/>
                <w:noProof/>
                <w:color w:val="0000FF"/>
                <w:u w:val="single"/>
                <w:lang w:eastAsia="en-GB"/>
              </w:rPr>
              <w:t>Areas of reform</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_Toc69737142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4</w:t>
            </w:r>
            <w:r w:rsidR="00EB6ED3" w:rsidRPr="00EB6ED3">
              <w:rPr>
                <w:rFonts w:eastAsia="Times New Roman" w:cstheme="minorHAnsi"/>
                <w:b/>
                <w:bCs/>
                <w:noProof/>
                <w:webHidden/>
                <w:lang w:eastAsia="en-GB"/>
              </w:rPr>
              <w:fldChar w:fldCharType="end"/>
            </w:r>
          </w:hyperlink>
        </w:p>
        <w:p w14:paraId="566E61A2"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3" w:history="1">
            <w:r w:rsidR="00EB6ED3" w:rsidRPr="00EB6ED3">
              <w:rPr>
                <w:rFonts w:ascii="Arial" w:eastAsia="Times New Roman" w:hAnsi="Arial" w:cs="Arial"/>
                <w:b/>
                <w:bCs/>
                <w:noProof/>
                <w:color w:val="0000FF"/>
                <w:u w:val="single"/>
                <w:lang w:eastAsia="en-GB"/>
              </w:rPr>
              <w:t>Conclusion</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_Toc69737143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4</w:t>
            </w:r>
            <w:r w:rsidR="00EB6ED3" w:rsidRPr="00EB6ED3">
              <w:rPr>
                <w:rFonts w:eastAsia="Times New Roman" w:cstheme="minorHAnsi"/>
                <w:b/>
                <w:bCs/>
                <w:noProof/>
                <w:webHidden/>
                <w:lang w:eastAsia="en-GB"/>
              </w:rPr>
              <w:fldChar w:fldCharType="end"/>
            </w:r>
          </w:hyperlink>
        </w:p>
        <w:p w14:paraId="63A4584B" w14:textId="77777777" w:rsidR="00EB6ED3" w:rsidRPr="00EB6ED3" w:rsidRDefault="00D86166" w:rsidP="00EB6ED3">
          <w:pPr>
            <w:tabs>
              <w:tab w:val="right" w:leader="dot" w:pos="9016"/>
            </w:tabs>
            <w:spacing w:before="120" w:after="0" w:line="240" w:lineRule="auto"/>
            <w:rPr>
              <w:rFonts w:eastAsiaTheme="minorEastAsia"/>
              <w:noProof/>
              <w:sz w:val="24"/>
              <w:szCs w:val="24"/>
              <w:lang w:eastAsia="en-GB"/>
            </w:rPr>
          </w:pPr>
          <w:hyperlink w:anchor="_Toc69737144" w:history="1">
            <w:r w:rsidR="00EB6ED3" w:rsidRPr="00EB6ED3">
              <w:rPr>
                <w:rFonts w:ascii="Arial" w:eastAsia="Times New Roman" w:hAnsi="Arial" w:cs="Arial"/>
                <w:b/>
                <w:bCs/>
                <w:i/>
                <w:iCs/>
                <w:noProof/>
                <w:color w:val="0000FF"/>
                <w:sz w:val="24"/>
                <w:szCs w:val="24"/>
                <w:u w:val="single"/>
                <w:lang w:eastAsia="en-GB"/>
              </w:rPr>
              <w:t>Part 2</w:t>
            </w:r>
            <w:r w:rsidR="00EB6ED3" w:rsidRPr="00EB6ED3">
              <w:rPr>
                <w:rFonts w:eastAsia="Times New Roman" w:cstheme="minorHAnsi"/>
                <w:b/>
                <w:bCs/>
                <w:i/>
                <w:iCs/>
                <w:noProof/>
                <w:webHidden/>
                <w:sz w:val="24"/>
                <w:szCs w:val="24"/>
                <w:lang w:eastAsia="en-GB"/>
              </w:rPr>
              <w:tab/>
            </w:r>
            <w:r w:rsidR="00EB6ED3" w:rsidRPr="00EB6ED3">
              <w:rPr>
                <w:rFonts w:eastAsia="Times New Roman" w:cstheme="minorHAnsi"/>
                <w:b/>
                <w:bCs/>
                <w:i/>
                <w:iCs/>
                <w:noProof/>
                <w:webHidden/>
                <w:sz w:val="24"/>
                <w:szCs w:val="24"/>
                <w:lang w:eastAsia="en-GB"/>
              </w:rPr>
              <w:fldChar w:fldCharType="begin"/>
            </w:r>
            <w:r w:rsidR="00EB6ED3" w:rsidRPr="00EB6ED3">
              <w:rPr>
                <w:rFonts w:eastAsia="Times New Roman" w:cstheme="minorHAnsi"/>
                <w:b/>
                <w:bCs/>
                <w:i/>
                <w:iCs/>
                <w:noProof/>
                <w:webHidden/>
                <w:sz w:val="24"/>
                <w:szCs w:val="24"/>
                <w:lang w:eastAsia="en-GB"/>
              </w:rPr>
              <w:instrText xml:space="preserve"> PAGEREF _Toc69737144 \h </w:instrText>
            </w:r>
            <w:r w:rsidR="00EB6ED3" w:rsidRPr="00EB6ED3">
              <w:rPr>
                <w:rFonts w:eastAsia="Times New Roman" w:cstheme="minorHAnsi"/>
                <w:b/>
                <w:bCs/>
                <w:i/>
                <w:iCs/>
                <w:noProof/>
                <w:webHidden/>
                <w:sz w:val="24"/>
                <w:szCs w:val="24"/>
                <w:lang w:eastAsia="en-GB"/>
              </w:rPr>
            </w:r>
            <w:r w:rsidR="00EB6ED3" w:rsidRPr="00EB6ED3">
              <w:rPr>
                <w:rFonts w:eastAsia="Times New Roman" w:cstheme="minorHAnsi"/>
                <w:b/>
                <w:bCs/>
                <w:i/>
                <w:iCs/>
                <w:noProof/>
                <w:webHidden/>
                <w:sz w:val="24"/>
                <w:szCs w:val="24"/>
                <w:lang w:eastAsia="en-GB"/>
              </w:rPr>
              <w:fldChar w:fldCharType="separate"/>
            </w:r>
            <w:r w:rsidR="00EB6ED3" w:rsidRPr="00EB6ED3">
              <w:rPr>
                <w:rFonts w:eastAsia="Times New Roman" w:cstheme="minorHAnsi"/>
                <w:b/>
                <w:bCs/>
                <w:i/>
                <w:iCs/>
                <w:noProof/>
                <w:webHidden/>
                <w:sz w:val="24"/>
                <w:szCs w:val="24"/>
                <w:lang w:eastAsia="en-GB"/>
              </w:rPr>
              <w:t>4</w:t>
            </w:r>
            <w:r w:rsidR="00EB6ED3" w:rsidRPr="00EB6ED3">
              <w:rPr>
                <w:rFonts w:eastAsia="Times New Roman" w:cstheme="minorHAnsi"/>
                <w:b/>
                <w:bCs/>
                <w:i/>
                <w:iCs/>
                <w:noProof/>
                <w:webHidden/>
                <w:sz w:val="24"/>
                <w:szCs w:val="24"/>
                <w:lang w:eastAsia="en-GB"/>
              </w:rPr>
              <w:fldChar w:fldCharType="end"/>
            </w:r>
          </w:hyperlink>
        </w:p>
        <w:p w14:paraId="32DC2A49"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5" w:history="1">
            <w:r w:rsidR="00EB6ED3" w:rsidRPr="00EB6ED3">
              <w:rPr>
                <w:rFonts w:ascii="Arial" w:eastAsia="Times New Roman" w:hAnsi="Arial" w:cs="Arial"/>
                <w:b/>
                <w:bCs/>
                <w:noProof/>
                <w:color w:val="0000FF"/>
                <w:u w:val="single"/>
                <w:lang w:eastAsia="en-GB"/>
              </w:rPr>
              <w:t>Introduction</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_Toc69737145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4</w:t>
            </w:r>
            <w:r w:rsidR="00EB6ED3" w:rsidRPr="00EB6ED3">
              <w:rPr>
                <w:rFonts w:eastAsia="Times New Roman" w:cstheme="minorHAnsi"/>
                <w:b/>
                <w:bCs/>
                <w:noProof/>
                <w:webHidden/>
                <w:lang w:eastAsia="en-GB"/>
              </w:rPr>
              <w:fldChar w:fldCharType="end"/>
            </w:r>
          </w:hyperlink>
        </w:p>
        <w:p w14:paraId="434F01B8"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6" w:history="1">
            <w:r w:rsidR="00EB6ED3" w:rsidRPr="00EB6ED3">
              <w:rPr>
                <w:rFonts w:ascii="Arial" w:eastAsia="Times New Roman" w:hAnsi="Arial" w:cs="Arial"/>
                <w:b/>
                <w:bCs/>
                <w:noProof/>
                <w:color w:val="0000FF"/>
                <w:u w:val="single"/>
                <w:lang w:eastAsia="en-GB"/>
              </w:rPr>
              <w:t>Intention</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_Toc69737146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5</w:t>
            </w:r>
            <w:r w:rsidR="00EB6ED3" w:rsidRPr="00EB6ED3">
              <w:rPr>
                <w:rFonts w:eastAsia="Times New Roman" w:cstheme="minorHAnsi"/>
                <w:b/>
                <w:bCs/>
                <w:noProof/>
                <w:webHidden/>
                <w:lang w:eastAsia="en-GB"/>
              </w:rPr>
              <w:fldChar w:fldCharType="end"/>
            </w:r>
          </w:hyperlink>
        </w:p>
        <w:p w14:paraId="4901C975"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7" w:history="1">
            <w:r w:rsidR="00EB6ED3" w:rsidRPr="00EB6ED3">
              <w:rPr>
                <w:rFonts w:ascii="Arial" w:eastAsia="Times New Roman" w:hAnsi="Arial" w:cs="Arial"/>
                <w:b/>
                <w:bCs/>
                <w:noProof/>
                <w:color w:val="0000FF"/>
                <w:u w:val="single"/>
                <w:lang w:eastAsia="en-GB"/>
              </w:rPr>
              <w:t>Related Case Laws</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_Toc69737147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5</w:t>
            </w:r>
            <w:r w:rsidR="00EB6ED3" w:rsidRPr="00EB6ED3">
              <w:rPr>
                <w:rFonts w:eastAsia="Times New Roman" w:cstheme="minorHAnsi"/>
                <w:b/>
                <w:bCs/>
                <w:noProof/>
                <w:webHidden/>
                <w:lang w:eastAsia="en-GB"/>
              </w:rPr>
              <w:fldChar w:fldCharType="end"/>
            </w:r>
          </w:hyperlink>
        </w:p>
        <w:p w14:paraId="649A70A2"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8" w:history="1">
            <w:r w:rsidR="00EB6ED3" w:rsidRPr="00EB6ED3">
              <w:rPr>
                <w:rFonts w:ascii="Arial" w:eastAsia="Times New Roman" w:hAnsi="Arial" w:cs="Arial"/>
                <w:b/>
                <w:bCs/>
                <w:noProof/>
                <w:color w:val="0000FF"/>
                <w:u w:val="single"/>
                <w:lang w:eastAsia="en-GB"/>
              </w:rPr>
              <w:t>Conclusion</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_Toc69737148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6</w:t>
            </w:r>
            <w:r w:rsidR="00EB6ED3" w:rsidRPr="00EB6ED3">
              <w:rPr>
                <w:rFonts w:eastAsia="Times New Roman" w:cstheme="minorHAnsi"/>
                <w:b/>
                <w:bCs/>
                <w:noProof/>
                <w:webHidden/>
                <w:lang w:eastAsia="en-GB"/>
              </w:rPr>
              <w:fldChar w:fldCharType="end"/>
            </w:r>
          </w:hyperlink>
        </w:p>
        <w:p w14:paraId="13DFDC9B"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49" w:history="1">
            <w:r w:rsidR="00EB6ED3" w:rsidRPr="00EB6ED3">
              <w:rPr>
                <w:rFonts w:ascii="Arial" w:eastAsia="Times New Roman" w:hAnsi="Arial" w:cs="Arial"/>
                <w:b/>
                <w:bCs/>
                <w:noProof/>
                <w:color w:val="0000FF"/>
                <w:u w:val="single"/>
                <w:lang w:eastAsia="en-GB"/>
              </w:rPr>
              <w:t>References</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_Toc69737149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6</w:t>
            </w:r>
            <w:r w:rsidR="00EB6ED3" w:rsidRPr="00EB6ED3">
              <w:rPr>
                <w:rFonts w:eastAsia="Times New Roman" w:cstheme="minorHAnsi"/>
                <w:b/>
                <w:bCs/>
                <w:noProof/>
                <w:webHidden/>
                <w:lang w:eastAsia="en-GB"/>
              </w:rPr>
              <w:fldChar w:fldCharType="end"/>
            </w:r>
          </w:hyperlink>
        </w:p>
        <w:p w14:paraId="0E1EF36A" w14:textId="77777777" w:rsidR="00EB6ED3" w:rsidRPr="00EB6ED3" w:rsidRDefault="00D86166" w:rsidP="00EB6ED3">
          <w:pPr>
            <w:tabs>
              <w:tab w:val="right" w:leader="dot" w:pos="9016"/>
            </w:tabs>
            <w:spacing w:before="120" w:after="0" w:line="240" w:lineRule="auto"/>
            <w:ind w:left="240"/>
            <w:rPr>
              <w:rFonts w:eastAsiaTheme="minorEastAsia"/>
              <w:noProof/>
              <w:sz w:val="24"/>
              <w:szCs w:val="24"/>
              <w:lang w:eastAsia="en-GB"/>
            </w:rPr>
          </w:pPr>
          <w:hyperlink w:anchor="_Toc69737150" w:history="1">
            <w:r w:rsidR="00EB6ED3" w:rsidRPr="00EB6ED3">
              <w:rPr>
                <w:rFonts w:ascii="Arial" w:eastAsia="Times New Roman" w:hAnsi="Arial" w:cs="Arial"/>
                <w:b/>
                <w:bCs/>
                <w:noProof/>
                <w:color w:val="0000FF"/>
                <w:u w:val="single"/>
                <w:lang w:eastAsia="en-GB"/>
              </w:rPr>
              <w:t>Case Laws</w:t>
            </w:r>
            <w:r w:rsidR="00EB6ED3" w:rsidRPr="00EB6ED3">
              <w:rPr>
                <w:rFonts w:eastAsia="Times New Roman" w:cstheme="minorHAnsi"/>
                <w:b/>
                <w:bCs/>
                <w:noProof/>
                <w:webHidden/>
                <w:lang w:eastAsia="en-GB"/>
              </w:rPr>
              <w:tab/>
            </w:r>
            <w:r w:rsidR="00EB6ED3" w:rsidRPr="00EB6ED3">
              <w:rPr>
                <w:rFonts w:eastAsia="Times New Roman" w:cstheme="minorHAnsi"/>
                <w:b/>
                <w:bCs/>
                <w:noProof/>
                <w:webHidden/>
                <w:lang w:eastAsia="en-GB"/>
              </w:rPr>
              <w:fldChar w:fldCharType="begin"/>
            </w:r>
            <w:r w:rsidR="00EB6ED3" w:rsidRPr="00EB6ED3">
              <w:rPr>
                <w:rFonts w:eastAsia="Times New Roman" w:cstheme="minorHAnsi"/>
                <w:b/>
                <w:bCs/>
                <w:noProof/>
                <w:webHidden/>
                <w:lang w:eastAsia="en-GB"/>
              </w:rPr>
              <w:instrText xml:space="preserve"> PAGEREF _Toc69737150 \h </w:instrText>
            </w:r>
            <w:r w:rsidR="00EB6ED3" w:rsidRPr="00EB6ED3">
              <w:rPr>
                <w:rFonts w:eastAsia="Times New Roman" w:cstheme="minorHAnsi"/>
                <w:b/>
                <w:bCs/>
                <w:noProof/>
                <w:webHidden/>
                <w:lang w:eastAsia="en-GB"/>
              </w:rPr>
            </w:r>
            <w:r w:rsidR="00EB6ED3" w:rsidRPr="00EB6ED3">
              <w:rPr>
                <w:rFonts w:eastAsia="Times New Roman" w:cstheme="minorHAnsi"/>
                <w:b/>
                <w:bCs/>
                <w:noProof/>
                <w:webHidden/>
                <w:lang w:eastAsia="en-GB"/>
              </w:rPr>
              <w:fldChar w:fldCharType="separate"/>
            </w:r>
            <w:r w:rsidR="00EB6ED3" w:rsidRPr="00EB6ED3">
              <w:rPr>
                <w:rFonts w:eastAsia="Times New Roman" w:cstheme="minorHAnsi"/>
                <w:b/>
                <w:bCs/>
                <w:noProof/>
                <w:webHidden/>
                <w:lang w:eastAsia="en-GB"/>
              </w:rPr>
              <w:t>7</w:t>
            </w:r>
            <w:r w:rsidR="00EB6ED3" w:rsidRPr="00EB6ED3">
              <w:rPr>
                <w:rFonts w:eastAsia="Times New Roman" w:cstheme="minorHAnsi"/>
                <w:b/>
                <w:bCs/>
                <w:noProof/>
                <w:webHidden/>
                <w:lang w:eastAsia="en-GB"/>
              </w:rPr>
              <w:fldChar w:fldCharType="end"/>
            </w:r>
          </w:hyperlink>
        </w:p>
        <w:p w14:paraId="546CD976"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r w:rsidRPr="00EB6ED3">
            <w:rPr>
              <w:rFonts w:ascii="Arial" w:eastAsia="Times New Roman" w:hAnsi="Arial" w:cs="Arial"/>
              <w:b/>
              <w:bCs/>
              <w:noProof/>
              <w:color w:val="000000" w:themeColor="text1"/>
              <w:lang w:eastAsia="en-GB"/>
            </w:rPr>
            <w:fldChar w:fldCharType="end"/>
          </w:r>
        </w:p>
      </w:sdtContent>
    </w:sdt>
    <w:p w14:paraId="6EDF674B"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p>
    <w:p w14:paraId="0B8AA9E0"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p>
    <w:p w14:paraId="61A3B324"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p>
    <w:p w14:paraId="601C51D4"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p>
    <w:p w14:paraId="397C257B" w14:textId="77777777" w:rsidR="00EB6ED3" w:rsidRPr="00EB6ED3" w:rsidRDefault="00EB6ED3" w:rsidP="00EB6ED3">
      <w:pPr>
        <w:spacing w:after="0" w:line="360" w:lineRule="auto"/>
        <w:rPr>
          <w:rFonts w:ascii="Arial" w:eastAsia="Times New Roman" w:hAnsi="Arial" w:cs="Arial"/>
          <w:b/>
          <w:bCs/>
          <w:noProof/>
          <w:color w:val="000000" w:themeColor="text1"/>
          <w:lang w:eastAsia="en-GB"/>
        </w:rPr>
      </w:pPr>
    </w:p>
    <w:p w14:paraId="6AB6B600" w14:textId="77777777" w:rsidR="00EB6ED3" w:rsidRPr="00EB6ED3" w:rsidRDefault="00EB6ED3" w:rsidP="00EB6ED3">
      <w:pPr>
        <w:spacing w:after="0" w:line="360" w:lineRule="auto"/>
        <w:rPr>
          <w:rFonts w:ascii="Arial" w:eastAsia="Times New Roman" w:hAnsi="Arial" w:cs="Arial"/>
          <w:color w:val="000000" w:themeColor="text1"/>
          <w:lang w:eastAsia="en-GB"/>
        </w:rPr>
      </w:pPr>
    </w:p>
    <w:p w14:paraId="7E71016D" w14:textId="77777777" w:rsidR="00EB6ED3" w:rsidRPr="00EB6ED3" w:rsidRDefault="00EB6ED3" w:rsidP="00EB6ED3">
      <w:pPr>
        <w:keepNext/>
        <w:keepLines/>
        <w:spacing w:before="480" w:after="0" w:line="360" w:lineRule="auto"/>
        <w:outlineLvl w:val="0"/>
        <w:rPr>
          <w:rFonts w:ascii="Arial" w:eastAsia="SimSun" w:hAnsi="Arial" w:cs="Arial"/>
          <w:b/>
          <w:bCs/>
          <w:color w:val="000000" w:themeColor="text1"/>
          <w:lang w:val="en-US" w:eastAsia="zh-CN"/>
        </w:rPr>
      </w:pPr>
    </w:p>
    <w:p w14:paraId="5050B439" w14:textId="77777777" w:rsidR="00EB6ED3" w:rsidRPr="00EB6ED3" w:rsidRDefault="00EB6ED3" w:rsidP="00EB6ED3">
      <w:pPr>
        <w:keepNext/>
        <w:keepLines/>
        <w:spacing w:before="480" w:after="0" w:line="360" w:lineRule="auto"/>
        <w:outlineLvl w:val="0"/>
        <w:rPr>
          <w:rFonts w:ascii="Arial" w:eastAsia="SimSun" w:hAnsi="Arial" w:cs="Arial"/>
          <w:b/>
          <w:bCs/>
          <w:color w:val="000000" w:themeColor="text1"/>
          <w:lang w:val="en-US" w:eastAsia="zh-CN"/>
        </w:rPr>
      </w:pPr>
      <w:bookmarkStart w:id="0" w:name="_Toc69737136"/>
      <w:r w:rsidRPr="00EB6ED3">
        <w:rPr>
          <w:rFonts w:ascii="Arial" w:eastAsia="SimSun" w:hAnsi="Arial" w:cs="Arial"/>
          <w:b/>
          <w:bCs/>
          <w:color w:val="000000" w:themeColor="text1"/>
          <w:lang w:val="en-US" w:eastAsia="zh-CN"/>
        </w:rPr>
        <w:t>Part 1</w:t>
      </w:r>
      <w:bookmarkEnd w:id="0"/>
      <w:r w:rsidRPr="00EB6ED3">
        <w:rPr>
          <w:rFonts w:ascii="Arial" w:eastAsia="SimSun" w:hAnsi="Arial" w:cs="Arial"/>
          <w:b/>
          <w:bCs/>
          <w:color w:val="000000" w:themeColor="text1"/>
          <w:lang w:val="en-US" w:eastAsia="zh-CN"/>
        </w:rPr>
        <w:t xml:space="preserve"> </w:t>
      </w:r>
    </w:p>
    <w:p w14:paraId="431ED1D6" w14:textId="77777777" w:rsidR="00EB6ED3" w:rsidRPr="00EB6ED3" w:rsidRDefault="00EB6ED3" w:rsidP="00EB6ED3">
      <w:pPr>
        <w:spacing w:after="0" w:line="360" w:lineRule="auto"/>
        <w:jc w:val="both"/>
        <w:rPr>
          <w:rFonts w:ascii="Arial" w:eastAsia="Times New Roman" w:hAnsi="Arial" w:cs="Arial"/>
          <w:b/>
          <w:bCs/>
          <w:color w:val="000000" w:themeColor="text1"/>
          <w:lang w:eastAsia="en-GB"/>
        </w:rPr>
      </w:pPr>
    </w:p>
    <w:p w14:paraId="1064E47F" w14:textId="77777777" w:rsidR="00EB6ED3" w:rsidRPr="00EB6ED3" w:rsidRDefault="00EB6ED3" w:rsidP="00EB6ED3">
      <w:pPr>
        <w:keepNext/>
        <w:keepLines/>
        <w:spacing w:before="480" w:after="0" w:line="360" w:lineRule="auto"/>
        <w:outlineLvl w:val="0"/>
        <w:rPr>
          <w:rFonts w:ascii="Arial" w:eastAsia="SimSun" w:hAnsi="Arial" w:cs="Arial"/>
          <w:b/>
          <w:bCs/>
          <w:color w:val="000000" w:themeColor="text1"/>
          <w:lang w:val="en-US" w:eastAsia="zh-CN"/>
        </w:rPr>
      </w:pPr>
      <w:bookmarkStart w:id="1" w:name="_Toc69737137"/>
      <w:r w:rsidRPr="00EB6ED3">
        <w:rPr>
          <w:rFonts w:ascii="Arial" w:eastAsia="SimSun" w:hAnsi="Arial" w:cs="Arial"/>
          <w:b/>
          <w:bCs/>
          <w:color w:val="000000" w:themeColor="text1"/>
          <w:lang w:val="en-US" w:eastAsia="zh-CN"/>
        </w:rPr>
        <w:t>Introduction</w:t>
      </w:r>
      <w:bookmarkEnd w:id="1"/>
      <w:r w:rsidRPr="00EB6ED3">
        <w:rPr>
          <w:rFonts w:ascii="Arial" w:eastAsia="SimSun" w:hAnsi="Arial" w:cs="Arial"/>
          <w:b/>
          <w:bCs/>
          <w:color w:val="000000" w:themeColor="text1"/>
          <w:lang w:val="en-US" w:eastAsia="zh-CN"/>
        </w:rPr>
        <w:t xml:space="preserve"> </w:t>
      </w:r>
    </w:p>
    <w:p w14:paraId="099EA93E"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26CF5F7B"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The term defence of insanity refers to the action of defence whereby the defendant is not held liable for the actions committed due to a mental or psychiatric disease or trigger at the time of the incidence (</w:t>
      </w:r>
      <w:r w:rsidRPr="00EB6ED3">
        <w:rPr>
          <w:rFonts w:ascii="Arial" w:eastAsia="Times New Roman" w:hAnsi="Arial" w:cs="Arial"/>
          <w:color w:val="000000" w:themeColor="text1"/>
          <w:shd w:val="clear" w:color="auto" w:fill="FFFFFF"/>
          <w:lang w:eastAsia="en-GB"/>
        </w:rPr>
        <w:t>Lexisnexis.co.uk, 2021</w:t>
      </w:r>
      <w:r w:rsidRPr="00EB6ED3">
        <w:rPr>
          <w:rFonts w:ascii="Arial" w:eastAsia="Times New Roman" w:hAnsi="Arial" w:cs="Arial"/>
          <w:color w:val="000000" w:themeColor="text1"/>
          <w:lang w:eastAsia="en-GB"/>
        </w:rPr>
        <w:t>). This defence is used to prove the defendant guilty of the crime he is held accountable for. The phrase disease of the mind is interrelated with this defence in the sense if the resolution reached is that the defendant is suffering from the disease of the mind, the defendant is not convicted (</w:t>
      </w:r>
      <w:proofErr w:type="spellStart"/>
      <w:r w:rsidRPr="00EB6ED3">
        <w:rPr>
          <w:rFonts w:ascii="Arial" w:eastAsia="Times New Roman" w:hAnsi="Arial" w:cs="Arial"/>
          <w:color w:val="000000" w:themeColor="text1"/>
          <w:shd w:val="clear" w:color="auto" w:fill="FFFFFF"/>
          <w:lang w:eastAsia="en-GB"/>
        </w:rPr>
        <w:t>Goudkamp</w:t>
      </w:r>
      <w:proofErr w:type="spellEnd"/>
      <w:r w:rsidRPr="00EB6ED3">
        <w:rPr>
          <w:rFonts w:ascii="Arial" w:eastAsia="Times New Roman" w:hAnsi="Arial" w:cs="Arial"/>
          <w:color w:val="000000" w:themeColor="text1"/>
          <w:shd w:val="clear" w:color="auto" w:fill="FFFFFF"/>
          <w:lang w:eastAsia="en-GB"/>
        </w:rPr>
        <w:t>, 2011)</w:t>
      </w:r>
      <w:r w:rsidRPr="00EB6ED3">
        <w:rPr>
          <w:rFonts w:ascii="Arial" w:eastAsia="Times New Roman" w:hAnsi="Arial" w:cs="Arial"/>
          <w:color w:val="000000" w:themeColor="text1"/>
          <w:lang w:eastAsia="en-GB"/>
        </w:rPr>
        <w:t>. Disease of the mind is when a mental disorder suffered by the defendant was the reason for the individual engaging in the violence and actions committed (</w:t>
      </w:r>
      <w:r w:rsidRPr="00EB6ED3">
        <w:rPr>
          <w:rFonts w:ascii="Arial" w:eastAsia="Times New Roman" w:hAnsi="Arial" w:cs="Arial"/>
          <w:color w:val="000000" w:themeColor="text1"/>
          <w:shd w:val="clear" w:color="auto" w:fill="FFFFFF"/>
          <w:lang w:eastAsia="en-GB"/>
        </w:rPr>
        <w:t>Vocabulary.com, 2021</w:t>
      </w:r>
      <w:r w:rsidRPr="00EB6ED3">
        <w:rPr>
          <w:rFonts w:ascii="Arial" w:eastAsia="Times New Roman" w:hAnsi="Arial" w:cs="Arial"/>
          <w:color w:val="000000" w:themeColor="text1"/>
          <w:lang w:eastAsia="en-GB"/>
        </w:rPr>
        <w:t xml:space="preserve">). The application of case laws </w:t>
      </w:r>
      <w:r w:rsidRPr="00EB6ED3">
        <w:rPr>
          <w:rFonts w:ascii="Arial" w:eastAsia="Times New Roman" w:hAnsi="Arial" w:cs="Arial"/>
          <w:color w:val="000000" w:themeColor="text1"/>
          <w:lang w:eastAsia="en-GB"/>
        </w:rPr>
        <w:lastRenderedPageBreak/>
        <w:t xml:space="preserve">will be used to address certain points, providing real examples to the areas related to this defence. </w:t>
      </w:r>
    </w:p>
    <w:p w14:paraId="7C8EAEBF"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08D2D704" w14:textId="77777777" w:rsidR="00EB6ED3" w:rsidRPr="00EB6ED3" w:rsidRDefault="00EB6ED3" w:rsidP="00EB6ED3">
      <w:pPr>
        <w:keepNext/>
        <w:keepLines/>
        <w:spacing w:before="480" w:after="0" w:line="360" w:lineRule="auto"/>
        <w:outlineLvl w:val="0"/>
        <w:rPr>
          <w:rFonts w:ascii="Arial" w:eastAsia="SimSun" w:hAnsi="Arial" w:cs="Arial"/>
          <w:b/>
          <w:bCs/>
          <w:color w:val="000000" w:themeColor="text1"/>
          <w:lang w:val="en-US" w:eastAsia="zh-CN"/>
        </w:rPr>
      </w:pPr>
      <w:bookmarkStart w:id="2" w:name="_Toc69737138"/>
      <w:proofErr w:type="spellStart"/>
      <w:r w:rsidRPr="00EB6ED3">
        <w:rPr>
          <w:rFonts w:ascii="Arial" w:eastAsia="SimSun" w:hAnsi="Arial" w:cs="Arial"/>
          <w:b/>
          <w:bCs/>
          <w:color w:val="000000" w:themeColor="text1"/>
          <w:lang w:val="en-US" w:eastAsia="zh-CN"/>
        </w:rPr>
        <w:t>Defence</w:t>
      </w:r>
      <w:proofErr w:type="spellEnd"/>
      <w:r w:rsidRPr="00EB6ED3">
        <w:rPr>
          <w:rFonts w:ascii="Arial" w:eastAsia="SimSun" w:hAnsi="Arial" w:cs="Arial"/>
          <w:b/>
          <w:bCs/>
          <w:color w:val="000000" w:themeColor="text1"/>
          <w:lang w:val="en-US" w:eastAsia="zh-CN"/>
        </w:rPr>
        <w:t xml:space="preserve"> of Insanity and conditions</w:t>
      </w:r>
      <w:bookmarkEnd w:id="2"/>
      <w:r w:rsidRPr="00EB6ED3">
        <w:rPr>
          <w:rFonts w:ascii="Arial" w:eastAsia="SimSun" w:hAnsi="Arial" w:cs="Arial"/>
          <w:b/>
          <w:bCs/>
          <w:color w:val="000000" w:themeColor="text1"/>
          <w:lang w:val="en-US" w:eastAsia="zh-CN"/>
        </w:rPr>
        <w:t xml:space="preserve"> </w:t>
      </w:r>
    </w:p>
    <w:p w14:paraId="1B8F7139"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68F75718"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Defence of Insanity was designed in the </w:t>
      </w:r>
      <w:proofErr w:type="spellStart"/>
      <w:r w:rsidRPr="00EB6ED3">
        <w:rPr>
          <w:rFonts w:ascii="Arial" w:eastAsia="Times New Roman" w:hAnsi="Arial" w:cs="Arial"/>
          <w:color w:val="000000" w:themeColor="text1"/>
          <w:lang w:eastAsia="en-GB"/>
        </w:rPr>
        <w:t>mid 19</w:t>
      </w:r>
      <w:r w:rsidRPr="00EB6ED3">
        <w:rPr>
          <w:rFonts w:ascii="Arial" w:eastAsia="Times New Roman" w:hAnsi="Arial" w:cs="Arial"/>
          <w:color w:val="000000" w:themeColor="text1"/>
          <w:vertAlign w:val="superscript"/>
          <w:lang w:eastAsia="en-GB"/>
        </w:rPr>
        <w:t>th</w:t>
      </w:r>
      <w:proofErr w:type="spellEnd"/>
      <w:r w:rsidRPr="00EB6ED3">
        <w:rPr>
          <w:rFonts w:ascii="Arial" w:eastAsia="Times New Roman" w:hAnsi="Arial" w:cs="Arial"/>
          <w:color w:val="000000" w:themeColor="text1"/>
          <w:lang w:eastAsia="en-GB"/>
        </w:rPr>
        <w:t xml:space="preserve"> century as a result of an incident which had taken place in Great Britain. The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Rules (1843), was designed from to the shooting of the secretary of the British Prime Minister, due to the delusion that the defendant Daniel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was under. This action was committed in the attempt of assassinating the Prime Minister (</w:t>
      </w:r>
      <w:r w:rsidRPr="00EB6ED3">
        <w:rPr>
          <w:rFonts w:ascii="Arial" w:eastAsia="Times New Roman" w:hAnsi="Arial" w:cs="Arial"/>
          <w:color w:val="000000" w:themeColor="text1"/>
          <w:shd w:val="clear" w:color="auto" w:fill="FFFFFF"/>
          <w:lang w:eastAsia="en-GB"/>
        </w:rPr>
        <w:t>E-lawresources.co.uk, 2021</w:t>
      </w:r>
      <w:r w:rsidRPr="00EB6ED3">
        <w:rPr>
          <w:rFonts w:ascii="Arial" w:eastAsia="Times New Roman" w:hAnsi="Arial" w:cs="Arial"/>
          <w:color w:val="000000" w:themeColor="text1"/>
          <w:lang w:eastAsia="en-GB"/>
        </w:rPr>
        <w:t xml:space="preserve">). However, the conclusion reached by the Jury was that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was affected by morbid delusion, resulting in the consequences of his actions. According to the defendant when under the delusion he had no control over his actions. He was therefore not found guilty. In response to this particular case a legal definition for insanity was established. The following conditions suggest that the defendant can prove his insanity as a means of defence which is if he was under the defect of reason, the actions was influenced by the disease of the mind and that the individual was not able to comprehend that was he was doing was wrong. Although this is the most known rule in the defence of insanity there are others such as the Durham rule, Model Penal Code rule and more (</w:t>
      </w:r>
      <w:proofErr w:type="spellStart"/>
      <w:r w:rsidRPr="00EB6ED3">
        <w:rPr>
          <w:rFonts w:ascii="Arial" w:eastAsia="Times New Roman" w:hAnsi="Arial" w:cs="Arial"/>
          <w:color w:val="000000" w:themeColor="text1"/>
          <w:shd w:val="clear" w:color="auto" w:fill="FFFFFF"/>
          <w:lang w:eastAsia="en-GB"/>
        </w:rPr>
        <w:t>Findlaw</w:t>
      </w:r>
      <w:proofErr w:type="spellEnd"/>
      <w:r w:rsidRPr="00EB6ED3">
        <w:rPr>
          <w:rFonts w:ascii="Arial" w:eastAsia="Times New Roman" w:hAnsi="Arial" w:cs="Arial"/>
          <w:color w:val="000000" w:themeColor="text1"/>
          <w:shd w:val="clear" w:color="auto" w:fill="FFFFFF"/>
          <w:lang w:eastAsia="en-GB"/>
        </w:rPr>
        <w:t>. 2021</w:t>
      </w:r>
      <w:r w:rsidRPr="00EB6ED3">
        <w:rPr>
          <w:rFonts w:ascii="Arial" w:eastAsia="Times New Roman" w:hAnsi="Arial" w:cs="Arial"/>
          <w:color w:val="000000" w:themeColor="text1"/>
          <w:lang w:eastAsia="en-GB"/>
        </w:rPr>
        <w:t xml:space="preserve">). The conditions of pleading for insanity </w:t>
      </w:r>
      <w:proofErr w:type="gramStart"/>
      <w:r w:rsidRPr="00EB6ED3">
        <w:rPr>
          <w:rFonts w:ascii="Arial" w:eastAsia="Times New Roman" w:hAnsi="Arial" w:cs="Arial"/>
          <w:color w:val="000000" w:themeColor="text1"/>
          <w:lang w:eastAsia="en-GB"/>
        </w:rPr>
        <w:t>has</w:t>
      </w:r>
      <w:proofErr w:type="gramEnd"/>
      <w:r w:rsidRPr="00EB6ED3">
        <w:rPr>
          <w:rFonts w:ascii="Arial" w:eastAsia="Times New Roman" w:hAnsi="Arial" w:cs="Arial"/>
          <w:color w:val="000000" w:themeColor="text1"/>
          <w:lang w:eastAsia="en-GB"/>
        </w:rPr>
        <w:t xml:space="preserve"> been addressed in relation to the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Rules, though in the case of the Durham Rule, the defendant is said to be not guilty if it is proven that the individual would not have committed the crime but for the disease. This rule is perceived to be far broader than that of the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rules as the defendant is excused if he understands that his actions was wrong though committed due to his illness. </w:t>
      </w:r>
    </w:p>
    <w:p w14:paraId="73D5272E"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534D0C64"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3" w:name="_Toc69737139"/>
      <w:r w:rsidRPr="00EB6ED3">
        <w:rPr>
          <w:rFonts w:ascii="Arial" w:eastAsia="SimSun" w:hAnsi="Arial" w:cs="Arial"/>
          <w:b/>
          <w:bCs/>
          <w:color w:val="000000" w:themeColor="text1"/>
          <w:lang w:val="en-US" w:eastAsia="zh-CN"/>
        </w:rPr>
        <w:t xml:space="preserve">Medical evidence in </w:t>
      </w:r>
      <w:proofErr w:type="spellStart"/>
      <w:r w:rsidRPr="00EB6ED3">
        <w:rPr>
          <w:rFonts w:ascii="Arial" w:eastAsia="SimSun" w:hAnsi="Arial" w:cs="Arial"/>
          <w:b/>
          <w:bCs/>
          <w:color w:val="000000" w:themeColor="text1"/>
          <w:lang w:val="en-US" w:eastAsia="zh-CN"/>
        </w:rPr>
        <w:t>defence</w:t>
      </w:r>
      <w:proofErr w:type="spellEnd"/>
      <w:r w:rsidRPr="00EB6ED3">
        <w:rPr>
          <w:rFonts w:ascii="Arial" w:eastAsia="SimSun" w:hAnsi="Arial" w:cs="Arial"/>
          <w:b/>
          <w:bCs/>
          <w:color w:val="000000" w:themeColor="text1"/>
          <w:lang w:val="en-US" w:eastAsia="zh-CN"/>
        </w:rPr>
        <w:t xml:space="preserve"> of insanity</w:t>
      </w:r>
      <w:bookmarkEnd w:id="3"/>
    </w:p>
    <w:p w14:paraId="4DE13BC2"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54BE5CBD"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As the defence of insanity is highly related to the case of an individual being influenced by a mental condition as well as other illnesses that they have, medical evidence plays a key role as well as the perception of a mental health professional. Currently, medical evidence can be provided to show that a person is suffering from a mental condition, which can be diagnosed from the symptoms exhibited by the individual for example. Though the issue here is that understanding whether the person was really suffering from the mental condition at the time of the action or has used his mental condition as an excuse for his actions and was aware of the repercussions of his actions, is very difficult to differentiate even with medical evidence. Though many cases such as R V Johnson (2007) suggests </w:t>
      </w:r>
      <w:proofErr w:type="gramStart"/>
      <w:r w:rsidRPr="00EB6ED3">
        <w:rPr>
          <w:rFonts w:ascii="Arial" w:eastAsia="Times New Roman" w:hAnsi="Arial" w:cs="Arial"/>
          <w:color w:val="000000" w:themeColor="text1"/>
          <w:lang w:eastAsia="en-GB"/>
        </w:rPr>
        <w:t>this ,</w:t>
      </w:r>
      <w:proofErr w:type="gramEnd"/>
      <w:r w:rsidRPr="00EB6ED3">
        <w:rPr>
          <w:rFonts w:ascii="Arial" w:eastAsia="Times New Roman" w:hAnsi="Arial" w:cs="Arial"/>
          <w:color w:val="000000" w:themeColor="text1"/>
          <w:lang w:eastAsia="en-GB"/>
        </w:rPr>
        <w:t xml:space="preserve"> who was suspected of trying </w:t>
      </w:r>
      <w:r w:rsidRPr="00EB6ED3">
        <w:rPr>
          <w:rFonts w:ascii="Arial" w:eastAsia="Times New Roman" w:hAnsi="Arial" w:cs="Arial"/>
          <w:color w:val="000000" w:themeColor="text1"/>
          <w:lang w:eastAsia="en-GB"/>
        </w:rPr>
        <w:lastRenderedPageBreak/>
        <w:t>to hurt the victim with the intent of causing damaging bodily harm. However even though Johnson was diagnosed to have Paranoid Schizophrenia and was suffering from it at the time, this plea of insanity was not available for him as evidence provided shows that he was aware that his actions were against the law (</w:t>
      </w:r>
      <w:r w:rsidRPr="00EB6ED3">
        <w:rPr>
          <w:rFonts w:ascii="Arial" w:eastAsia="Times New Roman" w:hAnsi="Arial" w:cs="Arial"/>
          <w:i/>
          <w:iCs/>
          <w:color w:val="000000" w:themeColor="text1"/>
          <w:lang w:eastAsia="en-GB"/>
        </w:rPr>
        <w:t>Choice Reviews Online</w:t>
      </w:r>
      <w:r w:rsidRPr="00EB6ED3">
        <w:rPr>
          <w:rFonts w:ascii="Arial" w:eastAsia="Times New Roman" w:hAnsi="Arial" w:cs="Arial"/>
          <w:color w:val="000000" w:themeColor="text1"/>
          <w:shd w:val="clear" w:color="auto" w:fill="FFFFFF"/>
          <w:lang w:eastAsia="en-GB"/>
        </w:rPr>
        <w:t>, 2004)</w:t>
      </w:r>
      <w:r w:rsidRPr="00EB6ED3">
        <w:rPr>
          <w:rFonts w:ascii="Arial" w:eastAsia="Times New Roman" w:hAnsi="Arial" w:cs="Arial"/>
          <w:color w:val="000000" w:themeColor="text1"/>
          <w:lang w:eastAsia="en-GB"/>
        </w:rPr>
        <w:t xml:space="preserve">. </w:t>
      </w:r>
    </w:p>
    <w:p w14:paraId="25F8A1A4"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4E5DE865"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4" w:name="_Toc69737140"/>
      <w:r w:rsidRPr="00EB6ED3">
        <w:rPr>
          <w:rFonts w:ascii="Arial" w:eastAsia="SimSun" w:hAnsi="Arial" w:cs="Arial"/>
          <w:b/>
          <w:bCs/>
          <w:color w:val="000000" w:themeColor="text1"/>
          <w:lang w:val="en-US" w:eastAsia="zh-CN"/>
        </w:rPr>
        <w:t xml:space="preserve">Comparison of Automatism and </w:t>
      </w:r>
      <w:proofErr w:type="spellStart"/>
      <w:r w:rsidRPr="00EB6ED3">
        <w:rPr>
          <w:rFonts w:ascii="Arial" w:eastAsia="SimSun" w:hAnsi="Arial" w:cs="Arial"/>
          <w:b/>
          <w:bCs/>
          <w:color w:val="000000" w:themeColor="text1"/>
          <w:lang w:val="en-US" w:eastAsia="zh-CN"/>
        </w:rPr>
        <w:t>Defence</w:t>
      </w:r>
      <w:proofErr w:type="spellEnd"/>
      <w:r w:rsidRPr="00EB6ED3">
        <w:rPr>
          <w:rFonts w:ascii="Arial" w:eastAsia="SimSun" w:hAnsi="Arial" w:cs="Arial"/>
          <w:b/>
          <w:bCs/>
          <w:color w:val="000000" w:themeColor="text1"/>
          <w:lang w:val="en-US" w:eastAsia="zh-CN"/>
        </w:rPr>
        <w:t xml:space="preserve"> of Insanity</w:t>
      </w:r>
      <w:bookmarkEnd w:id="4"/>
      <w:r w:rsidRPr="00EB6ED3">
        <w:rPr>
          <w:rFonts w:ascii="Arial" w:eastAsia="SimSun" w:hAnsi="Arial" w:cs="Arial"/>
          <w:b/>
          <w:bCs/>
          <w:color w:val="000000" w:themeColor="text1"/>
          <w:lang w:val="en-US" w:eastAsia="zh-CN"/>
        </w:rPr>
        <w:t xml:space="preserve"> </w:t>
      </w:r>
    </w:p>
    <w:p w14:paraId="03A9400A" w14:textId="77777777" w:rsidR="00EB6ED3" w:rsidRPr="00EB6ED3" w:rsidRDefault="00EB6ED3" w:rsidP="00EB6ED3">
      <w:pPr>
        <w:spacing w:after="0" w:line="360" w:lineRule="auto"/>
        <w:jc w:val="both"/>
        <w:rPr>
          <w:rFonts w:ascii="Arial" w:eastAsia="Times New Roman" w:hAnsi="Arial" w:cs="Arial"/>
          <w:b/>
          <w:bCs/>
          <w:color w:val="000000" w:themeColor="text1"/>
          <w:lang w:eastAsia="en-GB"/>
        </w:rPr>
      </w:pPr>
    </w:p>
    <w:p w14:paraId="0F0A6ED7"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The term Automatism can be compared to defence of insanity as this refers to the behaviour of the individual exhibited either as a reflex of a condition or done so unconsciously (</w:t>
      </w:r>
      <w:r w:rsidRPr="00EB6ED3">
        <w:rPr>
          <w:rFonts w:ascii="Arial" w:eastAsia="Times New Roman" w:hAnsi="Arial" w:cs="Arial"/>
          <w:color w:val="000000" w:themeColor="text1"/>
          <w:shd w:val="clear" w:color="auto" w:fill="FFFFFF"/>
          <w:lang w:eastAsia="en-GB"/>
        </w:rPr>
        <w:t>Lexisnexis.co.uk. 2021</w:t>
      </w:r>
      <w:r w:rsidRPr="00EB6ED3">
        <w:rPr>
          <w:rFonts w:ascii="Arial" w:eastAsia="Times New Roman" w:hAnsi="Arial" w:cs="Arial"/>
          <w:color w:val="000000" w:themeColor="text1"/>
          <w:lang w:eastAsia="en-GB"/>
        </w:rPr>
        <w:t xml:space="preserve">). An example of this would be a sleepwalking man committing murder. This example can be applied to the case law of R V Parks (1987), where James Park drove to his in-laws while sleeping and killed his mother-in-law and seriously injured his father-in-law. Though automatism can be classed insane and non-insane, with insane automatism taking place as result of the condition influencing the intrinsic mind of the person. Non insane automatism is due to an external factor such as severe hypoglycaemia. Non insane automatism can be applied to R v Hennessy (1989), when the defendant raised the defence of automatism, though the judge agreed that defence of insanity was much appropriate. The defendant said to be guilty and appealed. This case was dismissed as the judge was right in his decision. </w:t>
      </w:r>
    </w:p>
    <w:p w14:paraId="1E4AF238"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3C3B0617"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5" w:name="_Toc69737141"/>
      <w:r w:rsidRPr="00EB6ED3">
        <w:rPr>
          <w:rFonts w:ascii="Arial" w:eastAsia="SimSun" w:hAnsi="Arial" w:cs="Arial"/>
          <w:b/>
          <w:bCs/>
          <w:color w:val="000000" w:themeColor="text1"/>
          <w:lang w:val="en-US" w:eastAsia="zh-CN"/>
        </w:rPr>
        <w:t xml:space="preserve">Problems with </w:t>
      </w:r>
      <w:proofErr w:type="spellStart"/>
      <w:r w:rsidRPr="00EB6ED3">
        <w:rPr>
          <w:rFonts w:ascii="Arial" w:eastAsia="SimSun" w:hAnsi="Arial" w:cs="Arial"/>
          <w:b/>
          <w:bCs/>
          <w:color w:val="000000" w:themeColor="text1"/>
          <w:lang w:val="en-US" w:eastAsia="zh-CN"/>
        </w:rPr>
        <w:t>defence</w:t>
      </w:r>
      <w:proofErr w:type="spellEnd"/>
      <w:r w:rsidRPr="00EB6ED3">
        <w:rPr>
          <w:rFonts w:ascii="Arial" w:eastAsia="SimSun" w:hAnsi="Arial" w:cs="Arial"/>
          <w:b/>
          <w:bCs/>
          <w:color w:val="000000" w:themeColor="text1"/>
          <w:lang w:val="en-US" w:eastAsia="zh-CN"/>
        </w:rPr>
        <w:t xml:space="preserve"> of insanity</w:t>
      </w:r>
      <w:bookmarkEnd w:id="5"/>
      <w:r w:rsidRPr="00EB6ED3">
        <w:rPr>
          <w:rFonts w:ascii="Arial" w:eastAsia="SimSun" w:hAnsi="Arial" w:cs="Arial"/>
          <w:b/>
          <w:bCs/>
          <w:color w:val="000000" w:themeColor="text1"/>
          <w:lang w:val="en-US" w:eastAsia="zh-CN"/>
        </w:rPr>
        <w:t xml:space="preserve"> </w:t>
      </w:r>
    </w:p>
    <w:p w14:paraId="3F657F97" w14:textId="77777777" w:rsidR="00EB6ED3" w:rsidRPr="00EB6ED3" w:rsidRDefault="00EB6ED3" w:rsidP="00EB6ED3">
      <w:pPr>
        <w:spacing w:after="0" w:line="360" w:lineRule="auto"/>
        <w:jc w:val="both"/>
        <w:rPr>
          <w:rFonts w:ascii="Arial" w:eastAsia="Times New Roman" w:hAnsi="Arial" w:cs="Arial"/>
          <w:b/>
          <w:bCs/>
          <w:color w:val="000000" w:themeColor="text1"/>
          <w:lang w:eastAsia="en-GB"/>
        </w:rPr>
      </w:pPr>
    </w:p>
    <w:p w14:paraId="33DC9887"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The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test suggests that the defendant needs to be suffering from the disease of the mind. This phrase refers to disorders of the mind like schizophrenia, however the consequence of this is that other conditions such as epilepsy are not included in the 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understanding. In the English law, the approach to the burden of proof is that the prosecution needs to provide evidence to prove the defendant’s guilt. However, if the defendant pleads insanity, the defence is required to provide the evidence. The issue is that the defence has to prove his innocence on basis of probabilities. This could result in the jury convicting the defendant based upon probabilities. Therefore, the defendant can be held accountable for the crime even though he was insane and has to endure the criminal responsibility.</w:t>
      </w:r>
    </w:p>
    <w:p w14:paraId="30D4304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574C3D2D"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6" w:name="_Toc69737142"/>
      <w:r w:rsidRPr="00EB6ED3">
        <w:rPr>
          <w:rFonts w:ascii="Arial" w:eastAsia="SimSun" w:hAnsi="Arial" w:cs="Arial"/>
          <w:b/>
          <w:bCs/>
          <w:color w:val="000000" w:themeColor="text1"/>
          <w:lang w:val="en-US" w:eastAsia="zh-CN"/>
        </w:rPr>
        <w:t>Areas of reform</w:t>
      </w:r>
      <w:bookmarkEnd w:id="6"/>
      <w:r w:rsidRPr="00EB6ED3">
        <w:rPr>
          <w:rFonts w:ascii="Arial" w:eastAsia="SimSun" w:hAnsi="Arial" w:cs="Arial"/>
          <w:b/>
          <w:bCs/>
          <w:color w:val="000000" w:themeColor="text1"/>
          <w:lang w:val="en-US" w:eastAsia="zh-CN"/>
        </w:rPr>
        <w:t xml:space="preserve"> </w:t>
      </w:r>
    </w:p>
    <w:p w14:paraId="22D3C217"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30C99E8F"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lastRenderedPageBreak/>
        <w:t xml:space="preserve">The dismissed responsibility on the Homicide Act 1957, says that a person cannot be convicted of murder if he is suffering from such abnormality of the mind, which as a result effects his mental control and therefore cannot be held responsible for the murder. This is an example of an existing reform in relation to the defence of insanity. </w:t>
      </w:r>
    </w:p>
    <w:p w14:paraId="41D4A240"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156143F9"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7" w:name="_Toc69737143"/>
      <w:r w:rsidRPr="00EB6ED3">
        <w:rPr>
          <w:rFonts w:ascii="Arial" w:eastAsia="SimSun" w:hAnsi="Arial" w:cs="Arial"/>
          <w:b/>
          <w:bCs/>
          <w:color w:val="000000" w:themeColor="text1"/>
          <w:lang w:val="en-US" w:eastAsia="zh-CN"/>
        </w:rPr>
        <w:t>Conclusion</w:t>
      </w:r>
      <w:bookmarkEnd w:id="7"/>
      <w:r w:rsidRPr="00EB6ED3">
        <w:rPr>
          <w:rFonts w:ascii="Arial" w:eastAsia="SimSun" w:hAnsi="Arial" w:cs="Arial"/>
          <w:b/>
          <w:bCs/>
          <w:color w:val="000000" w:themeColor="text1"/>
          <w:lang w:val="en-US" w:eastAsia="zh-CN"/>
        </w:rPr>
        <w:t xml:space="preserve"> </w:t>
      </w:r>
    </w:p>
    <w:p w14:paraId="4F796F50"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00B0315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To conclude, this essay has addressed key areas related to the defence of insanity. It can therefore be said that the criteria used for the defence of insanity needs to be reformed. There are several cases whereby although suffering from a mental condition the defendant knows what he is doing is wrong. There should be a broader scope for when deciding on insanity. </w:t>
      </w:r>
    </w:p>
    <w:p w14:paraId="0260E7CA"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5AA8F16C" w14:textId="77777777" w:rsidR="00EB6ED3" w:rsidRPr="00EB6ED3" w:rsidRDefault="00EB6ED3" w:rsidP="00EB6ED3">
      <w:pPr>
        <w:keepNext/>
        <w:keepLines/>
        <w:spacing w:before="480" w:after="0" w:line="360" w:lineRule="auto"/>
        <w:outlineLvl w:val="0"/>
        <w:rPr>
          <w:rFonts w:ascii="Arial" w:eastAsia="SimSun" w:hAnsi="Arial" w:cs="Arial"/>
          <w:b/>
          <w:bCs/>
          <w:color w:val="000000" w:themeColor="text1"/>
          <w:lang w:val="en-US" w:eastAsia="zh-CN"/>
        </w:rPr>
      </w:pPr>
      <w:bookmarkStart w:id="8" w:name="_Toc69737144"/>
      <w:r w:rsidRPr="00EB6ED3">
        <w:rPr>
          <w:rFonts w:ascii="Arial" w:eastAsia="SimSun" w:hAnsi="Arial" w:cs="Arial"/>
          <w:b/>
          <w:bCs/>
          <w:color w:val="000000" w:themeColor="text1"/>
          <w:lang w:val="en-US" w:eastAsia="zh-CN"/>
        </w:rPr>
        <w:t>Part 2</w:t>
      </w:r>
      <w:bookmarkEnd w:id="8"/>
    </w:p>
    <w:p w14:paraId="1E4294B0"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9" w:name="_Toc69737145"/>
      <w:r w:rsidRPr="00EB6ED3">
        <w:rPr>
          <w:rFonts w:ascii="Arial" w:eastAsia="SimSun" w:hAnsi="Arial" w:cs="Arial"/>
          <w:b/>
          <w:bCs/>
          <w:color w:val="000000" w:themeColor="text1"/>
          <w:lang w:val="en-US" w:eastAsia="zh-CN"/>
        </w:rPr>
        <w:t>Introduction</w:t>
      </w:r>
      <w:bookmarkEnd w:id="9"/>
      <w:r w:rsidRPr="00EB6ED3">
        <w:rPr>
          <w:rFonts w:ascii="Arial" w:eastAsia="SimSun" w:hAnsi="Arial" w:cs="Arial"/>
          <w:b/>
          <w:bCs/>
          <w:color w:val="000000" w:themeColor="text1"/>
          <w:lang w:val="en-US" w:eastAsia="zh-CN"/>
        </w:rPr>
        <w:t xml:space="preserve"> </w:t>
      </w:r>
    </w:p>
    <w:p w14:paraId="7B4EE3FF" w14:textId="77777777" w:rsidR="00EB6ED3" w:rsidRPr="00EB6ED3" w:rsidRDefault="00EB6ED3" w:rsidP="00EB6ED3">
      <w:pPr>
        <w:spacing w:after="0" w:line="360" w:lineRule="auto"/>
        <w:rPr>
          <w:rFonts w:ascii="Arial" w:eastAsia="Times New Roman" w:hAnsi="Arial" w:cs="Arial"/>
          <w:color w:val="000000" w:themeColor="text1"/>
          <w:lang w:val="en-US" w:eastAsia="zh-CN"/>
        </w:rPr>
      </w:pPr>
    </w:p>
    <w:p w14:paraId="1C8DB975"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This part of the essay is being written for the purpose of addressing the fictional case study presented. This case consists of Ali and Jenny who were in a previous relationship, though are no longer together due to Jenny being abused. Jenny is now with her new boyfriend named Collin. Both Colin and Jenny went to the bar where Ali and his friends so them there. Ali started an unnecessary fight, which resulted in the doorman being hit in the attempt of breaking up the fight. As a result of this hit, the doorman later died from excessive bleeding. Following on from this event, Collin later came in contact with Ali, where Ali stabbed Collin. Collin died as a result of this stabbing. The following information will address the situation Ali is in and the position he is in in terms of the actions he has committed according to the law. Previous similar cases will be included also to propose relative advice in relation to this situation (</w:t>
      </w:r>
      <w:r w:rsidRPr="00EB6ED3">
        <w:rPr>
          <w:rFonts w:ascii="Arial" w:eastAsia="Times New Roman" w:hAnsi="Arial" w:cs="Arial"/>
          <w:color w:val="000000" w:themeColor="text1"/>
          <w:shd w:val="clear" w:color="auto" w:fill="FFFFFF"/>
          <w:lang w:eastAsia="en-GB"/>
        </w:rPr>
        <w:t>Cps.gov.uk. 2021)</w:t>
      </w:r>
      <w:r w:rsidRPr="00EB6ED3">
        <w:rPr>
          <w:rFonts w:ascii="Arial" w:eastAsia="Times New Roman" w:hAnsi="Arial" w:cs="Arial"/>
          <w:color w:val="000000" w:themeColor="text1"/>
          <w:lang w:eastAsia="en-GB"/>
        </w:rPr>
        <w:t xml:space="preserve">. </w:t>
      </w:r>
    </w:p>
    <w:p w14:paraId="04106EE3" w14:textId="77777777" w:rsidR="00EB6ED3" w:rsidRPr="00EB6ED3" w:rsidRDefault="00EB6ED3" w:rsidP="00EB6ED3">
      <w:pPr>
        <w:spacing w:after="0" w:line="360" w:lineRule="auto"/>
        <w:jc w:val="both"/>
        <w:rPr>
          <w:rFonts w:ascii="Arial" w:eastAsia="Times New Roman" w:hAnsi="Arial" w:cs="Arial"/>
          <w:b/>
          <w:bCs/>
          <w:color w:val="000000" w:themeColor="text1"/>
          <w:lang w:eastAsia="en-GB"/>
        </w:rPr>
      </w:pPr>
    </w:p>
    <w:p w14:paraId="057AA27B"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10" w:name="_Toc69737146"/>
      <w:r w:rsidRPr="00EB6ED3">
        <w:rPr>
          <w:rFonts w:ascii="Arial" w:eastAsia="SimSun" w:hAnsi="Arial" w:cs="Arial"/>
          <w:b/>
          <w:bCs/>
          <w:color w:val="000000" w:themeColor="text1"/>
          <w:lang w:val="en-US" w:eastAsia="zh-CN"/>
        </w:rPr>
        <w:t>Intention</w:t>
      </w:r>
      <w:bookmarkEnd w:id="10"/>
      <w:r w:rsidRPr="00EB6ED3">
        <w:rPr>
          <w:rFonts w:ascii="Arial" w:eastAsia="SimSun" w:hAnsi="Arial" w:cs="Arial"/>
          <w:b/>
          <w:bCs/>
          <w:color w:val="000000" w:themeColor="text1"/>
          <w:lang w:val="en-US" w:eastAsia="zh-CN"/>
        </w:rPr>
        <w:t xml:space="preserve"> </w:t>
      </w:r>
    </w:p>
    <w:p w14:paraId="4CB7FC02" w14:textId="77777777" w:rsidR="00EB6ED3" w:rsidRPr="00EB6ED3" w:rsidRDefault="00EB6ED3" w:rsidP="00EB6ED3">
      <w:pPr>
        <w:spacing w:after="0" w:line="360" w:lineRule="auto"/>
        <w:rPr>
          <w:rFonts w:ascii="Arial" w:eastAsia="Times New Roman" w:hAnsi="Arial" w:cs="Arial"/>
          <w:color w:val="000000" w:themeColor="text1"/>
          <w:lang w:val="en-US" w:eastAsia="zh-CN"/>
        </w:rPr>
      </w:pPr>
    </w:p>
    <w:p w14:paraId="494BC2D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Ali was engaged in a fight which may or may not have been initiated by him, however the end result of this fight was highly unfortunate. The doorman who was only trying to dismiss the fight, was physically hit with such force that it had resulted in his death. If it is claimed that Ali did not intend to kill the doorman, his actions did administer this. His intention here does not play a significant contribution in defending his position here either as he did not even hit the </w:t>
      </w:r>
      <w:r w:rsidRPr="00EB6ED3">
        <w:rPr>
          <w:rFonts w:ascii="Arial" w:eastAsia="Times New Roman" w:hAnsi="Arial" w:cs="Arial"/>
          <w:color w:val="000000" w:themeColor="text1"/>
          <w:lang w:eastAsia="en-GB"/>
        </w:rPr>
        <w:lastRenderedPageBreak/>
        <w:t>doorman as a self-defence response, but rather out of rage. Collin’s murder can be said to have been intentional as Ali stabbed Collin perhaps out of anger or fear of being held responsible for the doorman’s murder. Regardless any sane person will be aware that stabbing a person will result in severe consequences including death. It can therefore be said that the intention of Ali, in this particular scenario was to kill Collin. This can be further determined with the consideration that Ali was previously frustrated by Collin. A person is held to have committed the crime of the murder is under the following conditions:</w:t>
      </w:r>
    </w:p>
    <w:p w14:paraId="7A7DFA48" w14:textId="77777777" w:rsidR="00EB6ED3" w:rsidRPr="00EB6ED3" w:rsidRDefault="00EB6ED3" w:rsidP="00EB6ED3">
      <w:pPr>
        <w:numPr>
          <w:ilvl w:val="0"/>
          <w:numId w:val="1"/>
        </w:numPr>
        <w:spacing w:after="0" w:line="360" w:lineRule="auto"/>
        <w:contextualSpacing/>
        <w:jc w:val="both"/>
        <w:rPr>
          <w:rFonts w:ascii="Arial" w:hAnsi="Arial" w:cs="Arial"/>
          <w:color w:val="000000" w:themeColor="text1"/>
        </w:rPr>
      </w:pPr>
      <w:r w:rsidRPr="00EB6ED3">
        <w:rPr>
          <w:rFonts w:ascii="Arial" w:hAnsi="Arial" w:cs="Arial"/>
          <w:color w:val="000000" w:themeColor="text1"/>
        </w:rPr>
        <w:t xml:space="preserve">The person is </w:t>
      </w:r>
      <w:proofErr w:type="gramStart"/>
      <w:r w:rsidRPr="00EB6ED3">
        <w:rPr>
          <w:rFonts w:ascii="Arial" w:hAnsi="Arial" w:cs="Arial"/>
          <w:color w:val="000000" w:themeColor="text1"/>
        </w:rPr>
        <w:t>sane</w:t>
      </w:r>
      <w:proofErr w:type="gramEnd"/>
      <w:r w:rsidRPr="00EB6ED3">
        <w:rPr>
          <w:rFonts w:ascii="Arial" w:hAnsi="Arial" w:cs="Arial"/>
          <w:color w:val="000000" w:themeColor="text1"/>
        </w:rPr>
        <w:t xml:space="preserve"> </w:t>
      </w:r>
    </w:p>
    <w:p w14:paraId="4DF78FFF" w14:textId="77777777" w:rsidR="00EB6ED3" w:rsidRPr="00EB6ED3" w:rsidRDefault="00EB6ED3" w:rsidP="00EB6ED3">
      <w:pPr>
        <w:numPr>
          <w:ilvl w:val="0"/>
          <w:numId w:val="1"/>
        </w:numPr>
        <w:spacing w:after="0" w:line="360" w:lineRule="auto"/>
        <w:contextualSpacing/>
        <w:jc w:val="both"/>
        <w:rPr>
          <w:rFonts w:ascii="Arial" w:hAnsi="Arial" w:cs="Arial"/>
          <w:color w:val="000000" w:themeColor="text1"/>
        </w:rPr>
      </w:pPr>
      <w:r w:rsidRPr="00EB6ED3">
        <w:rPr>
          <w:rFonts w:ascii="Arial" w:hAnsi="Arial" w:cs="Arial"/>
          <w:color w:val="000000" w:themeColor="text1"/>
        </w:rPr>
        <w:t>Was a unlawful kill (not self-defence for example</w:t>
      </w:r>
      <w:proofErr w:type="gramStart"/>
      <w:r w:rsidRPr="00EB6ED3">
        <w:rPr>
          <w:rFonts w:ascii="Arial" w:hAnsi="Arial" w:cs="Arial"/>
          <w:color w:val="000000" w:themeColor="text1"/>
        </w:rPr>
        <w:t>)</w:t>
      </w:r>
      <w:proofErr w:type="gramEnd"/>
    </w:p>
    <w:p w14:paraId="2D5BFC95" w14:textId="77777777" w:rsidR="00EB6ED3" w:rsidRPr="00EB6ED3" w:rsidRDefault="00EB6ED3" w:rsidP="00EB6ED3">
      <w:pPr>
        <w:numPr>
          <w:ilvl w:val="0"/>
          <w:numId w:val="1"/>
        </w:numPr>
        <w:spacing w:after="0" w:line="360" w:lineRule="auto"/>
        <w:contextualSpacing/>
        <w:jc w:val="both"/>
        <w:rPr>
          <w:rFonts w:ascii="Arial" w:hAnsi="Arial" w:cs="Arial"/>
          <w:color w:val="000000" w:themeColor="text1"/>
        </w:rPr>
      </w:pPr>
      <w:r w:rsidRPr="00EB6ED3">
        <w:rPr>
          <w:rFonts w:ascii="Arial" w:hAnsi="Arial" w:cs="Arial"/>
          <w:color w:val="000000" w:themeColor="text1"/>
        </w:rPr>
        <w:t xml:space="preserve">Was done to a living and being </w:t>
      </w:r>
      <w:proofErr w:type="gramStart"/>
      <w:r w:rsidRPr="00EB6ED3">
        <w:rPr>
          <w:rFonts w:ascii="Arial" w:hAnsi="Arial" w:cs="Arial"/>
          <w:color w:val="000000" w:themeColor="text1"/>
        </w:rPr>
        <w:t>creature</w:t>
      </w:r>
      <w:proofErr w:type="gramEnd"/>
      <w:r w:rsidRPr="00EB6ED3">
        <w:rPr>
          <w:rFonts w:ascii="Arial" w:hAnsi="Arial" w:cs="Arial"/>
          <w:color w:val="000000" w:themeColor="text1"/>
        </w:rPr>
        <w:t xml:space="preserve"> </w:t>
      </w:r>
    </w:p>
    <w:p w14:paraId="3CF5BCE4" w14:textId="77777777" w:rsidR="00EB6ED3" w:rsidRPr="00EB6ED3" w:rsidRDefault="00EB6ED3" w:rsidP="00EB6ED3">
      <w:pPr>
        <w:numPr>
          <w:ilvl w:val="0"/>
          <w:numId w:val="1"/>
        </w:numPr>
        <w:spacing w:after="0" w:line="360" w:lineRule="auto"/>
        <w:contextualSpacing/>
        <w:jc w:val="both"/>
        <w:rPr>
          <w:rFonts w:ascii="Arial" w:hAnsi="Arial" w:cs="Arial"/>
          <w:color w:val="000000" w:themeColor="text1"/>
        </w:rPr>
      </w:pPr>
      <w:r w:rsidRPr="00EB6ED3">
        <w:rPr>
          <w:rFonts w:ascii="Arial" w:hAnsi="Arial" w:cs="Arial"/>
          <w:color w:val="000000" w:themeColor="text1"/>
        </w:rPr>
        <w:t xml:space="preserve">Was done with the intent of giving grievous bodily harm or </w:t>
      </w:r>
      <w:proofErr w:type="gramStart"/>
      <w:r w:rsidRPr="00EB6ED3">
        <w:rPr>
          <w:rFonts w:ascii="Arial" w:hAnsi="Arial" w:cs="Arial"/>
          <w:color w:val="000000" w:themeColor="text1"/>
        </w:rPr>
        <w:t>killing</w:t>
      </w:r>
      <w:proofErr w:type="gramEnd"/>
    </w:p>
    <w:p w14:paraId="3A5C4BB9"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01D1CA55"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11" w:name="_Toc69737147"/>
      <w:r w:rsidRPr="00EB6ED3">
        <w:rPr>
          <w:rFonts w:ascii="Arial" w:eastAsia="SimSun" w:hAnsi="Arial" w:cs="Arial"/>
          <w:b/>
          <w:bCs/>
          <w:color w:val="000000" w:themeColor="text1"/>
          <w:lang w:val="en-US" w:eastAsia="zh-CN"/>
        </w:rPr>
        <w:t>Related Case Laws</w:t>
      </w:r>
      <w:bookmarkEnd w:id="11"/>
    </w:p>
    <w:p w14:paraId="684BD55A"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4044B98F"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Each of the above addressed conditions can be said to be in the affirmative when looking at both cases of Ali engaging in unlawful activity. When viewing case laws this can be further demonstrated. R V </w:t>
      </w:r>
      <w:proofErr w:type="spellStart"/>
      <w:r w:rsidRPr="00EB6ED3">
        <w:rPr>
          <w:rFonts w:ascii="Arial" w:eastAsia="Times New Roman" w:hAnsi="Arial" w:cs="Arial"/>
          <w:color w:val="000000" w:themeColor="text1"/>
          <w:lang w:eastAsia="en-GB"/>
        </w:rPr>
        <w:t>Woolin</w:t>
      </w:r>
      <w:proofErr w:type="spellEnd"/>
      <w:r w:rsidRPr="00EB6ED3">
        <w:rPr>
          <w:rFonts w:ascii="Arial" w:eastAsia="Times New Roman" w:hAnsi="Arial" w:cs="Arial"/>
          <w:color w:val="000000" w:themeColor="text1"/>
          <w:lang w:eastAsia="en-GB"/>
        </w:rPr>
        <w:t xml:space="preserve"> (1999), addresses that although the defendant did not intend to kill the baby, he was aware that by throwing the baby of 3 months old to the ground with such force would lead to drastic injuries to the baby with the high possibility of this leading to death. Therefore, this shows that although the defendant did not intend for the death of the baby, he conscious understanding of his actions and his intention, resulted in him being convicted for manslaughter. The term ‘substantial risk’ is what had overcome the difference in recklessness and intention. In the case of Ali, it can be said that both the death of the doorman and Collin was done so with intention, as he was in poor or reckless state of mind when doing what he did. Similarly, R V Larkin (1942), shows that even though the appellant was using the razor to frighten the lover of his mistress, which later killed his drunk wife, was held guilty because being a sane and sober individual he is expected to be aware that this act would result in danger for others. Ali when hitting the doorman could have done it by accident and hit him by mistake, mistaking him for someone else. He may not have considered that his punch was so severe that the doorman would die. His intention here may have been to just move the doorman away and tell him to stay away. With Collin however, Ali had the intention of causing death or of grievous bodily harm. This shows that Ali will certainly be held responsible for the death of Collin. R v Church (1965), shows that the appellant actions of throwing the Sylvia in the river thinking she was dead, resulted in him being convicted for manslaughter. Although he thought that she was dead from the knocking her unconscious, she was in fact alive and drowned as a result of being thrown in the river. Ali was highly likely of not </w:t>
      </w:r>
      <w:proofErr w:type="gramStart"/>
      <w:r w:rsidRPr="00EB6ED3">
        <w:rPr>
          <w:rFonts w:ascii="Arial" w:eastAsia="Times New Roman" w:hAnsi="Arial" w:cs="Arial"/>
          <w:color w:val="000000" w:themeColor="text1"/>
          <w:lang w:eastAsia="en-GB"/>
        </w:rPr>
        <w:t xml:space="preserve">having the </w:t>
      </w:r>
      <w:r w:rsidRPr="00EB6ED3">
        <w:rPr>
          <w:rFonts w:ascii="Arial" w:eastAsia="Times New Roman" w:hAnsi="Arial" w:cs="Arial"/>
          <w:color w:val="000000" w:themeColor="text1"/>
          <w:lang w:eastAsia="en-GB"/>
        </w:rPr>
        <w:lastRenderedPageBreak/>
        <w:t>understanding of</w:t>
      </w:r>
      <w:proofErr w:type="gramEnd"/>
      <w:r w:rsidRPr="00EB6ED3">
        <w:rPr>
          <w:rFonts w:ascii="Arial" w:eastAsia="Times New Roman" w:hAnsi="Arial" w:cs="Arial"/>
          <w:color w:val="000000" w:themeColor="text1"/>
          <w:lang w:eastAsia="en-GB"/>
        </w:rPr>
        <w:t xml:space="preserve"> the worse consequences that could have happened from punching the doorman. Though his intention is evident with Collin as after stabbing the man, he ran away knowing that it is likely that the man would not get any help and would die from his injuries.</w:t>
      </w:r>
    </w:p>
    <w:p w14:paraId="278F87F4"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485F6FC9"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12" w:name="_Toc69737148"/>
      <w:r w:rsidRPr="00EB6ED3">
        <w:rPr>
          <w:rFonts w:ascii="Arial" w:eastAsia="SimSun" w:hAnsi="Arial" w:cs="Arial"/>
          <w:b/>
          <w:bCs/>
          <w:color w:val="000000" w:themeColor="text1"/>
          <w:lang w:val="en-US" w:eastAsia="zh-CN"/>
        </w:rPr>
        <w:t>Conclusion</w:t>
      </w:r>
      <w:bookmarkEnd w:id="12"/>
    </w:p>
    <w:p w14:paraId="10504B30" w14:textId="77777777" w:rsidR="00EB6ED3" w:rsidRPr="00EB6ED3" w:rsidRDefault="00EB6ED3" w:rsidP="00EB6ED3">
      <w:pPr>
        <w:spacing w:after="0" w:line="360" w:lineRule="auto"/>
        <w:rPr>
          <w:rFonts w:ascii="Arial" w:eastAsia="Times New Roman" w:hAnsi="Arial" w:cs="Arial"/>
          <w:color w:val="000000" w:themeColor="text1"/>
          <w:lang w:val="en-US" w:eastAsia="zh-CN"/>
        </w:rPr>
      </w:pPr>
    </w:p>
    <w:p w14:paraId="736129C1"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To conclude, from the analysis of the case study of Ali it can be said it was not his intention to kill the doorman. He just wanted to keep the doorman out of the way and focus on Collin more on the fight. He did not intend either for his punch to result in grievous bodily harm either. Although his intention was not to kill, he was sane and conscious to the fact that his punch would cause serious injury considering the doorman fell unconscious. However, it can be said that Ali had the intention to kill Collin. Collin did not retaliate in any way from being confronted by Ali but walked off as an attempt to avoid Ali and the situation. As Ali approached Collin but not the other way round and he had a knife, his intention was to hurt Collin. Perhaps he just wanted to hurt him in the attempt of making sure that Collin does not provide evidence against Ali about the night at the bar. Though Ali was not aware that this stabbing was be so severe that Collin would die. Ali should not prove his defence as he was aware of the consequences of both of his actions. He would therefore be held accountable for the murder of both the doorman and Collin. </w:t>
      </w:r>
    </w:p>
    <w:p w14:paraId="718BCF97"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1BA7C51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0E402F11"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4F5A4563"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13" w:name="_Toc69737149"/>
      <w:r w:rsidRPr="00EB6ED3">
        <w:rPr>
          <w:rFonts w:ascii="Arial" w:eastAsia="SimSun" w:hAnsi="Arial" w:cs="Arial"/>
          <w:b/>
          <w:bCs/>
          <w:color w:val="000000" w:themeColor="text1"/>
          <w:lang w:val="en-US" w:eastAsia="zh-CN"/>
        </w:rPr>
        <w:t>References</w:t>
      </w:r>
      <w:bookmarkEnd w:id="13"/>
      <w:r w:rsidRPr="00EB6ED3">
        <w:rPr>
          <w:rFonts w:ascii="Arial" w:eastAsia="SimSun" w:hAnsi="Arial" w:cs="Arial"/>
          <w:b/>
          <w:bCs/>
          <w:color w:val="000000" w:themeColor="text1"/>
          <w:lang w:val="en-US" w:eastAsia="zh-CN"/>
        </w:rPr>
        <w:t xml:space="preserve"> </w:t>
      </w:r>
    </w:p>
    <w:p w14:paraId="5524D93B" w14:textId="77777777" w:rsidR="00EB6ED3" w:rsidRPr="00EB6ED3" w:rsidRDefault="00EB6ED3" w:rsidP="00EB6ED3">
      <w:pPr>
        <w:spacing w:after="0" w:line="360" w:lineRule="auto"/>
        <w:rPr>
          <w:rFonts w:ascii="Arial" w:eastAsia="Times New Roman" w:hAnsi="Arial" w:cs="Arial"/>
          <w:color w:val="000000" w:themeColor="text1"/>
          <w:lang w:val="en-US" w:eastAsia="zh-CN"/>
        </w:rPr>
      </w:pPr>
    </w:p>
    <w:p w14:paraId="01AE865A" w14:textId="77777777" w:rsidR="00EB6ED3" w:rsidRPr="00EB6ED3" w:rsidRDefault="00EB6ED3" w:rsidP="00EB6ED3">
      <w:pPr>
        <w:spacing w:after="0" w:line="360" w:lineRule="auto"/>
        <w:ind w:left="720"/>
        <w:jc w:val="both"/>
        <w:rPr>
          <w:rFonts w:ascii="Arial" w:eastAsia="Times New Roman" w:hAnsi="Arial" w:cs="Arial"/>
          <w:color w:val="000000" w:themeColor="text1"/>
          <w:lang w:eastAsia="en-GB"/>
        </w:rPr>
      </w:pPr>
      <w:r w:rsidRPr="00EB6ED3">
        <w:rPr>
          <w:rFonts w:ascii="Arial" w:eastAsia="Times New Roman" w:hAnsi="Arial" w:cs="Arial"/>
          <w:i/>
          <w:iCs/>
          <w:color w:val="000000" w:themeColor="text1"/>
          <w:lang w:eastAsia="en-GB"/>
        </w:rPr>
        <w:t>Choice Reviews Online</w:t>
      </w:r>
      <w:r w:rsidRPr="00EB6ED3">
        <w:rPr>
          <w:rFonts w:ascii="Arial" w:eastAsia="Times New Roman" w:hAnsi="Arial" w:cs="Arial"/>
          <w:color w:val="000000" w:themeColor="text1"/>
          <w:shd w:val="clear" w:color="auto" w:fill="FFFFFF"/>
          <w:lang w:eastAsia="en-GB"/>
        </w:rPr>
        <w:t>, 2004. FindLaw: for legal professionals: (Formerly titled FindLaw: Internet legal resources). 41(12), pp.41Sup-0572-41Sup-0572.</w:t>
      </w:r>
    </w:p>
    <w:p w14:paraId="1F64DCF9" w14:textId="77777777" w:rsidR="00EB6ED3" w:rsidRPr="00EB6ED3" w:rsidRDefault="00EB6ED3" w:rsidP="00EB6ED3">
      <w:pPr>
        <w:spacing w:after="0" w:line="360" w:lineRule="auto"/>
        <w:ind w:left="720"/>
        <w:contextualSpacing/>
        <w:jc w:val="both"/>
        <w:rPr>
          <w:rFonts w:ascii="Arial" w:hAnsi="Arial" w:cs="Arial"/>
          <w:color w:val="000000" w:themeColor="text1"/>
          <w:shd w:val="clear" w:color="auto" w:fill="FFFFFF"/>
        </w:rPr>
      </w:pPr>
      <w:r w:rsidRPr="00EB6ED3">
        <w:rPr>
          <w:rFonts w:ascii="Arial" w:hAnsi="Arial" w:cs="Arial"/>
          <w:color w:val="000000" w:themeColor="text1"/>
          <w:shd w:val="clear" w:color="auto" w:fill="FFFFFF"/>
        </w:rPr>
        <w:t>Cps.gov.uk. 2021. </w:t>
      </w:r>
      <w:r w:rsidRPr="00EB6ED3">
        <w:rPr>
          <w:rFonts w:ascii="Arial" w:hAnsi="Arial" w:cs="Arial"/>
          <w:i/>
          <w:iCs/>
          <w:color w:val="000000" w:themeColor="text1"/>
        </w:rPr>
        <w:t>Homicide: Murder and Manslaughter | The Crown Prosecution Service</w:t>
      </w:r>
      <w:r w:rsidRPr="00EB6ED3">
        <w:rPr>
          <w:rFonts w:ascii="Arial" w:hAnsi="Arial" w:cs="Arial"/>
          <w:color w:val="000000" w:themeColor="text1"/>
          <w:shd w:val="clear" w:color="auto" w:fill="FFFFFF"/>
        </w:rPr>
        <w:t>. [online] Available at: &lt;https://www.cps.gov.uk/legal-guidance/homicide-murder-and-manslaughter&gt; [Accessed 19 April 2021].</w:t>
      </w:r>
    </w:p>
    <w:p w14:paraId="7B7E11B9" w14:textId="77777777" w:rsidR="00EB6ED3" w:rsidRPr="00EB6ED3" w:rsidRDefault="00EB6ED3" w:rsidP="00EB6ED3">
      <w:pPr>
        <w:spacing w:after="0" w:line="360" w:lineRule="auto"/>
        <w:ind w:left="720"/>
        <w:contextualSpacing/>
        <w:jc w:val="both"/>
        <w:rPr>
          <w:rFonts w:ascii="Arial" w:hAnsi="Arial" w:cs="Arial"/>
          <w:color w:val="000000" w:themeColor="text1"/>
        </w:rPr>
      </w:pPr>
      <w:r w:rsidRPr="00EB6ED3">
        <w:rPr>
          <w:rFonts w:ascii="Arial" w:hAnsi="Arial" w:cs="Arial"/>
          <w:color w:val="000000" w:themeColor="text1"/>
          <w:shd w:val="clear" w:color="auto" w:fill="FFFFFF"/>
        </w:rPr>
        <w:t>E-lawresources.co.uk. 2021. </w:t>
      </w:r>
      <w:proofErr w:type="spellStart"/>
      <w:r w:rsidRPr="00EB6ED3">
        <w:rPr>
          <w:rFonts w:ascii="Arial" w:hAnsi="Arial" w:cs="Arial"/>
          <w:i/>
          <w:iCs/>
          <w:color w:val="000000" w:themeColor="text1"/>
        </w:rPr>
        <w:t>M'Naghten</w:t>
      </w:r>
      <w:proofErr w:type="spellEnd"/>
      <w:r w:rsidRPr="00EB6ED3">
        <w:rPr>
          <w:rFonts w:ascii="Arial" w:hAnsi="Arial" w:cs="Arial"/>
          <w:color w:val="000000" w:themeColor="text1"/>
          <w:shd w:val="clear" w:color="auto" w:fill="FFFFFF"/>
        </w:rPr>
        <w:t>. [online] Available at: &lt;http://www.e-lawresources.co.uk/M%27Naghten.php&gt; [Accessed 19 April 2021].</w:t>
      </w:r>
    </w:p>
    <w:p w14:paraId="2E7AF22D" w14:textId="77777777" w:rsidR="00EB6ED3" w:rsidRPr="00EB6ED3" w:rsidRDefault="00EB6ED3" w:rsidP="00EB6ED3">
      <w:pPr>
        <w:spacing w:after="0" w:line="360" w:lineRule="auto"/>
        <w:ind w:left="720"/>
        <w:contextualSpacing/>
        <w:jc w:val="both"/>
        <w:rPr>
          <w:rFonts w:ascii="Arial" w:hAnsi="Arial" w:cs="Arial"/>
          <w:color w:val="000000" w:themeColor="text1"/>
          <w:shd w:val="clear" w:color="auto" w:fill="FFFFFF"/>
        </w:rPr>
      </w:pPr>
      <w:proofErr w:type="spellStart"/>
      <w:r w:rsidRPr="00EB6ED3">
        <w:rPr>
          <w:rFonts w:ascii="Arial" w:hAnsi="Arial" w:cs="Arial"/>
          <w:color w:val="000000" w:themeColor="text1"/>
          <w:shd w:val="clear" w:color="auto" w:fill="FFFFFF"/>
        </w:rPr>
        <w:t>Findlaw</w:t>
      </w:r>
      <w:proofErr w:type="spellEnd"/>
      <w:r w:rsidRPr="00EB6ED3">
        <w:rPr>
          <w:rFonts w:ascii="Arial" w:hAnsi="Arial" w:cs="Arial"/>
          <w:color w:val="000000" w:themeColor="text1"/>
          <w:shd w:val="clear" w:color="auto" w:fill="FFFFFF"/>
        </w:rPr>
        <w:t>. 2021. </w:t>
      </w:r>
      <w:r w:rsidRPr="00EB6ED3">
        <w:rPr>
          <w:rFonts w:ascii="Arial" w:hAnsi="Arial" w:cs="Arial"/>
          <w:i/>
          <w:iCs/>
          <w:color w:val="000000" w:themeColor="text1"/>
        </w:rPr>
        <w:t xml:space="preserve">The </w:t>
      </w:r>
      <w:proofErr w:type="spellStart"/>
      <w:r w:rsidRPr="00EB6ED3">
        <w:rPr>
          <w:rFonts w:ascii="Arial" w:hAnsi="Arial" w:cs="Arial"/>
          <w:i/>
          <w:iCs/>
          <w:color w:val="000000" w:themeColor="text1"/>
        </w:rPr>
        <w:t>M'Naghten</w:t>
      </w:r>
      <w:proofErr w:type="spellEnd"/>
      <w:r w:rsidRPr="00EB6ED3">
        <w:rPr>
          <w:rFonts w:ascii="Arial" w:hAnsi="Arial" w:cs="Arial"/>
          <w:i/>
          <w:iCs/>
          <w:color w:val="000000" w:themeColor="text1"/>
        </w:rPr>
        <w:t xml:space="preserve"> Rule - FindLaw</w:t>
      </w:r>
      <w:r w:rsidRPr="00EB6ED3">
        <w:rPr>
          <w:rFonts w:ascii="Arial" w:hAnsi="Arial" w:cs="Arial"/>
          <w:color w:val="000000" w:themeColor="text1"/>
          <w:shd w:val="clear" w:color="auto" w:fill="FFFFFF"/>
        </w:rPr>
        <w:t>. [online] Available at: &lt;https://www.findlaw.com/criminal/criminal-procedure/the-m-naghten-rule.html&gt; [Accessed 19 April 2021]</w:t>
      </w:r>
    </w:p>
    <w:p w14:paraId="3DA96783" w14:textId="77777777" w:rsidR="00EB6ED3" w:rsidRPr="00EB6ED3" w:rsidRDefault="00EB6ED3" w:rsidP="00EB6ED3">
      <w:pPr>
        <w:spacing w:after="0" w:line="360" w:lineRule="auto"/>
        <w:ind w:left="720"/>
        <w:contextualSpacing/>
        <w:jc w:val="both"/>
        <w:rPr>
          <w:rFonts w:ascii="Arial" w:hAnsi="Arial" w:cs="Arial"/>
          <w:color w:val="000000" w:themeColor="text1"/>
        </w:rPr>
      </w:pPr>
      <w:proofErr w:type="spellStart"/>
      <w:r w:rsidRPr="00EB6ED3">
        <w:rPr>
          <w:rFonts w:ascii="Arial" w:hAnsi="Arial" w:cs="Arial"/>
          <w:color w:val="000000" w:themeColor="text1"/>
          <w:shd w:val="clear" w:color="auto" w:fill="FFFFFF"/>
        </w:rPr>
        <w:t>Goudkamp</w:t>
      </w:r>
      <w:proofErr w:type="spellEnd"/>
      <w:r w:rsidRPr="00EB6ED3">
        <w:rPr>
          <w:rFonts w:ascii="Arial" w:hAnsi="Arial" w:cs="Arial"/>
          <w:color w:val="000000" w:themeColor="text1"/>
          <w:shd w:val="clear" w:color="auto" w:fill="FFFFFF"/>
        </w:rPr>
        <w:t>, J., 2011. Insanity as a Tort Defence.</w:t>
      </w:r>
      <w:r w:rsidRPr="00EB6ED3">
        <w:rPr>
          <w:rFonts w:ascii="Arial" w:eastAsia="SimSun" w:hAnsi="Arial" w:cs="Arial"/>
          <w:color w:val="000000" w:themeColor="text1"/>
          <w:shd w:val="clear" w:color="auto" w:fill="FFFFFF"/>
        </w:rPr>
        <w:t> </w:t>
      </w:r>
      <w:r w:rsidRPr="00EB6ED3">
        <w:rPr>
          <w:rFonts w:ascii="Arial" w:hAnsi="Arial" w:cs="Arial"/>
          <w:i/>
          <w:iCs/>
          <w:color w:val="000000" w:themeColor="text1"/>
        </w:rPr>
        <w:t>Oxford Journal of Legal Studies</w:t>
      </w:r>
      <w:r w:rsidRPr="00EB6ED3">
        <w:rPr>
          <w:rFonts w:ascii="Arial" w:hAnsi="Arial" w:cs="Arial"/>
          <w:color w:val="000000" w:themeColor="text1"/>
          <w:shd w:val="clear" w:color="auto" w:fill="FFFFFF"/>
        </w:rPr>
        <w:t>, 31(4), pp.727-754.</w:t>
      </w:r>
    </w:p>
    <w:p w14:paraId="26F4EB27" w14:textId="77777777" w:rsidR="00EB6ED3" w:rsidRPr="00EB6ED3" w:rsidRDefault="00EB6ED3" w:rsidP="00EB6ED3">
      <w:pPr>
        <w:spacing w:after="0" w:line="360" w:lineRule="auto"/>
        <w:ind w:left="720"/>
        <w:contextualSpacing/>
        <w:jc w:val="both"/>
        <w:rPr>
          <w:rFonts w:ascii="Arial" w:hAnsi="Arial" w:cs="Arial"/>
          <w:color w:val="000000" w:themeColor="text1"/>
          <w:shd w:val="clear" w:color="auto" w:fill="FFFFFF"/>
        </w:rPr>
      </w:pPr>
      <w:r w:rsidRPr="00EB6ED3">
        <w:rPr>
          <w:rFonts w:ascii="Arial" w:hAnsi="Arial" w:cs="Arial"/>
          <w:color w:val="000000" w:themeColor="text1"/>
          <w:shd w:val="clear" w:color="auto" w:fill="FFFFFF"/>
        </w:rPr>
        <w:lastRenderedPageBreak/>
        <w:t>Lexisnexis.co.uk. 2021. </w:t>
      </w:r>
      <w:r w:rsidRPr="00EB6ED3">
        <w:rPr>
          <w:rFonts w:ascii="Arial" w:hAnsi="Arial" w:cs="Arial"/>
          <w:i/>
          <w:iCs/>
          <w:color w:val="000000" w:themeColor="text1"/>
        </w:rPr>
        <w:t>Automatism | Legal Guidance | LexisNexis</w:t>
      </w:r>
      <w:r w:rsidRPr="00EB6ED3">
        <w:rPr>
          <w:rFonts w:ascii="Arial" w:hAnsi="Arial" w:cs="Arial"/>
          <w:color w:val="000000" w:themeColor="text1"/>
          <w:shd w:val="clear" w:color="auto" w:fill="FFFFFF"/>
        </w:rPr>
        <w:t>. [online] Available at: &lt;https://www.lexisnexis.co.uk/legal/guidance/automatism&gt; [Accessed 19 April 2021].</w:t>
      </w:r>
    </w:p>
    <w:p w14:paraId="1CEDF37D" w14:textId="77777777" w:rsidR="00EB6ED3" w:rsidRPr="00EB6ED3" w:rsidRDefault="00EB6ED3" w:rsidP="00EB6ED3">
      <w:pPr>
        <w:spacing w:after="0" w:line="360" w:lineRule="auto"/>
        <w:ind w:left="720"/>
        <w:contextualSpacing/>
        <w:jc w:val="both"/>
        <w:rPr>
          <w:rFonts w:ascii="Arial" w:hAnsi="Arial" w:cs="Arial"/>
          <w:color w:val="000000" w:themeColor="text1"/>
          <w:shd w:val="clear" w:color="auto" w:fill="FFFFFF"/>
        </w:rPr>
      </w:pPr>
      <w:r w:rsidRPr="00EB6ED3">
        <w:rPr>
          <w:rFonts w:ascii="Arial" w:hAnsi="Arial" w:cs="Arial"/>
          <w:color w:val="000000" w:themeColor="text1"/>
          <w:shd w:val="clear" w:color="auto" w:fill="FFFFFF"/>
        </w:rPr>
        <w:t>Lexisnexis.co.uk. 2021. </w:t>
      </w:r>
      <w:r w:rsidRPr="00EB6ED3">
        <w:rPr>
          <w:rFonts w:ascii="Arial" w:hAnsi="Arial" w:cs="Arial"/>
          <w:i/>
          <w:iCs/>
          <w:color w:val="000000" w:themeColor="text1"/>
        </w:rPr>
        <w:t>The defence of insanity | Legal Guidance | LexisNexis</w:t>
      </w:r>
      <w:r w:rsidRPr="00EB6ED3">
        <w:rPr>
          <w:rFonts w:ascii="Arial" w:hAnsi="Arial" w:cs="Arial"/>
          <w:color w:val="000000" w:themeColor="text1"/>
          <w:shd w:val="clear" w:color="auto" w:fill="FFFFFF"/>
        </w:rPr>
        <w:t>. [online] Available at: &lt;https://www.lexisnexis.co.uk/legal/guidance/the-defence-of-insanity&gt; [Accessed 19 April 2021].</w:t>
      </w:r>
    </w:p>
    <w:p w14:paraId="6FA2BE5A" w14:textId="77777777" w:rsidR="00EB6ED3" w:rsidRPr="00EB6ED3" w:rsidRDefault="00EB6ED3" w:rsidP="00EB6ED3">
      <w:pPr>
        <w:spacing w:after="0" w:line="360" w:lineRule="auto"/>
        <w:ind w:left="720"/>
        <w:contextualSpacing/>
        <w:jc w:val="both"/>
        <w:rPr>
          <w:rFonts w:ascii="Arial" w:hAnsi="Arial" w:cs="Arial"/>
          <w:color w:val="000000" w:themeColor="text1"/>
        </w:rPr>
      </w:pPr>
      <w:r w:rsidRPr="00EB6ED3">
        <w:rPr>
          <w:rFonts w:ascii="Arial" w:hAnsi="Arial" w:cs="Arial"/>
          <w:color w:val="000000" w:themeColor="text1"/>
          <w:shd w:val="clear" w:color="auto" w:fill="FFFFFF"/>
        </w:rPr>
        <w:t>Vocabulary.com. 2021. </w:t>
      </w:r>
      <w:r w:rsidRPr="00EB6ED3">
        <w:rPr>
          <w:rFonts w:ascii="Arial" w:hAnsi="Arial" w:cs="Arial"/>
          <w:i/>
          <w:iCs/>
          <w:color w:val="000000" w:themeColor="text1"/>
        </w:rPr>
        <w:t>mental disease - Dictionary Definition</w:t>
      </w:r>
      <w:r w:rsidRPr="00EB6ED3">
        <w:rPr>
          <w:rFonts w:ascii="Arial" w:hAnsi="Arial" w:cs="Arial"/>
          <w:color w:val="000000" w:themeColor="text1"/>
          <w:shd w:val="clear" w:color="auto" w:fill="FFFFFF"/>
        </w:rPr>
        <w:t>. [online] Available at: &lt;https://www.vocabulary.com/dictionary/mental%20disease&gt; [Accessed 19 April 2021].</w:t>
      </w:r>
    </w:p>
    <w:p w14:paraId="516D6886" w14:textId="77777777" w:rsidR="00EB6ED3" w:rsidRPr="00EB6ED3" w:rsidRDefault="00EB6ED3" w:rsidP="00EB6ED3">
      <w:pPr>
        <w:spacing w:after="0" w:line="360" w:lineRule="auto"/>
        <w:ind w:left="720"/>
        <w:contextualSpacing/>
        <w:rPr>
          <w:rFonts w:ascii="Arial" w:hAnsi="Arial" w:cs="Arial"/>
          <w:color w:val="000000" w:themeColor="text1"/>
        </w:rPr>
      </w:pPr>
    </w:p>
    <w:p w14:paraId="6D4FB0D2" w14:textId="77777777" w:rsidR="00EB6ED3" w:rsidRPr="00EB6ED3" w:rsidRDefault="00EB6ED3" w:rsidP="00EB6ED3">
      <w:pPr>
        <w:spacing w:after="0" w:line="360" w:lineRule="auto"/>
        <w:rPr>
          <w:rFonts w:ascii="Arial" w:eastAsia="Times New Roman" w:hAnsi="Arial" w:cs="Arial"/>
          <w:color w:val="000000" w:themeColor="text1"/>
          <w:lang w:val="en-US" w:eastAsia="zh-CN"/>
        </w:rPr>
      </w:pPr>
    </w:p>
    <w:p w14:paraId="253F67D2" w14:textId="77777777" w:rsidR="00EB6ED3" w:rsidRPr="00EB6ED3" w:rsidRDefault="00EB6ED3" w:rsidP="00EB6ED3">
      <w:pPr>
        <w:keepNext/>
        <w:keepLines/>
        <w:spacing w:before="200" w:after="0" w:line="360" w:lineRule="auto"/>
        <w:outlineLvl w:val="1"/>
        <w:rPr>
          <w:rFonts w:ascii="Arial" w:eastAsia="SimSun" w:hAnsi="Arial" w:cs="Arial"/>
          <w:b/>
          <w:bCs/>
          <w:color w:val="000000" w:themeColor="text1"/>
          <w:lang w:val="en-US" w:eastAsia="zh-CN"/>
        </w:rPr>
      </w:pPr>
      <w:bookmarkStart w:id="14" w:name="_Toc69737150"/>
      <w:r w:rsidRPr="00EB6ED3">
        <w:rPr>
          <w:rFonts w:ascii="Arial" w:eastAsia="SimSun" w:hAnsi="Arial" w:cs="Arial"/>
          <w:b/>
          <w:bCs/>
          <w:color w:val="000000" w:themeColor="text1"/>
          <w:lang w:val="en-US" w:eastAsia="zh-CN"/>
        </w:rPr>
        <w:t>Case Laws</w:t>
      </w:r>
      <w:bookmarkEnd w:id="14"/>
      <w:r w:rsidRPr="00EB6ED3">
        <w:rPr>
          <w:rFonts w:ascii="Arial" w:eastAsia="SimSun" w:hAnsi="Arial" w:cs="Arial"/>
          <w:b/>
          <w:bCs/>
          <w:color w:val="000000" w:themeColor="text1"/>
          <w:lang w:val="en-US" w:eastAsia="zh-CN"/>
        </w:rPr>
        <w:t xml:space="preserve"> </w:t>
      </w:r>
    </w:p>
    <w:p w14:paraId="0C7E9CC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p>
    <w:p w14:paraId="7050A487"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M’ </w:t>
      </w:r>
      <w:proofErr w:type="spellStart"/>
      <w:r w:rsidRPr="00EB6ED3">
        <w:rPr>
          <w:rFonts w:ascii="Arial" w:eastAsia="Times New Roman" w:hAnsi="Arial" w:cs="Arial"/>
          <w:color w:val="000000" w:themeColor="text1"/>
          <w:lang w:eastAsia="en-GB"/>
        </w:rPr>
        <w:t>Naghten</w:t>
      </w:r>
      <w:proofErr w:type="spellEnd"/>
      <w:r w:rsidRPr="00EB6ED3">
        <w:rPr>
          <w:rFonts w:ascii="Arial" w:eastAsia="Times New Roman" w:hAnsi="Arial" w:cs="Arial"/>
          <w:color w:val="000000" w:themeColor="text1"/>
          <w:lang w:eastAsia="en-GB"/>
        </w:rPr>
        <w:t xml:space="preserve"> Rules (1843)</w:t>
      </w:r>
    </w:p>
    <w:p w14:paraId="60C4B804"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R V Johnson (2007)</w:t>
      </w:r>
    </w:p>
    <w:p w14:paraId="75D45DB9"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R V Parks (1987)</w:t>
      </w:r>
    </w:p>
    <w:p w14:paraId="6F1C6E1A"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R v Hennessy (1989)</w:t>
      </w:r>
    </w:p>
    <w:p w14:paraId="30B8CADD"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 xml:space="preserve">R V </w:t>
      </w:r>
      <w:proofErr w:type="spellStart"/>
      <w:r w:rsidRPr="00EB6ED3">
        <w:rPr>
          <w:rFonts w:ascii="Arial" w:eastAsia="Times New Roman" w:hAnsi="Arial" w:cs="Arial"/>
          <w:color w:val="000000" w:themeColor="text1"/>
          <w:lang w:eastAsia="en-GB"/>
        </w:rPr>
        <w:t>Woolin</w:t>
      </w:r>
      <w:proofErr w:type="spellEnd"/>
      <w:r w:rsidRPr="00EB6ED3">
        <w:rPr>
          <w:rFonts w:ascii="Arial" w:eastAsia="Times New Roman" w:hAnsi="Arial" w:cs="Arial"/>
          <w:color w:val="000000" w:themeColor="text1"/>
          <w:lang w:eastAsia="en-GB"/>
        </w:rPr>
        <w:t xml:space="preserve"> (1999)</w:t>
      </w:r>
    </w:p>
    <w:p w14:paraId="3C4B5E05"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R V Larkin (1942)</w:t>
      </w:r>
    </w:p>
    <w:p w14:paraId="3262C893" w14:textId="77777777" w:rsidR="00EB6ED3" w:rsidRPr="00EB6ED3" w:rsidRDefault="00EB6ED3" w:rsidP="00EB6ED3">
      <w:pPr>
        <w:spacing w:after="0" w:line="360" w:lineRule="auto"/>
        <w:jc w:val="both"/>
        <w:rPr>
          <w:rFonts w:ascii="Arial" w:eastAsia="Times New Roman" w:hAnsi="Arial" w:cs="Arial"/>
          <w:color w:val="000000" w:themeColor="text1"/>
          <w:lang w:eastAsia="en-GB"/>
        </w:rPr>
      </w:pPr>
      <w:r w:rsidRPr="00EB6ED3">
        <w:rPr>
          <w:rFonts w:ascii="Arial" w:eastAsia="Times New Roman" w:hAnsi="Arial" w:cs="Arial"/>
          <w:color w:val="000000" w:themeColor="text1"/>
          <w:lang w:eastAsia="en-GB"/>
        </w:rPr>
        <w:t>R v Church (1965)</w:t>
      </w:r>
    </w:p>
    <w:p w14:paraId="6AEB714B" w14:textId="77777777" w:rsidR="00BF111A" w:rsidRDefault="00BF111A"/>
    <w:sectPr w:rsidR="00BF11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EBE5F" w14:textId="77777777" w:rsidR="00D86166" w:rsidRDefault="00D86166" w:rsidP="00EB6ED3">
      <w:pPr>
        <w:spacing w:after="0" w:line="240" w:lineRule="auto"/>
      </w:pPr>
      <w:r>
        <w:separator/>
      </w:r>
    </w:p>
  </w:endnote>
  <w:endnote w:type="continuationSeparator" w:id="0">
    <w:p w14:paraId="65B6F2CB" w14:textId="77777777" w:rsidR="00D86166" w:rsidRDefault="00D86166" w:rsidP="00EB6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3986D" w14:textId="77777777" w:rsidR="00D86166" w:rsidRDefault="00D86166" w:rsidP="00EB6ED3">
      <w:pPr>
        <w:spacing w:after="0" w:line="240" w:lineRule="auto"/>
      </w:pPr>
      <w:r>
        <w:separator/>
      </w:r>
    </w:p>
  </w:footnote>
  <w:footnote w:type="continuationSeparator" w:id="0">
    <w:p w14:paraId="02CC9CB3" w14:textId="77777777" w:rsidR="00D86166" w:rsidRDefault="00D86166" w:rsidP="00EB6E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6233"/>
    <w:multiLevelType w:val="hybridMultilevel"/>
    <w:tmpl w:val="16B8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ED3"/>
    <w:rsid w:val="0072225D"/>
    <w:rsid w:val="00BF111A"/>
    <w:rsid w:val="00D717BC"/>
    <w:rsid w:val="00D86166"/>
    <w:rsid w:val="00E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C4795"/>
  <w15:chartTrackingRefBased/>
  <w15:docId w15:val="{C440D6AB-D19D-4C59-A5CD-5CF6232CB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ED3"/>
  </w:style>
  <w:style w:type="paragraph" w:styleId="Footer">
    <w:name w:val="footer"/>
    <w:basedOn w:val="Normal"/>
    <w:link w:val="FooterChar"/>
    <w:uiPriority w:val="99"/>
    <w:unhideWhenUsed/>
    <w:rsid w:val="00EB6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ED3"/>
  </w:style>
  <w:style w:type="character" w:styleId="Hyperlink">
    <w:name w:val="Hyperlink"/>
    <w:basedOn w:val="DefaultParagraphFont"/>
    <w:uiPriority w:val="99"/>
    <w:unhideWhenUsed/>
    <w:rsid w:val="00EB6ED3"/>
    <w:rPr>
      <w:color w:val="0563C1" w:themeColor="hyperlink"/>
      <w:u w:val="single"/>
    </w:rPr>
  </w:style>
  <w:style w:type="character" w:styleId="UnresolvedMention">
    <w:name w:val="Unresolved Mention"/>
    <w:basedOn w:val="DefaultParagraphFont"/>
    <w:uiPriority w:val="99"/>
    <w:semiHidden/>
    <w:unhideWhenUsed/>
    <w:rsid w:val="00EB6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2452</Words>
  <Characters>13980</Characters>
  <Application>Microsoft Office Word</Application>
  <DocSecurity>0</DocSecurity>
  <Lines>116</Lines>
  <Paragraphs>32</Paragraphs>
  <ScaleCrop>false</ScaleCrop>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Khairuzzaman Rob (1915327)</dc:creator>
  <cp:keywords/>
  <dc:description/>
  <cp:lastModifiedBy>Khairuzzaman Rob (1915327)</cp:lastModifiedBy>
  <cp:revision>2</cp:revision>
  <dcterms:created xsi:type="dcterms:W3CDTF">2021-04-24T13:22:00Z</dcterms:created>
  <dcterms:modified xsi:type="dcterms:W3CDTF">2021-04-24T13:22:00Z</dcterms:modified>
</cp:coreProperties>
</file>