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259" w:rsidRDefault="004166EA">
      <w:r>
        <w:fldChar w:fldCharType="begin"/>
      </w:r>
      <w:r>
        <w:instrText xml:space="preserve"> HYPERLINK "</w:instrText>
      </w:r>
      <w:r w:rsidRPr="004166EA">
        <w:instrText>http://www.csrquest.net/default.aspx?articleID=13133</w:instrText>
      </w:r>
      <w:r>
        <w:instrText xml:space="preserve">" </w:instrText>
      </w:r>
      <w:r>
        <w:fldChar w:fldCharType="separate"/>
      </w:r>
      <w:r w:rsidRPr="00BD47E2">
        <w:rPr>
          <w:rStyle w:val="Hyperlink"/>
        </w:rPr>
        <w:t>http://www.csrquest.net/default.aspx?articleID=13133</w:t>
      </w:r>
      <w:r>
        <w:fldChar w:fldCharType="end"/>
      </w:r>
    </w:p>
    <w:p w:rsidR="004166EA" w:rsidRDefault="004166EA">
      <w:r>
        <w:t>Accessed 10-10-14</w:t>
      </w:r>
      <w:bookmarkStart w:id="0" w:name="_GoBack"/>
      <w:bookmarkEnd w:id="0"/>
    </w:p>
    <w:p w:rsidR="004166EA" w:rsidRDefault="004166EA"/>
    <w:tbl>
      <w:tblPr>
        <w:tblW w:w="5000" w:type="pct"/>
        <w:tblCellSpacing w:w="0" w:type="dxa"/>
        <w:tblCellMar>
          <w:left w:w="0" w:type="dxa"/>
          <w:right w:w="0" w:type="dxa"/>
        </w:tblCellMar>
        <w:tblLook w:val="04A0" w:firstRow="1" w:lastRow="0" w:firstColumn="1" w:lastColumn="0" w:noHBand="0" w:noVBand="1"/>
      </w:tblPr>
      <w:tblGrid>
        <w:gridCol w:w="127"/>
        <w:gridCol w:w="8899"/>
      </w:tblGrid>
      <w:tr w:rsidR="004166EA" w:rsidRPr="004166EA">
        <w:trPr>
          <w:trHeight w:val="300"/>
          <w:tblCellSpacing w:w="0" w:type="dxa"/>
        </w:trPr>
        <w:tc>
          <w:tcPr>
            <w:tcW w:w="0" w:type="auto"/>
            <w:gridSpan w:val="2"/>
            <w:vAlign w:val="center"/>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4166EA" w:rsidRPr="004166EA">
              <w:trPr>
                <w:tblCellSpacing w:w="0" w:type="dxa"/>
              </w:trPr>
              <w:tc>
                <w:tcPr>
                  <w:tcW w:w="0" w:type="auto"/>
                  <w:vAlign w:val="center"/>
                  <w:hideMark/>
                </w:tcPr>
                <w:p w:rsidR="004166EA" w:rsidRPr="004166EA" w:rsidRDefault="004166EA" w:rsidP="004166EA">
                  <w:pPr>
                    <w:spacing w:after="0" w:line="240" w:lineRule="auto"/>
                    <w:rPr>
                      <w:rFonts w:ascii="Arial" w:eastAsia="Times New Roman" w:hAnsi="Arial" w:cs="Arial"/>
                      <w:sz w:val="16"/>
                      <w:szCs w:val="16"/>
                      <w:lang w:eastAsia="en-GB"/>
                    </w:rPr>
                  </w:pPr>
                  <w:r w:rsidRPr="004166EA">
                    <w:rPr>
                      <w:rFonts w:ascii="Verdana" w:eastAsia="Times New Roman" w:hAnsi="Verdana" w:cs="Arial"/>
                      <w:b/>
                      <w:bCs/>
                      <w:color w:val="000000"/>
                      <w:sz w:val="20"/>
                      <w:szCs w:val="20"/>
                      <w:lang w:eastAsia="en-GB"/>
                    </w:rPr>
                    <w:t>Corporate responsibility drivers</w:t>
                  </w:r>
                </w:p>
              </w:tc>
            </w:tr>
          </w:tbl>
          <w:p w:rsidR="004166EA" w:rsidRPr="004166EA" w:rsidRDefault="004166EA" w:rsidP="004166EA">
            <w:pPr>
              <w:spacing w:after="0" w:line="240" w:lineRule="auto"/>
              <w:rPr>
                <w:rFonts w:ascii="Arial" w:eastAsia="Times New Roman" w:hAnsi="Arial" w:cs="Arial"/>
                <w:sz w:val="16"/>
                <w:szCs w:val="16"/>
                <w:lang w:eastAsia="en-GB"/>
              </w:rPr>
            </w:pPr>
          </w:p>
        </w:tc>
      </w:tr>
      <w:tr w:rsidR="004166EA" w:rsidRPr="004166EA">
        <w:trPr>
          <w:tblCellSpacing w:w="0" w:type="dxa"/>
        </w:trPr>
        <w:tc>
          <w:tcPr>
            <w:tcW w:w="120" w:type="dxa"/>
            <w:vAlign w:val="center"/>
            <w:hideMark/>
          </w:tcPr>
          <w:p w:rsidR="004166EA" w:rsidRPr="004166EA" w:rsidRDefault="004166EA" w:rsidP="004166EA">
            <w:pPr>
              <w:spacing w:after="0" w:line="240" w:lineRule="auto"/>
              <w:rPr>
                <w:rFonts w:ascii="Arial" w:eastAsia="Times New Roman" w:hAnsi="Arial" w:cs="Arial"/>
                <w:sz w:val="16"/>
                <w:szCs w:val="16"/>
                <w:lang w:eastAsia="en-GB"/>
              </w:rPr>
            </w:pPr>
            <w:r w:rsidRPr="004166EA">
              <w:rPr>
                <w:rFonts w:ascii="Arial" w:eastAsia="Times New Roman" w:hAnsi="Arial" w:cs="Arial"/>
                <w:sz w:val="16"/>
                <w:szCs w:val="16"/>
                <w:lang w:eastAsia="en-GB"/>
              </w:rPr>
              <w:t xml:space="preserve">   </w:t>
            </w:r>
          </w:p>
        </w:tc>
        <w:tc>
          <w:tcPr>
            <w:tcW w:w="150" w:type="dxa"/>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64"/>
              <w:gridCol w:w="1935"/>
            </w:tblGrid>
            <w:tr w:rsidR="004166EA" w:rsidRPr="004166EA">
              <w:trPr>
                <w:tblCellSpacing w:w="15" w:type="dxa"/>
              </w:trPr>
              <w:tc>
                <w:tcPr>
                  <w:tcW w:w="0" w:type="auto"/>
                  <w:vAlign w:val="center"/>
                  <w:hideMark/>
                </w:tcPr>
                <w:p w:rsidR="004166EA" w:rsidRPr="004166EA" w:rsidRDefault="004166EA" w:rsidP="004166EA">
                  <w:pPr>
                    <w:spacing w:after="0" w:line="360" w:lineRule="auto"/>
                    <w:rPr>
                      <w:rFonts w:ascii="Times New Roman" w:eastAsia="Times New Roman" w:hAnsi="Times New Roman" w:cs="Times New Roman"/>
                      <w:color w:val="000000"/>
                      <w:sz w:val="24"/>
                      <w:szCs w:val="24"/>
                      <w:lang w:eastAsia="en-GB"/>
                    </w:rPr>
                  </w:pPr>
                  <w:r w:rsidRPr="004166EA">
                    <w:rPr>
                      <w:rFonts w:ascii="Times New Roman" w:eastAsia="Times New Roman" w:hAnsi="Times New Roman" w:cs="Times New Roman"/>
                      <w:color w:val="000000"/>
                      <w:sz w:val="16"/>
                      <w:szCs w:val="16"/>
                      <w:lang w:eastAsia="en-GB"/>
                    </w:rPr>
                    <w:t>The main driving forces for corporate responsibility are investor and consumer demands and governmental and public pressures as shown in the following diagram.   </w:t>
                  </w:r>
                  <w:r w:rsidRPr="004166EA">
                    <w:rPr>
                      <w:rFonts w:ascii="Times New Roman" w:eastAsia="Times New Roman" w:hAnsi="Times New Roman" w:cs="Times New Roman"/>
                      <w:color w:val="000000"/>
                      <w:sz w:val="16"/>
                      <w:szCs w:val="16"/>
                      <w:lang w:eastAsia="en-GB"/>
                    </w:rPr>
                    <w:br/>
                  </w:r>
                  <w:r w:rsidRPr="004166EA">
                    <w:rPr>
                      <w:rFonts w:ascii="Times New Roman" w:eastAsia="Times New Roman" w:hAnsi="Times New Roman" w:cs="Times New Roman"/>
                      <w:color w:val="000000"/>
                      <w:sz w:val="16"/>
                      <w:szCs w:val="16"/>
                      <w:lang w:eastAsia="en-GB"/>
                    </w:rPr>
                    <w:br/>
                    <w:t>                     </w:t>
                  </w:r>
                  <w:r w:rsidRPr="004166EA">
                    <w:rPr>
                      <w:rFonts w:ascii="Times New Roman" w:eastAsia="Times New Roman" w:hAnsi="Times New Roman" w:cs="Times New Roman"/>
                      <w:noProof/>
                      <w:color w:val="000000"/>
                      <w:sz w:val="16"/>
                      <w:szCs w:val="16"/>
                      <w:lang w:eastAsia="en-GB"/>
                    </w:rPr>
                    <w:drawing>
                      <wp:inline distT="0" distB="0" distL="0" distR="0" wp14:anchorId="091AB9F3" wp14:editId="615C5AFE">
                        <wp:extent cx="3524250" cy="2781300"/>
                        <wp:effectExtent l="0" t="0" r="0" b="0"/>
                        <wp:docPr id="1" name="Picture 1" descr="http://www.csrquest.net/imagefiles/Drving%20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srquest.net/imagefiles/Drving%20force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0" cy="2781300"/>
                                </a:xfrm>
                                <a:prstGeom prst="rect">
                                  <a:avLst/>
                                </a:prstGeom>
                                <a:noFill/>
                                <a:ln>
                                  <a:noFill/>
                                </a:ln>
                              </pic:spPr>
                            </pic:pic>
                          </a:graphicData>
                        </a:graphic>
                      </wp:inline>
                    </w:drawing>
                  </w:r>
                  <w:r w:rsidRPr="004166EA">
                    <w:rPr>
                      <w:rFonts w:ascii="Times New Roman" w:eastAsia="Times New Roman" w:hAnsi="Times New Roman" w:cs="Times New Roman"/>
                      <w:color w:val="000000"/>
                      <w:sz w:val="16"/>
                      <w:szCs w:val="16"/>
                      <w:lang w:eastAsia="en-GB"/>
                    </w:rPr>
                    <w:br/>
                  </w:r>
                  <w:r w:rsidRPr="004166EA">
                    <w:rPr>
                      <w:rFonts w:ascii="Times New Roman" w:eastAsia="Times New Roman" w:hAnsi="Times New Roman" w:cs="Times New Roman"/>
                      <w:color w:val="000000"/>
                      <w:sz w:val="16"/>
                      <w:szCs w:val="16"/>
                      <w:lang w:eastAsia="en-GB"/>
                    </w:rPr>
                    <w:br/>
                    <w:t xml:space="preserve">Governments are tightening corporate governance and </w:t>
                  </w:r>
                  <w:proofErr w:type="spellStart"/>
                  <w:r w:rsidRPr="004166EA">
                    <w:rPr>
                      <w:rFonts w:ascii="Times New Roman" w:eastAsia="Times New Roman" w:hAnsi="Times New Roman" w:cs="Times New Roman"/>
                      <w:color w:val="000000"/>
                      <w:sz w:val="16"/>
                      <w:szCs w:val="16"/>
                      <w:lang w:eastAsia="en-GB"/>
                    </w:rPr>
                    <w:t>sectoral</w:t>
                  </w:r>
                  <w:proofErr w:type="spellEnd"/>
                  <w:r w:rsidRPr="004166EA">
                    <w:rPr>
                      <w:rFonts w:ascii="Times New Roman" w:eastAsia="Times New Roman" w:hAnsi="Times New Roman" w:cs="Times New Roman"/>
                      <w:color w:val="000000"/>
                      <w:sz w:val="16"/>
                      <w:szCs w:val="16"/>
                      <w:lang w:eastAsia="en-GB"/>
                    </w:rPr>
                    <w:t xml:space="preserve"> compulsory standards making self-regulation an appealing option for most businesses. </w:t>
                  </w:r>
                  <w:r w:rsidRPr="004166EA">
                    <w:rPr>
                      <w:rFonts w:ascii="Times New Roman" w:eastAsia="Times New Roman" w:hAnsi="Times New Roman" w:cs="Times New Roman"/>
                      <w:color w:val="000000"/>
                      <w:sz w:val="16"/>
                      <w:szCs w:val="16"/>
                      <w:lang w:eastAsia="en-GB"/>
                    </w:rPr>
                    <w:br/>
                  </w:r>
                </w:p>
                <w:p w:rsidR="004166EA" w:rsidRPr="004166EA" w:rsidRDefault="004166EA" w:rsidP="004166EA">
                  <w:pPr>
                    <w:spacing w:after="0" w:line="360" w:lineRule="auto"/>
                    <w:rPr>
                      <w:rFonts w:ascii="Times New Roman" w:eastAsia="Times New Roman" w:hAnsi="Times New Roman" w:cs="Times New Roman"/>
                      <w:color w:val="000000"/>
                      <w:sz w:val="24"/>
                      <w:szCs w:val="24"/>
                      <w:lang w:eastAsia="en-GB"/>
                    </w:rPr>
                  </w:pPr>
                  <w:r w:rsidRPr="004166EA">
                    <w:rPr>
                      <w:rFonts w:ascii="Times New Roman" w:eastAsia="Times New Roman" w:hAnsi="Times New Roman" w:cs="Times New Roman"/>
                      <w:color w:val="000000"/>
                      <w:sz w:val="16"/>
                      <w:szCs w:val="16"/>
                      <w:lang w:eastAsia="en-GB"/>
                    </w:rPr>
                    <w:br/>
                    <w:t>The loss of public confidence in the corporate word drives the markets down and therefore has a significant impact on the value and growth potential for many companies. As a consequence, public expectations on corporate integrity and ethical operations are particularly important drivers for corporate responsibility. </w:t>
                  </w:r>
                  <w:r w:rsidRPr="004166EA">
                    <w:rPr>
                      <w:rFonts w:ascii="Times New Roman" w:eastAsia="Times New Roman" w:hAnsi="Times New Roman" w:cs="Times New Roman"/>
                      <w:color w:val="000000"/>
                      <w:sz w:val="16"/>
                      <w:szCs w:val="16"/>
                      <w:lang w:eastAsia="en-GB"/>
                    </w:rPr>
                    <w:br/>
                  </w:r>
                  <w:r w:rsidRPr="004166EA">
                    <w:rPr>
                      <w:rFonts w:ascii="Times New Roman" w:eastAsia="Times New Roman" w:hAnsi="Times New Roman" w:cs="Times New Roman"/>
                      <w:color w:val="000000"/>
                      <w:sz w:val="16"/>
                      <w:szCs w:val="16"/>
                      <w:lang w:eastAsia="en-GB"/>
                    </w:rPr>
                    <w:br/>
                    <w:t>Consumers are increasingly exercising their green buying power exerting pressure on companies to address their environment impact and to invest in ‘environmentally friendly products’. The Code of Practice for Transnational Corporations initiated by the UN  in the early 1970’s, in collaboration with many organisations including Consumer International, defined what consumers expect from businesses in terms of ethics, product standards, competition, marketing and disclosure of information. </w:t>
                  </w:r>
                  <w:r w:rsidRPr="004166EA">
                    <w:rPr>
                      <w:rFonts w:ascii="Times New Roman" w:eastAsia="Times New Roman" w:hAnsi="Times New Roman" w:cs="Times New Roman"/>
                      <w:color w:val="000000"/>
                      <w:sz w:val="16"/>
                      <w:szCs w:val="16"/>
                      <w:lang w:eastAsia="en-GB"/>
                    </w:rPr>
                    <w:br/>
                  </w:r>
                </w:p>
                <w:p w:rsidR="004166EA" w:rsidRPr="004166EA" w:rsidRDefault="004166EA" w:rsidP="004166EA">
                  <w:pPr>
                    <w:spacing w:after="0" w:line="240" w:lineRule="auto"/>
                    <w:rPr>
                      <w:rFonts w:ascii="Times New Roman" w:eastAsia="Times New Roman" w:hAnsi="Times New Roman" w:cs="Times New Roman"/>
                      <w:sz w:val="24"/>
                      <w:szCs w:val="24"/>
                      <w:lang w:eastAsia="en-GB"/>
                    </w:rPr>
                  </w:pPr>
                  <w:r w:rsidRPr="004166EA">
                    <w:rPr>
                      <w:rFonts w:ascii="Verdana" w:eastAsia="Times New Roman" w:hAnsi="Verdana" w:cs="Times New Roman"/>
                      <w:sz w:val="16"/>
                      <w:szCs w:val="16"/>
                      <w:lang w:eastAsia="en-GB"/>
                    </w:rPr>
                    <w:br/>
                    <w:t xml:space="preserve">Finally the growth of a strong Socially Responsible Investment movement gives distinct advantages to companies performing well on sustainability criteria and therefore provides a key driving force for improved corporate responsibility practices. </w:t>
                  </w:r>
                  <w:r w:rsidRPr="004166EA">
                    <w:rPr>
                      <w:rFonts w:ascii="Verdana" w:eastAsia="Times New Roman" w:hAnsi="Verdana" w:cs="Times New Roman"/>
                      <w:sz w:val="16"/>
                      <w:szCs w:val="16"/>
                      <w:lang w:eastAsia="en-GB"/>
                    </w:rPr>
                    <w:br/>
                  </w:r>
                  <w:r w:rsidRPr="004166EA">
                    <w:rPr>
                      <w:rFonts w:ascii="Verdana" w:eastAsia="Times New Roman" w:hAnsi="Verdana" w:cs="Times New Roman"/>
                      <w:sz w:val="16"/>
                      <w:szCs w:val="16"/>
                      <w:lang w:eastAsia="en-GB"/>
                    </w:rPr>
                    <w:br/>
                    <w:t xml:space="preserve">The increasing interest in social responsibilities can be associated with various factors, from stabilising markets to avoiding increased regulation, to taking advantage of ‘green’ consumer preferences and to doing the ‘right thing’ to strengthen the corporate reputation. </w:t>
                  </w:r>
                  <w:r w:rsidRPr="004166EA">
                    <w:rPr>
                      <w:rFonts w:ascii="Verdana" w:eastAsia="Times New Roman" w:hAnsi="Verdana" w:cs="Times New Roman"/>
                      <w:sz w:val="16"/>
                      <w:szCs w:val="16"/>
                      <w:lang w:eastAsia="en-GB"/>
                    </w:rPr>
                    <w:br/>
                    <w:t xml:space="preserve">However, possibly the primary driving force is the recognition by an increasing </w:t>
                  </w:r>
                  <w:r w:rsidRPr="004166EA">
                    <w:rPr>
                      <w:rFonts w:ascii="Verdana" w:eastAsia="Times New Roman" w:hAnsi="Verdana" w:cs="Times New Roman"/>
                      <w:sz w:val="16"/>
                      <w:szCs w:val="16"/>
                      <w:lang w:eastAsia="en-GB"/>
                    </w:rPr>
                    <w:lastRenderedPageBreak/>
                    <w:t xml:space="preserve">number of people that it is time for a fundamental change in the role of businesses in a world that has to develop in a sustainable manner. </w:t>
                  </w:r>
                  <w:r w:rsidRPr="004166EA">
                    <w:rPr>
                      <w:rFonts w:ascii="Verdana" w:eastAsia="Times New Roman" w:hAnsi="Verdana" w:cs="Times New Roman"/>
                      <w:color w:val="000000"/>
                      <w:sz w:val="16"/>
                      <w:szCs w:val="16"/>
                      <w:lang w:eastAsia="en-GB"/>
                    </w:rPr>
                    <w:t xml:space="preserve">This strengthens the motivation for companies to join the relatively few companies that have adopted </w:t>
                  </w:r>
                  <w:hyperlink r:id="rId6" w:history="1">
                    <w:r w:rsidRPr="004166EA">
                      <w:rPr>
                        <w:rFonts w:ascii="Verdana" w:eastAsia="Times New Roman" w:hAnsi="Verdana" w:cs="Arial"/>
                        <w:color w:val="1773B1"/>
                        <w:sz w:val="16"/>
                        <w:szCs w:val="16"/>
                        <w:lang w:eastAsia="en-GB"/>
                      </w:rPr>
                      <w:t>corporate responsibility and sustainability as a business philosophy</w:t>
                    </w:r>
                  </w:hyperlink>
                  <w:r w:rsidRPr="004166EA">
                    <w:rPr>
                      <w:rFonts w:ascii="Verdana" w:eastAsia="Times New Roman" w:hAnsi="Verdana" w:cs="Times New Roman"/>
                      <w:color w:val="000000"/>
                      <w:sz w:val="16"/>
                      <w:szCs w:val="16"/>
                      <w:lang w:eastAsia="en-GB"/>
                    </w:rPr>
                    <w:t>.</w:t>
                  </w:r>
                </w:p>
                <w:p w:rsidR="004166EA" w:rsidRPr="004166EA" w:rsidRDefault="004166EA" w:rsidP="004166EA">
                  <w:pPr>
                    <w:spacing w:after="0" w:line="240" w:lineRule="auto"/>
                    <w:rPr>
                      <w:rFonts w:ascii="Times New Roman" w:eastAsia="Times New Roman" w:hAnsi="Times New Roman" w:cs="Times New Roman"/>
                      <w:sz w:val="24"/>
                      <w:szCs w:val="24"/>
                      <w:lang w:eastAsia="en-GB"/>
                    </w:rPr>
                  </w:pPr>
                  <w:r w:rsidRPr="004166EA">
                    <w:rPr>
                      <w:rFonts w:ascii="Times New Roman" w:eastAsia="Times New Roman" w:hAnsi="Times New Roman" w:cs="Times New Roman"/>
                      <w:sz w:val="24"/>
                      <w:szCs w:val="24"/>
                      <w:lang w:eastAsia="en-GB"/>
                    </w:rPr>
                    <w:t> </w:t>
                  </w:r>
                </w:p>
              </w:tc>
              <w:tc>
                <w:tcPr>
                  <w:tcW w:w="1800" w:type="dxa"/>
                  <w:shd w:val="clear" w:color="auto" w:fill="EDF0ED"/>
                  <w:vAlign w:val="center"/>
                  <w:hideMark/>
                </w:tcPr>
                <w:p w:rsidR="004166EA" w:rsidRPr="004166EA" w:rsidRDefault="004166EA" w:rsidP="004166EA">
                  <w:pPr>
                    <w:spacing w:before="120" w:after="0" w:line="240" w:lineRule="auto"/>
                    <w:jc w:val="center"/>
                    <w:outlineLvl w:val="2"/>
                    <w:rPr>
                      <w:rFonts w:ascii="Arial" w:eastAsia="Times New Roman" w:hAnsi="Arial" w:cs="Arial"/>
                      <w:b/>
                      <w:bCs/>
                      <w:color w:val="FFFFFF"/>
                      <w:sz w:val="27"/>
                      <w:szCs w:val="27"/>
                      <w:lang w:eastAsia="en-GB"/>
                    </w:rPr>
                  </w:pPr>
                  <w:hyperlink r:id="rId7" w:history="1">
                    <w:r w:rsidRPr="004166EA">
                      <w:rPr>
                        <w:rFonts w:ascii="Verdana" w:eastAsia="Times New Roman" w:hAnsi="Verdana" w:cs="Arial"/>
                        <w:color w:val="1773B1"/>
                        <w:sz w:val="16"/>
                        <w:szCs w:val="16"/>
                        <w:lang w:eastAsia="en-GB"/>
                      </w:rPr>
                      <w:t>The evolution of corporate regulation</w:t>
                    </w:r>
                  </w:hyperlink>
                </w:p>
                <w:p w:rsidR="004166EA" w:rsidRPr="004166EA" w:rsidRDefault="004166EA" w:rsidP="004166EA">
                  <w:pPr>
                    <w:spacing w:before="120" w:after="270" w:line="360" w:lineRule="auto"/>
                    <w:jc w:val="center"/>
                    <w:outlineLvl w:val="2"/>
                    <w:rPr>
                      <w:rFonts w:ascii="Arial" w:eastAsia="Times New Roman" w:hAnsi="Arial" w:cs="Arial"/>
                      <w:b/>
                      <w:bCs/>
                      <w:color w:val="FFFFFF"/>
                      <w:sz w:val="27"/>
                      <w:szCs w:val="27"/>
                      <w:lang w:eastAsia="en-GB"/>
                    </w:rPr>
                  </w:pPr>
                  <w:bookmarkStart w:id="1" w:name="_Toc130523844"/>
                  <w:r w:rsidRPr="004166EA">
                    <w:rPr>
                      <w:rFonts w:ascii="Arial" w:eastAsia="Times New Roman" w:hAnsi="Arial" w:cs="Arial"/>
                      <w:b/>
                      <w:bCs/>
                      <w:color w:val="FFFFFF"/>
                      <w:sz w:val="27"/>
                      <w:szCs w:val="27"/>
                      <w:lang w:eastAsia="en-GB"/>
                    </w:rPr>
                    <w:br/>
                  </w:r>
                  <w:hyperlink r:id="rId8" w:history="1">
                    <w:r w:rsidRPr="004166EA">
                      <w:rPr>
                        <w:rFonts w:ascii="Verdana" w:eastAsia="Times New Roman" w:hAnsi="Verdana" w:cs="Arial"/>
                        <w:color w:val="1773B1"/>
                        <w:sz w:val="16"/>
                        <w:szCs w:val="16"/>
                        <w:lang w:eastAsia="en-GB"/>
                      </w:rPr>
                      <w:t>Green buying and ‘environmentally friendly products’</w:t>
                    </w:r>
                  </w:hyperlink>
                </w:p>
                <w:bookmarkStart w:id="2" w:name="_Toc130523845"/>
                <w:p w:rsidR="004166EA" w:rsidRPr="004166EA" w:rsidRDefault="004166EA" w:rsidP="004166EA">
                  <w:pPr>
                    <w:spacing w:before="120" w:after="0" w:line="360" w:lineRule="auto"/>
                    <w:jc w:val="center"/>
                    <w:outlineLvl w:val="2"/>
                    <w:rPr>
                      <w:rFonts w:ascii="Arial" w:eastAsia="Times New Roman" w:hAnsi="Arial" w:cs="Arial"/>
                      <w:b/>
                      <w:bCs/>
                      <w:color w:val="FFFFFF"/>
                      <w:sz w:val="27"/>
                      <w:szCs w:val="27"/>
                      <w:lang w:eastAsia="en-GB"/>
                    </w:rPr>
                  </w:pPr>
                  <w:r w:rsidRPr="004166EA">
                    <w:rPr>
                      <w:rFonts w:ascii="Arial" w:eastAsia="Times New Roman" w:hAnsi="Arial" w:cs="Arial"/>
                      <w:b/>
                      <w:bCs/>
                      <w:color w:val="FFFFFF"/>
                      <w:sz w:val="27"/>
                      <w:szCs w:val="27"/>
                      <w:lang w:eastAsia="en-GB"/>
                    </w:rPr>
                    <w:fldChar w:fldCharType="begin"/>
                  </w:r>
                  <w:r w:rsidRPr="004166EA">
                    <w:rPr>
                      <w:rFonts w:ascii="Arial" w:eastAsia="Times New Roman" w:hAnsi="Arial" w:cs="Arial"/>
                      <w:b/>
                      <w:bCs/>
                      <w:color w:val="FFFFFF"/>
                      <w:sz w:val="27"/>
                      <w:szCs w:val="27"/>
                      <w:lang w:eastAsia="en-GB"/>
                    </w:rPr>
                    <w:instrText xml:space="preserve"> HYPERLINK "http://www.csrquest.net/default.aspx?articleID=13139&amp;heading=" </w:instrText>
                  </w:r>
                  <w:r w:rsidRPr="004166EA">
                    <w:rPr>
                      <w:rFonts w:ascii="Arial" w:eastAsia="Times New Roman" w:hAnsi="Arial" w:cs="Arial"/>
                      <w:b/>
                      <w:bCs/>
                      <w:color w:val="FFFFFF"/>
                      <w:sz w:val="27"/>
                      <w:szCs w:val="27"/>
                      <w:lang w:eastAsia="en-GB"/>
                    </w:rPr>
                    <w:fldChar w:fldCharType="separate"/>
                  </w:r>
                  <w:r w:rsidRPr="004166EA">
                    <w:rPr>
                      <w:rFonts w:ascii="Verdana" w:eastAsia="Times New Roman" w:hAnsi="Verdana" w:cs="Arial"/>
                      <w:color w:val="1773B1"/>
                      <w:sz w:val="16"/>
                      <w:szCs w:val="16"/>
                      <w:lang w:eastAsia="en-GB"/>
                    </w:rPr>
                    <w:t>Socially Responsible Investment (SRI)</w:t>
                  </w:r>
                  <w:r w:rsidRPr="004166EA">
                    <w:rPr>
                      <w:rFonts w:ascii="Arial" w:eastAsia="Times New Roman" w:hAnsi="Arial" w:cs="Arial"/>
                      <w:b/>
                      <w:bCs/>
                      <w:color w:val="FFFFFF"/>
                      <w:sz w:val="27"/>
                      <w:szCs w:val="27"/>
                      <w:lang w:eastAsia="en-GB"/>
                    </w:rPr>
                    <w:fldChar w:fldCharType="end"/>
                  </w:r>
                  <w:bookmarkEnd w:id="1"/>
                  <w:bookmarkEnd w:id="2"/>
                </w:p>
              </w:tc>
            </w:tr>
            <w:tr w:rsidR="004166EA" w:rsidRPr="004166EA">
              <w:trPr>
                <w:tblCellSpacing w:w="15" w:type="dxa"/>
              </w:trPr>
              <w:tc>
                <w:tcPr>
                  <w:tcW w:w="0" w:type="auto"/>
                  <w:shd w:val="clear" w:color="auto" w:fill="EDF0ED"/>
                  <w:vAlign w:val="center"/>
                  <w:hideMark/>
                </w:tcPr>
                <w:p w:rsidR="004166EA" w:rsidRPr="004166EA" w:rsidRDefault="004166EA" w:rsidP="004166EA">
                  <w:pPr>
                    <w:spacing w:after="0" w:line="240" w:lineRule="auto"/>
                    <w:rPr>
                      <w:rFonts w:ascii="Arial" w:eastAsia="Times New Roman" w:hAnsi="Arial" w:cs="Arial"/>
                      <w:sz w:val="16"/>
                      <w:szCs w:val="16"/>
                      <w:lang w:eastAsia="en-GB"/>
                    </w:rPr>
                  </w:pPr>
                </w:p>
              </w:tc>
              <w:tc>
                <w:tcPr>
                  <w:tcW w:w="0" w:type="auto"/>
                  <w:vAlign w:val="center"/>
                  <w:hideMark/>
                </w:tcPr>
                <w:p w:rsidR="004166EA" w:rsidRPr="004166EA" w:rsidRDefault="004166EA" w:rsidP="004166EA">
                  <w:pPr>
                    <w:spacing w:before="100" w:beforeAutospacing="1" w:after="100" w:afterAutospacing="1" w:line="240" w:lineRule="auto"/>
                    <w:jc w:val="right"/>
                    <w:rPr>
                      <w:rFonts w:ascii="Arial" w:eastAsia="Times New Roman" w:hAnsi="Arial" w:cs="Arial"/>
                      <w:sz w:val="16"/>
                      <w:szCs w:val="16"/>
                      <w:lang w:eastAsia="en-GB"/>
                    </w:rPr>
                  </w:pPr>
                  <w:r w:rsidRPr="004166EA">
                    <w:rPr>
                      <w:rFonts w:ascii="Arial" w:eastAsia="Times New Roman" w:hAnsi="Arial" w:cs="Arial"/>
                      <w:noProof/>
                      <w:sz w:val="16"/>
                      <w:szCs w:val="16"/>
                      <w:lang w:eastAsia="en-GB"/>
                    </w:rPr>
                    <w:drawing>
                      <wp:inline distT="0" distB="0" distL="0" distR="0" wp14:anchorId="7E317D24" wp14:editId="4B9AD03A">
                        <wp:extent cx="1181100" cy="723900"/>
                        <wp:effectExtent l="0" t="0" r="0" b="0"/>
                        <wp:docPr id="2" name="Picture 2" descr="http://www.csrquest.net/imagefiles/Yelow%20Globe%204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srquest.net/imagefiles/Yelow%20Globe%204C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723900"/>
                                </a:xfrm>
                                <a:prstGeom prst="rect">
                                  <a:avLst/>
                                </a:prstGeom>
                                <a:noFill/>
                                <a:ln>
                                  <a:noFill/>
                                </a:ln>
                              </pic:spPr>
                            </pic:pic>
                          </a:graphicData>
                        </a:graphic>
                      </wp:inline>
                    </w:drawing>
                  </w:r>
                </w:p>
              </w:tc>
            </w:tr>
          </w:tbl>
          <w:p w:rsidR="004166EA" w:rsidRPr="004166EA" w:rsidRDefault="004166EA" w:rsidP="004166EA">
            <w:pPr>
              <w:spacing w:after="0" w:line="240" w:lineRule="auto"/>
              <w:rPr>
                <w:rFonts w:ascii="Verdana" w:eastAsia="Times New Roman" w:hAnsi="Verdana" w:cs="Times New Roman"/>
                <w:sz w:val="16"/>
                <w:szCs w:val="16"/>
                <w:lang w:eastAsia="en-GB"/>
              </w:rPr>
            </w:pPr>
          </w:p>
        </w:tc>
      </w:tr>
    </w:tbl>
    <w:p w:rsidR="004166EA" w:rsidRDefault="004166EA"/>
    <w:sectPr w:rsidR="004166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6EA"/>
    <w:rsid w:val="004166EA"/>
    <w:rsid w:val="008C66D9"/>
    <w:rsid w:val="00E10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6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6EA"/>
    <w:rPr>
      <w:rFonts w:ascii="Tahoma" w:hAnsi="Tahoma" w:cs="Tahoma"/>
      <w:sz w:val="16"/>
      <w:szCs w:val="16"/>
    </w:rPr>
  </w:style>
  <w:style w:type="character" w:styleId="Hyperlink">
    <w:name w:val="Hyperlink"/>
    <w:basedOn w:val="DefaultParagraphFont"/>
    <w:uiPriority w:val="99"/>
    <w:unhideWhenUsed/>
    <w:rsid w:val="004166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6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6EA"/>
    <w:rPr>
      <w:rFonts w:ascii="Tahoma" w:hAnsi="Tahoma" w:cs="Tahoma"/>
      <w:sz w:val="16"/>
      <w:szCs w:val="16"/>
    </w:rPr>
  </w:style>
  <w:style w:type="character" w:styleId="Hyperlink">
    <w:name w:val="Hyperlink"/>
    <w:basedOn w:val="DefaultParagraphFont"/>
    <w:uiPriority w:val="99"/>
    <w:unhideWhenUsed/>
    <w:rsid w:val="004166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rquest.net/default.aspx?articleID=13138&amp;heading=" TargetMode="External"/><Relationship Id="rId3" Type="http://schemas.openxmlformats.org/officeDocument/2006/relationships/settings" Target="settings.xml"/><Relationship Id="rId7" Type="http://schemas.openxmlformats.org/officeDocument/2006/relationships/hyperlink" Target="http://www.csrquest.net/default.aspx?articleID=13137&amp;headin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srquest.net/default.aspx?articleID=14314&amp;headin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Griffiths, Steve</dc:creator>
  <cp:lastModifiedBy>Griffiths, Steve</cp:lastModifiedBy>
  <cp:revision>1</cp:revision>
  <dcterms:created xsi:type="dcterms:W3CDTF">2014-10-23T10:33:00Z</dcterms:created>
  <dcterms:modified xsi:type="dcterms:W3CDTF">2014-10-23T10:34:00Z</dcterms:modified>
</cp:coreProperties>
</file>