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B96CBD" w:rsidRDefault="00C558B0" w:rsidP="00B96CBD">
      <w:pPr>
        <w:spacing w:line="360" w:lineRule="auto"/>
        <w:jc w:val="both"/>
        <w:rPr>
          <w:rFonts w:ascii="Arial" w:hAnsi="Arial" w:cs="Arial"/>
          <w:sz w:val="22"/>
        </w:rPr>
      </w:pPr>
      <w:r w:rsidRPr="00B96CBD">
        <w:rPr>
          <w:rFonts w:ascii="Arial" w:hAnsi="Arial" w:cs="Arial"/>
          <w:noProof/>
          <w:sz w:val="22"/>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B96CBD" w:rsidRDefault="00C558B0" w:rsidP="00B96CBD">
      <w:pPr>
        <w:spacing w:line="360" w:lineRule="auto"/>
        <w:jc w:val="both"/>
        <w:rPr>
          <w:rFonts w:ascii="Arial" w:hAnsi="Arial" w:cs="Arial"/>
          <w:sz w:val="22"/>
        </w:rPr>
      </w:pPr>
    </w:p>
    <w:p w14:paraId="74A7306F" w14:textId="77777777" w:rsidR="00C558B0" w:rsidRPr="00B96CBD" w:rsidRDefault="00C558B0" w:rsidP="00B96CBD">
      <w:pPr>
        <w:spacing w:line="360" w:lineRule="auto"/>
        <w:jc w:val="both"/>
        <w:rPr>
          <w:rFonts w:ascii="Arial" w:hAnsi="Arial" w:cs="Arial"/>
          <w:sz w:val="22"/>
        </w:rPr>
      </w:pPr>
    </w:p>
    <w:p w14:paraId="4CFA099C" w14:textId="77777777" w:rsidR="00C558B0" w:rsidRPr="00B96CBD" w:rsidRDefault="00C558B0" w:rsidP="00B96CBD">
      <w:pPr>
        <w:tabs>
          <w:tab w:val="left" w:pos="6540"/>
        </w:tabs>
        <w:spacing w:line="360" w:lineRule="auto"/>
        <w:jc w:val="both"/>
        <w:rPr>
          <w:rFonts w:ascii="Arial" w:hAnsi="Arial" w:cs="Arial"/>
          <w:sz w:val="22"/>
        </w:rPr>
      </w:pPr>
    </w:p>
    <w:p w14:paraId="2F4F861B" w14:textId="4DDE7241" w:rsidR="00C558B0" w:rsidRPr="00B96CBD" w:rsidRDefault="00C558B0" w:rsidP="00B96CBD">
      <w:pPr>
        <w:tabs>
          <w:tab w:val="left" w:pos="6540"/>
        </w:tabs>
        <w:spacing w:line="360" w:lineRule="auto"/>
        <w:jc w:val="both"/>
        <w:rPr>
          <w:rFonts w:ascii="Arial" w:hAnsi="Arial" w:cs="Arial"/>
          <w:sz w:val="22"/>
          <w:lang w:val="nl-NL"/>
        </w:rPr>
      </w:pPr>
      <w:r w:rsidRPr="00B96CBD">
        <w:rPr>
          <w:rFonts w:ascii="Arial" w:hAnsi="Arial" w:cs="Arial"/>
          <w:sz w:val="22"/>
          <w:lang w:val="nl-NL"/>
        </w:rPr>
        <w:t>Student name:</w:t>
      </w:r>
      <w:r w:rsidR="002703DD" w:rsidRPr="00B96CBD">
        <w:rPr>
          <w:rFonts w:ascii="Arial" w:hAnsi="Arial" w:cs="Arial"/>
          <w:sz w:val="22"/>
          <w:lang w:val="nl-NL"/>
        </w:rPr>
        <w:t xml:space="preserve"> Nicholas Mudebo</w:t>
      </w:r>
    </w:p>
    <w:p w14:paraId="4654C81C" w14:textId="3CD1DF6D" w:rsidR="00C558B0" w:rsidRPr="00B96CBD" w:rsidRDefault="00C558B0" w:rsidP="00B96CBD">
      <w:pPr>
        <w:tabs>
          <w:tab w:val="left" w:pos="6540"/>
        </w:tabs>
        <w:spacing w:line="360" w:lineRule="auto"/>
        <w:jc w:val="both"/>
        <w:rPr>
          <w:rFonts w:ascii="Arial" w:hAnsi="Arial" w:cs="Arial"/>
          <w:sz w:val="22"/>
          <w:lang w:val="nl-NL"/>
        </w:rPr>
      </w:pPr>
      <w:r w:rsidRPr="00B96CBD">
        <w:rPr>
          <w:rFonts w:ascii="Arial" w:hAnsi="Arial" w:cs="Arial"/>
          <w:sz w:val="22"/>
          <w:lang w:val="nl-NL"/>
        </w:rPr>
        <w:t>Student ID:</w:t>
      </w:r>
      <w:r w:rsidR="002703DD" w:rsidRPr="00B96CBD">
        <w:rPr>
          <w:rFonts w:ascii="Arial" w:hAnsi="Arial" w:cs="Arial"/>
          <w:sz w:val="22"/>
          <w:lang w:val="nl-NL"/>
        </w:rPr>
        <w:t xml:space="preserve"> 2334078</w:t>
      </w:r>
    </w:p>
    <w:p w14:paraId="3D8DA301" w14:textId="00B059B0" w:rsidR="00C558B0" w:rsidRPr="00B96CBD" w:rsidRDefault="00C558B0" w:rsidP="00B96CBD">
      <w:pPr>
        <w:tabs>
          <w:tab w:val="left" w:pos="6540"/>
        </w:tabs>
        <w:spacing w:line="360" w:lineRule="auto"/>
        <w:jc w:val="both"/>
        <w:rPr>
          <w:rFonts w:ascii="Arial" w:hAnsi="Arial" w:cs="Arial"/>
          <w:sz w:val="22"/>
          <w:lang w:val="nl-NL"/>
        </w:rPr>
      </w:pPr>
      <w:r w:rsidRPr="00B96CBD">
        <w:rPr>
          <w:rFonts w:ascii="Arial" w:hAnsi="Arial" w:cs="Arial"/>
          <w:sz w:val="22"/>
          <w:lang w:val="nl-NL"/>
        </w:rPr>
        <w:t xml:space="preserve">Module name: </w:t>
      </w:r>
      <w:r w:rsidR="002703DD" w:rsidRPr="00B96CBD">
        <w:rPr>
          <w:rFonts w:ascii="Arial" w:hAnsi="Arial" w:cs="Arial"/>
          <w:sz w:val="22"/>
          <w:lang w:val="nl-NL"/>
        </w:rPr>
        <w:t>Principles</w:t>
      </w:r>
      <w:r w:rsidR="00887FBB" w:rsidRPr="00B96CBD">
        <w:rPr>
          <w:rFonts w:ascii="Arial" w:hAnsi="Arial" w:cs="Arial"/>
          <w:sz w:val="22"/>
          <w:lang w:val="nl-NL"/>
        </w:rPr>
        <w:t xml:space="preserve"> of Health and Social Care Practice</w:t>
      </w:r>
    </w:p>
    <w:p w14:paraId="3E48CEF6" w14:textId="34265016" w:rsidR="00887FBB" w:rsidRPr="00B96CBD" w:rsidRDefault="00887FBB" w:rsidP="00B96CBD">
      <w:pPr>
        <w:tabs>
          <w:tab w:val="left" w:pos="6540"/>
        </w:tabs>
        <w:spacing w:line="360" w:lineRule="auto"/>
        <w:jc w:val="both"/>
        <w:rPr>
          <w:rFonts w:ascii="Arial" w:hAnsi="Arial" w:cs="Arial"/>
          <w:sz w:val="22"/>
          <w:lang w:val="nl-NL"/>
        </w:rPr>
      </w:pPr>
      <w:r w:rsidRPr="00B96CBD">
        <w:rPr>
          <w:rFonts w:ascii="Arial" w:hAnsi="Arial" w:cs="Arial"/>
          <w:sz w:val="22"/>
          <w:lang w:val="nl-NL"/>
        </w:rPr>
        <w:t>Component: 1</w:t>
      </w:r>
    </w:p>
    <w:p w14:paraId="7DB3261D" w14:textId="04D0C2CA" w:rsidR="00C558B0" w:rsidRPr="00B96CBD" w:rsidRDefault="00C558B0" w:rsidP="00B96CBD">
      <w:pPr>
        <w:tabs>
          <w:tab w:val="left" w:pos="6540"/>
        </w:tabs>
        <w:spacing w:line="360" w:lineRule="auto"/>
        <w:jc w:val="both"/>
        <w:rPr>
          <w:rFonts w:ascii="Arial" w:hAnsi="Arial" w:cs="Arial"/>
          <w:sz w:val="22"/>
        </w:rPr>
      </w:pPr>
      <w:r w:rsidRPr="00B96CBD">
        <w:rPr>
          <w:rFonts w:ascii="Arial" w:hAnsi="Arial" w:cs="Arial"/>
          <w:sz w:val="22"/>
        </w:rPr>
        <w:t>Module code:</w:t>
      </w:r>
      <w:r w:rsidR="00887FBB" w:rsidRPr="00B96CBD">
        <w:rPr>
          <w:rFonts w:ascii="Arial" w:hAnsi="Arial" w:cs="Arial"/>
          <w:sz w:val="22"/>
        </w:rPr>
        <w:t xml:space="preserve"> BMHP5016</w:t>
      </w:r>
    </w:p>
    <w:p w14:paraId="5CCA350C" w14:textId="044D2F18" w:rsidR="00C558B0" w:rsidRPr="00B96CBD" w:rsidRDefault="00C558B0" w:rsidP="00B96CBD">
      <w:pPr>
        <w:tabs>
          <w:tab w:val="left" w:pos="6540"/>
        </w:tabs>
        <w:spacing w:line="360" w:lineRule="auto"/>
        <w:jc w:val="both"/>
        <w:rPr>
          <w:rFonts w:ascii="Arial" w:hAnsi="Arial" w:cs="Arial"/>
          <w:sz w:val="22"/>
        </w:rPr>
      </w:pPr>
      <w:r w:rsidRPr="00B96CBD">
        <w:rPr>
          <w:rFonts w:ascii="Arial" w:hAnsi="Arial" w:cs="Arial"/>
          <w:sz w:val="22"/>
        </w:rPr>
        <w:t>Lecturer name:</w:t>
      </w:r>
      <w:r w:rsidR="00B30340" w:rsidRPr="00B96CBD">
        <w:rPr>
          <w:rFonts w:ascii="Arial" w:hAnsi="Arial" w:cs="Arial"/>
          <w:sz w:val="22"/>
        </w:rPr>
        <w:t xml:space="preserve"> </w:t>
      </w:r>
      <w:r w:rsidR="007834CD" w:rsidRPr="00B96CBD">
        <w:rPr>
          <w:rFonts w:ascii="Arial" w:hAnsi="Arial" w:cs="Arial"/>
          <w:sz w:val="22"/>
        </w:rPr>
        <w:t>Mr Sam Parker</w:t>
      </w:r>
    </w:p>
    <w:p w14:paraId="5461F9C8" w14:textId="77777777" w:rsidR="00C558B0" w:rsidRPr="00B96CBD" w:rsidRDefault="00C558B0" w:rsidP="00B96CBD">
      <w:pPr>
        <w:tabs>
          <w:tab w:val="left" w:pos="6540"/>
        </w:tabs>
        <w:spacing w:line="360" w:lineRule="auto"/>
        <w:jc w:val="both"/>
        <w:rPr>
          <w:rFonts w:ascii="Arial" w:hAnsi="Arial" w:cs="Arial"/>
          <w:sz w:val="22"/>
        </w:rPr>
      </w:pPr>
    </w:p>
    <w:p w14:paraId="6B3C1AA5" w14:textId="6234779F" w:rsidR="00000AB7" w:rsidRPr="00B96CBD" w:rsidRDefault="006D2F2D" w:rsidP="00B96CBD">
      <w:pPr>
        <w:spacing w:line="360" w:lineRule="auto"/>
        <w:jc w:val="both"/>
        <w:rPr>
          <w:rFonts w:ascii="Arial" w:hAnsi="Arial" w:cs="Arial"/>
          <w:sz w:val="22"/>
        </w:rPr>
      </w:pPr>
      <w:r w:rsidRPr="00B96CBD">
        <w:rPr>
          <w:rFonts w:ascii="Arial" w:hAnsi="Arial" w:cs="Arial"/>
          <w:sz w:val="22"/>
        </w:rPr>
        <w:br w:type="page"/>
      </w:r>
    </w:p>
    <w:p w14:paraId="5D3FAF06" w14:textId="77777777" w:rsidR="00000AB7" w:rsidRPr="00B96CBD" w:rsidRDefault="00000AB7" w:rsidP="00B96CBD">
      <w:pPr>
        <w:spacing w:line="360" w:lineRule="auto"/>
        <w:jc w:val="both"/>
        <w:rPr>
          <w:rFonts w:ascii="Arial" w:eastAsia="Arial" w:hAnsi="Arial" w:cs="Arial"/>
          <w:b/>
          <w:bCs/>
          <w:sz w:val="22"/>
        </w:rPr>
      </w:pPr>
      <w:r w:rsidRPr="00B96CBD">
        <w:rPr>
          <w:rFonts w:ascii="Arial" w:eastAsia="Arial" w:hAnsi="Arial" w:cs="Arial"/>
          <w:b/>
          <w:bCs/>
          <w:sz w:val="22"/>
        </w:rPr>
        <w:lastRenderedPageBreak/>
        <w:t>Task 1:</w:t>
      </w:r>
    </w:p>
    <w:p w14:paraId="12FB8958" w14:textId="56D0B255" w:rsidR="008C1B0A" w:rsidRPr="00B96CBD" w:rsidRDefault="00000AB7" w:rsidP="00B96CBD">
      <w:pPr>
        <w:spacing w:line="360" w:lineRule="auto"/>
        <w:jc w:val="both"/>
        <w:rPr>
          <w:rFonts w:ascii="Arial" w:eastAsia="Arial" w:hAnsi="Arial" w:cs="Arial"/>
          <w:b/>
          <w:bCs/>
          <w:sz w:val="22"/>
        </w:rPr>
      </w:pPr>
      <w:r w:rsidRPr="00B96CBD">
        <w:rPr>
          <w:rFonts w:ascii="Arial" w:eastAsia="Arial" w:hAnsi="Arial" w:cs="Arial"/>
          <w:b/>
          <w:bCs/>
          <w:sz w:val="22"/>
        </w:rPr>
        <w:t>Reflection on the Importance of Principles of Health and Social Care</w:t>
      </w:r>
      <w:r w:rsidR="008C1B0A" w:rsidRPr="00B96CBD">
        <w:rPr>
          <w:rFonts w:ascii="Arial" w:eastAsia="Arial" w:hAnsi="Arial" w:cs="Arial"/>
          <w:b/>
          <w:bCs/>
          <w:sz w:val="22"/>
        </w:rPr>
        <w:t>.</w:t>
      </w:r>
    </w:p>
    <w:p w14:paraId="50128A74" w14:textId="2DF62D8E" w:rsidR="008C1B0A" w:rsidRPr="00B96CBD" w:rsidRDefault="00000AB7" w:rsidP="00B96CBD">
      <w:pPr>
        <w:spacing w:line="360" w:lineRule="auto"/>
        <w:jc w:val="both"/>
        <w:rPr>
          <w:rFonts w:ascii="Arial" w:eastAsia="Arial" w:hAnsi="Arial" w:cs="Arial"/>
          <w:sz w:val="22"/>
        </w:rPr>
      </w:pPr>
      <w:r w:rsidRPr="00B96CBD">
        <w:rPr>
          <w:rFonts w:ascii="Arial" w:eastAsia="Arial" w:hAnsi="Arial" w:cs="Arial"/>
          <w:sz w:val="22"/>
        </w:rPr>
        <w:t xml:space="preserve">Health and social care in the </w:t>
      </w:r>
      <w:r w:rsidR="00595133" w:rsidRPr="00B96CBD">
        <w:rPr>
          <w:rFonts w:ascii="Arial" w:eastAsia="Arial" w:hAnsi="Arial" w:cs="Arial"/>
          <w:sz w:val="22"/>
        </w:rPr>
        <w:t>U</w:t>
      </w:r>
      <w:r w:rsidR="00595133">
        <w:rPr>
          <w:rFonts w:ascii="Arial" w:eastAsia="Arial" w:hAnsi="Arial" w:cs="Arial"/>
          <w:sz w:val="22"/>
        </w:rPr>
        <w:t>nited Kingdom</w:t>
      </w:r>
      <w:r w:rsidRPr="00B96CBD">
        <w:rPr>
          <w:rFonts w:ascii="Arial" w:eastAsia="Arial" w:hAnsi="Arial" w:cs="Arial"/>
          <w:sz w:val="22"/>
        </w:rPr>
        <w:t xml:space="preserve"> is guided by core principles that aim to ensure safe, effective, and compassionate support for all individuals. Three key principles are </w:t>
      </w:r>
      <w:r w:rsidRPr="00B96CBD">
        <w:rPr>
          <w:rFonts w:ascii="Arial" w:eastAsia="Arial" w:hAnsi="Arial" w:cs="Arial"/>
          <w:b/>
          <w:bCs/>
          <w:sz w:val="22"/>
        </w:rPr>
        <w:t>person-centred care, partnership working, and ethics.</w:t>
      </w:r>
      <w:r w:rsidRPr="00B96CBD">
        <w:rPr>
          <w:rFonts w:ascii="Arial" w:eastAsia="Arial" w:hAnsi="Arial" w:cs="Arial"/>
          <w:sz w:val="22"/>
        </w:rPr>
        <w:t xml:space="preserve"> These principles are embedded in UK policy, including the Health and Social Care Act 2012, the Care Act 2014, and professional codes such as the Nursing and Midwifery Council </w:t>
      </w:r>
      <w:r w:rsidR="008C1B0A" w:rsidRPr="00B96CBD">
        <w:rPr>
          <w:rFonts w:ascii="Arial" w:eastAsia="Arial" w:hAnsi="Arial" w:cs="Arial"/>
          <w:sz w:val="22"/>
        </w:rPr>
        <w:t>(</w:t>
      </w:r>
      <w:r w:rsidRPr="00B96CBD">
        <w:rPr>
          <w:rFonts w:ascii="Arial" w:eastAsia="Arial" w:hAnsi="Arial" w:cs="Arial"/>
          <w:sz w:val="22"/>
        </w:rPr>
        <w:t>NMC</w:t>
      </w:r>
      <w:r w:rsidR="008C1B0A" w:rsidRPr="00B96CBD">
        <w:rPr>
          <w:rFonts w:ascii="Arial" w:eastAsia="Arial" w:hAnsi="Arial" w:cs="Arial"/>
          <w:sz w:val="22"/>
        </w:rPr>
        <w:t>)</w:t>
      </w:r>
      <w:r w:rsidRPr="00B96CBD">
        <w:rPr>
          <w:rFonts w:ascii="Arial" w:eastAsia="Arial" w:hAnsi="Arial" w:cs="Arial"/>
          <w:sz w:val="22"/>
        </w:rPr>
        <w:t xml:space="preserve"> Code. Reflecting on their significance helps to understand how they contribute to quality of care at individual, team, and organisational levels.</w:t>
      </w:r>
    </w:p>
    <w:p w14:paraId="7976B44A" w14:textId="77777777" w:rsidR="008C1B0A" w:rsidRPr="00B96CBD" w:rsidRDefault="00000AB7" w:rsidP="00B96CBD">
      <w:pPr>
        <w:spacing w:line="360" w:lineRule="auto"/>
        <w:jc w:val="both"/>
        <w:rPr>
          <w:rFonts w:ascii="Arial" w:eastAsia="Arial" w:hAnsi="Arial" w:cs="Arial"/>
          <w:b/>
          <w:bCs/>
          <w:sz w:val="22"/>
        </w:rPr>
      </w:pPr>
      <w:r w:rsidRPr="00B96CBD">
        <w:rPr>
          <w:rFonts w:ascii="Arial" w:eastAsia="Arial" w:hAnsi="Arial" w:cs="Arial"/>
          <w:b/>
          <w:bCs/>
          <w:sz w:val="22"/>
        </w:rPr>
        <w:t>Person-centred care</w:t>
      </w:r>
      <w:r w:rsidRPr="00B96CBD">
        <w:rPr>
          <w:rFonts w:ascii="Arial" w:eastAsia="Arial" w:hAnsi="Arial" w:cs="Arial"/>
          <w:sz w:val="22"/>
        </w:rPr>
        <w:t xml:space="preserve"> is defined as care that respects the individual’s values, preferences, and needs, and places them at the centre of all decisions about their health (The Health Foundation, 2016). The theory behind this is drawn from Carl Rogers’ concept of the “whole person” and the idea of autonomy. In practice this means moving away from a “one-size-fits-all” approach. For example, with the diabetic patients in our case study, person-centred care involves asking about their lifestyle, cultural food preferences, health literacy, and barriers to monitoring, rather than simply giving standard advice. This supports quality of care because when patients feel listened to and involved, they are more likely to engage with their care plan, improve self-management, and experience better health outcomes (NICE, 2021). It also promotes dignity and respect, which are fundamental to the Care Act 2014.</w:t>
      </w:r>
    </w:p>
    <w:p w14:paraId="50273135" w14:textId="77777777" w:rsidR="008C1B0A" w:rsidRPr="00B96CBD" w:rsidRDefault="00000AB7" w:rsidP="00B96CBD">
      <w:pPr>
        <w:spacing w:line="360" w:lineRule="auto"/>
        <w:jc w:val="both"/>
        <w:rPr>
          <w:rFonts w:ascii="Arial" w:eastAsia="Arial" w:hAnsi="Arial" w:cs="Arial"/>
          <w:sz w:val="22"/>
        </w:rPr>
      </w:pPr>
      <w:r w:rsidRPr="00B96CBD">
        <w:rPr>
          <w:rFonts w:ascii="Arial" w:eastAsia="Arial" w:hAnsi="Arial" w:cs="Arial"/>
          <w:b/>
          <w:bCs/>
          <w:sz w:val="22"/>
        </w:rPr>
        <w:t>Partnership working</w:t>
      </w:r>
      <w:r w:rsidRPr="00B96CBD">
        <w:rPr>
          <w:rFonts w:ascii="Arial" w:eastAsia="Arial" w:hAnsi="Arial" w:cs="Arial"/>
          <w:sz w:val="22"/>
        </w:rPr>
        <w:t xml:space="preserve"> refers to collaboration between health professionals, social care staff, patients, families, and other agencies to deliver joined-up care (Department of Health and Social Care, 2022). The theory of interprofessional collaboration suggests that no single professional can meet all of a person’s needs. In the UK, partnership working is essential due to the complexity of long-term conditions like diabetes. A Practice Nurse may work with GPs, dietitians, podiatrists, and community support services to coordinate education and monitoring. This principle supports quality by reducing duplication, improving communication, and ensuring continuity of care. For individuals, it means they receive consistent messages and support across different settings, which is especially important for patients managing chronic conditions at home.</w:t>
      </w:r>
    </w:p>
    <w:p w14:paraId="03643447" w14:textId="77777777" w:rsidR="008C1B0A" w:rsidRPr="00B96CBD" w:rsidRDefault="00000AB7" w:rsidP="00B96CBD">
      <w:pPr>
        <w:spacing w:line="360" w:lineRule="auto"/>
        <w:jc w:val="both"/>
        <w:rPr>
          <w:rFonts w:ascii="Arial" w:eastAsia="Arial" w:hAnsi="Arial" w:cs="Arial"/>
          <w:sz w:val="22"/>
        </w:rPr>
      </w:pPr>
      <w:r w:rsidRPr="00B96CBD">
        <w:rPr>
          <w:rFonts w:ascii="Arial" w:eastAsia="Arial" w:hAnsi="Arial" w:cs="Arial"/>
          <w:b/>
          <w:bCs/>
          <w:sz w:val="22"/>
        </w:rPr>
        <w:t>Ethics</w:t>
      </w:r>
      <w:r w:rsidRPr="00B96CBD">
        <w:rPr>
          <w:rFonts w:ascii="Arial" w:eastAsia="Arial" w:hAnsi="Arial" w:cs="Arial"/>
          <w:sz w:val="22"/>
        </w:rPr>
        <w:t xml:space="preserve"> in health and social care provides the moral framework for decision-making. The four key principles of biomedical ethics are autonomy, beneficence, non-maleficence, and justice (Beauchamp and Childress, 2013). The NMC Code (2018) requires nurses to act with integrity and to uphold people’s rights. Ethical decision-making is crucial when balancing patient choice with safety. For example, a patient may choose not to monitor blood glucose. An ethical approach requires respecting autonomy while also providing information about </w:t>
      </w:r>
      <w:r w:rsidR="008C1B0A" w:rsidRPr="00B96CBD">
        <w:rPr>
          <w:rFonts w:ascii="Arial" w:eastAsia="Arial" w:hAnsi="Arial" w:cs="Arial"/>
          <w:sz w:val="22"/>
        </w:rPr>
        <w:t>risks and</w:t>
      </w:r>
      <w:r w:rsidRPr="00B96CBD">
        <w:rPr>
          <w:rFonts w:ascii="Arial" w:eastAsia="Arial" w:hAnsi="Arial" w:cs="Arial"/>
          <w:sz w:val="22"/>
        </w:rPr>
        <w:t xml:space="preserve"> offering support without coercion. Ethics therefore underpins trust between professionals and patients and ensures care is fair and non-discriminatory, in line with the Equality Act 2010.</w:t>
      </w:r>
    </w:p>
    <w:p w14:paraId="6F2A6A18" w14:textId="57CD6585" w:rsidR="00000AB7" w:rsidRPr="00B96CBD" w:rsidRDefault="00000AB7" w:rsidP="00B96CBD">
      <w:pPr>
        <w:spacing w:line="360" w:lineRule="auto"/>
        <w:jc w:val="both"/>
        <w:rPr>
          <w:rFonts w:ascii="Arial" w:eastAsia="Arial" w:hAnsi="Arial" w:cs="Arial"/>
          <w:sz w:val="22"/>
        </w:rPr>
      </w:pPr>
      <w:r w:rsidRPr="00B96CBD">
        <w:rPr>
          <w:rFonts w:ascii="Arial" w:eastAsia="Arial" w:hAnsi="Arial" w:cs="Arial"/>
          <w:sz w:val="22"/>
        </w:rPr>
        <w:t>In conclusion, person-centred care, partnership working, and ethics are not separate ideas but are interconnected. Person-centred care ensures the individual is heard, partnership working ensures the right support is in place, and ethics ensures decisions are made fairly and safely. Together, these principles uphold the quality, safety, and dignity of care in the UK health and social care system.</w:t>
      </w:r>
    </w:p>
    <w:p w14:paraId="1E9F6A8D" w14:textId="77777777" w:rsidR="000A06C2" w:rsidRPr="001977F0" w:rsidRDefault="000A06C2" w:rsidP="00B96CBD">
      <w:pPr>
        <w:spacing w:line="360" w:lineRule="auto"/>
        <w:jc w:val="both"/>
        <w:rPr>
          <w:rFonts w:ascii="Arial" w:eastAsia="Arial" w:hAnsi="Arial" w:cs="Arial"/>
          <w:b/>
          <w:bCs/>
          <w:sz w:val="22"/>
        </w:rPr>
      </w:pPr>
    </w:p>
    <w:p w14:paraId="525B1D1B" w14:textId="451E8712" w:rsidR="0049276D" w:rsidRPr="00B96CBD" w:rsidRDefault="0049276D" w:rsidP="00B96CBD">
      <w:pPr>
        <w:spacing w:line="360" w:lineRule="auto"/>
        <w:jc w:val="both"/>
        <w:rPr>
          <w:rFonts w:ascii="Arial" w:eastAsia="Arial" w:hAnsi="Arial" w:cs="Arial"/>
          <w:b/>
          <w:bCs/>
          <w:sz w:val="22"/>
        </w:rPr>
      </w:pPr>
      <w:r w:rsidRPr="00B96CBD">
        <w:rPr>
          <w:rFonts w:ascii="Arial" w:eastAsia="Arial" w:hAnsi="Arial" w:cs="Arial"/>
          <w:b/>
          <w:bCs/>
          <w:sz w:val="22"/>
        </w:rPr>
        <w:t>Task 2:</w:t>
      </w:r>
    </w:p>
    <w:p w14:paraId="74C647DB" w14:textId="0C7880A2" w:rsidR="0049276D" w:rsidRPr="00B96CBD" w:rsidRDefault="0049276D" w:rsidP="00B96CBD">
      <w:pPr>
        <w:spacing w:line="360" w:lineRule="auto"/>
        <w:jc w:val="both"/>
        <w:rPr>
          <w:rFonts w:ascii="Arial" w:eastAsia="Arial" w:hAnsi="Arial" w:cs="Arial"/>
          <w:b/>
          <w:bCs/>
          <w:sz w:val="22"/>
        </w:rPr>
      </w:pPr>
      <w:r w:rsidRPr="00B96CBD">
        <w:rPr>
          <w:rFonts w:ascii="Arial" w:eastAsia="Arial" w:hAnsi="Arial" w:cs="Arial"/>
          <w:b/>
          <w:bCs/>
          <w:sz w:val="22"/>
        </w:rPr>
        <w:t>Practical Examples of Concepts in Practice.</w:t>
      </w:r>
    </w:p>
    <w:p w14:paraId="05D7BB1C" w14:textId="77777777" w:rsidR="001A282A" w:rsidRPr="00B96CBD" w:rsidRDefault="0049276D" w:rsidP="00B96CBD">
      <w:pPr>
        <w:spacing w:line="360" w:lineRule="auto"/>
        <w:jc w:val="both"/>
        <w:rPr>
          <w:rFonts w:ascii="Arial" w:eastAsia="Arial" w:hAnsi="Arial" w:cs="Arial"/>
          <w:sz w:val="22"/>
        </w:rPr>
      </w:pPr>
      <w:r w:rsidRPr="00B96CBD">
        <w:rPr>
          <w:rFonts w:ascii="Arial" w:eastAsia="Arial" w:hAnsi="Arial" w:cs="Arial"/>
          <w:sz w:val="22"/>
        </w:rPr>
        <w:t xml:space="preserve">The principles of </w:t>
      </w:r>
      <w:r w:rsidRPr="00B96CBD">
        <w:rPr>
          <w:rFonts w:ascii="Arial" w:eastAsia="Arial" w:hAnsi="Arial" w:cs="Arial"/>
          <w:b/>
          <w:bCs/>
          <w:sz w:val="22"/>
        </w:rPr>
        <w:t>person-centred care, partnership working, and ethics</w:t>
      </w:r>
      <w:r w:rsidRPr="00B96CBD">
        <w:rPr>
          <w:rFonts w:ascii="Arial" w:eastAsia="Arial" w:hAnsi="Arial" w:cs="Arial"/>
          <w:sz w:val="22"/>
        </w:rPr>
        <w:t xml:space="preserve"> are not just theoretical ideas. In UK health and social </w:t>
      </w:r>
      <w:r w:rsidR="001A282A" w:rsidRPr="00B96CBD">
        <w:rPr>
          <w:rFonts w:ascii="Arial" w:eastAsia="Arial" w:hAnsi="Arial" w:cs="Arial"/>
          <w:sz w:val="22"/>
        </w:rPr>
        <w:t>care,</w:t>
      </w:r>
      <w:r w:rsidRPr="00B96CBD">
        <w:rPr>
          <w:rFonts w:ascii="Arial" w:eastAsia="Arial" w:hAnsi="Arial" w:cs="Arial"/>
          <w:sz w:val="22"/>
        </w:rPr>
        <w:t xml:space="preserve"> they are applied daily to improve patient safety and outcomes. Using the context of our GP surgery case study with patients who have Type 1 and Type 2 Diabetes, I will reflect on how these principles can be put into practice.</w:t>
      </w:r>
    </w:p>
    <w:p w14:paraId="324FEEB5" w14:textId="77777777" w:rsidR="00581615" w:rsidRPr="00B96CBD" w:rsidRDefault="0049276D" w:rsidP="00B96CBD">
      <w:pPr>
        <w:spacing w:line="360" w:lineRule="auto"/>
        <w:jc w:val="both"/>
        <w:rPr>
          <w:rFonts w:ascii="Arial" w:eastAsia="Arial" w:hAnsi="Arial" w:cs="Arial"/>
          <w:sz w:val="22"/>
        </w:rPr>
      </w:pPr>
      <w:r w:rsidRPr="00B96CBD">
        <w:rPr>
          <w:rFonts w:ascii="Arial" w:eastAsia="Arial" w:hAnsi="Arial" w:cs="Arial"/>
          <w:b/>
          <w:bCs/>
          <w:sz w:val="22"/>
        </w:rPr>
        <w:t>Person-Centred Care in Practice</w:t>
      </w:r>
    </w:p>
    <w:p w14:paraId="7C02F84D" w14:textId="77777777" w:rsidR="00581615" w:rsidRPr="00B96CBD" w:rsidRDefault="0049276D" w:rsidP="00B96CBD">
      <w:pPr>
        <w:spacing w:line="360" w:lineRule="auto"/>
        <w:jc w:val="both"/>
        <w:rPr>
          <w:rFonts w:ascii="Arial" w:eastAsia="Arial" w:hAnsi="Arial" w:cs="Arial"/>
          <w:sz w:val="22"/>
        </w:rPr>
      </w:pPr>
      <w:r w:rsidRPr="00B96CBD">
        <w:rPr>
          <w:rFonts w:ascii="Arial" w:eastAsia="Arial" w:hAnsi="Arial" w:cs="Arial"/>
          <w:sz w:val="22"/>
        </w:rPr>
        <w:t xml:space="preserve">Person-centred care means tailoring support to the individual rather than applying a generic plan. In our surgery, many patients with Type 2 Diabetes had poor understanding of diet and blood glucose monitoring. Applying the </w:t>
      </w:r>
      <w:r w:rsidRPr="00B96CBD">
        <w:rPr>
          <w:rFonts w:ascii="Arial" w:eastAsia="Arial" w:hAnsi="Arial" w:cs="Arial"/>
          <w:b/>
          <w:bCs/>
          <w:sz w:val="22"/>
        </w:rPr>
        <w:t>NICE NG28 (2022)</w:t>
      </w:r>
      <w:r w:rsidRPr="00B96CBD">
        <w:rPr>
          <w:rFonts w:ascii="Arial" w:eastAsia="Arial" w:hAnsi="Arial" w:cs="Arial"/>
          <w:sz w:val="22"/>
        </w:rPr>
        <w:t xml:space="preserve"> guideline and the </w:t>
      </w:r>
      <w:r w:rsidRPr="00B96CBD">
        <w:rPr>
          <w:rFonts w:ascii="Arial" w:eastAsia="Arial" w:hAnsi="Arial" w:cs="Arial"/>
          <w:b/>
          <w:bCs/>
          <w:sz w:val="22"/>
        </w:rPr>
        <w:t>Care Act 2014,</w:t>
      </w:r>
      <w:r w:rsidRPr="00B96CBD">
        <w:rPr>
          <w:rFonts w:ascii="Arial" w:eastAsia="Arial" w:hAnsi="Arial" w:cs="Arial"/>
          <w:sz w:val="22"/>
        </w:rPr>
        <w:t xml:space="preserve"> the Practice Nurse can deliver structured education that reflects each person’s literacy level, culture, and goals.</w:t>
      </w:r>
    </w:p>
    <w:p w14:paraId="4AB82469" w14:textId="3F3095E1" w:rsidR="00581615" w:rsidRPr="00B96CBD" w:rsidRDefault="0049276D" w:rsidP="00B96CBD">
      <w:pPr>
        <w:spacing w:line="360" w:lineRule="auto"/>
        <w:jc w:val="both"/>
        <w:rPr>
          <w:rFonts w:ascii="Arial" w:eastAsia="Arial" w:hAnsi="Arial" w:cs="Arial"/>
          <w:sz w:val="22"/>
        </w:rPr>
      </w:pPr>
      <w:r w:rsidRPr="00B96CBD">
        <w:rPr>
          <w:rFonts w:ascii="Arial" w:eastAsia="Arial" w:hAnsi="Arial" w:cs="Arial"/>
          <w:sz w:val="22"/>
        </w:rPr>
        <w:t>For example: A patient who works night shifts and finds it hard to eat regular meals was struggling with hypoglycaemia. Instead of giving standard advice, the nurse used motivational interviewing to explore barriers.</w:t>
      </w:r>
    </w:p>
    <w:p w14:paraId="2B0923A9" w14:textId="77777777" w:rsidR="00581615" w:rsidRPr="00B96CBD" w:rsidRDefault="0049276D" w:rsidP="00B96CBD">
      <w:pPr>
        <w:spacing w:line="360" w:lineRule="auto"/>
        <w:jc w:val="both"/>
        <w:rPr>
          <w:rFonts w:ascii="Arial" w:eastAsia="Arial" w:hAnsi="Arial" w:cs="Arial"/>
          <w:b/>
          <w:bCs/>
          <w:sz w:val="22"/>
        </w:rPr>
      </w:pPr>
      <w:r w:rsidRPr="00B96CBD">
        <w:rPr>
          <w:rFonts w:ascii="Arial" w:eastAsia="Arial" w:hAnsi="Arial" w:cs="Arial"/>
          <w:b/>
          <w:bCs/>
          <w:sz w:val="22"/>
        </w:rPr>
        <w:t>Partnership Working in Practice</w:t>
      </w:r>
    </w:p>
    <w:p w14:paraId="384793B1" w14:textId="1821216C" w:rsidR="00581615" w:rsidRPr="00B96CBD" w:rsidRDefault="0049276D" w:rsidP="00B96CBD">
      <w:pPr>
        <w:spacing w:line="360" w:lineRule="auto"/>
        <w:jc w:val="both"/>
        <w:rPr>
          <w:rFonts w:ascii="Arial" w:eastAsia="Arial" w:hAnsi="Arial" w:cs="Arial"/>
          <w:sz w:val="22"/>
        </w:rPr>
      </w:pPr>
      <w:r w:rsidRPr="00B96CBD">
        <w:rPr>
          <w:rFonts w:ascii="Arial" w:eastAsia="Arial" w:hAnsi="Arial" w:cs="Arial"/>
          <w:sz w:val="22"/>
        </w:rPr>
        <w:t xml:space="preserve">Diabetes management requires more than one professional. </w:t>
      </w:r>
      <w:r w:rsidRPr="00B96CBD">
        <w:rPr>
          <w:rFonts w:ascii="Arial" w:eastAsia="Arial" w:hAnsi="Arial" w:cs="Arial"/>
          <w:b/>
          <w:bCs/>
          <w:sz w:val="22"/>
        </w:rPr>
        <w:t>The NHS Long Term Plan (2019)</w:t>
      </w:r>
      <w:r w:rsidRPr="00B96CBD">
        <w:rPr>
          <w:rFonts w:ascii="Arial" w:eastAsia="Arial" w:hAnsi="Arial" w:cs="Arial"/>
          <w:sz w:val="22"/>
        </w:rPr>
        <w:t xml:space="preserve"> and </w:t>
      </w:r>
      <w:r w:rsidRPr="00B96CBD">
        <w:rPr>
          <w:rFonts w:ascii="Arial" w:eastAsia="Arial" w:hAnsi="Arial" w:cs="Arial"/>
          <w:b/>
          <w:bCs/>
          <w:sz w:val="22"/>
        </w:rPr>
        <w:t>Health and Care Act 2022</w:t>
      </w:r>
      <w:r w:rsidRPr="00B96CBD">
        <w:rPr>
          <w:rFonts w:ascii="Arial" w:eastAsia="Arial" w:hAnsi="Arial" w:cs="Arial"/>
          <w:sz w:val="22"/>
        </w:rPr>
        <w:t xml:space="preserve"> emphasise integrated care systems </w:t>
      </w:r>
      <w:r w:rsidR="00581615" w:rsidRPr="00B96CBD">
        <w:rPr>
          <w:rFonts w:ascii="Arial" w:eastAsia="Arial" w:hAnsi="Arial" w:cs="Arial"/>
          <w:sz w:val="22"/>
        </w:rPr>
        <w:t>(</w:t>
      </w:r>
      <w:r w:rsidRPr="00B96CBD">
        <w:rPr>
          <w:rFonts w:ascii="Arial" w:eastAsia="Arial" w:hAnsi="Arial" w:cs="Arial"/>
          <w:sz w:val="22"/>
        </w:rPr>
        <w:t>ICS</w:t>
      </w:r>
      <w:r w:rsidR="00581615" w:rsidRPr="00B96CBD">
        <w:rPr>
          <w:rFonts w:ascii="Arial" w:eastAsia="Arial" w:hAnsi="Arial" w:cs="Arial"/>
          <w:sz w:val="22"/>
        </w:rPr>
        <w:t xml:space="preserve">) </w:t>
      </w:r>
      <w:r w:rsidRPr="00B96CBD">
        <w:rPr>
          <w:rFonts w:ascii="Arial" w:eastAsia="Arial" w:hAnsi="Arial" w:cs="Arial"/>
          <w:sz w:val="22"/>
        </w:rPr>
        <w:t xml:space="preserve">and multidisciplinary teams </w:t>
      </w:r>
      <w:r w:rsidR="00581615" w:rsidRPr="00B96CBD">
        <w:rPr>
          <w:rFonts w:ascii="Arial" w:eastAsia="Arial" w:hAnsi="Arial" w:cs="Arial"/>
          <w:sz w:val="22"/>
        </w:rPr>
        <w:t>(</w:t>
      </w:r>
      <w:r w:rsidRPr="00B96CBD">
        <w:rPr>
          <w:rFonts w:ascii="Arial" w:eastAsia="Arial" w:hAnsi="Arial" w:cs="Arial"/>
          <w:sz w:val="22"/>
        </w:rPr>
        <w:t>MDT</w:t>
      </w:r>
      <w:r w:rsidR="00581615" w:rsidRPr="00B96CBD">
        <w:rPr>
          <w:rFonts w:ascii="Arial" w:eastAsia="Arial" w:hAnsi="Arial" w:cs="Arial"/>
          <w:sz w:val="22"/>
        </w:rPr>
        <w:t>)</w:t>
      </w:r>
      <w:r w:rsidRPr="00B96CBD">
        <w:rPr>
          <w:rFonts w:ascii="Arial" w:eastAsia="Arial" w:hAnsi="Arial" w:cs="Arial"/>
          <w:sz w:val="22"/>
        </w:rPr>
        <w:t>.</w:t>
      </w:r>
    </w:p>
    <w:p w14:paraId="4FC9BC8B" w14:textId="45F2B87F" w:rsidR="001210E5" w:rsidRPr="00B96CBD" w:rsidRDefault="0049276D" w:rsidP="00B96CBD">
      <w:pPr>
        <w:spacing w:line="360" w:lineRule="auto"/>
        <w:jc w:val="both"/>
        <w:rPr>
          <w:rFonts w:ascii="Arial" w:eastAsia="Arial" w:hAnsi="Arial" w:cs="Arial"/>
          <w:sz w:val="22"/>
        </w:rPr>
      </w:pPr>
      <w:r w:rsidRPr="00B96CBD">
        <w:rPr>
          <w:rFonts w:ascii="Arial" w:eastAsia="Arial" w:hAnsi="Arial" w:cs="Arial"/>
          <w:sz w:val="22"/>
        </w:rPr>
        <w:t xml:space="preserve">In practice, the Practice Nurse leads a </w:t>
      </w:r>
      <w:r w:rsidRPr="00B96CBD">
        <w:rPr>
          <w:rFonts w:ascii="Arial" w:eastAsia="Arial" w:hAnsi="Arial" w:cs="Arial"/>
          <w:b/>
          <w:bCs/>
          <w:sz w:val="22"/>
        </w:rPr>
        <w:t>diabetes annual review clinic</w:t>
      </w:r>
      <w:r w:rsidRPr="00B96CBD">
        <w:rPr>
          <w:rFonts w:ascii="Arial" w:eastAsia="Arial" w:hAnsi="Arial" w:cs="Arial"/>
          <w:sz w:val="22"/>
        </w:rPr>
        <w:t xml:space="preserve"> and works in partnership with the GP, dietician, podiatrist, and local community diabetes team. For a patient with poorly controlled Type 2 and early neuropathy, the nurse refers to podiatry for foot screening, to the dietician for culturally appropriate meal planning, and to a social prescriber for an exercise group.</w:t>
      </w:r>
    </w:p>
    <w:p w14:paraId="02488D90" w14:textId="5834E445" w:rsidR="001210E5" w:rsidRPr="001977F0" w:rsidRDefault="0049276D" w:rsidP="00B96CBD">
      <w:pPr>
        <w:spacing w:line="360" w:lineRule="auto"/>
        <w:jc w:val="both"/>
        <w:rPr>
          <w:rFonts w:ascii="Arial" w:eastAsia="Arial" w:hAnsi="Arial" w:cs="Arial"/>
          <w:sz w:val="22"/>
        </w:rPr>
      </w:pPr>
      <w:r w:rsidRPr="00B96CBD">
        <w:rPr>
          <w:rFonts w:ascii="Arial" w:eastAsia="Arial" w:hAnsi="Arial" w:cs="Arial"/>
          <w:sz w:val="22"/>
        </w:rPr>
        <w:t>The team shares information via the GP record system to ensure consistent advice. This partnership addresses the challenge of fragmented care. Studies show MDT working reduces diabetes complications and improves patient satisfaction because patients receive coordinated support rather than conflicting messages (Department of Health and Social Care, 2022).</w:t>
      </w:r>
    </w:p>
    <w:p w14:paraId="4F940454" w14:textId="77777777" w:rsidR="001210E5" w:rsidRPr="00B96CBD" w:rsidRDefault="0049276D" w:rsidP="00B96CBD">
      <w:pPr>
        <w:spacing w:line="360" w:lineRule="auto"/>
        <w:jc w:val="both"/>
        <w:rPr>
          <w:rFonts w:ascii="Arial" w:eastAsia="Arial" w:hAnsi="Arial" w:cs="Arial"/>
          <w:sz w:val="22"/>
        </w:rPr>
      </w:pPr>
      <w:r w:rsidRPr="00B96CBD">
        <w:rPr>
          <w:rFonts w:ascii="Arial" w:eastAsia="Arial" w:hAnsi="Arial" w:cs="Arial"/>
          <w:sz w:val="22"/>
        </w:rPr>
        <w:t xml:space="preserve">Ethical practice is guided by the </w:t>
      </w:r>
      <w:r w:rsidRPr="00B96CBD">
        <w:rPr>
          <w:rFonts w:ascii="Arial" w:eastAsia="Arial" w:hAnsi="Arial" w:cs="Arial"/>
          <w:b/>
          <w:bCs/>
          <w:sz w:val="22"/>
        </w:rPr>
        <w:t>NMC Code (2018)</w:t>
      </w:r>
      <w:r w:rsidRPr="00B96CBD">
        <w:rPr>
          <w:rFonts w:ascii="Arial" w:eastAsia="Arial" w:hAnsi="Arial" w:cs="Arial"/>
          <w:sz w:val="22"/>
        </w:rPr>
        <w:t xml:space="preserve"> and the four principles: autonomy, beneficence, non-maleficence, and justice. A common challenge is when a patient with Type 1 Diabetes chooses not to check blood glucose despite risks.</w:t>
      </w:r>
    </w:p>
    <w:p w14:paraId="24CE6396" w14:textId="77777777" w:rsidR="00F63E82" w:rsidRPr="00B96CBD" w:rsidRDefault="0049276D" w:rsidP="00B96CBD">
      <w:pPr>
        <w:spacing w:line="360" w:lineRule="auto"/>
        <w:jc w:val="both"/>
        <w:rPr>
          <w:rFonts w:ascii="Arial" w:eastAsia="Arial" w:hAnsi="Arial" w:cs="Arial"/>
          <w:sz w:val="22"/>
        </w:rPr>
      </w:pPr>
      <w:r w:rsidRPr="00B96CBD">
        <w:rPr>
          <w:rFonts w:ascii="Arial" w:eastAsia="Arial" w:hAnsi="Arial" w:cs="Arial"/>
          <w:sz w:val="22"/>
        </w:rPr>
        <w:t xml:space="preserve">An ethical approach is to respect </w:t>
      </w:r>
      <w:r w:rsidRPr="00B96CBD">
        <w:rPr>
          <w:rFonts w:ascii="Arial" w:eastAsia="Arial" w:hAnsi="Arial" w:cs="Arial"/>
          <w:b/>
          <w:bCs/>
          <w:sz w:val="22"/>
        </w:rPr>
        <w:t>autonomy</w:t>
      </w:r>
      <w:r w:rsidRPr="00B96CBD">
        <w:rPr>
          <w:rFonts w:ascii="Arial" w:eastAsia="Arial" w:hAnsi="Arial" w:cs="Arial"/>
          <w:sz w:val="22"/>
        </w:rPr>
        <w:t xml:space="preserve"> by listening to the patient’s reasons, provide clear information about the risks of DKA and complications </w:t>
      </w:r>
      <w:r w:rsidRPr="00B96CBD">
        <w:rPr>
          <w:rFonts w:ascii="Arial" w:eastAsia="Arial" w:hAnsi="Arial" w:cs="Arial"/>
          <w:b/>
          <w:bCs/>
          <w:sz w:val="22"/>
        </w:rPr>
        <w:t>beneficence/non-maleficence,</w:t>
      </w:r>
      <w:r w:rsidRPr="00B96CBD">
        <w:rPr>
          <w:rFonts w:ascii="Arial" w:eastAsia="Arial" w:hAnsi="Arial" w:cs="Arial"/>
          <w:sz w:val="22"/>
        </w:rPr>
        <w:t xml:space="preserve"> and offer practical support such as simpler monitoring tools or education in their preferred language. The nurse must not coerce but must document discussions and safety advice, ensuring justice by offering the same level of support to all patients regardless of background.</w:t>
      </w:r>
      <w:r w:rsidR="001210E5" w:rsidRPr="00B96CBD">
        <w:rPr>
          <w:rFonts w:ascii="Arial" w:eastAsia="Arial" w:hAnsi="Arial" w:cs="Arial"/>
          <w:sz w:val="22"/>
        </w:rPr>
        <w:t xml:space="preserve"> </w:t>
      </w:r>
      <w:r w:rsidRPr="00B96CBD">
        <w:rPr>
          <w:rFonts w:ascii="Arial" w:eastAsia="Arial" w:hAnsi="Arial" w:cs="Arial"/>
          <w:sz w:val="22"/>
        </w:rPr>
        <w:t xml:space="preserve">This balances patient choice with duty of care and builds trust. Ethical decision-making also ensures confidentiality and informed consent are maintained during all consultations, in line with GDPR and the </w:t>
      </w:r>
      <w:r w:rsidRPr="00B96CBD">
        <w:rPr>
          <w:rFonts w:ascii="Arial" w:eastAsia="Arial" w:hAnsi="Arial" w:cs="Arial"/>
          <w:b/>
          <w:bCs/>
          <w:sz w:val="22"/>
        </w:rPr>
        <w:t xml:space="preserve">Care Quality Commission </w:t>
      </w:r>
      <w:r w:rsidR="001210E5" w:rsidRPr="00B96CBD">
        <w:rPr>
          <w:rFonts w:ascii="Arial" w:eastAsia="Arial" w:hAnsi="Arial" w:cs="Arial"/>
          <w:b/>
          <w:bCs/>
          <w:sz w:val="22"/>
        </w:rPr>
        <w:t>(</w:t>
      </w:r>
      <w:r w:rsidRPr="00B96CBD">
        <w:rPr>
          <w:rFonts w:ascii="Arial" w:eastAsia="Arial" w:hAnsi="Arial" w:cs="Arial"/>
          <w:b/>
          <w:bCs/>
          <w:sz w:val="22"/>
        </w:rPr>
        <w:t>CQC</w:t>
      </w:r>
      <w:r w:rsidR="001210E5" w:rsidRPr="00B96CBD">
        <w:rPr>
          <w:rFonts w:ascii="Arial" w:eastAsia="Arial" w:hAnsi="Arial" w:cs="Arial"/>
          <w:b/>
          <w:bCs/>
          <w:sz w:val="22"/>
        </w:rPr>
        <w:t xml:space="preserve">) </w:t>
      </w:r>
      <w:r w:rsidRPr="00B96CBD">
        <w:rPr>
          <w:rFonts w:ascii="Arial" w:eastAsia="Arial" w:hAnsi="Arial" w:cs="Arial"/>
          <w:sz w:val="22"/>
        </w:rPr>
        <w:t>standards.</w:t>
      </w:r>
    </w:p>
    <w:p w14:paraId="0BA08BD5" w14:textId="044D4EA3" w:rsidR="00525C67" w:rsidRPr="00B96CBD" w:rsidRDefault="00525C67" w:rsidP="00B96CBD">
      <w:pPr>
        <w:spacing w:line="360" w:lineRule="auto"/>
        <w:jc w:val="both"/>
        <w:rPr>
          <w:rFonts w:ascii="Arial" w:eastAsia="Arial" w:hAnsi="Arial" w:cs="Arial"/>
          <w:sz w:val="22"/>
        </w:rPr>
      </w:pPr>
      <w:r w:rsidRPr="00B96CBD">
        <w:rPr>
          <w:rFonts w:ascii="Arial" w:eastAsia="Arial" w:hAnsi="Arial" w:cs="Arial"/>
          <w:b/>
          <w:bCs/>
          <w:sz w:val="22"/>
        </w:rPr>
        <w:t>Task 3: Self-Reflection as a Health and Social Care Professional</w:t>
      </w:r>
    </w:p>
    <w:p w14:paraId="713F2F4B" w14:textId="0B9CBF39" w:rsidR="001A282A" w:rsidRPr="00B96CBD" w:rsidRDefault="00525C67" w:rsidP="00B96CBD">
      <w:pPr>
        <w:spacing w:line="360" w:lineRule="auto"/>
        <w:jc w:val="both"/>
        <w:rPr>
          <w:rFonts w:ascii="Arial" w:eastAsia="Arial" w:hAnsi="Arial" w:cs="Arial"/>
          <w:b/>
          <w:bCs/>
          <w:sz w:val="22"/>
        </w:rPr>
      </w:pPr>
      <w:r w:rsidRPr="00B96CBD">
        <w:rPr>
          <w:rFonts w:ascii="Arial" w:eastAsia="Arial" w:hAnsi="Arial" w:cs="Arial"/>
          <w:b/>
          <w:bCs/>
          <w:sz w:val="22"/>
        </w:rPr>
        <w:t>Using Gibbs’ Reflective Cycle (1988)</w:t>
      </w:r>
    </w:p>
    <w:p w14:paraId="2A130283" w14:textId="538DE137" w:rsidR="001A282A" w:rsidRPr="00B96CBD" w:rsidRDefault="00525C67" w:rsidP="00B96CBD">
      <w:pPr>
        <w:pStyle w:val="ListParagraph"/>
        <w:numPr>
          <w:ilvl w:val="0"/>
          <w:numId w:val="13"/>
        </w:numPr>
        <w:spacing w:line="360" w:lineRule="auto"/>
        <w:jc w:val="both"/>
        <w:rPr>
          <w:rFonts w:ascii="Arial" w:eastAsia="Arial" w:hAnsi="Arial" w:cs="Arial"/>
          <w:b/>
          <w:bCs/>
          <w:sz w:val="22"/>
        </w:rPr>
      </w:pPr>
      <w:r w:rsidRPr="00B96CBD">
        <w:rPr>
          <w:rFonts w:ascii="Arial" w:eastAsia="Arial" w:hAnsi="Arial" w:cs="Arial"/>
          <w:b/>
          <w:bCs/>
          <w:sz w:val="22"/>
        </w:rPr>
        <w:t>Description</w:t>
      </w:r>
      <w:r w:rsidR="001A282A" w:rsidRPr="00B96CBD">
        <w:rPr>
          <w:rFonts w:ascii="Arial" w:eastAsia="Arial" w:hAnsi="Arial" w:cs="Arial"/>
          <w:b/>
          <w:bCs/>
          <w:sz w:val="22"/>
        </w:rPr>
        <w:t>:</w:t>
      </w:r>
    </w:p>
    <w:p w14:paraId="35E20DC9" w14:textId="1A653EEC" w:rsidR="006C2D54" w:rsidRPr="00B96CBD" w:rsidRDefault="001A282A" w:rsidP="00B96CBD">
      <w:pPr>
        <w:spacing w:line="360" w:lineRule="auto"/>
        <w:jc w:val="both"/>
        <w:rPr>
          <w:rFonts w:ascii="Arial" w:eastAsia="Arial" w:hAnsi="Arial" w:cs="Arial"/>
          <w:b/>
          <w:bCs/>
          <w:sz w:val="22"/>
        </w:rPr>
      </w:pPr>
      <w:r w:rsidRPr="00B96CBD">
        <w:rPr>
          <w:rFonts w:ascii="Arial" w:eastAsia="Arial" w:hAnsi="Arial" w:cs="Arial"/>
          <w:sz w:val="22"/>
        </w:rPr>
        <w:t>In</w:t>
      </w:r>
      <w:r w:rsidR="00525C67" w:rsidRPr="00B96CBD">
        <w:rPr>
          <w:rFonts w:ascii="Arial" w:eastAsia="Arial" w:hAnsi="Arial" w:cs="Arial"/>
          <w:sz w:val="22"/>
        </w:rPr>
        <w:t xml:space="preserve"> </w:t>
      </w:r>
      <w:r w:rsidRPr="00B96CBD">
        <w:rPr>
          <w:rFonts w:ascii="Arial" w:eastAsia="Arial" w:hAnsi="Arial" w:cs="Arial"/>
          <w:sz w:val="22"/>
        </w:rPr>
        <w:t>my</w:t>
      </w:r>
      <w:r w:rsidR="00525C67" w:rsidRPr="00B96CBD">
        <w:rPr>
          <w:rFonts w:ascii="Arial" w:eastAsia="Arial" w:hAnsi="Arial" w:cs="Arial"/>
          <w:sz w:val="22"/>
        </w:rPr>
        <w:t xml:space="preserve"> role as a Practice Nurse in a busy UK GP surgery, I work daily with patients who have Type 1 and Type 2 Diabetes. As discussed in Task 2, many patients attend for annual reviews but have limited understanding of blood glucose management, diet, and lifestyle. One patient I saw recently was a 5</w:t>
      </w:r>
      <w:r w:rsidRPr="00B96CBD">
        <w:rPr>
          <w:rFonts w:ascii="Arial" w:eastAsia="Arial" w:hAnsi="Arial" w:cs="Arial"/>
          <w:sz w:val="22"/>
        </w:rPr>
        <w:t>2</w:t>
      </w:r>
      <w:r w:rsidR="00525C67" w:rsidRPr="00B96CBD">
        <w:rPr>
          <w:rFonts w:ascii="Arial" w:eastAsia="Arial" w:hAnsi="Arial" w:cs="Arial"/>
          <w:sz w:val="22"/>
        </w:rPr>
        <w:t>-year-old with Type 2 Diabetes, working night shifts, who had frequent episodes of hypoglycaemia and an HbA1c above target. They felt overwhelmed and did not see the point of monitoring</w:t>
      </w:r>
      <w:r w:rsidR="00525C67" w:rsidRPr="00B96CBD">
        <w:rPr>
          <w:rFonts w:ascii="Arial" w:eastAsia="Arial" w:hAnsi="Arial" w:cs="Arial"/>
          <w:b/>
          <w:bCs/>
          <w:sz w:val="22"/>
        </w:rPr>
        <w:t>.</w:t>
      </w:r>
      <w:r w:rsidR="00F63E82" w:rsidRPr="00B96CBD">
        <w:rPr>
          <w:rFonts w:ascii="Arial" w:hAnsi="Arial" w:cs="Arial"/>
          <w:b/>
          <w:bCs/>
          <w:noProof/>
          <w:sz w:val="22"/>
        </w:rPr>
        <w:t xml:space="preserve"> </w:t>
      </w:r>
      <w:r w:rsidR="007F6530" w:rsidRPr="00B96CBD">
        <w:rPr>
          <w:rFonts w:ascii="Arial" w:hAnsi="Arial" w:cs="Arial"/>
          <w:b/>
          <w:bCs/>
          <w:noProof/>
          <w:sz w:val="22"/>
        </w:rPr>
        <w:t xml:space="preserve"> </w:t>
      </w:r>
      <w:r w:rsidR="007F6530" w:rsidRPr="00B96CBD">
        <w:rPr>
          <w:rFonts w:ascii="Arial" w:eastAsia="Arial" w:hAnsi="Arial" w:cs="Arial"/>
          <w:b/>
          <w:bCs/>
          <w:sz w:val="22"/>
        </w:rPr>
        <w:t>National Health Service (2019)</w:t>
      </w:r>
    </w:p>
    <w:p w14:paraId="3C7BDB74" w14:textId="77777777" w:rsidR="006C2D54"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 xml:space="preserve">This experience made me reflect on how I apply the three core principles of health and social care: </w:t>
      </w:r>
      <w:r w:rsidRPr="00B96CBD">
        <w:rPr>
          <w:rFonts w:ascii="Arial" w:eastAsia="Arial" w:hAnsi="Arial" w:cs="Arial"/>
          <w:b/>
          <w:bCs/>
          <w:sz w:val="22"/>
        </w:rPr>
        <w:t>person-centred care, partnership working, and ethics</w:t>
      </w:r>
      <w:r w:rsidRPr="00B96CBD">
        <w:rPr>
          <w:rFonts w:ascii="Arial" w:eastAsia="Arial" w:hAnsi="Arial" w:cs="Arial"/>
          <w:sz w:val="22"/>
        </w:rPr>
        <w:t>. I want to explore how these principles influence my day-to-day work and how they can support my professional growth.</w:t>
      </w:r>
    </w:p>
    <w:p w14:paraId="0B514776" w14:textId="77777777" w:rsidR="006C2D54" w:rsidRPr="00B96CBD" w:rsidRDefault="00525C67" w:rsidP="00B96CBD">
      <w:pPr>
        <w:spacing w:line="360" w:lineRule="auto"/>
        <w:jc w:val="both"/>
        <w:rPr>
          <w:rFonts w:ascii="Arial" w:eastAsia="Arial" w:hAnsi="Arial" w:cs="Arial"/>
          <w:b/>
          <w:bCs/>
          <w:sz w:val="22"/>
        </w:rPr>
      </w:pPr>
      <w:r w:rsidRPr="00B96CBD">
        <w:rPr>
          <w:rFonts w:ascii="Arial" w:eastAsia="Arial" w:hAnsi="Arial" w:cs="Arial"/>
          <w:b/>
          <w:bCs/>
          <w:sz w:val="22"/>
        </w:rPr>
        <w:t>2. Feelings</w:t>
      </w:r>
    </w:p>
    <w:p w14:paraId="5430830C" w14:textId="77777777" w:rsidR="006C2D54"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Initially, I felt frustrated because I had given standard dietary and monitoring advice in previous appointments, but the patient’s HbA1c had not improved. I also felt concerned about their safety due to the risk of hypos. However, I then felt a sense of responsibility to do better. The NMC Code (2018) states that nurses must prioritise people and practise effectively, which reminded me that my role is not just to give information but to support the person to use it.</w:t>
      </w:r>
    </w:p>
    <w:p w14:paraId="43AD8124" w14:textId="182CC572" w:rsidR="006C2D54" w:rsidRPr="00B96CBD" w:rsidRDefault="00525C67" w:rsidP="00B96CBD">
      <w:pPr>
        <w:spacing w:line="360" w:lineRule="auto"/>
        <w:jc w:val="both"/>
        <w:rPr>
          <w:rFonts w:ascii="Arial" w:eastAsia="Arial" w:hAnsi="Arial" w:cs="Arial"/>
          <w:b/>
          <w:bCs/>
          <w:sz w:val="22"/>
        </w:rPr>
      </w:pPr>
      <w:r w:rsidRPr="00B96CBD">
        <w:rPr>
          <w:rFonts w:ascii="Arial" w:eastAsia="Arial" w:hAnsi="Arial" w:cs="Arial"/>
          <w:b/>
          <w:bCs/>
          <w:sz w:val="22"/>
        </w:rPr>
        <w:t>3. Evaluation</w:t>
      </w:r>
      <w:r w:rsidR="006C2D54" w:rsidRPr="00B96CBD">
        <w:rPr>
          <w:rFonts w:ascii="Arial" w:eastAsia="Arial" w:hAnsi="Arial" w:cs="Arial"/>
          <w:b/>
          <w:bCs/>
          <w:sz w:val="22"/>
        </w:rPr>
        <w:t xml:space="preserve">: - </w:t>
      </w:r>
      <w:r w:rsidRPr="00B96CBD">
        <w:rPr>
          <w:rFonts w:ascii="Arial" w:eastAsia="Arial" w:hAnsi="Arial" w:cs="Arial"/>
          <w:b/>
          <w:bCs/>
          <w:sz w:val="22"/>
        </w:rPr>
        <w:t>What was good and what was challenging?</w:t>
      </w:r>
    </w:p>
    <w:p w14:paraId="58261A54" w14:textId="1760B471" w:rsidR="004B0BB9" w:rsidRPr="00B96CBD" w:rsidRDefault="00525C67" w:rsidP="00B96CBD">
      <w:pPr>
        <w:spacing w:line="360" w:lineRule="auto"/>
        <w:jc w:val="both"/>
        <w:rPr>
          <w:rFonts w:ascii="Arial" w:eastAsia="Arial" w:hAnsi="Arial" w:cs="Arial"/>
          <w:sz w:val="22"/>
        </w:rPr>
      </w:pPr>
      <w:r w:rsidRPr="00B96CBD">
        <w:rPr>
          <w:rFonts w:ascii="Arial" w:eastAsia="Arial" w:hAnsi="Arial" w:cs="Arial"/>
          <w:b/>
          <w:bCs/>
          <w:sz w:val="22"/>
        </w:rPr>
        <w:t>What was good:</w:t>
      </w:r>
      <w:r w:rsidRPr="00B96CBD">
        <w:rPr>
          <w:rFonts w:ascii="Arial" w:eastAsia="Arial" w:hAnsi="Arial" w:cs="Arial"/>
          <w:sz w:val="22"/>
        </w:rPr>
        <w:t xml:space="preserve"> I listened to the patient’s situation and tried to understand why previous advice had not worked. I used simple language and visual aids to explain blood glucose, which the patient responded to well.</w:t>
      </w:r>
    </w:p>
    <w:p w14:paraId="7B337F44" w14:textId="77777777" w:rsidR="004B0BB9" w:rsidRPr="00B96CBD" w:rsidRDefault="00525C67" w:rsidP="00B96CBD">
      <w:pPr>
        <w:spacing w:line="360" w:lineRule="auto"/>
        <w:jc w:val="both"/>
        <w:rPr>
          <w:rFonts w:ascii="Arial" w:eastAsia="Arial" w:hAnsi="Arial" w:cs="Arial"/>
          <w:sz w:val="22"/>
        </w:rPr>
      </w:pPr>
      <w:r w:rsidRPr="00B96CBD">
        <w:rPr>
          <w:rFonts w:ascii="Arial" w:eastAsia="Arial" w:hAnsi="Arial" w:cs="Arial"/>
          <w:b/>
          <w:bCs/>
          <w:sz w:val="22"/>
        </w:rPr>
        <w:t>What was challenging:</w:t>
      </w:r>
      <w:r w:rsidRPr="00B96CBD">
        <w:rPr>
          <w:rFonts w:ascii="Arial" w:eastAsia="Arial" w:hAnsi="Arial" w:cs="Arial"/>
          <w:sz w:val="22"/>
        </w:rPr>
        <w:t xml:space="preserve"> I realised I had not fully applied a person-centred approach before. I had focused on “what the guidelines say” rather than “what works for this person”. I also recognised gaps in my partnership working. I had not yet referred the patient to the dietician or social prescriber for support with food choices on night shifts. Ethically, I was unsure how far to push advice without undermining the patient’s autonomy.</w:t>
      </w:r>
    </w:p>
    <w:p w14:paraId="626CB9CA" w14:textId="77777777" w:rsidR="004B0BB9" w:rsidRPr="00B96CBD" w:rsidRDefault="00525C67" w:rsidP="00B96CBD">
      <w:pPr>
        <w:spacing w:line="360" w:lineRule="auto"/>
        <w:jc w:val="both"/>
        <w:rPr>
          <w:rFonts w:ascii="Arial" w:eastAsia="Arial" w:hAnsi="Arial" w:cs="Arial"/>
          <w:b/>
          <w:bCs/>
          <w:sz w:val="22"/>
        </w:rPr>
      </w:pPr>
      <w:r w:rsidRPr="00B96CBD">
        <w:rPr>
          <w:rFonts w:ascii="Arial" w:eastAsia="Arial" w:hAnsi="Arial" w:cs="Arial"/>
          <w:b/>
          <w:bCs/>
          <w:sz w:val="22"/>
        </w:rPr>
        <w:t>4. Analysis - Linking theory, policy and practice</w:t>
      </w:r>
    </w:p>
    <w:p w14:paraId="78B84D60" w14:textId="717C23B3" w:rsidR="004B0BB9" w:rsidRPr="00B96CBD" w:rsidRDefault="00525C67" w:rsidP="00B96CBD">
      <w:pPr>
        <w:spacing w:line="360" w:lineRule="auto"/>
        <w:jc w:val="both"/>
        <w:rPr>
          <w:rFonts w:ascii="Arial" w:eastAsia="Arial" w:hAnsi="Arial" w:cs="Arial"/>
          <w:sz w:val="22"/>
        </w:rPr>
      </w:pPr>
      <w:r w:rsidRPr="00B96CBD">
        <w:rPr>
          <w:rFonts w:ascii="Arial" w:eastAsia="Arial" w:hAnsi="Arial" w:cs="Arial"/>
          <w:b/>
          <w:bCs/>
          <w:sz w:val="22"/>
        </w:rPr>
        <w:t>Person-centred care</w:t>
      </w:r>
      <w:r w:rsidRPr="00B96CBD">
        <w:rPr>
          <w:rFonts w:ascii="Arial" w:eastAsia="Arial" w:hAnsi="Arial" w:cs="Arial"/>
          <w:sz w:val="22"/>
        </w:rPr>
        <w:t xml:space="preserve"> is central to the Care Act 2014 </w:t>
      </w:r>
      <w:r w:rsidRPr="00B96CBD">
        <w:rPr>
          <w:rFonts w:ascii="Arial" w:eastAsia="Arial" w:hAnsi="Arial" w:cs="Arial"/>
          <w:b/>
          <w:bCs/>
          <w:sz w:val="22"/>
        </w:rPr>
        <w:t>and NICE NG28 (2022)</w:t>
      </w:r>
      <w:r w:rsidRPr="00B96CBD">
        <w:rPr>
          <w:rFonts w:ascii="Arial" w:eastAsia="Arial" w:hAnsi="Arial" w:cs="Arial"/>
          <w:sz w:val="22"/>
        </w:rPr>
        <w:t xml:space="preserve">. The Health Foundation (2016) defines it as care that is respectful of and responsive to individual preferences. In practice, this meant shifting from telling to collaborating. Using Maslow’s Hierarchy of Needs (1943), I recognised that before the patient could focus on “self-actualisation” through diabetes self-management, their basic physiological and safety needs had to be met. Working nights affected their sleep, </w:t>
      </w:r>
      <w:r w:rsidR="004A0AB1" w:rsidRPr="00B96CBD">
        <w:rPr>
          <w:rFonts w:ascii="Arial" w:eastAsia="Arial" w:hAnsi="Arial" w:cs="Arial"/>
          <w:sz w:val="22"/>
        </w:rPr>
        <w:t>mealtimes</w:t>
      </w:r>
      <w:r w:rsidRPr="00B96CBD">
        <w:rPr>
          <w:rFonts w:ascii="Arial" w:eastAsia="Arial" w:hAnsi="Arial" w:cs="Arial"/>
          <w:sz w:val="22"/>
        </w:rPr>
        <w:t>, and energy. Therefore, advice about 3 regular meals was unrealistic. Instead, we co-produced a plan around portable low-GI snacks and timing of medication.</w:t>
      </w:r>
    </w:p>
    <w:p w14:paraId="3DCDD9B8" w14:textId="5F5DAD73" w:rsidR="00F00B59" w:rsidRPr="00B96CBD" w:rsidRDefault="00525C67" w:rsidP="00B96CBD">
      <w:pPr>
        <w:spacing w:line="360" w:lineRule="auto"/>
        <w:jc w:val="both"/>
        <w:rPr>
          <w:rFonts w:ascii="Arial" w:eastAsia="Arial" w:hAnsi="Arial" w:cs="Arial"/>
          <w:sz w:val="22"/>
        </w:rPr>
      </w:pPr>
      <w:r w:rsidRPr="00B96CBD">
        <w:rPr>
          <w:rFonts w:ascii="Arial" w:eastAsia="Arial" w:hAnsi="Arial" w:cs="Arial"/>
          <w:b/>
          <w:bCs/>
          <w:sz w:val="22"/>
        </w:rPr>
        <w:t>Ethics</w:t>
      </w:r>
      <w:r w:rsidRPr="00B96CBD">
        <w:rPr>
          <w:rFonts w:ascii="Arial" w:eastAsia="Arial" w:hAnsi="Arial" w:cs="Arial"/>
          <w:sz w:val="22"/>
        </w:rPr>
        <w:t xml:space="preserve"> guided how I balanced autonomy with duty of care. The four principles from </w:t>
      </w:r>
      <w:r w:rsidRPr="00B96CBD">
        <w:rPr>
          <w:rFonts w:ascii="Arial" w:eastAsia="Arial" w:hAnsi="Arial" w:cs="Arial"/>
          <w:b/>
          <w:bCs/>
          <w:sz w:val="22"/>
        </w:rPr>
        <w:t>Beauchamp and Childress (2013)</w:t>
      </w:r>
      <w:r w:rsidR="00F00B59" w:rsidRPr="00B96CBD">
        <w:rPr>
          <w:rFonts w:ascii="Arial" w:eastAsia="Arial" w:hAnsi="Arial" w:cs="Arial"/>
          <w:sz w:val="22"/>
        </w:rPr>
        <w:t xml:space="preserve">: </w:t>
      </w:r>
      <w:r w:rsidRPr="00B96CBD">
        <w:rPr>
          <w:rFonts w:ascii="Arial" w:eastAsia="Arial" w:hAnsi="Arial" w:cs="Arial"/>
          <w:sz w:val="22"/>
        </w:rPr>
        <w:t xml:space="preserve">autonomy, beneficence, non-maleficence, and justice </w:t>
      </w:r>
      <w:r w:rsidR="00F00B59" w:rsidRPr="00B96CBD">
        <w:rPr>
          <w:rFonts w:ascii="Arial" w:eastAsia="Arial" w:hAnsi="Arial" w:cs="Arial"/>
          <w:sz w:val="22"/>
        </w:rPr>
        <w:t xml:space="preserve">- </w:t>
      </w:r>
      <w:r w:rsidRPr="00B96CBD">
        <w:rPr>
          <w:rFonts w:ascii="Arial" w:eastAsia="Arial" w:hAnsi="Arial" w:cs="Arial"/>
          <w:sz w:val="22"/>
        </w:rPr>
        <w:t xml:space="preserve">are embedded in the </w:t>
      </w:r>
      <w:r w:rsidRPr="00B96CBD">
        <w:rPr>
          <w:rFonts w:ascii="Arial" w:eastAsia="Arial" w:hAnsi="Arial" w:cs="Arial"/>
          <w:b/>
          <w:bCs/>
          <w:sz w:val="22"/>
        </w:rPr>
        <w:t xml:space="preserve">NMC Code (2018). </w:t>
      </w:r>
      <w:r w:rsidRPr="00B96CBD">
        <w:rPr>
          <w:rFonts w:ascii="Arial" w:eastAsia="Arial" w:hAnsi="Arial" w:cs="Arial"/>
          <w:sz w:val="22"/>
        </w:rPr>
        <w:t>The patient had the right to make choices about their care. My role was to provide clear, evidence-based information about the risks of poor control, such as neuropathy and cardiovascular disease, while respecting their decisions. I documented our discussion to ensure transparency and accountability, as required by CQC and GDPR.</w:t>
      </w:r>
      <w:r w:rsidR="002703DD" w:rsidRPr="00B96CBD">
        <w:rPr>
          <w:rFonts w:ascii="Arial" w:eastAsia="Arial" w:hAnsi="Arial" w:cs="Arial"/>
          <w:sz w:val="22"/>
        </w:rPr>
        <w:t xml:space="preserve"> </w:t>
      </w:r>
      <w:r w:rsidR="002703DD" w:rsidRPr="00B96CBD">
        <w:rPr>
          <w:rFonts w:ascii="Arial" w:eastAsia="Arial" w:hAnsi="Arial" w:cs="Arial"/>
          <w:b/>
          <w:bCs/>
          <w:sz w:val="22"/>
        </w:rPr>
        <w:t>London: NICE. (NG28),</w:t>
      </w:r>
    </w:p>
    <w:p w14:paraId="06A5F46F" w14:textId="77777777" w:rsidR="00DB4F33" w:rsidRDefault="00DB4F33" w:rsidP="00B96CBD">
      <w:pPr>
        <w:spacing w:line="360" w:lineRule="auto"/>
        <w:jc w:val="both"/>
        <w:rPr>
          <w:rFonts w:ascii="Arial" w:eastAsia="Arial" w:hAnsi="Arial" w:cs="Arial"/>
          <w:sz w:val="22"/>
        </w:rPr>
      </w:pPr>
    </w:p>
    <w:p w14:paraId="2C8199E6" w14:textId="77777777" w:rsidR="00845768" w:rsidRDefault="00845768" w:rsidP="00B96CBD">
      <w:pPr>
        <w:spacing w:line="360" w:lineRule="auto"/>
        <w:jc w:val="both"/>
        <w:rPr>
          <w:rFonts w:ascii="Arial" w:eastAsia="Arial" w:hAnsi="Arial" w:cs="Arial"/>
          <w:sz w:val="22"/>
        </w:rPr>
      </w:pPr>
    </w:p>
    <w:p w14:paraId="45B29D43" w14:textId="77777777" w:rsidR="00845768" w:rsidRDefault="00845768" w:rsidP="00B96CBD">
      <w:pPr>
        <w:spacing w:line="360" w:lineRule="auto"/>
        <w:jc w:val="both"/>
        <w:rPr>
          <w:rFonts w:ascii="Arial" w:eastAsia="Arial" w:hAnsi="Arial" w:cs="Arial"/>
          <w:sz w:val="22"/>
        </w:rPr>
      </w:pPr>
    </w:p>
    <w:p w14:paraId="6C2380B5" w14:textId="77777777" w:rsidR="001F0CB6" w:rsidRDefault="001F0CB6" w:rsidP="00B96CBD">
      <w:pPr>
        <w:spacing w:line="360" w:lineRule="auto"/>
        <w:jc w:val="both"/>
        <w:rPr>
          <w:rFonts w:ascii="Arial" w:eastAsia="Arial" w:hAnsi="Arial" w:cs="Arial"/>
          <w:sz w:val="22"/>
        </w:rPr>
      </w:pPr>
    </w:p>
    <w:p w14:paraId="08FB0022" w14:textId="77777777" w:rsidR="001F0CB6" w:rsidRPr="00B96CBD" w:rsidRDefault="001F0CB6" w:rsidP="00B96CBD">
      <w:pPr>
        <w:spacing w:line="360" w:lineRule="auto"/>
        <w:jc w:val="both"/>
        <w:rPr>
          <w:rFonts w:ascii="Arial" w:eastAsia="Arial" w:hAnsi="Arial" w:cs="Arial"/>
          <w:sz w:val="22"/>
        </w:rPr>
      </w:pPr>
    </w:p>
    <w:p w14:paraId="79314D6B" w14:textId="73F71882" w:rsidR="001D7EC9" w:rsidRPr="00B96CBD" w:rsidRDefault="00525C67" w:rsidP="00B96CBD">
      <w:pPr>
        <w:spacing w:line="360" w:lineRule="auto"/>
        <w:jc w:val="both"/>
        <w:rPr>
          <w:rFonts w:ascii="Arial" w:eastAsia="Arial" w:hAnsi="Arial" w:cs="Arial"/>
          <w:sz w:val="22"/>
        </w:rPr>
      </w:pPr>
      <w:r w:rsidRPr="00B96CBD">
        <w:rPr>
          <w:rFonts w:ascii="Arial" w:eastAsia="Arial" w:hAnsi="Arial" w:cs="Arial"/>
          <w:b/>
          <w:bCs/>
          <w:sz w:val="22"/>
        </w:rPr>
        <w:t>My current strengths:</w:t>
      </w:r>
    </w:p>
    <w:p w14:paraId="2779C50E" w14:textId="77777777" w:rsidR="001D7EC9" w:rsidRPr="00B96CBD" w:rsidRDefault="00525C67" w:rsidP="00B96CBD">
      <w:pPr>
        <w:pStyle w:val="ListParagraph"/>
        <w:numPr>
          <w:ilvl w:val="0"/>
          <w:numId w:val="8"/>
        </w:numPr>
        <w:spacing w:line="360" w:lineRule="auto"/>
        <w:jc w:val="both"/>
        <w:rPr>
          <w:rFonts w:ascii="Arial" w:eastAsia="Arial" w:hAnsi="Arial" w:cs="Arial"/>
          <w:sz w:val="22"/>
        </w:rPr>
      </w:pPr>
      <w:r w:rsidRPr="00B96CBD">
        <w:rPr>
          <w:rFonts w:ascii="Arial" w:eastAsia="Arial" w:hAnsi="Arial" w:cs="Arial"/>
          <w:b/>
          <w:bCs/>
          <w:sz w:val="22"/>
        </w:rPr>
        <w:t>Communication:</w:t>
      </w:r>
      <w:r w:rsidRPr="00B96CBD">
        <w:rPr>
          <w:rFonts w:ascii="Arial" w:eastAsia="Arial" w:hAnsi="Arial" w:cs="Arial"/>
          <w:sz w:val="22"/>
        </w:rPr>
        <w:t xml:space="preserve"> I can explain complex information in plain English and use teach-back methods.</w:t>
      </w:r>
    </w:p>
    <w:p w14:paraId="02BD24A4" w14:textId="77777777" w:rsidR="001D7EC9" w:rsidRPr="00B96CBD" w:rsidRDefault="00525C67" w:rsidP="00B96CBD">
      <w:pPr>
        <w:pStyle w:val="ListParagraph"/>
        <w:numPr>
          <w:ilvl w:val="0"/>
          <w:numId w:val="8"/>
        </w:numPr>
        <w:spacing w:line="360" w:lineRule="auto"/>
        <w:jc w:val="both"/>
        <w:rPr>
          <w:rFonts w:ascii="Arial" w:eastAsia="Arial" w:hAnsi="Arial" w:cs="Arial"/>
          <w:sz w:val="22"/>
        </w:rPr>
      </w:pPr>
      <w:r w:rsidRPr="00B96CBD">
        <w:rPr>
          <w:rFonts w:ascii="Arial" w:eastAsia="Arial" w:hAnsi="Arial" w:cs="Arial"/>
          <w:b/>
          <w:bCs/>
          <w:sz w:val="22"/>
        </w:rPr>
        <w:t xml:space="preserve">Clinical knowledge: </w:t>
      </w:r>
      <w:r w:rsidRPr="00B96CBD">
        <w:rPr>
          <w:rFonts w:ascii="Arial" w:eastAsia="Arial" w:hAnsi="Arial" w:cs="Arial"/>
          <w:sz w:val="22"/>
        </w:rPr>
        <w:t>I am confident with NICE diabetes guidelines and blood glucose monitoring.</w:t>
      </w:r>
    </w:p>
    <w:p w14:paraId="49FFC906" w14:textId="69741BAD" w:rsidR="001D7EC9" w:rsidRPr="00B96CBD" w:rsidRDefault="00525C67" w:rsidP="00B96CBD">
      <w:pPr>
        <w:pStyle w:val="ListParagraph"/>
        <w:numPr>
          <w:ilvl w:val="0"/>
          <w:numId w:val="8"/>
        </w:numPr>
        <w:spacing w:line="360" w:lineRule="auto"/>
        <w:jc w:val="both"/>
        <w:rPr>
          <w:rFonts w:ascii="Arial" w:eastAsia="Arial" w:hAnsi="Arial" w:cs="Arial"/>
          <w:sz w:val="22"/>
        </w:rPr>
      </w:pPr>
      <w:r w:rsidRPr="00B96CBD">
        <w:rPr>
          <w:rFonts w:ascii="Arial" w:eastAsia="Arial" w:hAnsi="Arial" w:cs="Arial"/>
          <w:b/>
          <w:bCs/>
          <w:sz w:val="22"/>
        </w:rPr>
        <w:t>Empathy:</w:t>
      </w:r>
      <w:r w:rsidRPr="00B96CBD">
        <w:rPr>
          <w:rFonts w:ascii="Arial" w:eastAsia="Arial" w:hAnsi="Arial" w:cs="Arial"/>
          <w:sz w:val="22"/>
        </w:rPr>
        <w:t xml:space="preserve"> Patients often say they feel listened to in my clinic.</w:t>
      </w:r>
    </w:p>
    <w:p w14:paraId="302B22D0" w14:textId="77777777" w:rsidR="001D7EC9" w:rsidRPr="00B96CBD" w:rsidRDefault="00525C67" w:rsidP="00B96CBD">
      <w:pPr>
        <w:spacing w:line="360" w:lineRule="auto"/>
        <w:jc w:val="both"/>
        <w:rPr>
          <w:rFonts w:ascii="Arial" w:eastAsia="Arial" w:hAnsi="Arial" w:cs="Arial"/>
          <w:b/>
          <w:bCs/>
          <w:sz w:val="22"/>
          <w:u w:val="single"/>
        </w:rPr>
      </w:pPr>
      <w:r w:rsidRPr="00B96CBD">
        <w:rPr>
          <w:rFonts w:ascii="Arial" w:eastAsia="Arial" w:hAnsi="Arial" w:cs="Arial"/>
          <w:b/>
          <w:bCs/>
          <w:sz w:val="22"/>
          <w:u w:val="single"/>
        </w:rPr>
        <w:t>Areas for improvement:</w:t>
      </w:r>
    </w:p>
    <w:p w14:paraId="4EC2761D" w14:textId="32134A74" w:rsidR="001D7EC9" w:rsidRPr="00B96CBD" w:rsidRDefault="00525C67" w:rsidP="00B96CBD">
      <w:pPr>
        <w:pStyle w:val="ListParagraph"/>
        <w:numPr>
          <w:ilvl w:val="0"/>
          <w:numId w:val="9"/>
        </w:numPr>
        <w:spacing w:line="360" w:lineRule="auto"/>
        <w:jc w:val="both"/>
        <w:rPr>
          <w:rFonts w:ascii="Arial" w:eastAsia="Arial" w:hAnsi="Arial" w:cs="Arial"/>
          <w:b/>
          <w:bCs/>
          <w:sz w:val="22"/>
        </w:rPr>
      </w:pPr>
      <w:r w:rsidRPr="00B96CBD">
        <w:rPr>
          <w:rFonts w:ascii="Arial" w:eastAsia="Arial" w:hAnsi="Arial" w:cs="Arial"/>
          <w:b/>
          <w:bCs/>
          <w:sz w:val="22"/>
        </w:rPr>
        <w:t>Cultural competence and health literacy:</w:t>
      </w:r>
      <w:r w:rsidRPr="00B96CBD">
        <w:rPr>
          <w:rFonts w:ascii="Arial" w:eastAsia="Arial" w:hAnsi="Arial" w:cs="Arial"/>
          <w:sz w:val="22"/>
        </w:rPr>
        <w:t xml:space="preserve"> I need to improve how I tailor advice for patients from different backgrounds and with varying literacy levels.</w:t>
      </w:r>
    </w:p>
    <w:p w14:paraId="27A51D09" w14:textId="26569DC8" w:rsidR="001D7EC9" w:rsidRPr="00B96CBD" w:rsidRDefault="00525C67" w:rsidP="00B96CBD">
      <w:pPr>
        <w:pStyle w:val="ListParagraph"/>
        <w:numPr>
          <w:ilvl w:val="0"/>
          <w:numId w:val="9"/>
        </w:numPr>
        <w:spacing w:line="360" w:lineRule="auto"/>
        <w:jc w:val="both"/>
        <w:rPr>
          <w:rFonts w:ascii="Arial" w:eastAsia="Arial" w:hAnsi="Arial" w:cs="Arial"/>
          <w:b/>
          <w:bCs/>
          <w:sz w:val="22"/>
        </w:rPr>
      </w:pPr>
      <w:r w:rsidRPr="00B96CBD">
        <w:rPr>
          <w:rFonts w:ascii="Arial" w:eastAsia="Arial" w:hAnsi="Arial" w:cs="Arial"/>
          <w:b/>
          <w:bCs/>
          <w:sz w:val="22"/>
        </w:rPr>
        <w:t xml:space="preserve">Partnership </w:t>
      </w:r>
      <w:r w:rsidR="004A0AB1" w:rsidRPr="00B96CBD">
        <w:rPr>
          <w:rFonts w:ascii="Arial" w:eastAsia="Arial" w:hAnsi="Arial" w:cs="Arial"/>
          <w:b/>
          <w:bCs/>
          <w:sz w:val="22"/>
        </w:rPr>
        <w:t>working.</w:t>
      </w:r>
      <w:r w:rsidRPr="00B96CBD">
        <w:rPr>
          <w:rFonts w:ascii="Arial" w:eastAsia="Arial" w:hAnsi="Arial" w:cs="Arial"/>
          <w:sz w:val="22"/>
        </w:rPr>
        <w:t xml:space="preserve"> I do not always know all the local services available for referral.</w:t>
      </w:r>
    </w:p>
    <w:p w14:paraId="326B6BC7" w14:textId="77777777" w:rsidR="001D7EC9" w:rsidRPr="00B96CBD" w:rsidRDefault="00525C67" w:rsidP="00B96CBD">
      <w:pPr>
        <w:pStyle w:val="ListParagraph"/>
        <w:numPr>
          <w:ilvl w:val="0"/>
          <w:numId w:val="9"/>
        </w:numPr>
        <w:spacing w:line="360" w:lineRule="auto"/>
        <w:jc w:val="both"/>
        <w:rPr>
          <w:rFonts w:ascii="Arial" w:eastAsia="Arial" w:hAnsi="Arial" w:cs="Arial"/>
          <w:sz w:val="22"/>
        </w:rPr>
      </w:pPr>
      <w:r w:rsidRPr="00B96CBD">
        <w:rPr>
          <w:rFonts w:ascii="Arial" w:eastAsia="Arial" w:hAnsi="Arial" w:cs="Arial"/>
          <w:b/>
          <w:bCs/>
          <w:sz w:val="22"/>
        </w:rPr>
        <w:t>Ethical decision-making under pressure:</w:t>
      </w:r>
      <w:r w:rsidRPr="00B96CBD">
        <w:rPr>
          <w:rFonts w:ascii="Arial" w:eastAsia="Arial" w:hAnsi="Arial" w:cs="Arial"/>
          <w:sz w:val="22"/>
        </w:rPr>
        <w:t xml:space="preserve"> In busy clinics, I sometimes rush through consent and risk discussions.</w:t>
      </w:r>
    </w:p>
    <w:p w14:paraId="295FEC2E" w14:textId="63EFC4A4" w:rsidR="009C332A"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 xml:space="preserve">6. </w:t>
      </w:r>
      <w:r w:rsidRPr="00B96CBD">
        <w:rPr>
          <w:rFonts w:ascii="Arial" w:eastAsia="Arial" w:hAnsi="Arial" w:cs="Arial"/>
          <w:b/>
          <w:bCs/>
          <w:sz w:val="22"/>
        </w:rPr>
        <w:t>Action Plan - How will I enhance my practice?</w:t>
      </w:r>
    </w:p>
    <w:p w14:paraId="3FE63237" w14:textId="77777777" w:rsidR="009C332A"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To develop as a health and social care professional, I have created specific actions linked to the principles:</w:t>
      </w:r>
    </w:p>
    <w:p w14:paraId="58756243" w14:textId="0057B042" w:rsidR="009C332A" w:rsidRPr="00B96CBD" w:rsidRDefault="00525C67" w:rsidP="00B96CBD">
      <w:pPr>
        <w:spacing w:line="360" w:lineRule="auto"/>
        <w:jc w:val="both"/>
        <w:rPr>
          <w:rFonts w:ascii="Arial" w:eastAsia="Arial" w:hAnsi="Arial" w:cs="Arial"/>
          <w:sz w:val="22"/>
        </w:rPr>
      </w:pPr>
      <w:r w:rsidRPr="00B96CBD">
        <w:rPr>
          <w:rFonts w:ascii="Arial" w:eastAsia="Arial" w:hAnsi="Arial" w:cs="Arial"/>
          <w:b/>
          <w:bCs/>
          <w:sz w:val="22"/>
        </w:rPr>
        <w:t>For Person-Centred Care:</w:t>
      </w:r>
    </w:p>
    <w:p w14:paraId="2F156B62" w14:textId="77777777" w:rsidR="009C332A" w:rsidRPr="00B96CBD" w:rsidRDefault="00525C67" w:rsidP="00B96CBD">
      <w:pPr>
        <w:pStyle w:val="ListParagraph"/>
        <w:numPr>
          <w:ilvl w:val="0"/>
          <w:numId w:val="10"/>
        </w:numPr>
        <w:spacing w:line="360" w:lineRule="auto"/>
        <w:jc w:val="both"/>
        <w:rPr>
          <w:rFonts w:ascii="Arial" w:eastAsia="Arial" w:hAnsi="Arial" w:cs="Arial"/>
          <w:sz w:val="22"/>
        </w:rPr>
      </w:pPr>
      <w:r w:rsidRPr="00B96CBD">
        <w:rPr>
          <w:rFonts w:ascii="Arial" w:eastAsia="Arial" w:hAnsi="Arial" w:cs="Arial"/>
          <w:b/>
          <w:bCs/>
          <w:sz w:val="22"/>
        </w:rPr>
        <w:t>Action:</w:t>
      </w:r>
      <w:r w:rsidRPr="00B96CBD">
        <w:rPr>
          <w:rFonts w:ascii="Arial" w:eastAsia="Arial" w:hAnsi="Arial" w:cs="Arial"/>
          <w:sz w:val="22"/>
        </w:rPr>
        <w:t xml:space="preserve"> Complete the NHS e-learning module on “Personalised Care and Shared Decision Making” by December 2026.</w:t>
      </w:r>
    </w:p>
    <w:p w14:paraId="27B7838D" w14:textId="77777777" w:rsidR="009C332A" w:rsidRPr="00B96CBD" w:rsidRDefault="00525C67" w:rsidP="00B96CBD">
      <w:pPr>
        <w:pStyle w:val="ListParagraph"/>
        <w:numPr>
          <w:ilvl w:val="0"/>
          <w:numId w:val="10"/>
        </w:numPr>
        <w:spacing w:line="360" w:lineRule="auto"/>
        <w:jc w:val="both"/>
        <w:rPr>
          <w:rFonts w:ascii="Arial" w:eastAsia="Arial" w:hAnsi="Arial" w:cs="Arial"/>
          <w:sz w:val="22"/>
        </w:rPr>
      </w:pPr>
      <w:r w:rsidRPr="00B96CBD">
        <w:rPr>
          <w:rFonts w:ascii="Arial" w:eastAsia="Arial" w:hAnsi="Arial" w:cs="Arial"/>
          <w:b/>
          <w:bCs/>
          <w:sz w:val="22"/>
        </w:rPr>
        <w:t>Action:</w:t>
      </w:r>
      <w:r w:rsidRPr="00B96CBD">
        <w:rPr>
          <w:rFonts w:ascii="Arial" w:eastAsia="Arial" w:hAnsi="Arial" w:cs="Arial"/>
          <w:sz w:val="22"/>
        </w:rPr>
        <w:t xml:space="preserve"> Use a structured tool like the “What Matters to You?” conversation in every diabetes review to ensure the patient’s goals drive the care plan.</w:t>
      </w:r>
    </w:p>
    <w:p w14:paraId="74A536E0" w14:textId="77777777" w:rsidR="009C332A" w:rsidRPr="00B96CBD" w:rsidRDefault="00525C67" w:rsidP="00B96CBD">
      <w:pPr>
        <w:spacing w:line="360" w:lineRule="auto"/>
        <w:jc w:val="both"/>
        <w:rPr>
          <w:rFonts w:ascii="Arial" w:eastAsia="Arial" w:hAnsi="Arial" w:cs="Arial"/>
          <w:b/>
          <w:bCs/>
          <w:sz w:val="22"/>
        </w:rPr>
      </w:pPr>
      <w:r w:rsidRPr="00B96CBD">
        <w:rPr>
          <w:rFonts w:ascii="Arial" w:eastAsia="Arial" w:hAnsi="Arial" w:cs="Arial"/>
          <w:b/>
          <w:bCs/>
          <w:sz w:val="22"/>
        </w:rPr>
        <w:t>For Partnership Working:</w:t>
      </w:r>
    </w:p>
    <w:p w14:paraId="3C17FEB9" w14:textId="7923E5EB" w:rsidR="009C332A" w:rsidRPr="00B96CBD" w:rsidRDefault="00525C67" w:rsidP="00B96CBD">
      <w:pPr>
        <w:pStyle w:val="ListParagraph"/>
        <w:numPr>
          <w:ilvl w:val="0"/>
          <w:numId w:val="11"/>
        </w:numPr>
        <w:spacing w:line="360" w:lineRule="auto"/>
        <w:jc w:val="both"/>
        <w:rPr>
          <w:rFonts w:ascii="Arial" w:eastAsia="Arial" w:hAnsi="Arial" w:cs="Arial"/>
          <w:sz w:val="22"/>
        </w:rPr>
      </w:pPr>
      <w:r w:rsidRPr="00B96CBD">
        <w:rPr>
          <w:rFonts w:ascii="Arial" w:eastAsia="Arial" w:hAnsi="Arial" w:cs="Arial"/>
          <w:b/>
          <w:bCs/>
          <w:sz w:val="22"/>
        </w:rPr>
        <w:t>Action:</w:t>
      </w:r>
      <w:r w:rsidRPr="00B96CBD">
        <w:rPr>
          <w:rFonts w:ascii="Arial" w:eastAsia="Arial" w:hAnsi="Arial" w:cs="Arial"/>
          <w:sz w:val="22"/>
        </w:rPr>
        <w:t xml:space="preserve"> Attend monthly MDT diabetes meetings in our Primary Care Network to build relationships with dieticians, pharmacists, and social prescribers.</w:t>
      </w:r>
    </w:p>
    <w:p w14:paraId="73E1A381" w14:textId="77777777" w:rsidR="009C332A" w:rsidRPr="00B96CBD" w:rsidRDefault="00525C67" w:rsidP="00B96CBD">
      <w:pPr>
        <w:pStyle w:val="ListParagraph"/>
        <w:numPr>
          <w:ilvl w:val="0"/>
          <w:numId w:val="11"/>
        </w:numPr>
        <w:spacing w:line="360" w:lineRule="auto"/>
        <w:jc w:val="both"/>
        <w:rPr>
          <w:rFonts w:ascii="Arial" w:eastAsia="Arial" w:hAnsi="Arial" w:cs="Arial"/>
          <w:sz w:val="22"/>
        </w:rPr>
      </w:pPr>
      <w:r w:rsidRPr="00B96CBD">
        <w:rPr>
          <w:rFonts w:ascii="Arial" w:eastAsia="Arial" w:hAnsi="Arial" w:cs="Arial"/>
          <w:b/>
          <w:bCs/>
          <w:sz w:val="22"/>
        </w:rPr>
        <w:t>Action:</w:t>
      </w:r>
      <w:r w:rsidRPr="00B96CBD">
        <w:rPr>
          <w:rFonts w:ascii="Arial" w:eastAsia="Arial" w:hAnsi="Arial" w:cs="Arial"/>
          <w:sz w:val="22"/>
        </w:rPr>
        <w:t xml:space="preserve"> Create a directory of local community resources for patients, including food banks, exercise schemes, and support groups, in line with the Care Act 2014 wellbeing principle.</w:t>
      </w:r>
    </w:p>
    <w:p w14:paraId="22A4E6A2" w14:textId="77777777" w:rsidR="009237AF" w:rsidRPr="00B96CBD" w:rsidRDefault="00525C67" w:rsidP="00B96CBD">
      <w:pPr>
        <w:spacing w:line="360" w:lineRule="auto"/>
        <w:jc w:val="both"/>
        <w:rPr>
          <w:rFonts w:ascii="Arial" w:eastAsia="Arial" w:hAnsi="Arial" w:cs="Arial"/>
          <w:b/>
          <w:bCs/>
          <w:sz w:val="22"/>
        </w:rPr>
      </w:pPr>
      <w:r w:rsidRPr="00B96CBD">
        <w:rPr>
          <w:rFonts w:ascii="Arial" w:eastAsia="Arial" w:hAnsi="Arial" w:cs="Arial"/>
          <w:b/>
          <w:bCs/>
          <w:sz w:val="22"/>
        </w:rPr>
        <w:t>For Ethics:</w:t>
      </w:r>
    </w:p>
    <w:p w14:paraId="463B14B6" w14:textId="77777777" w:rsidR="009237AF" w:rsidRPr="00B96CBD" w:rsidRDefault="00525C67" w:rsidP="00B96CBD">
      <w:pPr>
        <w:pStyle w:val="ListParagraph"/>
        <w:numPr>
          <w:ilvl w:val="0"/>
          <w:numId w:val="12"/>
        </w:numPr>
        <w:spacing w:line="360" w:lineRule="auto"/>
        <w:jc w:val="both"/>
        <w:rPr>
          <w:rFonts w:ascii="Arial" w:eastAsia="Arial" w:hAnsi="Arial" w:cs="Arial"/>
          <w:sz w:val="22"/>
        </w:rPr>
      </w:pPr>
      <w:r w:rsidRPr="00B96CBD">
        <w:rPr>
          <w:rFonts w:ascii="Arial" w:eastAsia="Arial" w:hAnsi="Arial" w:cs="Arial"/>
          <w:b/>
          <w:bCs/>
          <w:sz w:val="22"/>
        </w:rPr>
        <w:t>Action:</w:t>
      </w:r>
      <w:r w:rsidRPr="00B96CBD">
        <w:rPr>
          <w:rFonts w:ascii="Arial" w:eastAsia="Arial" w:hAnsi="Arial" w:cs="Arial"/>
          <w:sz w:val="22"/>
        </w:rPr>
        <w:t xml:space="preserve"> Complete NMC revalidation reflection on ethical dilemmas and review scenarios from the NMC Code (2018).</w:t>
      </w:r>
    </w:p>
    <w:p w14:paraId="5F4EEDFE" w14:textId="3F117DF0" w:rsidR="009237AF" w:rsidRPr="00B96CBD" w:rsidRDefault="00525C67" w:rsidP="00B96CBD">
      <w:pPr>
        <w:pStyle w:val="ListParagraph"/>
        <w:numPr>
          <w:ilvl w:val="0"/>
          <w:numId w:val="12"/>
        </w:numPr>
        <w:spacing w:line="360" w:lineRule="auto"/>
        <w:jc w:val="both"/>
        <w:rPr>
          <w:rFonts w:ascii="Arial" w:eastAsia="Arial" w:hAnsi="Arial" w:cs="Arial"/>
          <w:sz w:val="22"/>
        </w:rPr>
      </w:pPr>
      <w:r w:rsidRPr="00B96CBD">
        <w:rPr>
          <w:rFonts w:ascii="Arial" w:eastAsia="Arial" w:hAnsi="Arial" w:cs="Arial"/>
          <w:b/>
          <w:bCs/>
          <w:sz w:val="22"/>
        </w:rPr>
        <w:t>Action:</w:t>
      </w:r>
      <w:r w:rsidRPr="00B96CBD">
        <w:rPr>
          <w:rFonts w:ascii="Arial" w:eastAsia="Arial" w:hAnsi="Arial" w:cs="Arial"/>
          <w:sz w:val="22"/>
        </w:rPr>
        <w:t xml:space="preserve"> Use a reflective diary after complex consultations to evaluate whether I upheld autonomy, beneficence, and justice.</w:t>
      </w:r>
    </w:p>
    <w:p w14:paraId="043E7D28" w14:textId="1D192F3E" w:rsidR="00525C67" w:rsidRPr="00B96CBD" w:rsidRDefault="005E1F0E" w:rsidP="00B96CBD">
      <w:pPr>
        <w:spacing w:line="360" w:lineRule="auto"/>
        <w:jc w:val="both"/>
        <w:rPr>
          <w:rFonts w:ascii="Arial" w:eastAsia="Arial" w:hAnsi="Arial" w:cs="Arial"/>
          <w:b/>
          <w:bCs/>
          <w:sz w:val="22"/>
        </w:rPr>
      </w:pPr>
      <w:r w:rsidRPr="00B96CBD">
        <w:rPr>
          <w:rFonts w:ascii="Arial" w:eastAsia="Arial" w:hAnsi="Arial" w:cs="Arial"/>
          <w:b/>
          <w:bCs/>
          <w:sz w:val="22"/>
        </w:rPr>
        <w:t>National Health Service (2019)</w:t>
      </w:r>
    </w:p>
    <w:p w14:paraId="09F356ED" w14:textId="77777777" w:rsidR="009237AF" w:rsidRPr="00B96CBD" w:rsidRDefault="009237AF" w:rsidP="00B96CBD">
      <w:pPr>
        <w:spacing w:line="360" w:lineRule="auto"/>
        <w:jc w:val="both"/>
        <w:rPr>
          <w:rFonts w:ascii="Arial" w:eastAsia="Arial" w:hAnsi="Arial" w:cs="Arial"/>
          <w:sz w:val="22"/>
        </w:rPr>
      </w:pPr>
    </w:p>
    <w:p w14:paraId="22DC05B2" w14:textId="2A3218A4" w:rsidR="009237AF" w:rsidRPr="00B96CBD" w:rsidRDefault="009237AF" w:rsidP="00B96CBD">
      <w:pPr>
        <w:spacing w:line="360" w:lineRule="auto"/>
        <w:jc w:val="both"/>
        <w:rPr>
          <w:rFonts w:ascii="Arial" w:eastAsia="Arial" w:hAnsi="Arial" w:cs="Arial"/>
          <w:b/>
          <w:bCs/>
          <w:sz w:val="22"/>
        </w:rPr>
      </w:pPr>
      <w:r w:rsidRPr="00B96CBD">
        <w:rPr>
          <w:rFonts w:ascii="Arial" w:eastAsia="Arial" w:hAnsi="Arial" w:cs="Arial"/>
          <w:b/>
          <w:bCs/>
          <w:sz w:val="22"/>
        </w:rPr>
        <w:t>Conclusion:</w:t>
      </w:r>
    </w:p>
    <w:p w14:paraId="47A25DB5" w14:textId="6A361139" w:rsidR="004A0AB1"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In conclusion, the principles of person-centred care, partnership working, and ethics are fundamental to delivering high-quality health and social care in the UK.</w:t>
      </w:r>
    </w:p>
    <w:p w14:paraId="66252583" w14:textId="373F9E49" w:rsidR="004A0AB1"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Task 1 showed that these principles are supported by UK law, policy, and theory, and they ensure care is respectful, collaborative, and fair.</w:t>
      </w:r>
    </w:p>
    <w:p w14:paraId="3600C6F3" w14:textId="1EA8238C" w:rsidR="004A0AB1"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Task 2 demonstrated how they can be applied in practice using the example of diabetes care in a GP surgery. By tailoring advice to the individual, working with a multidisciplinary team, and making ethical decisions, patient engagement and health outcomes can be improved.</w:t>
      </w:r>
      <w:r w:rsidR="004A0AB1" w:rsidRPr="00B96CBD">
        <w:rPr>
          <w:rFonts w:ascii="Arial" w:eastAsia="Arial" w:hAnsi="Arial" w:cs="Arial"/>
          <w:sz w:val="22"/>
        </w:rPr>
        <w:t xml:space="preserve"> </w:t>
      </w:r>
      <w:r w:rsidRPr="00B96CBD">
        <w:rPr>
          <w:rFonts w:ascii="Arial" w:eastAsia="Arial" w:hAnsi="Arial" w:cs="Arial"/>
          <w:b/>
          <w:bCs/>
          <w:sz w:val="22"/>
        </w:rPr>
        <w:t>Task 3 highlighted</w:t>
      </w:r>
      <w:r w:rsidRPr="00B96CBD">
        <w:rPr>
          <w:rFonts w:ascii="Arial" w:eastAsia="Arial" w:hAnsi="Arial" w:cs="Arial"/>
          <w:sz w:val="22"/>
        </w:rPr>
        <w:t xml:space="preserve"> how I, as a health and social care professional, can use these principles in my daily work. Through self-reflection, I identified my strengths in communication and empathy, and areas to develop in cultural competence and partnership working.</w:t>
      </w:r>
    </w:p>
    <w:p w14:paraId="5C79A3C7" w14:textId="59D8FD74" w:rsidR="008420E0" w:rsidRPr="00B96CBD" w:rsidRDefault="00525C67" w:rsidP="00B96CBD">
      <w:pPr>
        <w:spacing w:line="360" w:lineRule="auto"/>
        <w:jc w:val="both"/>
        <w:rPr>
          <w:rFonts w:ascii="Arial" w:eastAsia="Arial" w:hAnsi="Arial" w:cs="Arial"/>
          <w:sz w:val="22"/>
        </w:rPr>
      </w:pPr>
      <w:r w:rsidRPr="00B96CBD">
        <w:rPr>
          <w:rFonts w:ascii="Arial" w:eastAsia="Arial" w:hAnsi="Arial" w:cs="Arial"/>
          <w:sz w:val="22"/>
        </w:rPr>
        <w:t>Overall, putting person-centred care, partnership working, and ethics into practice helps patients to feel valued, supported, and safe, while also improving the quality of care across UK health and social care services</w:t>
      </w:r>
      <w:r w:rsidR="004A0AB1" w:rsidRPr="00B96CBD">
        <w:rPr>
          <w:rFonts w:ascii="Arial" w:eastAsia="Arial" w:hAnsi="Arial" w:cs="Arial"/>
          <w:sz w:val="22"/>
        </w:rPr>
        <w:t>.</w:t>
      </w:r>
    </w:p>
    <w:p w14:paraId="1FF7FF2F" w14:textId="77777777" w:rsidR="00B007F1" w:rsidRPr="00B96CBD" w:rsidRDefault="00B007F1" w:rsidP="00B96CBD">
      <w:pPr>
        <w:spacing w:line="360" w:lineRule="auto"/>
        <w:jc w:val="both"/>
        <w:rPr>
          <w:rFonts w:ascii="Arial" w:eastAsia="Arial" w:hAnsi="Arial" w:cs="Arial"/>
          <w:sz w:val="22"/>
        </w:rPr>
      </w:pPr>
    </w:p>
    <w:p w14:paraId="53705964" w14:textId="08BB7BE4" w:rsidR="00B007F1" w:rsidRPr="00B96CBD" w:rsidRDefault="00B007F1" w:rsidP="00B96CBD">
      <w:pPr>
        <w:spacing w:line="360" w:lineRule="auto"/>
        <w:jc w:val="both"/>
        <w:rPr>
          <w:rFonts w:ascii="Arial" w:eastAsia="Arial" w:hAnsi="Arial" w:cs="Arial"/>
          <w:color w:val="0070C0"/>
          <w:sz w:val="22"/>
        </w:rPr>
      </w:pPr>
      <w:r w:rsidRPr="00B96CBD">
        <w:rPr>
          <w:rFonts w:ascii="Arial" w:eastAsia="Arial" w:hAnsi="Arial" w:cs="Arial"/>
          <w:color w:val="0070C0"/>
          <w:sz w:val="22"/>
        </w:rPr>
        <w:t>Reference List:</w:t>
      </w:r>
    </w:p>
    <w:p w14:paraId="7393CEA2" w14:textId="2A9C89A6" w:rsidR="00B007F1"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Department of Health and Social Care (2014) Care Act 2014. London: The Stationery Office. Available at:</w:t>
      </w:r>
      <w:r w:rsidR="008420E0" w:rsidRPr="00B96CBD">
        <w:rPr>
          <w:rFonts w:ascii="Arial" w:eastAsia="Arial" w:hAnsi="Arial" w:cs="Arial"/>
          <w:sz w:val="22"/>
        </w:rPr>
        <w:t xml:space="preserve"> </w:t>
      </w:r>
      <w:hyperlink r:id="rId10" w:history="1">
        <w:r w:rsidR="008420E0" w:rsidRPr="00B96CBD">
          <w:rPr>
            <w:rStyle w:val="Hyperlink"/>
            <w:rFonts w:ascii="Arial" w:eastAsia="Arial" w:hAnsi="Arial" w:cs="Arial"/>
            <w:sz w:val="22"/>
          </w:rPr>
          <w:t>https://www.legislation.gov.uk/ukpga/2014/23/contents</w:t>
        </w:r>
      </w:hyperlink>
      <w:r w:rsidR="008420E0" w:rsidRPr="00B96CBD">
        <w:rPr>
          <w:rFonts w:ascii="Arial" w:eastAsia="Arial" w:hAnsi="Arial" w:cs="Arial"/>
          <w:sz w:val="22"/>
        </w:rPr>
        <w:t xml:space="preserve"> (</w:t>
      </w:r>
      <w:r w:rsidRPr="00B96CBD">
        <w:rPr>
          <w:rFonts w:ascii="Arial" w:eastAsia="Arial" w:hAnsi="Arial" w:cs="Arial"/>
          <w:sz w:val="22"/>
        </w:rPr>
        <w:t>Accessed 21 July 2026</w:t>
      </w:r>
      <w:r w:rsidR="008420E0" w:rsidRPr="00B96CBD">
        <w:rPr>
          <w:rFonts w:ascii="Arial" w:eastAsia="Arial" w:hAnsi="Arial" w:cs="Arial"/>
          <w:sz w:val="22"/>
        </w:rPr>
        <w:t>)</w:t>
      </w:r>
      <w:r w:rsidRPr="00B96CBD">
        <w:rPr>
          <w:rFonts w:ascii="Arial" w:eastAsia="Arial" w:hAnsi="Arial" w:cs="Arial"/>
          <w:sz w:val="22"/>
        </w:rPr>
        <w:t>.</w:t>
      </w:r>
    </w:p>
    <w:p w14:paraId="695E9A74" w14:textId="7E7643E6" w:rsidR="008420E0"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 xml:space="preserve">Department of Health and Social Care (2022) Health and Care Act 2022. London: The Stationery Office. Available at: </w:t>
      </w:r>
      <w:hyperlink r:id="rId11" w:history="1">
        <w:r w:rsidR="008420E0" w:rsidRPr="00B96CBD">
          <w:rPr>
            <w:rStyle w:val="Hyperlink"/>
            <w:rFonts w:ascii="Arial" w:eastAsia="Arial" w:hAnsi="Arial" w:cs="Arial"/>
            <w:sz w:val="22"/>
          </w:rPr>
          <w:t>https://www.legislation.gov.uk/ukpga/2022/31/contents</w:t>
        </w:r>
      </w:hyperlink>
      <w:r w:rsidR="008420E0" w:rsidRPr="00B96CBD">
        <w:rPr>
          <w:rFonts w:ascii="Arial" w:eastAsia="Arial" w:hAnsi="Arial" w:cs="Arial"/>
          <w:sz w:val="22"/>
        </w:rPr>
        <w:t xml:space="preserve"> (</w:t>
      </w:r>
      <w:r w:rsidRPr="00B96CBD">
        <w:rPr>
          <w:rFonts w:ascii="Arial" w:eastAsia="Arial" w:hAnsi="Arial" w:cs="Arial"/>
          <w:sz w:val="22"/>
        </w:rPr>
        <w:t>Accessed 21 July 2026</w:t>
      </w:r>
      <w:r w:rsidR="008420E0" w:rsidRPr="00B96CBD">
        <w:rPr>
          <w:rFonts w:ascii="Arial" w:eastAsia="Arial" w:hAnsi="Arial" w:cs="Arial"/>
          <w:sz w:val="22"/>
        </w:rPr>
        <w:t>)</w:t>
      </w:r>
      <w:r w:rsidRPr="00B96CBD">
        <w:rPr>
          <w:rFonts w:ascii="Arial" w:eastAsia="Arial" w:hAnsi="Arial" w:cs="Arial"/>
          <w:sz w:val="22"/>
        </w:rPr>
        <w:t>.</w:t>
      </w:r>
    </w:p>
    <w:p w14:paraId="7FE3A6D9" w14:textId="58B9A40E" w:rsidR="008420E0" w:rsidRPr="003D6D3D" w:rsidRDefault="008420E0"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Beauchamp, T.L. and Childress, J.F. (2013) Principles of Biomedical Ethics. 7th edn. Oxford: Oxford University Press.</w:t>
      </w:r>
    </w:p>
    <w:p w14:paraId="28164ABC" w14:textId="63FF4383" w:rsidR="008420E0"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lang w:val="de-DE"/>
        </w:rPr>
        <w:t xml:space="preserve">Diabetes UK (2024) Type 2 Diabetes and Diet. </w:t>
      </w:r>
      <w:r w:rsidRPr="00B96CBD">
        <w:rPr>
          <w:rFonts w:ascii="Arial" w:eastAsia="Arial" w:hAnsi="Arial" w:cs="Arial"/>
          <w:sz w:val="22"/>
        </w:rPr>
        <w:t xml:space="preserve">Available at: </w:t>
      </w:r>
      <w:hyperlink r:id="rId12" w:history="1">
        <w:r w:rsidR="008420E0" w:rsidRPr="00B96CBD">
          <w:rPr>
            <w:rStyle w:val="Hyperlink"/>
            <w:rFonts w:ascii="Arial" w:eastAsia="Arial" w:hAnsi="Arial" w:cs="Arial"/>
            <w:sz w:val="22"/>
          </w:rPr>
          <w:t>https://www.diabetes.org.uk/guide-to-diabetes/enjoy-food</w:t>
        </w:r>
      </w:hyperlink>
      <w:r w:rsidR="008420E0" w:rsidRPr="00B96CBD">
        <w:rPr>
          <w:rFonts w:ascii="Arial" w:eastAsia="Arial" w:hAnsi="Arial" w:cs="Arial"/>
          <w:sz w:val="22"/>
        </w:rPr>
        <w:t xml:space="preserve"> (</w:t>
      </w:r>
      <w:r w:rsidRPr="00B96CBD">
        <w:rPr>
          <w:rFonts w:ascii="Arial" w:eastAsia="Arial" w:hAnsi="Arial" w:cs="Arial"/>
          <w:sz w:val="22"/>
        </w:rPr>
        <w:t>Accessed 21 July 2026</w:t>
      </w:r>
      <w:r w:rsidR="008420E0" w:rsidRPr="00B96CBD">
        <w:rPr>
          <w:rFonts w:ascii="Arial" w:eastAsia="Arial" w:hAnsi="Arial" w:cs="Arial"/>
          <w:sz w:val="22"/>
        </w:rPr>
        <w:t>)</w:t>
      </w:r>
      <w:r w:rsidRPr="00B96CBD">
        <w:rPr>
          <w:rFonts w:ascii="Arial" w:eastAsia="Arial" w:hAnsi="Arial" w:cs="Arial"/>
          <w:sz w:val="22"/>
        </w:rPr>
        <w:t>.</w:t>
      </w:r>
    </w:p>
    <w:p w14:paraId="7C1F1D84" w14:textId="5CB2C5D2" w:rsidR="008420E0"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 xml:space="preserve">Gibbs, G. (1988) Learning by Doing: A Guide to Teaching and Learning Methods. Oxford: Oxford Brookes University. Available at: </w:t>
      </w:r>
      <w:hyperlink r:id="rId13" w:history="1">
        <w:r w:rsidR="008420E0" w:rsidRPr="00B96CBD">
          <w:rPr>
            <w:rStyle w:val="Hyperlink"/>
            <w:rFonts w:ascii="Arial" w:eastAsia="Arial" w:hAnsi="Arial" w:cs="Arial"/>
            <w:sz w:val="22"/>
          </w:rPr>
          <w:t>https://www.brookes.ac.uk/services/ocsld/resources/gibbs.html</w:t>
        </w:r>
      </w:hyperlink>
      <w:r w:rsidR="008420E0" w:rsidRPr="00B96CBD">
        <w:rPr>
          <w:rFonts w:ascii="Arial" w:eastAsia="Arial" w:hAnsi="Arial" w:cs="Arial"/>
          <w:sz w:val="22"/>
        </w:rPr>
        <w:t xml:space="preserve"> (</w:t>
      </w:r>
      <w:r w:rsidRPr="00B96CBD">
        <w:rPr>
          <w:rFonts w:ascii="Arial" w:eastAsia="Arial" w:hAnsi="Arial" w:cs="Arial"/>
          <w:sz w:val="22"/>
        </w:rPr>
        <w:t>Accessed 21 July 2026</w:t>
      </w:r>
      <w:r w:rsidR="008420E0" w:rsidRPr="00B96CBD">
        <w:rPr>
          <w:rFonts w:ascii="Arial" w:eastAsia="Arial" w:hAnsi="Arial" w:cs="Arial"/>
          <w:sz w:val="22"/>
        </w:rPr>
        <w:t>)</w:t>
      </w:r>
      <w:r w:rsidRPr="00B96CBD">
        <w:rPr>
          <w:rFonts w:ascii="Arial" w:eastAsia="Arial" w:hAnsi="Arial" w:cs="Arial"/>
          <w:sz w:val="22"/>
        </w:rPr>
        <w:t>.</w:t>
      </w:r>
    </w:p>
    <w:p w14:paraId="366F2040" w14:textId="09018F3C" w:rsidR="00AC06A7"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 xml:space="preserve">Maslow, A.H. (1943) 'A theory of human motivation', Psychological Review, 50(4), pp. 370-396. Available at: </w:t>
      </w:r>
      <w:hyperlink r:id="rId14" w:history="1">
        <w:r w:rsidR="008420E0" w:rsidRPr="00B96CBD">
          <w:rPr>
            <w:rStyle w:val="Hyperlink"/>
            <w:rFonts w:ascii="Arial" w:eastAsia="Arial" w:hAnsi="Arial" w:cs="Arial"/>
            <w:sz w:val="22"/>
          </w:rPr>
          <w:t>https://psycnet.apa.org/record/1943-03789-001</w:t>
        </w:r>
      </w:hyperlink>
      <w:r w:rsidR="008420E0" w:rsidRPr="00B96CBD">
        <w:rPr>
          <w:rFonts w:ascii="Arial" w:eastAsia="Arial" w:hAnsi="Arial" w:cs="Arial"/>
          <w:sz w:val="22"/>
        </w:rPr>
        <w:t xml:space="preserve"> (</w:t>
      </w:r>
      <w:r w:rsidRPr="00B96CBD">
        <w:rPr>
          <w:rFonts w:ascii="Arial" w:eastAsia="Arial" w:hAnsi="Arial" w:cs="Arial"/>
          <w:sz w:val="22"/>
        </w:rPr>
        <w:t>Accessed 21 July 2026</w:t>
      </w:r>
      <w:r w:rsidR="008420E0" w:rsidRPr="00B96CBD">
        <w:rPr>
          <w:rFonts w:ascii="Arial" w:eastAsia="Arial" w:hAnsi="Arial" w:cs="Arial"/>
          <w:sz w:val="22"/>
        </w:rPr>
        <w:t>)</w:t>
      </w:r>
      <w:r w:rsidRPr="00B96CBD">
        <w:rPr>
          <w:rFonts w:ascii="Arial" w:eastAsia="Arial" w:hAnsi="Arial" w:cs="Arial"/>
          <w:sz w:val="22"/>
        </w:rPr>
        <w:t>.</w:t>
      </w:r>
    </w:p>
    <w:p w14:paraId="70635782" w14:textId="393CD763" w:rsidR="00AC06A7"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 xml:space="preserve">National Health Service (2019) The NHS Long Term Plan. London: NHS England. Available at: </w:t>
      </w:r>
      <w:hyperlink r:id="rId15" w:history="1">
        <w:r w:rsidR="00AC06A7" w:rsidRPr="00B96CBD">
          <w:rPr>
            <w:rStyle w:val="Hyperlink"/>
            <w:rFonts w:ascii="Arial" w:eastAsia="Arial" w:hAnsi="Arial" w:cs="Arial"/>
            <w:sz w:val="22"/>
          </w:rPr>
          <w:t>https://www.longtermplan.nhs.uk</w:t>
        </w:r>
      </w:hyperlink>
      <w:r w:rsidR="00AC06A7" w:rsidRPr="00B96CBD">
        <w:rPr>
          <w:rFonts w:ascii="Arial" w:eastAsia="Arial" w:hAnsi="Arial" w:cs="Arial"/>
          <w:sz w:val="22"/>
        </w:rPr>
        <w:t xml:space="preserve"> (</w:t>
      </w:r>
      <w:r w:rsidRPr="00B96CBD">
        <w:rPr>
          <w:rFonts w:ascii="Arial" w:eastAsia="Arial" w:hAnsi="Arial" w:cs="Arial"/>
          <w:sz w:val="22"/>
        </w:rPr>
        <w:t>Accessed 21 July 2026</w:t>
      </w:r>
      <w:r w:rsidR="00AC06A7" w:rsidRPr="00B96CBD">
        <w:rPr>
          <w:rFonts w:ascii="Arial" w:eastAsia="Arial" w:hAnsi="Arial" w:cs="Arial"/>
          <w:sz w:val="22"/>
        </w:rPr>
        <w:t>)</w:t>
      </w:r>
      <w:r w:rsidRPr="00B96CBD">
        <w:rPr>
          <w:rFonts w:ascii="Arial" w:eastAsia="Arial" w:hAnsi="Arial" w:cs="Arial"/>
          <w:sz w:val="22"/>
        </w:rPr>
        <w:t>.</w:t>
      </w:r>
    </w:p>
    <w:p w14:paraId="3B6C7525" w14:textId="393BCE29" w:rsidR="00AC06A7"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 xml:space="preserve">National Institute for Health and Care Excellence (2022) Type 2 Diabetes in Adults: Management. NICE Guideline NG28. London: NICE. Available at: </w:t>
      </w:r>
      <w:hyperlink r:id="rId16" w:history="1">
        <w:r w:rsidR="00AC06A7" w:rsidRPr="00B96CBD">
          <w:rPr>
            <w:rStyle w:val="Hyperlink"/>
            <w:rFonts w:ascii="Arial" w:eastAsia="Arial" w:hAnsi="Arial" w:cs="Arial"/>
            <w:sz w:val="22"/>
          </w:rPr>
          <w:t>https://www.nice.org.uk/guidance/ng28</w:t>
        </w:r>
      </w:hyperlink>
      <w:r w:rsidR="00AC06A7" w:rsidRPr="00B96CBD">
        <w:rPr>
          <w:rFonts w:ascii="Arial" w:eastAsia="Arial" w:hAnsi="Arial" w:cs="Arial"/>
          <w:sz w:val="22"/>
        </w:rPr>
        <w:t xml:space="preserve"> (</w:t>
      </w:r>
      <w:r w:rsidRPr="00B96CBD">
        <w:rPr>
          <w:rFonts w:ascii="Arial" w:eastAsia="Arial" w:hAnsi="Arial" w:cs="Arial"/>
          <w:sz w:val="22"/>
        </w:rPr>
        <w:t>Accessed 21 July 2026</w:t>
      </w:r>
      <w:r w:rsidR="00AC06A7" w:rsidRPr="00B96CBD">
        <w:rPr>
          <w:rFonts w:ascii="Arial" w:eastAsia="Arial" w:hAnsi="Arial" w:cs="Arial"/>
          <w:sz w:val="22"/>
        </w:rPr>
        <w:t>)</w:t>
      </w:r>
      <w:r w:rsidRPr="00B96CBD">
        <w:rPr>
          <w:rFonts w:ascii="Arial" w:eastAsia="Arial" w:hAnsi="Arial" w:cs="Arial"/>
          <w:sz w:val="22"/>
        </w:rPr>
        <w:t>.</w:t>
      </w:r>
    </w:p>
    <w:p w14:paraId="49EA00EC" w14:textId="47474697" w:rsidR="00AC06A7" w:rsidRPr="00B96CBD"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 xml:space="preserve">Nursing and Midwifery Council (2018) The Code: Professional Standards of Practice and Behaviour for Nurses, Midwives and Nursing Associates. London: NMC. Available at: </w:t>
      </w:r>
      <w:hyperlink r:id="rId17" w:history="1">
        <w:r w:rsidR="00AC06A7" w:rsidRPr="00B96CBD">
          <w:rPr>
            <w:rStyle w:val="Hyperlink"/>
            <w:rFonts w:ascii="Arial" w:eastAsia="Arial" w:hAnsi="Arial" w:cs="Arial"/>
            <w:sz w:val="22"/>
          </w:rPr>
          <w:t>https://www.nmc.org.uk/standards/code/</w:t>
        </w:r>
      </w:hyperlink>
      <w:r w:rsidR="00AC06A7" w:rsidRPr="00B96CBD">
        <w:rPr>
          <w:rFonts w:ascii="Arial" w:eastAsia="Arial" w:hAnsi="Arial" w:cs="Arial"/>
          <w:sz w:val="22"/>
        </w:rPr>
        <w:t xml:space="preserve"> (</w:t>
      </w:r>
      <w:r w:rsidRPr="00B96CBD">
        <w:rPr>
          <w:rFonts w:ascii="Arial" w:eastAsia="Arial" w:hAnsi="Arial" w:cs="Arial"/>
          <w:sz w:val="22"/>
        </w:rPr>
        <w:t>Accessed 21 July 2026</w:t>
      </w:r>
      <w:r w:rsidR="00AC06A7" w:rsidRPr="00B96CBD">
        <w:rPr>
          <w:rFonts w:ascii="Arial" w:eastAsia="Arial" w:hAnsi="Arial" w:cs="Arial"/>
          <w:sz w:val="22"/>
        </w:rPr>
        <w:t>)</w:t>
      </w:r>
      <w:r w:rsidRPr="00B96CBD">
        <w:rPr>
          <w:rFonts w:ascii="Arial" w:eastAsia="Arial" w:hAnsi="Arial" w:cs="Arial"/>
          <w:sz w:val="22"/>
        </w:rPr>
        <w:t>.</w:t>
      </w:r>
    </w:p>
    <w:p w14:paraId="2A47D37A" w14:textId="1E4C9452" w:rsidR="00B007F1" w:rsidRDefault="00B007F1" w:rsidP="00B96CBD">
      <w:pPr>
        <w:pStyle w:val="ListParagraph"/>
        <w:numPr>
          <w:ilvl w:val="0"/>
          <w:numId w:val="6"/>
        </w:numPr>
        <w:spacing w:line="360" w:lineRule="auto"/>
        <w:jc w:val="both"/>
        <w:rPr>
          <w:rFonts w:ascii="Arial" w:eastAsia="Arial" w:hAnsi="Arial" w:cs="Arial"/>
          <w:sz w:val="22"/>
        </w:rPr>
      </w:pPr>
      <w:r w:rsidRPr="00B96CBD">
        <w:rPr>
          <w:rFonts w:ascii="Arial" w:eastAsia="Arial" w:hAnsi="Arial" w:cs="Arial"/>
          <w:sz w:val="22"/>
        </w:rPr>
        <w:t>The Health Foundation (2016) Person-centred care made simple. London: The Health Foundation. Available at:</w:t>
      </w:r>
      <w:r w:rsidR="00AC06A7" w:rsidRPr="00B96CBD">
        <w:rPr>
          <w:rFonts w:ascii="Arial" w:eastAsia="Arial" w:hAnsi="Arial" w:cs="Arial"/>
          <w:sz w:val="22"/>
        </w:rPr>
        <w:t xml:space="preserve"> </w:t>
      </w:r>
      <w:hyperlink r:id="rId18" w:history="1">
        <w:r w:rsidR="00AC06A7" w:rsidRPr="00B96CBD">
          <w:rPr>
            <w:rStyle w:val="Hyperlink"/>
            <w:rFonts w:ascii="Arial" w:eastAsia="Arial" w:hAnsi="Arial" w:cs="Arial"/>
            <w:sz w:val="22"/>
          </w:rPr>
          <w:t>https://www.health.org.uk/publications/person-centred-care-made-simple</w:t>
        </w:r>
      </w:hyperlink>
      <w:r w:rsidR="00AC06A7" w:rsidRPr="00B96CBD">
        <w:rPr>
          <w:rFonts w:ascii="Arial" w:eastAsia="Arial" w:hAnsi="Arial" w:cs="Arial"/>
          <w:sz w:val="22"/>
        </w:rPr>
        <w:t xml:space="preserve"> (A</w:t>
      </w:r>
      <w:r w:rsidRPr="00B96CBD">
        <w:rPr>
          <w:rFonts w:ascii="Arial" w:eastAsia="Arial" w:hAnsi="Arial" w:cs="Arial"/>
          <w:sz w:val="22"/>
        </w:rPr>
        <w:t>ccessed 21 July 2026</w:t>
      </w:r>
      <w:r w:rsidR="00AC06A7" w:rsidRPr="00B96CBD">
        <w:rPr>
          <w:rFonts w:ascii="Arial" w:eastAsia="Arial" w:hAnsi="Arial" w:cs="Arial"/>
          <w:sz w:val="22"/>
        </w:rPr>
        <w:t>)</w:t>
      </w:r>
      <w:r w:rsidRPr="00B96CBD">
        <w:rPr>
          <w:rFonts w:ascii="Arial" w:eastAsia="Arial" w:hAnsi="Arial" w:cs="Arial"/>
          <w:sz w:val="22"/>
        </w:rPr>
        <w:t>.</w:t>
      </w:r>
    </w:p>
    <w:p w14:paraId="6E5202F9" w14:textId="77777777" w:rsidR="00EC21EA" w:rsidRDefault="00EC21EA" w:rsidP="00EC21EA">
      <w:pPr>
        <w:pStyle w:val="ListParagraph"/>
        <w:numPr>
          <w:ilvl w:val="0"/>
          <w:numId w:val="6"/>
        </w:numPr>
        <w:spacing w:line="360" w:lineRule="auto"/>
        <w:jc w:val="both"/>
        <w:rPr>
          <w:rFonts w:ascii="Arial" w:eastAsia="Arial" w:hAnsi="Arial" w:cs="Arial"/>
          <w:b/>
          <w:bCs/>
          <w:sz w:val="22"/>
        </w:rPr>
      </w:pPr>
      <w:r w:rsidRPr="00EC21EA">
        <w:rPr>
          <w:rFonts w:ascii="Arial" w:eastAsia="Arial" w:hAnsi="Arial" w:cs="Arial"/>
          <w:b/>
          <w:bCs/>
          <w:sz w:val="22"/>
        </w:rPr>
        <w:t>London: NICE. (NG28),</w:t>
      </w:r>
    </w:p>
    <w:p w14:paraId="0C6A72B6" w14:textId="57E3B10E" w:rsidR="00EC21EA" w:rsidRPr="00EC21EA" w:rsidRDefault="00EC21EA" w:rsidP="00EC21EA">
      <w:pPr>
        <w:pStyle w:val="ListParagraph"/>
        <w:numPr>
          <w:ilvl w:val="0"/>
          <w:numId w:val="6"/>
        </w:numPr>
        <w:spacing w:line="360" w:lineRule="auto"/>
        <w:jc w:val="both"/>
        <w:rPr>
          <w:rFonts w:ascii="Arial" w:eastAsia="Arial" w:hAnsi="Arial" w:cs="Arial"/>
          <w:b/>
          <w:bCs/>
          <w:sz w:val="22"/>
        </w:rPr>
      </w:pPr>
      <w:r w:rsidRPr="00EC21EA">
        <w:rPr>
          <w:rFonts w:ascii="Arial" w:eastAsia="Arial" w:hAnsi="Arial" w:cs="Arial"/>
          <w:b/>
          <w:bCs/>
          <w:sz w:val="22"/>
        </w:rPr>
        <w:t xml:space="preserve"> Nursing and Midwifery Council (2018), London: NMC.</w:t>
      </w:r>
    </w:p>
    <w:p w14:paraId="05A35D33" w14:textId="41C8B631" w:rsidR="00000AB7" w:rsidRPr="00B96CBD" w:rsidRDefault="00000AB7" w:rsidP="00B96CBD">
      <w:pPr>
        <w:tabs>
          <w:tab w:val="left" w:pos="6672"/>
        </w:tabs>
        <w:spacing w:line="360" w:lineRule="auto"/>
        <w:ind w:firstLine="6672"/>
        <w:jc w:val="both"/>
        <w:rPr>
          <w:rFonts w:ascii="Arial" w:hAnsi="Arial" w:cs="Arial"/>
          <w:sz w:val="22"/>
        </w:rPr>
      </w:pPr>
    </w:p>
    <w:p w14:paraId="1E243764" w14:textId="4C0258EE" w:rsidR="006D2F2D" w:rsidRPr="00B96CBD" w:rsidRDefault="006D2F2D" w:rsidP="00B96CBD">
      <w:pPr>
        <w:tabs>
          <w:tab w:val="left" w:pos="8268"/>
        </w:tabs>
        <w:spacing w:line="360" w:lineRule="auto"/>
        <w:ind w:firstLine="8268"/>
        <w:jc w:val="both"/>
        <w:rPr>
          <w:rFonts w:ascii="Arial" w:eastAsia="Arial" w:hAnsi="Arial" w:cs="Arial"/>
          <w:sz w:val="22"/>
        </w:rPr>
      </w:pPr>
    </w:p>
    <w:sectPr w:rsidR="006D2F2D" w:rsidRPr="00B96CB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168B7" w14:textId="77777777" w:rsidR="0085052C" w:rsidRDefault="0085052C" w:rsidP="00B21FE6">
      <w:pPr>
        <w:spacing w:after="0" w:line="240" w:lineRule="auto"/>
      </w:pPr>
      <w:r>
        <w:separator/>
      </w:r>
    </w:p>
  </w:endnote>
  <w:endnote w:type="continuationSeparator" w:id="0">
    <w:p w14:paraId="39F7124F" w14:textId="77777777" w:rsidR="0085052C" w:rsidRDefault="0085052C"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61625"/>
      <w:docPartObj>
        <w:docPartGallery w:val="Page Numbers (Bottom of Page)"/>
        <w:docPartUnique/>
      </w:docPartObj>
    </w:sdtPr>
    <w:sdtEndPr>
      <w:rPr>
        <w:noProof/>
      </w:rPr>
    </w:sdtEndPr>
    <w:sdtContent>
      <w:p w14:paraId="16866FAF" w14:textId="6FB47AAD" w:rsidR="00A62F73" w:rsidRDefault="00A62F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A8CA0C" w14:textId="77777777" w:rsidR="00A62F73" w:rsidRDefault="00A62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64C53" w14:textId="77777777" w:rsidR="0085052C" w:rsidRDefault="0085052C" w:rsidP="00B21FE6">
      <w:pPr>
        <w:spacing w:after="0" w:line="240" w:lineRule="auto"/>
      </w:pPr>
      <w:r>
        <w:separator/>
      </w:r>
    </w:p>
  </w:footnote>
  <w:footnote w:type="continuationSeparator" w:id="0">
    <w:p w14:paraId="0E0467E6" w14:textId="77777777" w:rsidR="0085052C" w:rsidRDefault="0085052C"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51BBF"/>
    <w:multiLevelType w:val="hybridMultilevel"/>
    <w:tmpl w:val="83CEEBE2"/>
    <w:lvl w:ilvl="0" w:tplc="8DB878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5" w15:restartNumberingAfterBreak="0">
    <w:nsid w:val="3F90299E"/>
    <w:multiLevelType w:val="hybridMultilevel"/>
    <w:tmpl w:val="6CE402C2"/>
    <w:lvl w:ilvl="0" w:tplc="E43206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67775E"/>
    <w:multiLevelType w:val="hybridMultilevel"/>
    <w:tmpl w:val="03A41702"/>
    <w:lvl w:ilvl="0" w:tplc="82F439F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FD622D"/>
    <w:multiLevelType w:val="hybridMultilevel"/>
    <w:tmpl w:val="FA785260"/>
    <w:lvl w:ilvl="0" w:tplc="B1C2FC86">
      <w:start w:val="1"/>
      <w:numFmt w:val="decimal"/>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E87910"/>
    <w:multiLevelType w:val="hybridMultilevel"/>
    <w:tmpl w:val="4DD8C0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8B5F22"/>
    <w:multiLevelType w:val="hybridMultilevel"/>
    <w:tmpl w:val="8954F3D4"/>
    <w:lvl w:ilvl="0" w:tplc="61DC9FD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52533"/>
    <w:multiLevelType w:val="hybridMultilevel"/>
    <w:tmpl w:val="F118D408"/>
    <w:lvl w:ilvl="0" w:tplc="76783C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B72EC7"/>
    <w:multiLevelType w:val="hybridMultilevel"/>
    <w:tmpl w:val="78A00E00"/>
    <w:lvl w:ilvl="0" w:tplc="3D3A47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105348">
    <w:abstractNumId w:val="9"/>
  </w:num>
  <w:num w:numId="2" w16cid:durableId="201140407">
    <w:abstractNumId w:val="1"/>
  </w:num>
  <w:num w:numId="3" w16cid:durableId="490028398">
    <w:abstractNumId w:val="0"/>
  </w:num>
  <w:num w:numId="4" w16cid:durableId="350911784">
    <w:abstractNumId w:val="2"/>
  </w:num>
  <w:num w:numId="5" w16cid:durableId="917598757">
    <w:abstractNumId w:val="4"/>
  </w:num>
  <w:num w:numId="6" w16cid:durableId="438650252">
    <w:abstractNumId w:val="8"/>
  </w:num>
  <w:num w:numId="7" w16cid:durableId="1495292007">
    <w:abstractNumId w:val="11"/>
  </w:num>
  <w:num w:numId="8" w16cid:durableId="51084174">
    <w:abstractNumId w:val="3"/>
  </w:num>
  <w:num w:numId="9" w16cid:durableId="446513723">
    <w:abstractNumId w:val="7"/>
  </w:num>
  <w:num w:numId="10" w16cid:durableId="1816146167">
    <w:abstractNumId w:val="6"/>
  </w:num>
  <w:num w:numId="11" w16cid:durableId="1476027197">
    <w:abstractNumId w:val="5"/>
  </w:num>
  <w:num w:numId="12" w16cid:durableId="2084404383">
    <w:abstractNumId w:val="10"/>
  </w:num>
  <w:num w:numId="13" w16cid:durableId="7480403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AB7"/>
    <w:rsid w:val="00036519"/>
    <w:rsid w:val="00052089"/>
    <w:rsid w:val="000A06C2"/>
    <w:rsid w:val="00100773"/>
    <w:rsid w:val="001210E5"/>
    <w:rsid w:val="001333C2"/>
    <w:rsid w:val="001977F0"/>
    <w:rsid w:val="001A282A"/>
    <w:rsid w:val="001D345E"/>
    <w:rsid w:val="001D7EC9"/>
    <w:rsid w:val="001F0CB6"/>
    <w:rsid w:val="00220640"/>
    <w:rsid w:val="002703DD"/>
    <w:rsid w:val="002C1203"/>
    <w:rsid w:val="002D39BD"/>
    <w:rsid w:val="00317E3D"/>
    <w:rsid w:val="00350D4F"/>
    <w:rsid w:val="003D6D3D"/>
    <w:rsid w:val="0049276D"/>
    <w:rsid w:val="004A0AB1"/>
    <w:rsid w:val="004B0BB9"/>
    <w:rsid w:val="004F5B88"/>
    <w:rsid w:val="00525C67"/>
    <w:rsid w:val="00581615"/>
    <w:rsid w:val="0058218C"/>
    <w:rsid w:val="00594FAC"/>
    <w:rsid w:val="00595133"/>
    <w:rsid w:val="005B4EAA"/>
    <w:rsid w:val="005E1F0E"/>
    <w:rsid w:val="00610A5B"/>
    <w:rsid w:val="006524ED"/>
    <w:rsid w:val="00672544"/>
    <w:rsid w:val="006836D1"/>
    <w:rsid w:val="00692E51"/>
    <w:rsid w:val="006C2D54"/>
    <w:rsid w:val="006D2F2D"/>
    <w:rsid w:val="006E1FF9"/>
    <w:rsid w:val="006E38AB"/>
    <w:rsid w:val="00705B80"/>
    <w:rsid w:val="007834CD"/>
    <w:rsid w:val="00785886"/>
    <w:rsid w:val="007B5C04"/>
    <w:rsid w:val="007F3A6A"/>
    <w:rsid w:val="007F6530"/>
    <w:rsid w:val="008346A2"/>
    <w:rsid w:val="008420E0"/>
    <w:rsid w:val="00845768"/>
    <w:rsid w:val="0085052C"/>
    <w:rsid w:val="00887FBB"/>
    <w:rsid w:val="008A595F"/>
    <w:rsid w:val="008C1B0A"/>
    <w:rsid w:val="008F6D4B"/>
    <w:rsid w:val="009237AF"/>
    <w:rsid w:val="009A704F"/>
    <w:rsid w:val="009C332A"/>
    <w:rsid w:val="009E5C5F"/>
    <w:rsid w:val="009F6F1E"/>
    <w:rsid w:val="00A006C9"/>
    <w:rsid w:val="00A11336"/>
    <w:rsid w:val="00A62F73"/>
    <w:rsid w:val="00AC06A7"/>
    <w:rsid w:val="00AE7DDA"/>
    <w:rsid w:val="00B007F1"/>
    <w:rsid w:val="00B21FE6"/>
    <w:rsid w:val="00B30340"/>
    <w:rsid w:val="00B96CBD"/>
    <w:rsid w:val="00BC79FE"/>
    <w:rsid w:val="00C558B0"/>
    <w:rsid w:val="00D00A38"/>
    <w:rsid w:val="00D24A8A"/>
    <w:rsid w:val="00D545BA"/>
    <w:rsid w:val="00D66C96"/>
    <w:rsid w:val="00DB4F33"/>
    <w:rsid w:val="00DE1E4F"/>
    <w:rsid w:val="00E80C6E"/>
    <w:rsid w:val="00E81204"/>
    <w:rsid w:val="00EC21EA"/>
    <w:rsid w:val="00F00B59"/>
    <w:rsid w:val="00F63E82"/>
    <w:rsid w:val="00F81510"/>
    <w:rsid w:val="00FA6248"/>
    <w:rsid w:val="00FD46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AC06A7"/>
    <w:rPr>
      <w:color w:val="0563C1" w:themeColor="hyperlink"/>
      <w:u w:val="single"/>
    </w:rPr>
  </w:style>
  <w:style w:type="character" w:styleId="UnresolvedMention">
    <w:name w:val="Unresolved Mention"/>
    <w:basedOn w:val="DefaultParagraphFont"/>
    <w:uiPriority w:val="99"/>
    <w:semiHidden/>
    <w:unhideWhenUsed/>
    <w:rsid w:val="00AC0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rookes.ac.uk/services/ocsld/resources/gibbs.html" TargetMode="External"/><Relationship Id="rId18" Type="http://schemas.openxmlformats.org/officeDocument/2006/relationships/hyperlink" Target="https://www.health.org.uk/publications/person-centred-care-made-simpl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iabetes.org.uk/guide-to-diabetes/enjoy-food" TargetMode="External"/><Relationship Id="rId17" Type="http://schemas.openxmlformats.org/officeDocument/2006/relationships/hyperlink" Target="https://www.nmc.org.uk/standards/code/" TargetMode="External"/><Relationship Id="rId2" Type="http://schemas.openxmlformats.org/officeDocument/2006/relationships/numbering" Target="numbering.xml"/><Relationship Id="rId16" Type="http://schemas.openxmlformats.org/officeDocument/2006/relationships/hyperlink" Target="https://www.nice.org.uk/guidance/ng2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2/31/contents" TargetMode="External"/><Relationship Id="rId5" Type="http://schemas.openxmlformats.org/officeDocument/2006/relationships/webSettings" Target="webSettings.xml"/><Relationship Id="rId15" Type="http://schemas.openxmlformats.org/officeDocument/2006/relationships/hyperlink" Target="https://www.longtermplan.nhs.uk" TargetMode="External"/><Relationship Id="rId10" Type="http://schemas.openxmlformats.org/officeDocument/2006/relationships/hyperlink" Target="https://www.legislation.gov.uk/ukpga/2014/23/conten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psycnet.apa.org/record/1943-03789-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FF1A3-0140-48A7-BD19-91ED24AA2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2290</Words>
  <Characters>13057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nicholasmudebo1234@gmail.com</cp:lastModifiedBy>
  <cp:revision>36</cp:revision>
  <dcterms:created xsi:type="dcterms:W3CDTF">2026-07-23T01:00:00Z</dcterms:created>
  <dcterms:modified xsi:type="dcterms:W3CDTF">2026-07-27T12:04:00Z</dcterms:modified>
</cp:coreProperties>
</file>