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200" w:before="240" w:line="360" w:lineRule="auto"/>
        <w:jc w:val="center"/>
        <w:rPr>
          <w:b w:val="1"/>
          <w:sz w:val="24"/>
          <w:szCs w:val="24"/>
        </w:rPr>
      </w:pPr>
      <w:r w:rsidDel="00000000" w:rsidR="00000000" w:rsidRPr="00000000">
        <w:rPr>
          <w:rtl w:val="0"/>
        </w:rPr>
      </w:r>
    </w:p>
    <w:p w:rsidR="00000000" w:rsidDel="00000000" w:rsidP="00000000" w:rsidRDefault="00000000" w:rsidRPr="00000000" w14:paraId="00000002">
      <w:pPr>
        <w:spacing w:after="240" w:before="240" w:lineRule="auto"/>
        <w:rPr>
          <w:b w:val="1"/>
          <w:sz w:val="24"/>
          <w:szCs w:val="24"/>
        </w:rPr>
      </w:pPr>
      <w:r w:rsidDel="00000000" w:rsidR="00000000" w:rsidRPr="00000000">
        <w:rPr/>
        <w:drawing>
          <wp:inline distB="114300" distT="114300" distL="114300" distR="114300">
            <wp:extent cx="2189018" cy="872836"/>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189018" cy="872836"/>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spacing w:after="200" w:before="240" w:line="360" w:lineRule="auto"/>
        <w:jc w:val="center"/>
        <w:rPr>
          <w:b w:val="1"/>
          <w:sz w:val="24"/>
          <w:szCs w:val="24"/>
        </w:rPr>
      </w:pPr>
      <w:r w:rsidDel="00000000" w:rsidR="00000000" w:rsidRPr="00000000">
        <w:rPr>
          <w:rtl w:val="0"/>
        </w:rPr>
      </w:r>
    </w:p>
    <w:p w:rsidR="00000000" w:rsidDel="00000000" w:rsidP="00000000" w:rsidRDefault="00000000" w:rsidRPr="00000000" w14:paraId="00000004">
      <w:pPr>
        <w:spacing w:after="200" w:before="240" w:line="360" w:lineRule="auto"/>
        <w:jc w:val="center"/>
        <w:rPr>
          <w:b w:val="1"/>
          <w:sz w:val="24"/>
          <w:szCs w:val="24"/>
        </w:rPr>
      </w:pPr>
      <w:r w:rsidDel="00000000" w:rsidR="00000000" w:rsidRPr="00000000">
        <w:rPr>
          <w:rtl w:val="0"/>
        </w:rPr>
      </w:r>
    </w:p>
    <w:p w:rsidR="00000000" w:rsidDel="00000000" w:rsidP="00000000" w:rsidRDefault="00000000" w:rsidRPr="00000000" w14:paraId="00000005">
      <w:pPr>
        <w:spacing w:after="200" w:before="240" w:line="360" w:lineRule="auto"/>
        <w:jc w:val="center"/>
        <w:rPr>
          <w:b w:val="1"/>
          <w:sz w:val="24"/>
          <w:szCs w:val="24"/>
        </w:rPr>
      </w:pPr>
      <w:r w:rsidDel="00000000" w:rsidR="00000000" w:rsidRPr="00000000">
        <w:rPr>
          <w:rtl w:val="0"/>
        </w:rPr>
      </w:r>
    </w:p>
    <w:p w:rsidR="00000000" w:rsidDel="00000000" w:rsidP="00000000" w:rsidRDefault="00000000" w:rsidRPr="00000000" w14:paraId="00000006">
      <w:pPr>
        <w:spacing w:after="200" w:before="240" w:line="360" w:lineRule="auto"/>
        <w:jc w:val="center"/>
        <w:rPr>
          <w:sz w:val="24"/>
          <w:szCs w:val="24"/>
        </w:rPr>
      </w:pPr>
      <w:r w:rsidDel="00000000" w:rsidR="00000000" w:rsidRPr="00000000">
        <w:rPr>
          <w:b w:val="1"/>
          <w:sz w:val="24"/>
          <w:szCs w:val="24"/>
          <w:rtl w:val="0"/>
        </w:rPr>
        <w:t xml:space="preserve">STUDENT NAME: </w:t>
      </w:r>
      <w:r w:rsidDel="00000000" w:rsidR="00000000" w:rsidRPr="00000000">
        <w:rPr>
          <w:sz w:val="24"/>
          <w:szCs w:val="24"/>
          <w:rtl w:val="0"/>
        </w:rPr>
        <w:t xml:space="preserve">Ayah Abdullah</w:t>
      </w:r>
    </w:p>
    <w:p w:rsidR="00000000" w:rsidDel="00000000" w:rsidP="00000000" w:rsidRDefault="00000000" w:rsidRPr="00000000" w14:paraId="00000007">
      <w:pPr>
        <w:spacing w:after="200" w:before="240" w:line="360" w:lineRule="auto"/>
        <w:jc w:val="center"/>
        <w:rPr>
          <w:sz w:val="24"/>
          <w:szCs w:val="24"/>
        </w:rPr>
      </w:pPr>
      <w:r w:rsidDel="00000000" w:rsidR="00000000" w:rsidRPr="00000000">
        <w:rPr>
          <w:b w:val="1"/>
          <w:sz w:val="24"/>
          <w:szCs w:val="24"/>
          <w:rtl w:val="0"/>
        </w:rPr>
        <w:t xml:space="preserve">STUDENT ID: </w:t>
      </w:r>
      <w:r w:rsidDel="00000000" w:rsidR="00000000" w:rsidRPr="00000000">
        <w:rPr>
          <w:sz w:val="24"/>
          <w:szCs w:val="24"/>
          <w:rtl w:val="0"/>
        </w:rPr>
        <w:t xml:space="preserve">2103991</w:t>
      </w:r>
    </w:p>
    <w:p w:rsidR="00000000" w:rsidDel="00000000" w:rsidP="00000000" w:rsidRDefault="00000000" w:rsidRPr="00000000" w14:paraId="00000008">
      <w:pPr>
        <w:spacing w:after="200" w:before="240" w:line="360" w:lineRule="auto"/>
        <w:jc w:val="center"/>
        <w:rPr>
          <w:sz w:val="24"/>
          <w:szCs w:val="24"/>
        </w:rPr>
      </w:pPr>
      <w:r w:rsidDel="00000000" w:rsidR="00000000" w:rsidRPr="00000000">
        <w:rPr>
          <w:b w:val="1"/>
          <w:sz w:val="24"/>
          <w:szCs w:val="24"/>
          <w:rtl w:val="0"/>
        </w:rPr>
        <w:t xml:space="preserve">MODULE TITLE: </w:t>
      </w:r>
      <w:r w:rsidDel="00000000" w:rsidR="00000000" w:rsidRPr="00000000">
        <w:rPr>
          <w:sz w:val="24"/>
          <w:szCs w:val="24"/>
          <w:rtl w:val="0"/>
        </w:rPr>
        <w:t xml:space="preserve"> Introduction to Health Research </w:t>
      </w:r>
    </w:p>
    <w:p w:rsidR="00000000" w:rsidDel="00000000" w:rsidP="00000000" w:rsidRDefault="00000000" w:rsidRPr="00000000" w14:paraId="00000009">
      <w:pPr>
        <w:spacing w:after="200" w:before="240" w:line="360" w:lineRule="auto"/>
        <w:jc w:val="center"/>
        <w:rPr>
          <w:sz w:val="24"/>
          <w:szCs w:val="24"/>
        </w:rPr>
      </w:pPr>
      <w:r w:rsidDel="00000000" w:rsidR="00000000" w:rsidRPr="00000000">
        <w:rPr>
          <w:b w:val="1"/>
          <w:sz w:val="24"/>
          <w:szCs w:val="24"/>
          <w:rtl w:val="0"/>
        </w:rPr>
        <w:t xml:space="preserve">MODULE CODE: </w:t>
      </w:r>
      <w:r w:rsidDel="00000000" w:rsidR="00000000" w:rsidRPr="00000000">
        <w:rPr>
          <w:sz w:val="24"/>
          <w:szCs w:val="24"/>
          <w:rtl w:val="0"/>
        </w:rPr>
        <w:t xml:space="preserve">BMNS4005</w:t>
      </w:r>
    </w:p>
    <w:p w:rsidR="00000000" w:rsidDel="00000000" w:rsidP="00000000" w:rsidRDefault="00000000" w:rsidRPr="00000000" w14:paraId="0000000A">
      <w:pPr>
        <w:spacing w:after="200" w:before="240" w:line="360" w:lineRule="auto"/>
        <w:jc w:val="center"/>
        <w:rPr>
          <w:sz w:val="24"/>
          <w:szCs w:val="24"/>
        </w:rPr>
      </w:pPr>
      <w:r w:rsidDel="00000000" w:rsidR="00000000" w:rsidRPr="00000000">
        <w:rPr>
          <w:b w:val="1"/>
          <w:sz w:val="24"/>
          <w:szCs w:val="24"/>
          <w:rtl w:val="0"/>
        </w:rPr>
        <w:t xml:space="preserve">DATE OF SUBMISSION: </w:t>
      </w:r>
      <w:r w:rsidDel="00000000" w:rsidR="00000000" w:rsidRPr="00000000">
        <w:rPr>
          <w:sz w:val="24"/>
          <w:szCs w:val="24"/>
          <w:rtl w:val="0"/>
        </w:rPr>
        <w:t xml:space="preserve">14</w:t>
      </w:r>
      <w:r w:rsidDel="00000000" w:rsidR="00000000" w:rsidRPr="00000000">
        <w:rPr>
          <w:sz w:val="24"/>
          <w:szCs w:val="24"/>
          <w:rtl w:val="0"/>
        </w:rPr>
        <w:t xml:space="preserve">/12/2023</w:t>
      </w:r>
    </w:p>
    <w:p w:rsidR="00000000" w:rsidDel="00000000" w:rsidP="00000000" w:rsidRDefault="00000000" w:rsidRPr="00000000" w14:paraId="0000000B">
      <w:pPr>
        <w:spacing w:after="200" w:before="240" w:line="360" w:lineRule="auto"/>
        <w:jc w:val="center"/>
        <w:rPr>
          <w:sz w:val="24"/>
          <w:szCs w:val="24"/>
        </w:rPr>
      </w:pPr>
      <w:r w:rsidDel="00000000" w:rsidR="00000000" w:rsidRPr="00000000">
        <w:rPr>
          <w:b w:val="1"/>
          <w:sz w:val="24"/>
          <w:szCs w:val="24"/>
          <w:rtl w:val="0"/>
        </w:rPr>
        <w:t xml:space="preserve">ASSIGNMENT TITLE:</w:t>
      </w:r>
      <w:r w:rsidDel="00000000" w:rsidR="00000000" w:rsidRPr="00000000">
        <w:rPr>
          <w:sz w:val="24"/>
          <w:szCs w:val="24"/>
          <w:rtl w:val="0"/>
        </w:rPr>
        <w:t xml:space="preserve"> Health promotion supporting paper</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sz w:val="24"/>
          <w:szCs w:val="24"/>
        </w:rPr>
      </w:pPr>
      <w:r w:rsidDel="00000000" w:rsidR="00000000" w:rsidRPr="00000000">
        <w:rPr>
          <w:rtl w:val="0"/>
        </w:rPr>
      </w:r>
    </w:p>
    <w:p w:rsidR="00000000" w:rsidDel="00000000" w:rsidP="00000000" w:rsidRDefault="00000000" w:rsidRPr="00000000" w14:paraId="0000001A">
      <w:pPr>
        <w:rPr>
          <w:sz w:val="24"/>
          <w:szCs w:val="24"/>
        </w:rPr>
      </w:pPr>
      <w:r w:rsidDel="00000000" w:rsidR="00000000" w:rsidRPr="00000000">
        <w:rPr>
          <w:rtl w:val="0"/>
        </w:rPr>
      </w:r>
    </w:p>
    <w:p w:rsidR="00000000" w:rsidDel="00000000" w:rsidP="00000000" w:rsidRDefault="00000000" w:rsidRPr="00000000" w14:paraId="0000001B">
      <w:pPr>
        <w:spacing w:after="240" w:before="240" w:lineRule="auto"/>
        <w:rPr>
          <w:sz w:val="24"/>
          <w:szCs w:val="24"/>
        </w:rPr>
      </w:pPr>
      <w:r w:rsidDel="00000000" w:rsidR="00000000" w:rsidRPr="00000000">
        <w:rPr>
          <w:sz w:val="24"/>
          <w:szCs w:val="24"/>
          <w:rtl w:val="0"/>
        </w:rPr>
        <w:t xml:space="preserve">In the presentation, the focus will be on the topic of health promotion and specific health promotion material. The aim is to define health promotion and highlight its importance in improving public health. The main emphasis will be on a particular health promotion material, which will be described and referenced. The aim of this intervention is to address a specific health issue or promote healthy behaviours among the target audience. The target audience for this intervention or material will be identified, as it is crucial to tailor health promotion efforts to specific populations. Additionally, the presentation will explore the intervention outcomes, including changes in knowledge, attitudes, and behaviours related to the health issue being addressed. To support the need for this health promotion research, relevant studies and research findings will be presented. This will help to understand the significance of addressing the specific health issue and the potential impact of the material. Overall, this presentation will provide a comprehensive overview of the chosen health promotion material, its aim, target audience, intervention outcomes, and the research supporting its need.</w:t>
      </w:r>
    </w:p>
    <w:p w:rsidR="00000000" w:rsidDel="00000000" w:rsidP="00000000" w:rsidRDefault="00000000" w:rsidRPr="00000000" w14:paraId="0000001C">
      <w:pPr>
        <w:spacing w:after="240" w:before="240" w:line="331.2" w:lineRule="auto"/>
        <w:rPr>
          <w:sz w:val="24"/>
          <w:szCs w:val="24"/>
        </w:rPr>
      </w:pPr>
      <w:r w:rsidDel="00000000" w:rsidR="00000000" w:rsidRPr="00000000">
        <w:rPr>
          <w:sz w:val="24"/>
          <w:szCs w:val="24"/>
          <w:rtl w:val="0"/>
        </w:rPr>
        <w:t xml:space="preserve">Health promotion is a concept that encourages individuals to take control of their health and make positive changes (World Health Organization, no date). It goes beyond focusing solely on individual behaviour and encompasses a range of social and environmental actions. In order to address health issues, communities, governments, and individuals all benefit from health promotion. This approach involves developing strong public policies, creating supportive environments, and enhancing the capacity for individual and community action (World Health Organization, no date). By tackling and avoiding the underlying causes of illness rather than only concentrating on diagnosis and cure, health promotion aims to improve and protect the health and quality of life of individuals. (World Health Organisation, 2016).</w:t>
      </w:r>
    </w:p>
    <w:p w:rsidR="00000000" w:rsidDel="00000000" w:rsidP="00000000" w:rsidRDefault="00000000" w:rsidRPr="00000000" w14:paraId="0000001D">
      <w:pPr>
        <w:spacing w:after="240" w:before="240" w:line="331.2" w:lineRule="auto"/>
        <w:rPr>
          <w:sz w:val="24"/>
          <w:szCs w:val="24"/>
        </w:rPr>
      </w:pPr>
      <w:r w:rsidDel="00000000" w:rsidR="00000000" w:rsidRPr="00000000">
        <w:rPr>
          <w:sz w:val="24"/>
          <w:szCs w:val="24"/>
          <w:rtl w:val="0"/>
        </w:rPr>
        <w:t xml:space="preserve">Promoting a healthy weight in school-age children is the aim of the health promotion material titled "Core messages to promote a healthier weight for school-age children” from Gov.uk (2018). Maintaining a healthy weight and living a healthy lifestyle are emphasised, along with the advantages they offer, including better health, enhanced fitness, better attendance at school, and more self-confidence. Practical advice and suggestions are also included in the content, including adhering to the Eatwell Guide, eating fruits and vegetables, avoiding foods high in fat, salt, or sugar, managing portion sizes, cooking healthy meals at home, reading food labels, and getting regular exercise. It also advocates for an alcohol-free childhood for the sake of good health and discourages the drinking of alcohol by minors (Gov.uk, 2018). Drinking excessively when a person is a child or young adult can have a long-term detrimental effect on their academic performance as well as cause irreversible damage to the liver and brain (Drinkaware, 2022). According to the National Health Service (2022), certain nutrition labels on the front of the pack are colour-coded in red, amber, and green. A food or beverage with a label that is green is a healthier option. Red on the label indicates the food is high in fat, saturated fat, salt, or sugars and suggests restricting intake (National Health Service, 2022). Amber signals a moderate level, permitting consumption most of the time.</w:t>
      </w:r>
    </w:p>
    <w:p w:rsidR="00000000" w:rsidDel="00000000" w:rsidP="00000000" w:rsidRDefault="00000000" w:rsidRPr="00000000" w14:paraId="0000001E">
      <w:pPr>
        <w:spacing w:after="240" w:before="240" w:line="331.2" w:lineRule="auto"/>
        <w:rPr>
          <w:sz w:val="24"/>
          <w:szCs w:val="24"/>
        </w:rPr>
      </w:pPr>
      <w:r w:rsidDel="00000000" w:rsidR="00000000" w:rsidRPr="00000000">
        <w:rPr>
          <w:sz w:val="24"/>
          <w:szCs w:val="24"/>
          <w:rtl w:val="0"/>
        </w:rPr>
        <w:t xml:space="preserve">By understanding the target audience, writers can tailor their content to effectively communicate with and engage with their readers. This includes using language and tone that resonate with the intended demographic, as well as addressing their specific needs and interests. Writing for an intended audience helps to ensure that the message is received and understood in a way that is meaningful and impactful (Masterclass, 2021). The target audience for this health promotion material is parents, carers, and school-age children. It aims to provide information and guidance to parents and carers on how to promote a healthier weight for their children. It also aims to educate school-age children on the importance of maintaining a healthy weight and leading a healthy lifestyle (Gov.uk, 2018). By targeting parents, carers, and school-age children, the material aims to reach those who have the most influence and control over a child's diet and lifestyle choices (Halicka, E., 2021). It also aims to empower children to make healthier choices for themselves and take ownership of their own health. </w:t>
      </w:r>
    </w:p>
    <w:p w:rsidR="00000000" w:rsidDel="00000000" w:rsidP="00000000" w:rsidRDefault="00000000" w:rsidRPr="00000000" w14:paraId="0000001F">
      <w:pPr>
        <w:spacing w:after="240" w:before="240" w:line="331.2" w:lineRule="auto"/>
        <w:rPr>
          <w:sz w:val="24"/>
          <w:szCs w:val="24"/>
        </w:rPr>
      </w:pPr>
      <w:r w:rsidDel="00000000" w:rsidR="00000000" w:rsidRPr="00000000">
        <w:rPr>
          <w:sz w:val="24"/>
          <w:szCs w:val="24"/>
          <w:rtl w:val="0"/>
        </w:rPr>
        <w:t xml:space="preserve">The intervention outcomes of the health promotion research include improving school-age children's overall health and well-being, promoting healthy weight maintenance, and reducing the likelihood that they will have weight-related health problems later in life. One tool of policy, the Eatwell Guide, establishes government guidelines for maintaining a balanced diet and eating healthily (Gov.uk, 2018). By following the recommendations in the Eatwell Guide, children can develop healthy eating habits and maintain a balanced diet. If kids are encouraged to exercise for at least an hour a day, they can stay healthy and energetic. Children can meet the prescribed sixty minutes of daily physical activity through school-based physical activity, aerobic activity, muscle building, and bone strengthening exercises (Centres for Disease and Control Prevention, 2023). In order to ensure that children who exceed the 91st BMI centile receive the support and guidance they require, they are also referred to local weight-management initiatives (Gov.uk, 2018).</w:t>
      </w:r>
    </w:p>
    <w:p w:rsidR="00000000" w:rsidDel="00000000" w:rsidP="00000000" w:rsidRDefault="00000000" w:rsidRPr="00000000" w14:paraId="00000020">
      <w:pPr>
        <w:spacing w:after="240" w:before="240" w:line="331.2" w:lineRule="auto"/>
        <w:rPr>
          <w:sz w:val="24"/>
          <w:szCs w:val="24"/>
        </w:rPr>
      </w:pPr>
      <w:r w:rsidDel="00000000" w:rsidR="00000000" w:rsidRPr="00000000">
        <w:rPr>
          <w:sz w:val="24"/>
          <w:szCs w:val="24"/>
          <w:rtl w:val="0"/>
        </w:rPr>
        <w:t xml:space="preserve">The need for health promotion research to address unhealthy weight in school-age children is crucial due to its prevalence and the negative consequences associated with it. Research has consistently shown that children who maintain a healthy weight and lead a healthy lifestyle experience numerous benefits, including improved physical fitness, better overall health, enhanced school attendance, and increased self-confidence (Gov.uk, 2018). On the other hand, unhealthy weight in childhood can lead to a range of physical, psychological, and academic problems, with overweight and obese children being more likely to carry excess weight into adulthood, further increasing their risk of negative health outcomes (Liverpool John Moores University, no date).</w:t>
      </w:r>
    </w:p>
    <w:p w:rsidR="00000000" w:rsidDel="00000000" w:rsidP="00000000" w:rsidRDefault="00000000" w:rsidRPr="00000000" w14:paraId="00000021">
      <w:pPr>
        <w:spacing w:after="240" w:before="240" w:line="331.2" w:lineRule="auto"/>
        <w:rPr>
          <w:sz w:val="24"/>
          <w:szCs w:val="24"/>
        </w:rPr>
      </w:pPr>
      <w:r w:rsidDel="00000000" w:rsidR="00000000" w:rsidRPr="00000000">
        <w:rPr>
          <w:sz w:val="24"/>
          <w:szCs w:val="24"/>
          <w:rtl w:val="0"/>
        </w:rPr>
        <w:t xml:space="preserve">In conclusion, better health, fitness, attendance at school, and self-confidence are among the advantages that come with adopting a healthy lifestyle and maintaining a healthy weight. Along with following the Eatwell Guide, it offers helpful tips on eating fruits and vegetables, avoiding foods high in fat, salt, or sugar, controlling portion sizes, preparing healthful meals at home, reading food labels, and getting regular exercise.In order to empower them to make better decisions and take charge of their health, the content is intended for parents, carers, and school-age children. Improving general health, encouraging healthy weight maintenance, and lowering the risk of weight-related health issues later in life are some of the intervention's goals.</w:t>
      </w:r>
    </w:p>
    <w:p w:rsidR="00000000" w:rsidDel="00000000" w:rsidP="00000000" w:rsidRDefault="00000000" w:rsidRPr="00000000" w14:paraId="00000022">
      <w:pPr>
        <w:rPr>
          <w:sz w:val="24"/>
          <w:szCs w:val="24"/>
        </w:rPr>
      </w:pPr>
      <w:r w:rsidDel="00000000" w:rsidR="00000000" w:rsidRPr="00000000">
        <w:rPr>
          <w:rtl w:val="0"/>
        </w:rPr>
      </w:r>
    </w:p>
    <w:p w:rsidR="00000000" w:rsidDel="00000000" w:rsidP="00000000" w:rsidRDefault="00000000" w:rsidRPr="00000000" w14:paraId="00000023">
      <w:pPr>
        <w:rPr>
          <w:sz w:val="24"/>
          <w:szCs w:val="24"/>
        </w:rPr>
      </w:pPr>
      <w:r w:rsidDel="00000000" w:rsidR="00000000" w:rsidRPr="00000000">
        <w:rPr>
          <w:rtl w:val="0"/>
        </w:rPr>
      </w:r>
    </w:p>
    <w:p w:rsidR="00000000" w:rsidDel="00000000" w:rsidP="00000000" w:rsidRDefault="00000000" w:rsidRPr="00000000" w14:paraId="00000024">
      <w:pPr>
        <w:rPr>
          <w:sz w:val="24"/>
          <w:szCs w:val="24"/>
        </w:rPr>
      </w:pPr>
      <w:r w:rsidDel="00000000" w:rsidR="00000000" w:rsidRPr="00000000">
        <w:rPr>
          <w:rtl w:val="0"/>
        </w:rPr>
      </w:r>
    </w:p>
    <w:p w:rsidR="00000000" w:rsidDel="00000000" w:rsidP="00000000" w:rsidRDefault="00000000" w:rsidRPr="00000000" w14:paraId="00000025">
      <w:pPr>
        <w:rPr>
          <w:sz w:val="24"/>
          <w:szCs w:val="24"/>
        </w:rPr>
      </w:pPr>
      <w:r w:rsidDel="00000000" w:rsidR="00000000" w:rsidRPr="00000000">
        <w:rPr>
          <w:rtl w:val="0"/>
        </w:rPr>
      </w:r>
    </w:p>
    <w:p w:rsidR="00000000" w:rsidDel="00000000" w:rsidP="00000000" w:rsidRDefault="00000000" w:rsidRPr="00000000" w14:paraId="00000026">
      <w:pPr>
        <w:rPr>
          <w:sz w:val="24"/>
          <w:szCs w:val="24"/>
        </w:rPr>
      </w:pPr>
      <w:r w:rsidDel="00000000" w:rsidR="00000000" w:rsidRPr="00000000">
        <w:rPr>
          <w:rtl w:val="0"/>
        </w:rPr>
      </w:r>
    </w:p>
    <w:p w:rsidR="00000000" w:rsidDel="00000000" w:rsidP="00000000" w:rsidRDefault="00000000" w:rsidRPr="00000000" w14:paraId="00000027">
      <w:pPr>
        <w:rPr>
          <w:sz w:val="24"/>
          <w:szCs w:val="24"/>
        </w:rPr>
      </w:pPr>
      <w:r w:rsidDel="00000000" w:rsidR="00000000" w:rsidRPr="00000000">
        <w:rPr>
          <w:rtl w:val="0"/>
        </w:rPr>
      </w:r>
    </w:p>
    <w:p w:rsidR="00000000" w:rsidDel="00000000" w:rsidP="00000000" w:rsidRDefault="00000000" w:rsidRPr="00000000" w14:paraId="00000028">
      <w:pPr>
        <w:rPr>
          <w:sz w:val="24"/>
          <w:szCs w:val="24"/>
        </w:rPr>
      </w:pPr>
      <w:r w:rsidDel="00000000" w:rsidR="00000000" w:rsidRPr="00000000">
        <w:rPr>
          <w:rtl w:val="0"/>
        </w:rPr>
      </w:r>
    </w:p>
    <w:p w:rsidR="00000000" w:rsidDel="00000000" w:rsidP="00000000" w:rsidRDefault="00000000" w:rsidRPr="00000000" w14:paraId="00000029">
      <w:pPr>
        <w:rPr>
          <w:sz w:val="24"/>
          <w:szCs w:val="24"/>
        </w:rPr>
      </w:pPr>
      <w:r w:rsidDel="00000000" w:rsidR="00000000" w:rsidRPr="00000000">
        <w:rPr>
          <w:rtl w:val="0"/>
        </w:rPr>
      </w:r>
    </w:p>
    <w:p w:rsidR="00000000" w:rsidDel="00000000" w:rsidP="00000000" w:rsidRDefault="00000000" w:rsidRPr="00000000" w14:paraId="0000002A">
      <w:pPr>
        <w:rPr>
          <w:sz w:val="24"/>
          <w:szCs w:val="24"/>
        </w:rPr>
      </w:pPr>
      <w:r w:rsidDel="00000000" w:rsidR="00000000" w:rsidRPr="00000000">
        <w:rPr>
          <w:rtl w:val="0"/>
        </w:rPr>
      </w:r>
    </w:p>
    <w:p w:rsidR="00000000" w:rsidDel="00000000" w:rsidP="00000000" w:rsidRDefault="00000000" w:rsidRPr="00000000" w14:paraId="0000002B">
      <w:pPr>
        <w:rPr>
          <w:sz w:val="24"/>
          <w:szCs w:val="24"/>
        </w:rPr>
      </w:pPr>
      <w:r w:rsidDel="00000000" w:rsidR="00000000" w:rsidRPr="00000000">
        <w:rPr>
          <w:rtl w:val="0"/>
        </w:rPr>
      </w:r>
    </w:p>
    <w:p w:rsidR="00000000" w:rsidDel="00000000" w:rsidP="00000000" w:rsidRDefault="00000000" w:rsidRPr="00000000" w14:paraId="0000002C">
      <w:pPr>
        <w:rPr>
          <w:sz w:val="24"/>
          <w:szCs w:val="24"/>
        </w:rPr>
      </w:pPr>
      <w:r w:rsidDel="00000000" w:rsidR="00000000" w:rsidRPr="00000000">
        <w:rPr>
          <w:rtl w:val="0"/>
        </w:rPr>
      </w:r>
    </w:p>
    <w:p w:rsidR="00000000" w:rsidDel="00000000" w:rsidP="00000000" w:rsidRDefault="00000000" w:rsidRPr="00000000" w14:paraId="0000002D">
      <w:pPr>
        <w:rPr>
          <w:sz w:val="24"/>
          <w:szCs w:val="24"/>
        </w:rPr>
      </w:pPr>
      <w:r w:rsidDel="00000000" w:rsidR="00000000" w:rsidRPr="00000000">
        <w:rPr>
          <w:rtl w:val="0"/>
        </w:rPr>
      </w:r>
    </w:p>
    <w:p w:rsidR="00000000" w:rsidDel="00000000" w:rsidP="00000000" w:rsidRDefault="00000000" w:rsidRPr="00000000" w14:paraId="0000002E">
      <w:pPr>
        <w:rPr>
          <w:sz w:val="24"/>
          <w:szCs w:val="24"/>
        </w:rPr>
      </w:pPr>
      <w:r w:rsidDel="00000000" w:rsidR="00000000" w:rsidRPr="00000000">
        <w:rPr>
          <w:rtl w:val="0"/>
        </w:rPr>
      </w:r>
    </w:p>
    <w:p w:rsidR="00000000" w:rsidDel="00000000" w:rsidP="00000000" w:rsidRDefault="00000000" w:rsidRPr="00000000" w14:paraId="0000002F">
      <w:pPr>
        <w:rPr>
          <w:b w:val="1"/>
          <w:sz w:val="24"/>
          <w:szCs w:val="24"/>
        </w:rPr>
      </w:pPr>
      <w:r w:rsidDel="00000000" w:rsidR="00000000" w:rsidRPr="00000000">
        <w:rPr>
          <w:rtl w:val="0"/>
        </w:rPr>
      </w:r>
    </w:p>
    <w:p w:rsidR="00000000" w:rsidDel="00000000" w:rsidP="00000000" w:rsidRDefault="00000000" w:rsidRPr="00000000" w14:paraId="00000030">
      <w:pPr>
        <w:rPr>
          <w:b w:val="1"/>
          <w:sz w:val="24"/>
          <w:szCs w:val="24"/>
        </w:rPr>
      </w:pPr>
      <w:r w:rsidDel="00000000" w:rsidR="00000000" w:rsidRPr="00000000">
        <w:rPr>
          <w:rtl w:val="0"/>
        </w:rPr>
      </w:r>
    </w:p>
    <w:p w:rsidR="00000000" w:rsidDel="00000000" w:rsidP="00000000" w:rsidRDefault="00000000" w:rsidRPr="00000000" w14:paraId="00000031">
      <w:pPr>
        <w:rPr>
          <w:b w:val="1"/>
          <w:sz w:val="24"/>
          <w:szCs w:val="24"/>
        </w:rPr>
      </w:pPr>
      <w:r w:rsidDel="00000000" w:rsidR="00000000" w:rsidRPr="00000000">
        <w:rPr>
          <w:rtl w:val="0"/>
        </w:rPr>
      </w:r>
    </w:p>
    <w:p w:rsidR="00000000" w:rsidDel="00000000" w:rsidP="00000000" w:rsidRDefault="00000000" w:rsidRPr="00000000" w14:paraId="00000032">
      <w:pPr>
        <w:rPr/>
      </w:pPr>
      <w:r w:rsidDel="00000000" w:rsidR="00000000" w:rsidRPr="00000000">
        <w:rPr>
          <w:b w:val="1"/>
          <w:sz w:val="24"/>
          <w:szCs w:val="24"/>
          <w:rtl w:val="0"/>
        </w:rPr>
        <w:t xml:space="preserve">References</w:t>
      </w:r>
      <w:r w:rsidDel="00000000" w:rsidR="00000000" w:rsidRPr="00000000">
        <w:rPr>
          <w:rtl w:val="0"/>
        </w:rPr>
        <w:t xml:space="preserve"> </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numPr>
          <w:ilvl w:val="0"/>
          <w:numId w:val="1"/>
        </w:numPr>
        <w:ind w:left="720" w:hanging="360"/>
        <w:rPr>
          <w:sz w:val="24"/>
          <w:szCs w:val="24"/>
        </w:rPr>
      </w:pPr>
      <w:r w:rsidDel="00000000" w:rsidR="00000000" w:rsidRPr="00000000">
        <w:rPr>
          <w:sz w:val="24"/>
          <w:szCs w:val="24"/>
          <w:rtl w:val="0"/>
        </w:rPr>
        <w:t xml:space="preserve">World Health Organization (no date) </w:t>
      </w:r>
      <w:r w:rsidDel="00000000" w:rsidR="00000000" w:rsidRPr="00000000">
        <w:rPr>
          <w:i w:val="1"/>
          <w:sz w:val="24"/>
          <w:szCs w:val="24"/>
          <w:rtl w:val="0"/>
        </w:rPr>
        <w:t xml:space="preserve">Health Promotion</w:t>
      </w:r>
      <w:r w:rsidDel="00000000" w:rsidR="00000000" w:rsidRPr="00000000">
        <w:rPr>
          <w:sz w:val="24"/>
          <w:szCs w:val="24"/>
          <w:rtl w:val="0"/>
        </w:rPr>
        <w:t xml:space="preserve">. Available at: </w:t>
      </w:r>
      <w:hyperlink r:id="rId7">
        <w:r w:rsidDel="00000000" w:rsidR="00000000" w:rsidRPr="00000000">
          <w:rPr>
            <w:color w:val="1155cc"/>
            <w:sz w:val="24"/>
            <w:szCs w:val="24"/>
            <w:u w:val="single"/>
            <w:rtl w:val="0"/>
          </w:rPr>
          <w:t xml:space="preserve">https://www.who.int/westernpacific/about/how-we-work/programmes/health-promotion</w:t>
        </w:r>
      </w:hyperlink>
      <w:r w:rsidDel="00000000" w:rsidR="00000000" w:rsidRPr="00000000">
        <w:rPr>
          <w:sz w:val="24"/>
          <w:szCs w:val="24"/>
          <w:rtl w:val="0"/>
        </w:rPr>
        <w:t xml:space="preserve"> (Accessed 10 December 2023)</w:t>
      </w:r>
    </w:p>
    <w:p w:rsidR="00000000" w:rsidDel="00000000" w:rsidP="00000000" w:rsidRDefault="00000000" w:rsidRPr="00000000" w14:paraId="00000035">
      <w:pPr>
        <w:rPr>
          <w:sz w:val="24"/>
          <w:szCs w:val="24"/>
        </w:rPr>
      </w:pPr>
      <w:r w:rsidDel="00000000" w:rsidR="00000000" w:rsidRPr="00000000">
        <w:rPr>
          <w:rtl w:val="0"/>
        </w:rPr>
      </w:r>
    </w:p>
    <w:p w:rsidR="00000000" w:rsidDel="00000000" w:rsidP="00000000" w:rsidRDefault="00000000" w:rsidRPr="00000000" w14:paraId="00000036">
      <w:pPr>
        <w:numPr>
          <w:ilvl w:val="0"/>
          <w:numId w:val="1"/>
        </w:numPr>
        <w:ind w:left="720" w:hanging="360"/>
        <w:rPr>
          <w:sz w:val="24"/>
          <w:szCs w:val="24"/>
        </w:rPr>
      </w:pPr>
      <w:r w:rsidDel="00000000" w:rsidR="00000000" w:rsidRPr="00000000">
        <w:rPr>
          <w:sz w:val="24"/>
          <w:szCs w:val="24"/>
          <w:rtl w:val="0"/>
        </w:rPr>
        <w:t xml:space="preserve">Gov.uk (2018) </w:t>
      </w:r>
      <w:r w:rsidDel="00000000" w:rsidR="00000000" w:rsidRPr="00000000">
        <w:rPr>
          <w:i w:val="1"/>
          <w:sz w:val="24"/>
          <w:szCs w:val="24"/>
          <w:rtl w:val="0"/>
        </w:rPr>
        <w:t xml:space="preserve">Healthy weight promotion for Troubled Families</w:t>
      </w:r>
      <w:r w:rsidDel="00000000" w:rsidR="00000000" w:rsidRPr="00000000">
        <w:rPr>
          <w:sz w:val="24"/>
          <w:szCs w:val="24"/>
          <w:rtl w:val="0"/>
        </w:rPr>
        <w:t xml:space="preserve">. Available at: </w:t>
      </w:r>
      <w:hyperlink r:id="rId8">
        <w:r w:rsidDel="00000000" w:rsidR="00000000" w:rsidRPr="00000000">
          <w:rPr>
            <w:color w:val="1155cc"/>
            <w:sz w:val="24"/>
            <w:szCs w:val="24"/>
            <w:u w:val="single"/>
            <w:rtl w:val="0"/>
          </w:rPr>
          <w:t xml:space="preserve">https://supportingfamilies.blog.gov.uk/2018/10/03/healthy-weight-promotion-for-troubled-families/</w:t>
        </w:r>
      </w:hyperlink>
      <w:r w:rsidDel="00000000" w:rsidR="00000000" w:rsidRPr="00000000">
        <w:rPr>
          <w:sz w:val="24"/>
          <w:szCs w:val="24"/>
          <w:rtl w:val="0"/>
        </w:rPr>
        <w:t xml:space="preserve"> (Accessed 10 December 2023) </w:t>
      </w:r>
    </w:p>
    <w:p w:rsidR="00000000" w:rsidDel="00000000" w:rsidP="00000000" w:rsidRDefault="00000000" w:rsidRPr="00000000" w14:paraId="00000037">
      <w:pPr>
        <w:rPr>
          <w:sz w:val="24"/>
          <w:szCs w:val="24"/>
        </w:rPr>
      </w:pPr>
      <w:r w:rsidDel="00000000" w:rsidR="00000000" w:rsidRPr="00000000">
        <w:rPr>
          <w:rtl w:val="0"/>
        </w:rPr>
      </w:r>
    </w:p>
    <w:p w:rsidR="00000000" w:rsidDel="00000000" w:rsidP="00000000" w:rsidRDefault="00000000" w:rsidRPr="00000000" w14:paraId="00000038">
      <w:pPr>
        <w:numPr>
          <w:ilvl w:val="0"/>
          <w:numId w:val="1"/>
        </w:numPr>
        <w:ind w:left="720" w:hanging="360"/>
        <w:rPr>
          <w:sz w:val="24"/>
          <w:szCs w:val="24"/>
        </w:rPr>
      </w:pPr>
      <w:r w:rsidDel="00000000" w:rsidR="00000000" w:rsidRPr="00000000">
        <w:rPr>
          <w:sz w:val="24"/>
          <w:szCs w:val="24"/>
          <w:rtl w:val="0"/>
        </w:rPr>
        <w:t xml:space="preserve">Halicka, E., Kaczorowska, J., Rejman, K. and Szczebyło, A. (2021) ‘Parental Food Choices and Engagement in Raising Children’s Awareness of Sustainable Behaviors in Urban Poland’ </w:t>
      </w:r>
      <w:r w:rsidDel="00000000" w:rsidR="00000000" w:rsidRPr="00000000">
        <w:rPr>
          <w:i w:val="1"/>
          <w:sz w:val="24"/>
          <w:szCs w:val="24"/>
          <w:rtl w:val="0"/>
        </w:rPr>
        <w:t xml:space="preserve">International Journal of Environmental Research and Public Health,</w:t>
      </w:r>
      <w:r w:rsidDel="00000000" w:rsidR="00000000" w:rsidRPr="00000000">
        <w:rPr>
          <w:sz w:val="24"/>
          <w:szCs w:val="24"/>
          <w:rtl w:val="0"/>
        </w:rPr>
        <w:t xml:space="preserve"> 18(6), p.3225. Available at: </w:t>
      </w:r>
      <w:hyperlink r:id="rId9">
        <w:r w:rsidDel="00000000" w:rsidR="00000000" w:rsidRPr="00000000">
          <w:rPr>
            <w:color w:val="1155cc"/>
            <w:sz w:val="24"/>
            <w:szCs w:val="24"/>
            <w:u w:val="single"/>
            <w:rtl w:val="0"/>
          </w:rPr>
          <w:t xml:space="preserve">https://doi.org/10.3390/ijerph18063225</w:t>
        </w:r>
      </w:hyperlink>
      <w:r w:rsidDel="00000000" w:rsidR="00000000" w:rsidRPr="00000000">
        <w:rPr>
          <w:rtl w:val="0"/>
        </w:rPr>
      </w:r>
    </w:p>
    <w:p w:rsidR="00000000" w:rsidDel="00000000" w:rsidP="00000000" w:rsidRDefault="00000000" w:rsidRPr="00000000" w14:paraId="00000039">
      <w:pPr>
        <w:rPr>
          <w:color w:val="2c3e50"/>
          <w:sz w:val="24"/>
          <w:szCs w:val="24"/>
        </w:rPr>
      </w:pPr>
      <w:r w:rsidDel="00000000" w:rsidR="00000000" w:rsidRPr="00000000">
        <w:rPr>
          <w:rtl w:val="0"/>
        </w:rPr>
      </w:r>
    </w:p>
    <w:p w:rsidR="00000000" w:rsidDel="00000000" w:rsidP="00000000" w:rsidRDefault="00000000" w:rsidRPr="00000000" w14:paraId="0000003A">
      <w:pPr>
        <w:numPr>
          <w:ilvl w:val="0"/>
          <w:numId w:val="1"/>
        </w:numPr>
        <w:ind w:left="720" w:hanging="360"/>
        <w:rPr>
          <w:sz w:val="24"/>
          <w:szCs w:val="24"/>
        </w:rPr>
      </w:pPr>
      <w:r w:rsidDel="00000000" w:rsidR="00000000" w:rsidRPr="00000000">
        <w:rPr>
          <w:color w:val="2c3e50"/>
          <w:sz w:val="24"/>
          <w:szCs w:val="24"/>
          <w:rtl w:val="0"/>
        </w:rPr>
        <w:t xml:space="preserve">MasterClass (2021) </w:t>
      </w:r>
      <w:r w:rsidDel="00000000" w:rsidR="00000000" w:rsidRPr="00000000">
        <w:rPr>
          <w:i w:val="1"/>
          <w:sz w:val="24"/>
          <w:szCs w:val="24"/>
          <w:rtl w:val="0"/>
        </w:rPr>
        <w:t xml:space="preserve">Intended Audience: How to Write for Your Intended Audience</w:t>
      </w:r>
      <w:r w:rsidDel="00000000" w:rsidR="00000000" w:rsidRPr="00000000">
        <w:rPr>
          <w:sz w:val="24"/>
          <w:szCs w:val="24"/>
          <w:rtl w:val="0"/>
        </w:rPr>
        <w:t xml:space="preserve">. Available at: </w:t>
      </w:r>
      <w:hyperlink r:id="rId10">
        <w:r w:rsidDel="00000000" w:rsidR="00000000" w:rsidRPr="00000000">
          <w:rPr>
            <w:color w:val="1155cc"/>
            <w:sz w:val="24"/>
            <w:szCs w:val="24"/>
            <w:u w:val="single"/>
            <w:rtl w:val="0"/>
          </w:rPr>
          <w:t xml:space="preserve">https://www.masterclass.com/articles/intended-audience-writing-guide</w:t>
        </w:r>
      </w:hyperlink>
      <w:r w:rsidDel="00000000" w:rsidR="00000000" w:rsidRPr="00000000">
        <w:rPr>
          <w:sz w:val="24"/>
          <w:szCs w:val="24"/>
          <w:rtl w:val="0"/>
        </w:rPr>
        <w:t xml:space="preserve"> (Accessed 11 December 2023)</w:t>
      </w:r>
    </w:p>
    <w:p w:rsidR="00000000" w:rsidDel="00000000" w:rsidP="00000000" w:rsidRDefault="00000000" w:rsidRPr="00000000" w14:paraId="0000003B">
      <w:pPr>
        <w:rPr>
          <w:sz w:val="24"/>
          <w:szCs w:val="24"/>
        </w:rPr>
      </w:pPr>
      <w:r w:rsidDel="00000000" w:rsidR="00000000" w:rsidRPr="00000000">
        <w:rPr>
          <w:rtl w:val="0"/>
        </w:rPr>
      </w:r>
    </w:p>
    <w:p w:rsidR="00000000" w:rsidDel="00000000" w:rsidP="00000000" w:rsidRDefault="00000000" w:rsidRPr="00000000" w14:paraId="0000003C">
      <w:pPr>
        <w:numPr>
          <w:ilvl w:val="0"/>
          <w:numId w:val="1"/>
        </w:numPr>
        <w:ind w:left="720" w:hanging="360"/>
        <w:rPr>
          <w:sz w:val="24"/>
          <w:szCs w:val="24"/>
        </w:rPr>
      </w:pPr>
      <w:r w:rsidDel="00000000" w:rsidR="00000000" w:rsidRPr="00000000">
        <w:rPr>
          <w:sz w:val="24"/>
          <w:szCs w:val="24"/>
          <w:rtl w:val="0"/>
        </w:rPr>
        <w:t xml:space="preserve">Gov.uk (2018) </w:t>
      </w:r>
      <w:r w:rsidDel="00000000" w:rsidR="00000000" w:rsidRPr="00000000">
        <w:rPr>
          <w:i w:val="1"/>
          <w:color w:val="0b0c0c"/>
          <w:sz w:val="24"/>
          <w:szCs w:val="24"/>
          <w:rtl w:val="0"/>
        </w:rPr>
        <w:t xml:space="preserve">The Eatwell Guide. </w:t>
      </w:r>
      <w:r w:rsidDel="00000000" w:rsidR="00000000" w:rsidRPr="00000000">
        <w:rPr>
          <w:color w:val="0b0c0c"/>
          <w:sz w:val="24"/>
          <w:szCs w:val="24"/>
          <w:rtl w:val="0"/>
        </w:rPr>
        <w:t xml:space="preserve">Available at: </w:t>
      </w:r>
      <w:hyperlink r:id="rId11">
        <w:r w:rsidDel="00000000" w:rsidR="00000000" w:rsidRPr="00000000">
          <w:rPr>
            <w:color w:val="1155cc"/>
            <w:sz w:val="24"/>
            <w:szCs w:val="24"/>
            <w:u w:val="single"/>
            <w:rtl w:val="0"/>
          </w:rPr>
          <w:t xml:space="preserve">https://www.gov.uk/government/publications/the-eatwell-guide</w:t>
        </w:r>
      </w:hyperlink>
      <w:r w:rsidDel="00000000" w:rsidR="00000000" w:rsidRPr="00000000">
        <w:rPr>
          <w:color w:val="0b0c0c"/>
          <w:sz w:val="24"/>
          <w:szCs w:val="24"/>
          <w:rtl w:val="0"/>
        </w:rPr>
        <w:t xml:space="preserve"> </w:t>
      </w:r>
      <w:r w:rsidDel="00000000" w:rsidR="00000000" w:rsidRPr="00000000">
        <w:rPr>
          <w:sz w:val="24"/>
          <w:szCs w:val="24"/>
          <w:rtl w:val="0"/>
        </w:rPr>
        <w:t xml:space="preserve">(Accessed 11 December 2023)</w:t>
      </w:r>
      <w:r w:rsidDel="00000000" w:rsidR="00000000" w:rsidRPr="00000000">
        <w:rPr>
          <w:color w:val="0b0c0c"/>
          <w:sz w:val="24"/>
          <w:szCs w:val="24"/>
          <w:rtl w:val="0"/>
        </w:rPr>
        <w:t xml:space="preserve"> </w:t>
      </w:r>
    </w:p>
    <w:p w:rsidR="00000000" w:rsidDel="00000000" w:rsidP="00000000" w:rsidRDefault="00000000" w:rsidRPr="00000000" w14:paraId="0000003D">
      <w:pPr>
        <w:rPr>
          <w:color w:val="0b0c0c"/>
          <w:sz w:val="24"/>
          <w:szCs w:val="24"/>
        </w:rPr>
      </w:pPr>
      <w:r w:rsidDel="00000000" w:rsidR="00000000" w:rsidRPr="00000000">
        <w:rPr>
          <w:rtl w:val="0"/>
        </w:rPr>
      </w:r>
    </w:p>
    <w:p w:rsidR="00000000" w:rsidDel="00000000" w:rsidP="00000000" w:rsidRDefault="00000000" w:rsidRPr="00000000" w14:paraId="0000003E">
      <w:pPr>
        <w:numPr>
          <w:ilvl w:val="0"/>
          <w:numId w:val="1"/>
        </w:numPr>
        <w:spacing w:after="240" w:before="240" w:lineRule="auto"/>
        <w:ind w:left="720" w:hanging="360"/>
        <w:rPr>
          <w:sz w:val="24"/>
          <w:szCs w:val="24"/>
        </w:rPr>
      </w:pPr>
      <w:r w:rsidDel="00000000" w:rsidR="00000000" w:rsidRPr="00000000">
        <w:rPr>
          <w:sz w:val="24"/>
          <w:szCs w:val="24"/>
          <w:rtl w:val="0"/>
        </w:rPr>
        <w:t xml:space="preserve">Centres for Disease and Control Prevention (2023) </w:t>
      </w:r>
      <w:r w:rsidDel="00000000" w:rsidR="00000000" w:rsidRPr="00000000">
        <w:rPr>
          <w:i w:val="1"/>
          <w:sz w:val="24"/>
          <w:szCs w:val="24"/>
          <w:rtl w:val="0"/>
        </w:rPr>
        <w:t xml:space="preserve">Children</w:t>
      </w:r>
      <w:r w:rsidDel="00000000" w:rsidR="00000000" w:rsidRPr="00000000">
        <w:rPr>
          <w:sz w:val="24"/>
          <w:szCs w:val="24"/>
          <w:rtl w:val="0"/>
        </w:rPr>
        <w:t xml:space="preserve">. Available at: </w:t>
      </w:r>
      <w:hyperlink r:id="rId12">
        <w:r w:rsidDel="00000000" w:rsidR="00000000" w:rsidRPr="00000000">
          <w:rPr>
            <w:color w:val="1155cc"/>
            <w:sz w:val="24"/>
            <w:szCs w:val="24"/>
            <w:u w:val="single"/>
            <w:rtl w:val="0"/>
          </w:rPr>
          <w:t xml:space="preserve">https://www.cdc.gov/physicalactivity/basics/children/index.htm</w:t>
        </w:r>
      </w:hyperlink>
      <w:r w:rsidDel="00000000" w:rsidR="00000000" w:rsidRPr="00000000">
        <w:rPr>
          <w:sz w:val="24"/>
          <w:szCs w:val="24"/>
          <w:rtl w:val="0"/>
        </w:rPr>
        <w:t xml:space="preserve"> (Accessed 11 December 2023)</w:t>
      </w:r>
      <w:r w:rsidDel="00000000" w:rsidR="00000000" w:rsidRPr="00000000">
        <w:rPr>
          <w:rtl w:val="0"/>
        </w:rPr>
      </w:r>
    </w:p>
    <w:p w:rsidR="00000000" w:rsidDel="00000000" w:rsidP="00000000" w:rsidRDefault="00000000" w:rsidRPr="00000000" w14:paraId="0000003F">
      <w:pPr>
        <w:spacing w:after="240" w:before="240" w:lineRule="auto"/>
        <w:rPr>
          <w:color w:val="0b0c0c"/>
          <w:sz w:val="24"/>
          <w:szCs w:val="24"/>
        </w:rPr>
      </w:pPr>
      <w:r w:rsidDel="00000000" w:rsidR="00000000" w:rsidRPr="00000000">
        <w:rPr>
          <w:rtl w:val="0"/>
        </w:rPr>
      </w:r>
    </w:p>
    <w:p w:rsidR="00000000" w:rsidDel="00000000" w:rsidP="00000000" w:rsidRDefault="00000000" w:rsidRPr="00000000" w14:paraId="00000040">
      <w:pPr>
        <w:numPr>
          <w:ilvl w:val="0"/>
          <w:numId w:val="1"/>
        </w:numPr>
        <w:spacing w:after="240" w:before="240" w:lineRule="auto"/>
        <w:ind w:left="720" w:hanging="360"/>
        <w:rPr>
          <w:sz w:val="24"/>
          <w:szCs w:val="24"/>
        </w:rPr>
      </w:pPr>
      <w:r w:rsidDel="00000000" w:rsidR="00000000" w:rsidRPr="00000000">
        <w:rPr>
          <w:sz w:val="24"/>
          <w:szCs w:val="24"/>
          <w:rtl w:val="0"/>
        </w:rPr>
        <w:t xml:space="preserve">Liverpool John Moores University (no date) </w:t>
      </w:r>
      <w:r w:rsidDel="00000000" w:rsidR="00000000" w:rsidRPr="00000000">
        <w:rPr>
          <w:i w:val="1"/>
          <w:sz w:val="24"/>
          <w:szCs w:val="24"/>
          <w:rtl w:val="0"/>
        </w:rPr>
        <w:t xml:space="preserve">Consequences of unhealthy weight. </w:t>
      </w:r>
      <w:r w:rsidDel="00000000" w:rsidR="00000000" w:rsidRPr="00000000">
        <w:rPr>
          <w:sz w:val="24"/>
          <w:szCs w:val="24"/>
          <w:rtl w:val="0"/>
        </w:rPr>
        <w:t xml:space="preserve">Available at: </w:t>
      </w:r>
      <w:hyperlink r:id="rId13">
        <w:r w:rsidDel="00000000" w:rsidR="00000000" w:rsidRPr="00000000">
          <w:rPr>
            <w:color w:val="1155cc"/>
            <w:sz w:val="24"/>
            <w:szCs w:val="24"/>
            <w:u w:val="single"/>
            <w:rtl w:val="0"/>
          </w:rPr>
          <w:t xml:space="preserve">https://www.ljmu.ac.uk/microsites/promoting-healthy-weight-in-pre-school-children/modules/why-weight-matters/consequences-of-unhealthy-weight#:~:text=Poor%20school%20achievement%20</w:t>
        </w:r>
      </w:hyperlink>
      <w:r w:rsidDel="00000000" w:rsidR="00000000" w:rsidRPr="00000000">
        <w:rPr>
          <w:sz w:val="24"/>
          <w:szCs w:val="24"/>
          <w:rtl w:val="0"/>
        </w:rPr>
        <w:t xml:space="preserve">(impaired%20cognitive,density%20(Increases%20risk%20of%20osteoporosis) (Accessed 11 December 2023)</w:t>
      </w:r>
      <w:r w:rsidDel="00000000" w:rsidR="00000000" w:rsidRPr="00000000">
        <w:rPr>
          <w:rtl w:val="0"/>
        </w:rPr>
      </w:r>
    </w:p>
    <w:p w:rsidR="00000000" w:rsidDel="00000000" w:rsidP="00000000" w:rsidRDefault="00000000" w:rsidRPr="00000000" w14:paraId="00000041">
      <w:pPr>
        <w:spacing w:after="240" w:before="240" w:lineRule="auto"/>
        <w:rPr>
          <w:sz w:val="24"/>
          <w:szCs w:val="24"/>
        </w:rPr>
      </w:pPr>
      <w:r w:rsidDel="00000000" w:rsidR="00000000" w:rsidRPr="00000000">
        <w:rPr>
          <w:rtl w:val="0"/>
        </w:rPr>
      </w:r>
    </w:p>
    <w:p w:rsidR="00000000" w:rsidDel="00000000" w:rsidP="00000000" w:rsidRDefault="00000000" w:rsidRPr="00000000" w14:paraId="00000042">
      <w:pPr>
        <w:spacing w:after="240" w:before="240" w:lineRule="auto"/>
        <w:rPr>
          <w:sz w:val="24"/>
          <w:szCs w:val="24"/>
        </w:rPr>
      </w:pPr>
      <w:r w:rsidDel="00000000" w:rsidR="00000000" w:rsidRPr="00000000">
        <w:rPr>
          <w:rtl w:val="0"/>
        </w:rPr>
      </w:r>
    </w:p>
    <w:p w:rsidR="00000000" w:rsidDel="00000000" w:rsidP="00000000" w:rsidRDefault="00000000" w:rsidRPr="00000000" w14:paraId="00000043">
      <w:pPr>
        <w:numPr>
          <w:ilvl w:val="0"/>
          <w:numId w:val="1"/>
        </w:numPr>
        <w:spacing w:after="240" w:before="240" w:lineRule="auto"/>
        <w:ind w:left="720" w:hanging="360"/>
        <w:rPr>
          <w:sz w:val="24"/>
          <w:szCs w:val="24"/>
        </w:rPr>
      </w:pPr>
      <w:r w:rsidDel="00000000" w:rsidR="00000000" w:rsidRPr="00000000">
        <w:rPr>
          <w:sz w:val="24"/>
          <w:szCs w:val="24"/>
          <w:rtl w:val="0"/>
        </w:rPr>
        <w:t xml:space="preserve">World health Organisation (2016) </w:t>
      </w:r>
      <w:r w:rsidDel="00000000" w:rsidR="00000000" w:rsidRPr="00000000">
        <w:rPr>
          <w:i w:val="1"/>
          <w:sz w:val="24"/>
          <w:szCs w:val="24"/>
          <w:rtl w:val="0"/>
        </w:rPr>
        <w:t xml:space="preserve">Health promotion. </w:t>
      </w:r>
      <w:r w:rsidDel="00000000" w:rsidR="00000000" w:rsidRPr="00000000">
        <w:rPr>
          <w:sz w:val="24"/>
          <w:szCs w:val="24"/>
          <w:rtl w:val="0"/>
        </w:rPr>
        <w:t xml:space="preserve">Available at:</w:t>
      </w:r>
      <w:r w:rsidDel="00000000" w:rsidR="00000000" w:rsidRPr="00000000">
        <w:rPr>
          <w:i w:val="1"/>
          <w:sz w:val="24"/>
          <w:szCs w:val="24"/>
          <w:rtl w:val="0"/>
        </w:rPr>
        <w:t xml:space="preserve"> </w:t>
      </w:r>
      <w:hyperlink r:id="rId14">
        <w:r w:rsidDel="00000000" w:rsidR="00000000" w:rsidRPr="00000000">
          <w:rPr>
            <w:color w:val="1155cc"/>
            <w:sz w:val="24"/>
            <w:szCs w:val="24"/>
            <w:u w:val="single"/>
            <w:rtl w:val="0"/>
          </w:rPr>
          <w:t xml:space="preserve">https://www.who.int/news-room/questions-and-answers/item/health-promotion</w:t>
        </w:r>
      </w:hyperlink>
      <w:r w:rsidDel="00000000" w:rsidR="00000000" w:rsidRPr="00000000">
        <w:rPr>
          <w:sz w:val="24"/>
          <w:szCs w:val="24"/>
          <w:rtl w:val="0"/>
        </w:rPr>
        <w:t xml:space="preserve"> (Accessed 11 December 2023)</w:t>
      </w:r>
    </w:p>
    <w:p w:rsidR="00000000" w:rsidDel="00000000" w:rsidP="00000000" w:rsidRDefault="00000000" w:rsidRPr="00000000" w14:paraId="00000044">
      <w:pPr>
        <w:spacing w:after="240" w:before="240" w:lineRule="auto"/>
        <w:rPr>
          <w:sz w:val="24"/>
          <w:szCs w:val="24"/>
        </w:rPr>
      </w:pPr>
      <w:r w:rsidDel="00000000" w:rsidR="00000000" w:rsidRPr="00000000">
        <w:rPr>
          <w:rtl w:val="0"/>
        </w:rPr>
      </w:r>
    </w:p>
    <w:p w:rsidR="00000000" w:rsidDel="00000000" w:rsidP="00000000" w:rsidRDefault="00000000" w:rsidRPr="00000000" w14:paraId="00000045">
      <w:pPr>
        <w:numPr>
          <w:ilvl w:val="0"/>
          <w:numId w:val="1"/>
        </w:numPr>
        <w:ind w:left="720" w:hanging="360"/>
        <w:rPr>
          <w:sz w:val="24"/>
          <w:szCs w:val="24"/>
        </w:rPr>
      </w:pPr>
      <w:r w:rsidDel="00000000" w:rsidR="00000000" w:rsidRPr="00000000">
        <w:rPr>
          <w:color w:val="202429"/>
          <w:sz w:val="24"/>
          <w:szCs w:val="24"/>
          <w:highlight w:val="white"/>
          <w:rtl w:val="0"/>
        </w:rPr>
        <w:t xml:space="preserve">Drinkaware (2022) </w:t>
      </w:r>
      <w:r w:rsidDel="00000000" w:rsidR="00000000" w:rsidRPr="00000000">
        <w:rPr>
          <w:i w:val="1"/>
          <w:color w:val="202429"/>
          <w:sz w:val="24"/>
          <w:szCs w:val="24"/>
          <w:highlight w:val="white"/>
          <w:rtl w:val="0"/>
        </w:rPr>
        <w:t xml:space="preserve">The law on alcohol and under-18s. </w:t>
      </w:r>
      <w:r w:rsidDel="00000000" w:rsidR="00000000" w:rsidRPr="00000000">
        <w:rPr>
          <w:color w:val="202429"/>
          <w:sz w:val="24"/>
          <w:szCs w:val="24"/>
          <w:highlight w:val="white"/>
          <w:rtl w:val="0"/>
        </w:rPr>
        <w:t xml:space="preserve">Available at: </w:t>
      </w:r>
      <w:hyperlink r:id="rId15">
        <w:r w:rsidDel="00000000" w:rsidR="00000000" w:rsidRPr="00000000">
          <w:rPr>
            <w:color w:val="1155cc"/>
            <w:sz w:val="24"/>
            <w:szCs w:val="24"/>
            <w:highlight w:val="white"/>
            <w:u w:val="single"/>
            <w:rtl w:val="0"/>
          </w:rPr>
          <w:t xml:space="preserve">https://www.drinkaware.co.uk/facts/information-about-alcohol/alcohol-and-the-law/the-law-on-alcohol-and-under-18s</w:t>
        </w:r>
      </w:hyperlink>
      <w:r w:rsidDel="00000000" w:rsidR="00000000" w:rsidRPr="00000000">
        <w:rPr>
          <w:color w:val="202429"/>
          <w:sz w:val="24"/>
          <w:szCs w:val="24"/>
          <w:highlight w:val="white"/>
          <w:rtl w:val="0"/>
        </w:rPr>
        <w:t xml:space="preserve"> </w:t>
      </w:r>
      <w:r w:rsidDel="00000000" w:rsidR="00000000" w:rsidRPr="00000000">
        <w:rPr>
          <w:sz w:val="24"/>
          <w:szCs w:val="24"/>
          <w:rtl w:val="0"/>
        </w:rPr>
        <w:t xml:space="preserve">(Accessed 11 December 2023) </w:t>
      </w:r>
      <w:r w:rsidDel="00000000" w:rsidR="00000000" w:rsidRPr="00000000">
        <w:rPr>
          <w:rtl w:val="0"/>
        </w:rPr>
      </w:r>
    </w:p>
    <w:p w:rsidR="00000000" w:rsidDel="00000000" w:rsidP="00000000" w:rsidRDefault="00000000" w:rsidRPr="00000000" w14:paraId="00000046">
      <w:pPr>
        <w:rPr>
          <w:color w:val="202429"/>
          <w:sz w:val="24"/>
          <w:szCs w:val="24"/>
          <w:highlight w:val="white"/>
        </w:rPr>
      </w:pPr>
      <w:r w:rsidDel="00000000" w:rsidR="00000000" w:rsidRPr="00000000">
        <w:rPr>
          <w:rtl w:val="0"/>
        </w:rPr>
      </w:r>
    </w:p>
    <w:p w:rsidR="00000000" w:rsidDel="00000000" w:rsidP="00000000" w:rsidRDefault="00000000" w:rsidRPr="00000000" w14:paraId="00000047">
      <w:pPr>
        <w:numPr>
          <w:ilvl w:val="0"/>
          <w:numId w:val="1"/>
        </w:numPr>
        <w:ind w:left="720" w:hanging="360"/>
        <w:rPr>
          <w:color w:val="202429"/>
          <w:sz w:val="24"/>
          <w:szCs w:val="24"/>
          <w:highlight w:val="white"/>
          <w:u w:val="none"/>
        </w:rPr>
      </w:pPr>
      <w:r w:rsidDel="00000000" w:rsidR="00000000" w:rsidRPr="00000000">
        <w:rPr>
          <w:color w:val="202429"/>
          <w:sz w:val="24"/>
          <w:szCs w:val="24"/>
          <w:highlight w:val="white"/>
          <w:rtl w:val="0"/>
        </w:rPr>
        <w:t xml:space="preserve"> National Health Service (2022) </w:t>
      </w:r>
      <w:r w:rsidDel="00000000" w:rsidR="00000000" w:rsidRPr="00000000">
        <w:rPr>
          <w:i w:val="1"/>
          <w:color w:val="202429"/>
          <w:sz w:val="24"/>
          <w:szCs w:val="24"/>
          <w:highlight w:val="white"/>
          <w:rtl w:val="0"/>
        </w:rPr>
        <w:t xml:space="preserve">Food Labels. </w:t>
      </w:r>
      <w:r w:rsidDel="00000000" w:rsidR="00000000" w:rsidRPr="00000000">
        <w:rPr>
          <w:color w:val="202429"/>
          <w:sz w:val="24"/>
          <w:szCs w:val="24"/>
          <w:highlight w:val="white"/>
          <w:rtl w:val="0"/>
        </w:rPr>
        <w:t xml:space="preserve">Available at: </w:t>
      </w:r>
      <w:hyperlink r:id="rId16">
        <w:r w:rsidDel="00000000" w:rsidR="00000000" w:rsidRPr="00000000">
          <w:rPr>
            <w:color w:val="1155cc"/>
            <w:sz w:val="24"/>
            <w:szCs w:val="24"/>
            <w:highlight w:val="white"/>
            <w:u w:val="single"/>
            <w:rtl w:val="0"/>
          </w:rPr>
          <w:t xml:space="preserve">https://www.nhs.uk/live-well/eat-well/food-guidelines-and-food-labels/how-to-read-food-labels/</w:t>
        </w:r>
      </w:hyperlink>
      <w:r w:rsidDel="00000000" w:rsidR="00000000" w:rsidRPr="00000000">
        <w:rPr>
          <w:color w:val="202429"/>
          <w:sz w:val="24"/>
          <w:szCs w:val="24"/>
          <w:highlight w:val="white"/>
          <w:rtl w:val="0"/>
        </w:rPr>
        <w:t xml:space="preserve"> </w:t>
      </w:r>
      <w:r w:rsidDel="00000000" w:rsidR="00000000" w:rsidRPr="00000000">
        <w:rPr>
          <w:sz w:val="24"/>
          <w:szCs w:val="24"/>
          <w:rtl w:val="0"/>
        </w:rPr>
        <w:t xml:space="preserve">(Accessed 11 December 2023)</w:t>
      </w:r>
      <w:r w:rsidDel="00000000" w:rsidR="00000000" w:rsidRPr="00000000">
        <w:rPr>
          <w:rtl w:val="0"/>
        </w:rPr>
      </w:r>
    </w:p>
    <w:p w:rsidR="00000000" w:rsidDel="00000000" w:rsidP="00000000" w:rsidRDefault="00000000" w:rsidRPr="00000000" w14:paraId="00000048">
      <w:pPr>
        <w:rPr>
          <w:color w:val="202429"/>
          <w:sz w:val="24"/>
          <w:szCs w:val="24"/>
          <w:highlight w:val="white"/>
        </w:rPr>
      </w:pPr>
      <w:r w:rsidDel="00000000" w:rsidR="00000000" w:rsidRPr="00000000">
        <w:rPr>
          <w:rtl w:val="0"/>
        </w:rPr>
      </w:r>
    </w:p>
    <w:p w:rsidR="00000000" w:rsidDel="00000000" w:rsidP="00000000" w:rsidRDefault="00000000" w:rsidRPr="00000000" w14:paraId="00000049">
      <w:pPr>
        <w:rPr>
          <w:color w:val="202429"/>
          <w:sz w:val="24"/>
          <w:szCs w:val="24"/>
          <w:highlight w:val="white"/>
        </w:rPr>
      </w:pPr>
      <w:r w:rsidDel="00000000" w:rsidR="00000000" w:rsidRPr="00000000">
        <w:rPr>
          <w:rtl w:val="0"/>
        </w:rPr>
      </w:r>
    </w:p>
    <w:p w:rsidR="00000000" w:rsidDel="00000000" w:rsidP="00000000" w:rsidRDefault="00000000" w:rsidRPr="00000000" w14:paraId="0000004A">
      <w:pPr>
        <w:spacing w:after="240" w:before="240" w:lineRule="auto"/>
        <w:rPr>
          <w:sz w:val="24"/>
          <w:szCs w:val="24"/>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r>
    </w:p>
    <w:sectPr>
      <w:headerReference r:id="rId17" w:type="default"/>
      <w:footerReference r:id="rId18"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D">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C">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gov.uk/government/publications/the-eatwell-guide" TargetMode="External"/><Relationship Id="rId10" Type="http://schemas.openxmlformats.org/officeDocument/2006/relationships/hyperlink" Target="https://www.masterclass.com/articles/intended-audience-writing-guide" TargetMode="External"/><Relationship Id="rId13" Type="http://schemas.openxmlformats.org/officeDocument/2006/relationships/hyperlink" Target="https://www.ljmu.ac.uk/microsites/promoting-healthy-weight-in-pre-school-children/modules/why-weight-matters/consequences-of-unhealthy-weight#:~:text=Poor%20school%20achievement%20" TargetMode="External"/><Relationship Id="rId12" Type="http://schemas.openxmlformats.org/officeDocument/2006/relationships/hyperlink" Target="https://www.cdc.gov/physicalactivity/basics/children/index.htm"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3390/ijerph18063225" TargetMode="External"/><Relationship Id="rId15" Type="http://schemas.openxmlformats.org/officeDocument/2006/relationships/hyperlink" Target="https://www.drinkaware.co.uk/facts/information-about-alcohol/alcohol-and-the-law/the-law-on-alcohol-and-under-18s" TargetMode="External"/><Relationship Id="rId14" Type="http://schemas.openxmlformats.org/officeDocument/2006/relationships/hyperlink" Target="https://www.who.int/news-room/questions-and-answers/item/health-promotion" TargetMode="External"/><Relationship Id="rId17" Type="http://schemas.openxmlformats.org/officeDocument/2006/relationships/header" Target="header1.xml"/><Relationship Id="rId16" Type="http://schemas.openxmlformats.org/officeDocument/2006/relationships/hyperlink" Target="https://www.nhs.uk/live-well/eat-well/food-guidelines-and-food-labels/how-to-read-food-labels/" TargetMode="External"/><Relationship Id="rId5" Type="http://schemas.openxmlformats.org/officeDocument/2006/relationships/styles" Target="styles.xml"/><Relationship Id="rId6" Type="http://schemas.openxmlformats.org/officeDocument/2006/relationships/image" Target="media/image1.png"/><Relationship Id="rId18" Type="http://schemas.openxmlformats.org/officeDocument/2006/relationships/footer" Target="footer1.xml"/><Relationship Id="rId7" Type="http://schemas.openxmlformats.org/officeDocument/2006/relationships/hyperlink" Target="https://www.who.int/westernpacific/about/how-we-work/programmes/health-promotion" TargetMode="External"/><Relationship Id="rId8" Type="http://schemas.openxmlformats.org/officeDocument/2006/relationships/hyperlink" Target="https://supportingfamilies.blog.gov.uk/2018/10/03/healthy-weight-promotion-for-troubled-famil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