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9D07D" w14:textId="4D57E180" w:rsidR="0026739B" w:rsidRPr="00B16C57" w:rsidRDefault="0026739B" w:rsidP="0026739B">
      <w:pPr>
        <w:spacing w:after="0" w:line="240" w:lineRule="auto"/>
        <w:rPr>
          <w:rFonts w:ascii="Helvetica" w:hAnsi="Helvetica" w:cs="Times New Roman"/>
          <w:kern w:val="0"/>
          <w:sz w:val="32"/>
          <w:szCs w:val="32"/>
          <w14:ligatures w14:val="none"/>
        </w:rPr>
      </w:pPr>
      <w:r w:rsidRPr="00B16C57">
        <w:rPr>
          <w:rFonts w:ascii="Helvetica" w:hAnsi="Helvetica" w:cs="Times New Roman"/>
          <w:kern w:val="0"/>
          <w:sz w:val="32"/>
          <w:szCs w:val="32"/>
          <w14:ligatures w14:val="none"/>
        </w:rPr>
        <w:t>Student Name: Renata Balogh</w:t>
      </w:r>
    </w:p>
    <w:p w14:paraId="5021BB3A" w14:textId="77777777" w:rsidR="00B16C57" w:rsidRPr="00B16C57" w:rsidRDefault="00B16C57" w:rsidP="000D5E6F">
      <w:pPr>
        <w:spacing w:after="0" w:line="240" w:lineRule="auto"/>
        <w:rPr>
          <w:rFonts w:ascii="Helvetica" w:hAnsi="Helvetica" w:cs="Times New Roman"/>
          <w:kern w:val="0"/>
          <w:sz w:val="32"/>
          <w:szCs w:val="32"/>
          <w14:ligatures w14:val="none"/>
        </w:rPr>
      </w:pPr>
    </w:p>
    <w:p w14:paraId="3FD24658" w14:textId="2602AFDF" w:rsidR="00686923" w:rsidRPr="00B16C57" w:rsidRDefault="0026739B" w:rsidP="000D5E6F">
      <w:pPr>
        <w:spacing w:after="0" w:line="240" w:lineRule="auto"/>
        <w:rPr>
          <w:rFonts w:ascii="Helvetica" w:hAnsi="Helvetica" w:cs="Times New Roman"/>
          <w:kern w:val="0"/>
          <w:sz w:val="32"/>
          <w:szCs w:val="32"/>
          <w14:ligatures w14:val="none"/>
        </w:rPr>
      </w:pPr>
      <w:r w:rsidRPr="00B16C57">
        <w:rPr>
          <w:rFonts w:ascii="Helvetica" w:hAnsi="Helvetica" w:cs="Times New Roman"/>
          <w:kern w:val="0"/>
          <w:sz w:val="32"/>
          <w:szCs w:val="32"/>
          <w14:ligatures w14:val="none"/>
        </w:rPr>
        <w:t>Student Number:</w:t>
      </w:r>
      <w:r w:rsidR="00960219" w:rsidRPr="00B16C57">
        <w:rPr>
          <w:rFonts w:ascii="Helvetica" w:hAnsi="Helvetica" w:cs="Times New Roman"/>
          <w:kern w:val="0"/>
          <w:sz w:val="32"/>
          <w:szCs w:val="32"/>
          <w14:ligatures w14:val="none"/>
        </w:rPr>
        <w:t>2407673</w:t>
      </w:r>
    </w:p>
    <w:p w14:paraId="62B8A926" w14:textId="77777777" w:rsidR="00686923" w:rsidRPr="00B16C57" w:rsidRDefault="00686923" w:rsidP="000D5E6F">
      <w:pPr>
        <w:spacing w:after="0" w:line="240" w:lineRule="auto"/>
        <w:rPr>
          <w:rFonts w:ascii="Helvetica" w:hAnsi="Helvetica" w:cs="Times New Roman"/>
          <w:kern w:val="0"/>
          <w:sz w:val="32"/>
          <w:szCs w:val="32"/>
          <w14:ligatures w14:val="none"/>
        </w:rPr>
      </w:pPr>
    </w:p>
    <w:p w14:paraId="412AE109" w14:textId="00E16A53" w:rsidR="00A11A40" w:rsidRPr="00B16C57" w:rsidRDefault="00D92B9B" w:rsidP="000D5E6F">
      <w:pPr>
        <w:spacing w:after="0" w:line="240" w:lineRule="auto"/>
        <w:rPr>
          <w:rFonts w:ascii="Helvetica" w:hAnsi="Helvetica" w:cs="Times New Roman"/>
          <w:kern w:val="0"/>
          <w:sz w:val="32"/>
          <w:szCs w:val="32"/>
          <w14:ligatures w14:val="none"/>
        </w:rPr>
      </w:pPr>
      <w:r w:rsidRPr="00B16C57">
        <w:rPr>
          <w:rFonts w:ascii="Helvetica" w:hAnsi="Helvetica" w:cs="Times New Roman"/>
          <w:kern w:val="0"/>
          <w:sz w:val="32"/>
          <w:szCs w:val="32"/>
          <w14:ligatures w14:val="none"/>
        </w:rPr>
        <w:t>Module Code:</w:t>
      </w:r>
      <w:r w:rsidR="00A11A40" w:rsidRPr="00B16C57">
        <w:rPr>
          <w:rFonts w:ascii="Helvetica" w:hAnsi="Helvetica"/>
          <w:sz w:val="32"/>
          <w:szCs w:val="32"/>
        </w:rPr>
        <w:t xml:space="preserve"> BMHP5019</w:t>
      </w:r>
    </w:p>
    <w:p w14:paraId="277ED24D" w14:textId="2507DD74" w:rsidR="00D92B9B" w:rsidRPr="00B16C57" w:rsidRDefault="00D92B9B" w:rsidP="00D92B9B">
      <w:pPr>
        <w:spacing w:after="0" w:line="240" w:lineRule="auto"/>
        <w:rPr>
          <w:rFonts w:ascii="Helvetica" w:hAnsi="Helvetica" w:cs="Times New Roman"/>
          <w:kern w:val="0"/>
          <w:sz w:val="32"/>
          <w:szCs w:val="32"/>
          <w14:ligatures w14:val="none"/>
        </w:rPr>
      </w:pPr>
    </w:p>
    <w:p w14:paraId="0FA5A0D9" w14:textId="306B7C46" w:rsidR="00C03706" w:rsidRPr="00B16C57" w:rsidRDefault="00C03706" w:rsidP="0026739B">
      <w:pPr>
        <w:spacing w:after="0" w:line="240" w:lineRule="auto"/>
        <w:rPr>
          <w:rFonts w:ascii="Helvetica" w:hAnsi="Helvetica" w:cs="Times New Roman"/>
          <w:kern w:val="0"/>
          <w:sz w:val="32"/>
          <w:szCs w:val="32"/>
          <w14:ligatures w14:val="none"/>
        </w:rPr>
      </w:pPr>
    </w:p>
    <w:p w14:paraId="1FA7AFE4" w14:textId="77777777" w:rsidR="00C03706" w:rsidRDefault="00C03706">
      <w:pPr>
        <w:pStyle w:val="p1"/>
      </w:pPr>
    </w:p>
    <w:p w14:paraId="2CFC14D0" w14:textId="77777777" w:rsidR="00C03706" w:rsidRDefault="00C03706">
      <w:pPr>
        <w:pStyle w:val="p1"/>
      </w:pPr>
    </w:p>
    <w:p w14:paraId="59825D5E" w14:textId="77777777" w:rsidR="00C03706" w:rsidRDefault="00C03706">
      <w:pPr>
        <w:pStyle w:val="p1"/>
      </w:pPr>
    </w:p>
    <w:p w14:paraId="5E56BE1D" w14:textId="77777777" w:rsidR="00C03706" w:rsidRDefault="00C03706">
      <w:pPr>
        <w:pStyle w:val="p1"/>
      </w:pPr>
    </w:p>
    <w:p w14:paraId="344A95DF" w14:textId="7944C56C" w:rsidR="0081682B" w:rsidRDefault="0081682B">
      <w:pPr>
        <w:pStyle w:val="p1"/>
      </w:pPr>
      <w:r>
        <w:t>Research Proposal: The Impact of Appointment Delays on Patient Care in the NHS</w:t>
      </w:r>
    </w:p>
    <w:p w14:paraId="2C64657A" w14:textId="77777777" w:rsidR="0081682B" w:rsidRDefault="0081682B">
      <w:pPr>
        <w:pStyle w:val="p1"/>
      </w:pPr>
    </w:p>
    <w:p w14:paraId="2295CE84" w14:textId="77777777" w:rsidR="0081682B" w:rsidRDefault="0081682B">
      <w:pPr>
        <w:pStyle w:val="p1"/>
      </w:pPr>
      <w:r>
        <w:t>Review Topic, Question and Objectives</w:t>
      </w:r>
    </w:p>
    <w:p w14:paraId="68206595" w14:textId="77777777" w:rsidR="0081682B" w:rsidRDefault="0081682B">
      <w:pPr>
        <w:pStyle w:val="p1"/>
      </w:pPr>
    </w:p>
    <w:p w14:paraId="3DE5F7D8" w14:textId="77777777" w:rsidR="0081682B" w:rsidRDefault="0081682B">
      <w:pPr>
        <w:pStyle w:val="p1"/>
      </w:pPr>
      <w:r>
        <w:t>This scoping review will explore the impact of appointment delays on patient care within the National Health Service (NHS) in the United Kingdom. The review question is: How do appointment delays affect patient outcomes, patient safety, and service delivery within the NHS?</w:t>
      </w:r>
    </w:p>
    <w:p w14:paraId="3A61F6D4" w14:textId="77777777" w:rsidR="0081682B" w:rsidRDefault="0081682B">
      <w:pPr>
        <w:pStyle w:val="p1"/>
      </w:pPr>
    </w:p>
    <w:p w14:paraId="5B47094B" w14:textId="77777777" w:rsidR="0081682B" w:rsidRDefault="0081682B">
      <w:pPr>
        <w:pStyle w:val="p1"/>
      </w:pPr>
      <w:r>
        <w:t>The objectives of this review are to examine the causes of appointment delays, evaluate their impact on patient health outcomes and satisfaction, and identify strategies used to reduce waiting times in UK healthcare services. The review will also explore gaps in the current literature regarding service efficiency and access to care.</w:t>
      </w:r>
    </w:p>
    <w:p w14:paraId="4F3C59C3" w14:textId="77777777" w:rsidR="0081682B" w:rsidRDefault="0081682B">
      <w:pPr>
        <w:pStyle w:val="p1"/>
      </w:pPr>
    </w:p>
    <w:p w14:paraId="594C6DAC" w14:textId="77777777" w:rsidR="0081682B" w:rsidRPr="002A38F1" w:rsidRDefault="0081682B">
      <w:pPr>
        <w:pStyle w:val="p1"/>
        <w:rPr>
          <w:b/>
          <w:bCs/>
          <w:i/>
          <w:iCs/>
        </w:rPr>
      </w:pPr>
      <w:r>
        <w:t>Rationale</w:t>
      </w:r>
    </w:p>
    <w:p w14:paraId="64184589" w14:textId="77777777" w:rsidR="0081682B" w:rsidRDefault="0081682B">
      <w:pPr>
        <w:pStyle w:val="p1"/>
      </w:pPr>
    </w:p>
    <w:p w14:paraId="123081BF" w14:textId="77777777" w:rsidR="0081682B" w:rsidRDefault="0081682B">
      <w:pPr>
        <w:pStyle w:val="p1"/>
      </w:pPr>
      <w:r>
        <w:t>Appointment delays remain a significant issue within the NHS and are widely reported as a major challenge affecting service delivery. Increasing demand for healthcare, workforce shortages, and limited hospital capacity have contributed to prolonged waiting times for diagnosis and treatment. Evidence suggests that long waiting times can lead to deterioration in patient conditions, increased anxiety, and poorer clinical outcomes (McIntyre and Chow, 2020).</w:t>
      </w:r>
    </w:p>
    <w:p w14:paraId="69EE4238" w14:textId="77777777" w:rsidR="0081682B" w:rsidRDefault="0081682B">
      <w:pPr>
        <w:pStyle w:val="p1"/>
      </w:pPr>
    </w:p>
    <w:p w14:paraId="746F4345" w14:textId="77777777" w:rsidR="0081682B" w:rsidRDefault="0081682B">
      <w:pPr>
        <w:pStyle w:val="p1"/>
      </w:pPr>
      <w:r>
        <w:t>Recent data indicates that waiting times continue to exceed recommended targets in many NHS services, particularly in elective and emergency care pathways (NHS England, 2024). Research also highlights that system pressures, including staffing shortages and capacity constraints, directly contribute to delayed care and increased patient risk (Royal College of Physicians, 2023). Therefore, this topic is highly relevant to health and social care practice, as timely access to care is a core principle of safe and effective healthcare delivery.</w:t>
      </w:r>
    </w:p>
    <w:p w14:paraId="6B74A19A" w14:textId="77777777" w:rsidR="0081682B" w:rsidRDefault="0081682B">
      <w:pPr>
        <w:pStyle w:val="p1"/>
      </w:pPr>
    </w:p>
    <w:p w14:paraId="74689497" w14:textId="77777777" w:rsidR="0081682B" w:rsidRDefault="0081682B">
      <w:pPr>
        <w:pStyle w:val="p1"/>
      </w:pPr>
      <w:r>
        <w:t>Methods</w:t>
      </w:r>
    </w:p>
    <w:p w14:paraId="6B196A9A" w14:textId="77777777" w:rsidR="0081682B" w:rsidRDefault="0081682B">
      <w:pPr>
        <w:pStyle w:val="p1"/>
      </w:pPr>
    </w:p>
    <w:p w14:paraId="491B78A0" w14:textId="77777777" w:rsidR="0081682B" w:rsidRDefault="0081682B">
      <w:pPr>
        <w:pStyle w:val="p1"/>
      </w:pPr>
      <w:r>
        <w:t xml:space="preserve">This study will adopt a scoping review methodology to map existing evidence on appointment delays in the NHS. A structured search will be conducted using databases including CINAHL, </w:t>
      </w:r>
      <w:proofErr w:type="spellStart"/>
      <w:r>
        <w:t>MEDLINE</w:t>
      </w:r>
      <w:proofErr w:type="spellEnd"/>
      <w:r>
        <w:t>, PubMed, and Google Scholar. Peer-reviewed studies published between 2019 and 2025 will be included.</w:t>
      </w:r>
    </w:p>
    <w:p w14:paraId="3DEF7482" w14:textId="77777777" w:rsidR="0081682B" w:rsidRDefault="0081682B">
      <w:pPr>
        <w:pStyle w:val="p1"/>
      </w:pPr>
    </w:p>
    <w:p w14:paraId="265565A9" w14:textId="77777777" w:rsidR="0081682B" w:rsidRDefault="0081682B">
      <w:pPr>
        <w:pStyle w:val="p1"/>
      </w:pPr>
      <w:r>
        <w:t>Search terms will include: “NHS waiting times”, “appointment delays”, “patient outcomes”, “healthcare access”, and “service delivery”. The PRISMA-ScR framework will be used to guide study selection and reporting. Data will be analysed using thematic analysis to identify key patterns and themes across the literature.</w:t>
      </w:r>
    </w:p>
    <w:p w14:paraId="3529D458" w14:textId="77777777" w:rsidR="0081682B" w:rsidRDefault="0081682B">
      <w:pPr>
        <w:pStyle w:val="p1"/>
      </w:pPr>
    </w:p>
    <w:p w14:paraId="1B3BBC6B" w14:textId="3B894E36" w:rsidR="0081682B" w:rsidRDefault="0081682B">
      <w:pPr>
        <w:pStyle w:val="p1"/>
      </w:pPr>
      <w:r>
        <w:t>Ethical Considerations</w:t>
      </w:r>
    </w:p>
    <w:p w14:paraId="7A7DD4F9" w14:textId="2F967EC0" w:rsidR="0081682B" w:rsidRDefault="0081682B">
      <w:pPr>
        <w:pStyle w:val="p1"/>
      </w:pPr>
      <w:r>
        <w:t>As this research is based on secondary data from published literature, no human participants will be involved. Therefore, ethical approval is not required. However, ethical principles will be followed by ensuring accurate representation of findings, appropriate Harvard referencing, and avoidance of plagiarism.</w:t>
      </w:r>
    </w:p>
    <w:p w14:paraId="09E880A4" w14:textId="7174F98D" w:rsidR="0081682B" w:rsidRDefault="0081682B">
      <w:pPr>
        <w:pStyle w:val="p1"/>
      </w:pPr>
      <w:proofErr w:type="spellStart"/>
      <w:r>
        <w:t>Ansell</w:t>
      </w:r>
      <w:proofErr w:type="spellEnd"/>
      <w:r>
        <w:t xml:space="preserve">, D., </w:t>
      </w:r>
      <w:proofErr w:type="spellStart"/>
      <w:r>
        <w:t>Crispo</w:t>
      </w:r>
      <w:proofErr w:type="spellEnd"/>
      <w:r>
        <w:t xml:space="preserve">, J.A.G., Simard, B. and </w:t>
      </w:r>
      <w:proofErr w:type="spellStart"/>
      <w:r>
        <w:t>Bjerre</w:t>
      </w:r>
      <w:proofErr w:type="spellEnd"/>
      <w:r>
        <w:t>, L.M. (2017)</w:t>
      </w:r>
      <w:r>
        <w:br/>
        <w:t>Interventions to reduce wait times for primary care appointments: a systematic review.</w:t>
      </w:r>
      <w:r>
        <w:br/>
        <w:t>BMC Health Services Research, 17, 295.</w:t>
      </w:r>
      <w:r>
        <w:br/>
      </w:r>
      <w:hyperlink r:id="rId4" w:history="1">
        <w:r>
          <w:rPr>
            <w:rStyle w:val="Hyperlink"/>
          </w:rPr>
          <w:t>https://doi.org/10.1186/s12913-017-2219-y</w:t>
        </w:r>
      </w:hyperlink>
    </w:p>
    <w:p w14:paraId="50C78295" w14:textId="205D3C96" w:rsidR="0081682B" w:rsidRDefault="0081682B">
      <w:pPr>
        <w:pStyle w:val="p1"/>
      </w:pPr>
      <w:r>
        <w:t>Lewis, A.K. et al. (2018)</w:t>
      </w:r>
      <w:r>
        <w:br/>
        <w:t>Reducing wait time from referral to first visit for outpatient services and patient outcomes: a systematic review.</w:t>
      </w:r>
      <w:r>
        <w:br/>
        <w:t>BMC Health Services Research, 18, 869.</w:t>
      </w:r>
      <w:r>
        <w:br/>
      </w:r>
      <w:hyperlink r:id="rId5" w:history="1">
        <w:r>
          <w:rPr>
            <w:rStyle w:val="Hyperlink"/>
          </w:rPr>
          <w:t>https://doi.org/10.1186/s12913-018-3669-6</w:t>
        </w:r>
      </w:hyperlink>
    </w:p>
    <w:p w14:paraId="27D3CC3D" w14:textId="1A59BEC1" w:rsidR="0081682B" w:rsidRDefault="0081682B">
      <w:pPr>
        <w:pStyle w:val="p1"/>
      </w:pPr>
      <w:r>
        <w:t>Murray, M. and Berwick, D.M. (2003)</w:t>
      </w:r>
      <w:r>
        <w:br/>
        <w:t>Advanced access: reducing waiting and delays in primary care.</w:t>
      </w:r>
      <w:r>
        <w:br/>
        <w:t>JAMA, 289(8), pp. 1035–1040.</w:t>
      </w:r>
      <w:r>
        <w:br/>
      </w:r>
      <w:hyperlink r:id="rId6" w:history="1">
        <w:r>
          <w:rPr>
            <w:rStyle w:val="Hyperlink"/>
          </w:rPr>
          <w:t>https://doi.org/10.1001/jama.289.8.1035</w:t>
        </w:r>
      </w:hyperlink>
    </w:p>
    <w:p w14:paraId="2B608845" w14:textId="7A07D8CE" w:rsidR="0081682B" w:rsidRDefault="0081682B">
      <w:pPr>
        <w:pStyle w:val="p1"/>
      </w:pPr>
      <w:r>
        <w:t>O’Kelly, S., Turner, J. and McHugh, S. (2020)</w:t>
      </w:r>
      <w:r>
        <w:br/>
        <w:t>Waiting times and health system performance in publicly funded healthcare systems.</w:t>
      </w:r>
      <w:r>
        <w:br/>
        <w:t>Health Policy, 124(10), pp. 1089–1097.</w:t>
      </w:r>
    </w:p>
    <w:p w14:paraId="6E8418EA" w14:textId="66525A38" w:rsidR="0081682B" w:rsidRDefault="0081682B">
      <w:pPr>
        <w:pStyle w:val="p1"/>
      </w:pPr>
      <w:r>
        <w:t>Gunn, J. et al. (2011)</w:t>
      </w:r>
      <w:r>
        <w:br/>
        <w:t>The effects of waiting time on health outcomes: a systematic review.</w:t>
      </w:r>
      <w:r>
        <w:br/>
        <w:t>Medical Care Research and Review, 68(3), pp. 350–370</w:t>
      </w:r>
    </w:p>
    <w:p w14:paraId="4005DE3E" w14:textId="0B2F01AC" w:rsidR="0081682B" w:rsidRDefault="0081682B">
      <w:pPr>
        <w:pStyle w:val="p1"/>
      </w:pPr>
      <w:proofErr w:type="spellStart"/>
      <w:r>
        <w:t>Lopreite</w:t>
      </w:r>
      <w:proofErr w:type="spellEnd"/>
      <w:r>
        <w:t>, M. and Mauro, M. (2017)</w:t>
      </w:r>
      <w:r>
        <w:br/>
        <w:t>Efficiency and waiting times in public healthcare systems.</w:t>
      </w:r>
      <w:r>
        <w:br/>
        <w:t>Health Policy, 121(2), pp. 130–138.</w:t>
      </w:r>
    </w:p>
    <w:p w14:paraId="40EE5FC4" w14:textId="3673B769" w:rsidR="0081682B" w:rsidRDefault="0081682B">
      <w:pPr>
        <w:pStyle w:val="p1"/>
      </w:pPr>
      <w:proofErr w:type="spellStart"/>
      <w:r>
        <w:t>Siciliani</w:t>
      </w:r>
      <w:proofErr w:type="spellEnd"/>
      <w:r>
        <w:t xml:space="preserve">, L., Moran, V. and </w:t>
      </w:r>
      <w:proofErr w:type="spellStart"/>
      <w:r>
        <w:t>Borowitz</w:t>
      </w:r>
      <w:proofErr w:type="spellEnd"/>
      <w:r>
        <w:t>, M. (2014)</w:t>
      </w:r>
      <w:r>
        <w:br/>
        <w:t>Waiting times policies in the health sector: what works?</w:t>
      </w:r>
      <w:r>
        <w:br/>
        <w:t>OECD Health Policy Studies.</w:t>
      </w:r>
    </w:p>
    <w:p w14:paraId="18112DAA" w14:textId="684700A2" w:rsidR="0081682B" w:rsidRDefault="0081682B">
      <w:pPr>
        <w:pStyle w:val="p1"/>
      </w:pPr>
      <w:proofErr w:type="spellStart"/>
      <w:r>
        <w:t>Valente</w:t>
      </w:r>
      <w:proofErr w:type="spellEnd"/>
      <w:r>
        <w:t>, A.S. et al. (2019)</w:t>
      </w:r>
      <w:r>
        <w:br/>
        <w:t>Impact of waiting time on patient satisfaction and clinical outcomes in healthcare.</w:t>
      </w:r>
      <w:r>
        <w:br/>
        <w:t>BMC Health Services Research, 19, 1–10.</w:t>
      </w:r>
    </w:p>
    <w:p w14:paraId="619D5560" w14:textId="1050011A" w:rsidR="0081682B" w:rsidRDefault="0081682B">
      <w:pPr>
        <w:pStyle w:val="p1"/>
      </w:pPr>
      <w:r>
        <w:t>NHS England (2024)</w:t>
      </w:r>
      <w:r>
        <w:br/>
        <w:t>Referral to Treatment (RTT) Waiting Times Statistics.</w:t>
      </w:r>
      <w:r>
        <w:br/>
      </w:r>
      <w:hyperlink r:id="rId7" w:history="1">
        <w:r>
          <w:rPr>
            <w:rStyle w:val="Hyperlink"/>
          </w:rPr>
          <w:t>https://www.england.nhs.uk/statistics/statistical-work-areas/rtt-waiting-times/</w:t>
        </w:r>
      </w:hyperlink>
    </w:p>
    <w:p w14:paraId="6BE135B0" w14:textId="77777777" w:rsidR="0081682B" w:rsidRDefault="0081682B">
      <w:pPr>
        <w:pStyle w:val="p1"/>
      </w:pPr>
      <w:r>
        <w:t>The King’s Fund (2023)</w:t>
      </w:r>
      <w:r>
        <w:br/>
        <w:t>NHS waiting times and performance: current challenges.</w:t>
      </w:r>
      <w:r>
        <w:br/>
      </w:r>
      <w:hyperlink r:id="rId8" w:history="1">
        <w:r>
          <w:rPr>
            <w:rStyle w:val="Hyperlink"/>
          </w:rPr>
          <w:t>https://www.kingsfund.org.uk</w:t>
        </w:r>
      </w:hyperlink>
      <w:r>
        <w:t xml:space="preserve"> </w:t>
      </w:r>
      <w:r>
        <w:br/>
        <w:t xml:space="preserve">Ez </w:t>
      </w:r>
      <w:proofErr w:type="spellStart"/>
      <w:r>
        <w:t>akkor</w:t>
      </w:r>
      <w:proofErr w:type="spellEnd"/>
      <w:r>
        <w:t xml:space="preserve"> </w:t>
      </w:r>
      <w:proofErr w:type="spellStart"/>
      <w:r>
        <w:t>igy</w:t>
      </w:r>
      <w:proofErr w:type="spellEnd"/>
      <w:r>
        <w:t xml:space="preserve"> </w:t>
      </w:r>
      <w:proofErr w:type="spellStart"/>
      <w:r>
        <w:t>jo</w:t>
      </w:r>
      <w:proofErr w:type="spellEnd"/>
      <w:r>
        <w:t xml:space="preserve"> nem </w:t>
      </w:r>
      <w:proofErr w:type="spellStart"/>
      <w:r>
        <w:t>akarok</w:t>
      </w:r>
      <w:proofErr w:type="spellEnd"/>
      <w:r>
        <w:t xml:space="preserve"> a </w:t>
      </w:r>
      <w:proofErr w:type="spellStart"/>
      <w:r>
        <w:t>legjobbat</w:t>
      </w:r>
      <w:proofErr w:type="spellEnd"/>
      <w:r>
        <w:t xml:space="preserve"> </w:t>
      </w:r>
      <w:proofErr w:type="spellStart"/>
      <w:r>
        <w:t>kapni</w:t>
      </w:r>
      <w:proofErr w:type="spellEnd"/>
      <w:r>
        <w:t xml:space="preserve"> de minimum a 40% meg </w:t>
      </w:r>
      <w:proofErr w:type="spellStart"/>
      <w:r>
        <w:t>kapjam</w:t>
      </w:r>
      <w:proofErr w:type="spellEnd"/>
    </w:p>
    <w:p w14:paraId="79D9AEF8" w14:textId="77777777" w:rsidR="0081682B" w:rsidRDefault="0081682B"/>
    <w:sectPr w:rsidR="00816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2B"/>
    <w:rsid w:val="000D5E6F"/>
    <w:rsid w:val="0026739B"/>
    <w:rsid w:val="002A38F1"/>
    <w:rsid w:val="003A6AA1"/>
    <w:rsid w:val="005A0561"/>
    <w:rsid w:val="00686923"/>
    <w:rsid w:val="007B17B7"/>
    <w:rsid w:val="0081682B"/>
    <w:rsid w:val="00960219"/>
    <w:rsid w:val="00A11A40"/>
    <w:rsid w:val="00B16C57"/>
    <w:rsid w:val="00C03706"/>
    <w:rsid w:val="00CC3AF6"/>
    <w:rsid w:val="00D92B9B"/>
    <w:rsid w:val="00FB4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66D3C7"/>
  <w15:chartTrackingRefBased/>
  <w15:docId w15:val="{AE55CCB1-D8A6-FC44-A7F6-FF251DBF8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8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68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8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8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8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8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8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8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8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6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82B"/>
    <w:rPr>
      <w:rFonts w:eastAsiaTheme="majorEastAsia" w:cstheme="majorBidi"/>
      <w:color w:val="272727" w:themeColor="text1" w:themeTint="D8"/>
    </w:rPr>
  </w:style>
  <w:style w:type="paragraph" w:styleId="Title">
    <w:name w:val="Title"/>
    <w:basedOn w:val="Normal"/>
    <w:next w:val="Normal"/>
    <w:link w:val="TitleChar"/>
    <w:uiPriority w:val="10"/>
    <w:qFormat/>
    <w:rsid w:val="008168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8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82B"/>
    <w:pPr>
      <w:spacing w:before="160"/>
      <w:jc w:val="center"/>
    </w:pPr>
    <w:rPr>
      <w:i/>
      <w:iCs/>
      <w:color w:val="404040" w:themeColor="text1" w:themeTint="BF"/>
    </w:rPr>
  </w:style>
  <w:style w:type="character" w:customStyle="1" w:styleId="QuoteChar">
    <w:name w:val="Quote Char"/>
    <w:basedOn w:val="DefaultParagraphFont"/>
    <w:link w:val="Quote"/>
    <w:uiPriority w:val="29"/>
    <w:rsid w:val="0081682B"/>
    <w:rPr>
      <w:i/>
      <w:iCs/>
      <w:color w:val="404040" w:themeColor="text1" w:themeTint="BF"/>
    </w:rPr>
  </w:style>
  <w:style w:type="paragraph" w:styleId="ListParagraph">
    <w:name w:val="List Paragraph"/>
    <w:basedOn w:val="Normal"/>
    <w:uiPriority w:val="34"/>
    <w:qFormat/>
    <w:rsid w:val="0081682B"/>
    <w:pPr>
      <w:ind w:left="720"/>
      <w:contextualSpacing/>
    </w:pPr>
  </w:style>
  <w:style w:type="character" w:styleId="IntenseEmphasis">
    <w:name w:val="Intense Emphasis"/>
    <w:basedOn w:val="DefaultParagraphFont"/>
    <w:uiPriority w:val="21"/>
    <w:qFormat/>
    <w:rsid w:val="0081682B"/>
    <w:rPr>
      <w:i/>
      <w:iCs/>
      <w:color w:val="0F4761" w:themeColor="accent1" w:themeShade="BF"/>
    </w:rPr>
  </w:style>
  <w:style w:type="paragraph" w:styleId="IntenseQuote">
    <w:name w:val="Intense Quote"/>
    <w:basedOn w:val="Normal"/>
    <w:next w:val="Normal"/>
    <w:link w:val="IntenseQuoteChar"/>
    <w:uiPriority w:val="30"/>
    <w:qFormat/>
    <w:rsid w:val="00816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82B"/>
    <w:rPr>
      <w:i/>
      <w:iCs/>
      <w:color w:val="0F4761" w:themeColor="accent1" w:themeShade="BF"/>
    </w:rPr>
  </w:style>
  <w:style w:type="character" w:styleId="IntenseReference">
    <w:name w:val="Intense Reference"/>
    <w:basedOn w:val="DefaultParagraphFont"/>
    <w:uiPriority w:val="32"/>
    <w:qFormat/>
    <w:rsid w:val="0081682B"/>
    <w:rPr>
      <w:b/>
      <w:bCs/>
      <w:smallCaps/>
      <w:color w:val="0F4761" w:themeColor="accent1" w:themeShade="BF"/>
      <w:spacing w:val="5"/>
    </w:rPr>
  </w:style>
  <w:style w:type="paragraph" w:customStyle="1" w:styleId="p1">
    <w:name w:val="p1"/>
    <w:basedOn w:val="Normal"/>
    <w:rsid w:val="0081682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81682B"/>
    <w:rPr>
      <w:color w:val="0000FF"/>
      <w:u w:val="single"/>
    </w:rPr>
  </w:style>
  <w:style w:type="character" w:customStyle="1" w:styleId="s1">
    <w:name w:val="s1"/>
    <w:basedOn w:val="DefaultParagraphFont"/>
    <w:rsid w:val="00C03706"/>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 TargetMode="External"/><Relationship Id="rId3" Type="http://schemas.openxmlformats.org/officeDocument/2006/relationships/webSettings" Target="webSettings.xml"/><Relationship Id="rId7" Type="http://schemas.openxmlformats.org/officeDocument/2006/relationships/hyperlink" Target="https://www.england.nhs.uk/statistics/statistical-work-areas/rtt-waiting-tim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1/jama.289.8.1035" TargetMode="External"/><Relationship Id="rId5" Type="http://schemas.openxmlformats.org/officeDocument/2006/relationships/hyperlink" Target="https://doi.org/10.1186/s12913-018-3669-6" TargetMode="External"/><Relationship Id="rId10" Type="http://schemas.openxmlformats.org/officeDocument/2006/relationships/theme" Target="theme/theme1.xml"/><Relationship Id="rId4" Type="http://schemas.openxmlformats.org/officeDocument/2006/relationships/hyperlink" Target="https://doi.org/10.1186/s12913-017-2219-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673</Words>
  <Characters>4099</Characters>
  <Application>Microsoft Office Word</Application>
  <DocSecurity>0</DocSecurity>
  <Lines>91</Lines>
  <Paragraphs>27</Paragraphs>
  <ScaleCrop>false</ScaleCrop>
  <Company/>
  <LinksUpToDate>false</LinksUpToDate>
  <CharactersWithSpaces>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2</cp:revision>
  <dcterms:created xsi:type="dcterms:W3CDTF">2026-06-15T08:11:00Z</dcterms:created>
  <dcterms:modified xsi:type="dcterms:W3CDTF">2026-06-15T08:11:00Z</dcterms:modified>
</cp:coreProperties>
</file>