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3F00F0" w:rsidRDefault="003F00F0" w:rsidP="008367B8">
                            <w:pPr>
                              <w:pStyle w:val="Heading6"/>
                              <w:shd w:val="clear" w:color="auto" w:fill="E0E0E0"/>
                            </w:pPr>
                          </w:p>
                          <w:p w14:paraId="4CF471D1" w14:textId="77777777" w:rsidR="003F00F0" w:rsidRDefault="003F00F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3F00F0" w:rsidRDefault="003F00F0" w:rsidP="008367B8">
                      <w:pPr>
                        <w:pStyle w:val="Heading6"/>
                        <w:shd w:val="clear" w:color="auto" w:fill="E0E0E0"/>
                      </w:pPr>
                    </w:p>
                    <w:p w14:paraId="4CF471D1" w14:textId="77777777" w:rsidR="003F00F0" w:rsidRDefault="003F00F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0FF7BD8A" w:rsidR="008367B8" w:rsidRPr="00C1361B" w:rsidRDefault="009363B9" w:rsidP="008367B8">
            <w:pPr>
              <w:spacing w:before="120" w:after="120"/>
              <w:jc w:val="both"/>
              <w:rPr>
                <w:rFonts w:ascii="Calibri" w:hAnsi="Calibri" w:cs="Arial"/>
                <w:b/>
                <w:sz w:val="22"/>
                <w:szCs w:val="22"/>
              </w:rPr>
            </w:pPr>
            <w:r>
              <w:rPr>
                <w:rFonts w:ascii="Calibri" w:hAnsi="Calibri" w:cs="Arial"/>
                <w:b/>
                <w:sz w:val="22"/>
                <w:szCs w:val="22"/>
              </w:rPr>
              <w:t>Chloe Taylor</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17AE7E3E" w:rsidR="008367B8" w:rsidRPr="00C1361B" w:rsidRDefault="009363B9" w:rsidP="008367B8">
            <w:pPr>
              <w:spacing w:before="120" w:after="120"/>
              <w:jc w:val="both"/>
              <w:rPr>
                <w:rFonts w:ascii="Calibri" w:hAnsi="Calibri" w:cs="Arial"/>
                <w:b/>
                <w:sz w:val="22"/>
                <w:szCs w:val="22"/>
              </w:rPr>
            </w:pPr>
            <w:r>
              <w:rPr>
                <w:rFonts w:ascii="Calibri" w:hAnsi="Calibri" w:cs="Arial"/>
                <w:b/>
                <w:sz w:val="22"/>
                <w:szCs w:val="22"/>
              </w:rPr>
              <w:t>1501392</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4C699A4A" w14:textId="1824F1CF" w:rsidR="008367B8" w:rsidRDefault="009D737B" w:rsidP="008367B8">
            <w:pPr>
              <w:pStyle w:val="ListParagraph"/>
              <w:ind w:left="0"/>
              <w:rPr>
                <w:rFonts w:ascii="Calibri" w:hAnsi="Calibri" w:cs="Arial"/>
                <w:b/>
                <w:color w:val="FF0000"/>
                <w:sz w:val="22"/>
                <w:szCs w:val="22"/>
              </w:rPr>
            </w:pPr>
            <w:hyperlink r:id="rId11" w:history="1">
              <w:r w:rsidR="00DF1369" w:rsidRPr="00846885">
                <w:rPr>
                  <w:rStyle w:val="Hyperlink"/>
                  <w:rFonts w:ascii="Calibri" w:hAnsi="Calibri" w:cs="Arial"/>
                  <w:sz w:val="22"/>
                  <w:szCs w:val="22"/>
                </w:rPr>
                <w:t>https://youtu.be/dz4vh0i-YO0</w:t>
              </w:r>
            </w:hyperlink>
          </w:p>
          <w:p w14:paraId="2EF2AE03" w14:textId="3152B153" w:rsidR="00DF1369" w:rsidRPr="008367B8" w:rsidRDefault="00DF1369" w:rsidP="008367B8">
            <w:pPr>
              <w:pStyle w:val="ListParagraph"/>
              <w:ind w:left="0"/>
              <w:rPr>
                <w:rFonts w:ascii="Calibri" w:hAnsi="Calibri" w:cs="Arial"/>
                <w:b/>
                <w:color w:val="FF0000"/>
                <w:sz w:val="22"/>
                <w:szCs w:val="22"/>
              </w:rPr>
            </w:pP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bl>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41E34F8C" w14:textId="0F87BEDC"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0DD781F1" w:rsidR="008367B8" w:rsidRPr="00F61A20" w:rsidRDefault="003F00F0" w:rsidP="008367B8">
            <w:pPr>
              <w:rPr>
                <w:rFonts w:ascii="Calibri" w:hAnsi="Calibri"/>
                <w:szCs w:val="32"/>
              </w:rPr>
            </w:pPr>
            <w:r>
              <w:rPr>
                <w:rFonts w:ascii="Calibri" w:hAnsi="Calibri"/>
                <w:szCs w:val="32"/>
              </w:rPr>
              <w:t>x</w:t>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1130F54D" w:rsidR="008367B8" w:rsidRPr="00F61A20" w:rsidRDefault="003F00F0"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229120B6" w:rsidR="008367B8" w:rsidRPr="00F61A20" w:rsidRDefault="003F00F0"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215B067A" w:rsidR="008367B8" w:rsidRPr="00F61A20" w:rsidRDefault="003F00F0" w:rsidP="008367B8">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25D85332" w:rsidR="008367B8" w:rsidRDefault="003F00F0" w:rsidP="008367B8">
            <w:pPr>
              <w:pStyle w:val="BulletedList"/>
              <w:numPr>
                <w:ilvl w:val="0"/>
                <w:numId w:val="0"/>
              </w:numPr>
              <w:ind w:left="432"/>
              <w:rPr>
                <w:rFonts w:ascii="Calibri" w:hAnsi="Calibri"/>
                <w:sz w:val="20"/>
                <w:szCs w:val="20"/>
              </w:rPr>
            </w:pPr>
            <w:r>
              <w:rPr>
                <w:rFonts w:ascii="Calibri" w:hAnsi="Calibri"/>
                <w:sz w:val="20"/>
                <w:szCs w:val="20"/>
              </w:rPr>
              <w:t xml:space="preserve">Understanding of Donaldsons’ successful future and its place in the foundation Phase. </w:t>
            </w:r>
          </w:p>
          <w:p w14:paraId="76FC7197" w14:textId="01AA26E6" w:rsidR="003F00F0" w:rsidRPr="00CE0319" w:rsidRDefault="003F00F0" w:rsidP="008367B8">
            <w:pPr>
              <w:pStyle w:val="BulletedList"/>
              <w:numPr>
                <w:ilvl w:val="0"/>
                <w:numId w:val="0"/>
              </w:numPr>
              <w:ind w:left="432"/>
              <w:rPr>
                <w:rFonts w:ascii="Calibri" w:hAnsi="Calibri"/>
                <w:sz w:val="20"/>
                <w:szCs w:val="20"/>
              </w:rPr>
            </w:pPr>
            <w:r>
              <w:rPr>
                <w:rFonts w:ascii="Calibri" w:hAnsi="Calibri"/>
                <w:sz w:val="20"/>
                <w:szCs w:val="20"/>
              </w:rPr>
              <w:t>Coverage of the different areas of learning in the foundation phase.</w:t>
            </w:r>
          </w:p>
          <w:p w14:paraId="1E720A79" w14:textId="77777777" w:rsidR="008367B8" w:rsidRPr="00CE0319" w:rsidRDefault="008367B8" w:rsidP="003F00F0">
            <w:pPr>
              <w:pStyle w:val="BulletedList"/>
              <w:numPr>
                <w:ilvl w:val="0"/>
                <w:numId w:val="0"/>
              </w:numPr>
              <w:rPr>
                <w:rFonts w:ascii="Calibri" w:hAnsi="Calibri"/>
                <w:sz w:val="20"/>
                <w:szCs w:val="20"/>
              </w:rPr>
            </w:pPr>
          </w:p>
        </w:tc>
        <w:tc>
          <w:tcPr>
            <w:tcW w:w="3881" w:type="dxa"/>
            <w:tcBorders>
              <w:bottom w:val="single" w:sz="8" w:space="0" w:color="000000"/>
            </w:tcBorders>
          </w:tcPr>
          <w:p w14:paraId="180879E8" w14:textId="6114F404" w:rsidR="008367B8" w:rsidRPr="00CE0319" w:rsidRDefault="003F00F0" w:rsidP="008367B8">
            <w:pPr>
              <w:pStyle w:val="BulletedList"/>
              <w:numPr>
                <w:ilvl w:val="0"/>
                <w:numId w:val="0"/>
              </w:numPr>
              <w:rPr>
                <w:rFonts w:ascii="Calibri" w:hAnsi="Calibri"/>
                <w:sz w:val="20"/>
                <w:szCs w:val="20"/>
              </w:rPr>
            </w:pPr>
            <w:r>
              <w:rPr>
                <w:rFonts w:ascii="Calibri" w:hAnsi="Calibri"/>
                <w:sz w:val="20"/>
                <w:szCs w:val="20"/>
              </w:rPr>
              <w:t xml:space="preserve">Develop different ways of using DCF in lessons. </w:t>
            </w:r>
          </w:p>
          <w:p w14:paraId="18398ABB" w14:textId="6B5F754D" w:rsidR="008367B8" w:rsidRPr="00CE0319" w:rsidRDefault="009363B9" w:rsidP="009363B9">
            <w:pPr>
              <w:pStyle w:val="BulletedList"/>
              <w:numPr>
                <w:ilvl w:val="0"/>
                <w:numId w:val="0"/>
              </w:numPr>
              <w:rPr>
                <w:rFonts w:ascii="Calibri" w:hAnsi="Calibri"/>
                <w:sz w:val="20"/>
                <w:szCs w:val="20"/>
              </w:rPr>
            </w:pPr>
            <w:r>
              <w:rPr>
                <w:rFonts w:ascii="Calibri" w:hAnsi="Calibri"/>
                <w:sz w:val="20"/>
                <w:szCs w:val="20"/>
              </w:rPr>
              <w:t xml:space="preserve">Be more analytical when looking at wider research.  </w:t>
            </w: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4C6DCB6F" w:rsidR="008367B8" w:rsidRPr="00CE0319" w:rsidRDefault="003F00F0" w:rsidP="008367B8">
            <w:pPr>
              <w:spacing w:before="120" w:after="120"/>
              <w:jc w:val="both"/>
              <w:rPr>
                <w:rFonts w:ascii="Calibri" w:hAnsi="Calibri" w:cs="Calibri"/>
                <w:b/>
              </w:rPr>
            </w:pPr>
            <w:r>
              <w:rPr>
                <w:rFonts w:ascii="Calibri" w:hAnsi="Calibri" w:cs="Calibri"/>
                <w:b/>
              </w:rPr>
              <w:t>Chloe Taylor</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1AC00DA3" w:rsidR="008367B8" w:rsidRPr="00CE0319" w:rsidRDefault="003F00F0" w:rsidP="008367B8">
            <w:pPr>
              <w:spacing w:before="120" w:after="120"/>
              <w:jc w:val="both"/>
              <w:rPr>
                <w:rFonts w:ascii="Calibri" w:hAnsi="Calibri" w:cs="Calibri"/>
                <w:b/>
              </w:rPr>
            </w:pPr>
            <w:r>
              <w:rPr>
                <w:rFonts w:ascii="Calibri" w:hAnsi="Calibri" w:cs="Calibri"/>
                <w:b/>
              </w:rPr>
              <w:t>10.12.17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38629AF8" w:rsidR="008367B8" w:rsidRPr="00CE0319" w:rsidRDefault="003F00F0" w:rsidP="008367B8">
            <w:pPr>
              <w:spacing w:before="120" w:after="120"/>
              <w:jc w:val="both"/>
              <w:rPr>
                <w:rFonts w:ascii="Calibri" w:hAnsi="Calibri" w:cs="Calibri"/>
                <w:b/>
              </w:rPr>
            </w:pPr>
            <w:r>
              <w:rPr>
                <w:rFonts w:ascii="Calibri" w:hAnsi="Calibri" w:cs="Calibri"/>
                <w:b/>
              </w:rPr>
              <w:t>C. Taylor</w:t>
            </w:r>
          </w:p>
        </w:tc>
      </w:tr>
    </w:tbl>
    <w:p w14:paraId="14917305" w14:textId="5E5E1295" w:rsidR="008367B8" w:rsidRDefault="008367B8"/>
    <w:p w14:paraId="59FBCE13" w14:textId="69C8C547" w:rsidR="00DB2B22" w:rsidRDefault="00DB2B22"/>
    <w:p w14:paraId="5645294E" w14:textId="345A83AD" w:rsidR="00DB2B22" w:rsidRDefault="00DB2B22"/>
    <w:p w14:paraId="0F7A4D0E" w14:textId="2363EBB7" w:rsidR="00DB2B22" w:rsidRDefault="00DB2B22"/>
    <w:p w14:paraId="4B568C25" w14:textId="6204ED93" w:rsidR="00DB2B22" w:rsidRDefault="00DB2B22">
      <w:pPr>
        <w:rPr>
          <w:u w:val="single"/>
        </w:rPr>
      </w:pPr>
      <w:r w:rsidRPr="00DB2B22">
        <w:rPr>
          <w:u w:val="single"/>
        </w:rPr>
        <w:lastRenderedPageBreak/>
        <w:t>References</w:t>
      </w:r>
    </w:p>
    <w:p w14:paraId="642C3CB3" w14:textId="77777777" w:rsidR="00DB2B22" w:rsidRPr="007F7DFE" w:rsidRDefault="00DB2B22" w:rsidP="00DB2B22">
      <w:pPr>
        <w:spacing w:after="160" w:line="259" w:lineRule="auto"/>
        <w:rPr>
          <w:rFonts w:asciiTheme="minorHAnsi" w:eastAsiaTheme="minorHAnsi" w:hAnsiTheme="minorHAnsi" w:cstheme="minorBidi"/>
          <w:sz w:val="22"/>
          <w:szCs w:val="22"/>
        </w:rPr>
      </w:pPr>
    </w:p>
    <w:p w14:paraId="10217C77" w14:textId="77777777" w:rsidR="00DB2B22" w:rsidRDefault="00DB2B22" w:rsidP="00DB2B22"/>
    <w:p w14:paraId="6FB0A81C" w14:textId="77777777" w:rsidR="00DB2B22" w:rsidRDefault="00DB2B22" w:rsidP="00DB2B22">
      <w:pPr>
        <w:rPr>
          <w:rFonts w:ascii="Arial" w:hAnsi="Arial" w:cs="Arial"/>
          <w:color w:val="000000"/>
          <w:lang w:eastAsia="en-GB"/>
        </w:rPr>
      </w:pPr>
      <w:r w:rsidRPr="00C33B86">
        <w:rPr>
          <w:sz w:val="22"/>
          <w:szCs w:val="22"/>
        </w:rPr>
        <w:t xml:space="preserve">ACCAC (2003) </w:t>
      </w:r>
      <w:r w:rsidRPr="00C33B86">
        <w:rPr>
          <w:rFonts w:ascii="Arial" w:hAnsi="Arial" w:cs="Arial"/>
          <w:i/>
          <w:color w:val="000000"/>
          <w:sz w:val="22"/>
          <w:szCs w:val="22"/>
          <w:lang w:eastAsia="en-GB"/>
        </w:rPr>
        <w:t xml:space="preserve">Developing the Curriculum Cymreig. </w:t>
      </w:r>
      <w:r w:rsidRPr="00C33B86">
        <w:rPr>
          <w:rFonts w:ascii="Arial" w:hAnsi="Arial" w:cs="Arial"/>
          <w:color w:val="000000"/>
          <w:sz w:val="22"/>
          <w:szCs w:val="22"/>
          <w:lang w:eastAsia="en-GB"/>
        </w:rPr>
        <w:t xml:space="preserve">Cardiff: Welsh Assembly Government. </w:t>
      </w:r>
    </w:p>
    <w:p w14:paraId="672E33EE" w14:textId="77777777" w:rsidR="00DB2B22" w:rsidRDefault="00DB2B22" w:rsidP="00DB2B22">
      <w:r w:rsidRPr="0033536C">
        <w:t>CRIS - Bulletin of the Centre for Research and Interdisciplinary Study</w:t>
      </w:r>
      <w:r>
        <w:t xml:space="preserve"> (2014) ‘</w:t>
      </w:r>
      <w:r w:rsidRPr="0033536C">
        <w:t>Children’s Book Illustrations: Visual Language of Picture Books</w:t>
      </w:r>
      <w:r>
        <w:t xml:space="preserve">’ Available at: </w:t>
      </w:r>
      <w:hyperlink r:id="rId14" w:history="1">
        <w:r w:rsidRPr="00846885">
          <w:rPr>
            <w:rStyle w:val="Hyperlink"/>
          </w:rPr>
          <w:t>https://doi.org/10.2478/cris-2014-0002</w:t>
        </w:r>
      </w:hyperlink>
      <w:r>
        <w:t xml:space="preserve"> Accessed on [04/12/17]</w:t>
      </w:r>
    </w:p>
    <w:p w14:paraId="728B11BE" w14:textId="77777777" w:rsidR="00DB2B22" w:rsidRPr="00C33B86" w:rsidRDefault="00DB2B22" w:rsidP="00DB2B22">
      <w:pPr>
        <w:rPr>
          <w:sz w:val="22"/>
          <w:szCs w:val="22"/>
        </w:rPr>
      </w:pPr>
      <w:r w:rsidRPr="00C33B86">
        <w:rPr>
          <w:sz w:val="22"/>
          <w:szCs w:val="22"/>
        </w:rPr>
        <w:t xml:space="preserve">Donaldson, G. (2015) </w:t>
      </w:r>
      <w:r w:rsidRPr="00C33B86">
        <w:rPr>
          <w:i/>
          <w:sz w:val="22"/>
          <w:szCs w:val="22"/>
        </w:rPr>
        <w:t>Successful Futures; Independent Review of Curriculum and Assessment Arrangements in Wales in Wales</w:t>
      </w:r>
      <w:r w:rsidRPr="00C33B86">
        <w:rPr>
          <w:sz w:val="22"/>
          <w:szCs w:val="22"/>
        </w:rPr>
        <w:t>. OGL: Crown Copyright 2015.</w:t>
      </w:r>
    </w:p>
    <w:p w14:paraId="5C348F85" w14:textId="77777777" w:rsidR="00DB2B22" w:rsidRPr="00FA2494" w:rsidRDefault="00DB2B22" w:rsidP="00DB2B22">
      <w:pPr>
        <w:rPr>
          <w:sz w:val="22"/>
          <w:szCs w:val="22"/>
        </w:rPr>
      </w:pPr>
      <w:r>
        <w:t xml:space="preserve">Gliori, D. (2008) </w:t>
      </w:r>
      <w:r w:rsidRPr="00FA2494">
        <w:rPr>
          <w:i/>
        </w:rPr>
        <w:t>The Trouble with Dragons.</w:t>
      </w:r>
      <w:r>
        <w:rPr>
          <w:i/>
        </w:rPr>
        <w:t xml:space="preserve"> </w:t>
      </w:r>
      <w:r>
        <w:t>London:</w:t>
      </w:r>
      <w:r>
        <w:rPr>
          <w:i/>
        </w:rPr>
        <w:t xml:space="preserve"> </w:t>
      </w:r>
      <w:r>
        <w:t>Bloomsbury.</w:t>
      </w:r>
    </w:p>
    <w:p w14:paraId="6772D7ED" w14:textId="77777777" w:rsidR="00DB2B22" w:rsidRPr="00C33B86" w:rsidRDefault="00DB2B22" w:rsidP="00DB2B22">
      <w:pPr>
        <w:rPr>
          <w:sz w:val="22"/>
          <w:szCs w:val="22"/>
        </w:rPr>
      </w:pPr>
      <w:r w:rsidRPr="00C33B86">
        <w:rPr>
          <w:sz w:val="22"/>
          <w:szCs w:val="22"/>
        </w:rPr>
        <w:t xml:space="preserve">Grigg, R. (2015) </w:t>
      </w:r>
      <w:r w:rsidRPr="00C33B86">
        <w:rPr>
          <w:i/>
          <w:sz w:val="22"/>
          <w:szCs w:val="22"/>
        </w:rPr>
        <w:t xml:space="preserve">Becoming an Outstanding Primary School Teacher. </w:t>
      </w:r>
      <w:r w:rsidRPr="00C33B86">
        <w:rPr>
          <w:sz w:val="22"/>
          <w:szCs w:val="22"/>
        </w:rPr>
        <w:t>(2</w:t>
      </w:r>
      <w:r w:rsidRPr="00C33B86">
        <w:rPr>
          <w:sz w:val="22"/>
          <w:szCs w:val="22"/>
          <w:vertAlign w:val="superscript"/>
        </w:rPr>
        <w:t>nd</w:t>
      </w:r>
      <w:r w:rsidRPr="00C33B86">
        <w:rPr>
          <w:sz w:val="22"/>
          <w:szCs w:val="22"/>
        </w:rPr>
        <w:t xml:space="preserve"> Edition) London: Routledge.</w:t>
      </w:r>
    </w:p>
    <w:p w14:paraId="3BD28D8B" w14:textId="77777777" w:rsidR="00DB2B22" w:rsidRDefault="00DB2B22" w:rsidP="00DB2B22">
      <w:r w:rsidRPr="007F7DFE">
        <w:rPr>
          <w:rFonts w:eastAsiaTheme="minorEastAsia"/>
        </w:rPr>
        <w:t xml:space="preserve">Haylock with Thangata (2007) , </w:t>
      </w:r>
      <w:r w:rsidRPr="007F7DFE">
        <w:rPr>
          <w:rFonts w:eastAsiaTheme="minorEastAsia"/>
          <w:i/>
          <w:iCs/>
        </w:rPr>
        <w:t xml:space="preserve">Key Concepts in Teaching Primary Mathematics, </w:t>
      </w:r>
      <w:r w:rsidRPr="007F7DFE">
        <w:rPr>
          <w:rFonts w:eastAsiaTheme="minorEastAsia"/>
        </w:rPr>
        <w:t xml:space="preserve">SAGE available at: </w:t>
      </w:r>
      <w:hyperlink r:id="rId15" w:history="1">
        <w:r w:rsidRPr="00846885">
          <w:rPr>
            <w:rStyle w:val="Hyperlink"/>
            <w:rFonts w:eastAsiaTheme="minorEastAsia"/>
          </w:rPr>
          <w:t>http://studysites.uk.sagepub.com/haylock/Making%20Connections.pdf</w:t>
        </w:r>
      </w:hyperlink>
      <w:r>
        <w:t xml:space="preserve"> Accessed on [02/12/17]</w:t>
      </w:r>
    </w:p>
    <w:p w14:paraId="178CDD4C" w14:textId="77777777" w:rsidR="00DB2B22" w:rsidRDefault="00DB2B22" w:rsidP="00DB2B22">
      <w:r>
        <w:t xml:space="preserve">Kugelman, F. (date unknown) ‘Bloom’s Taxonomy’ Available at: </w:t>
      </w:r>
      <w:hyperlink r:id="rId16" w:history="1">
        <w:r w:rsidRPr="00846885">
          <w:rPr>
            <w:rStyle w:val="Hyperlink"/>
          </w:rPr>
          <w:t>http://www.bloomstaxonomy.org/Blooms%20Taxonomy%20questions.pdf</w:t>
        </w:r>
      </w:hyperlink>
      <w:r>
        <w:t xml:space="preserve"> Accessed on [30/11/17]</w:t>
      </w:r>
    </w:p>
    <w:p w14:paraId="1212713F" w14:textId="77777777" w:rsidR="00DB2B22" w:rsidRDefault="00DB2B22" w:rsidP="00DB2B22">
      <w:r>
        <w:t xml:space="preserve">Santer, J, Griffiths, C, and Goodall, D. (2007) </w:t>
      </w:r>
      <w:r>
        <w:rPr>
          <w:i/>
        </w:rPr>
        <w:t>Free Play in Early Childhood: A Literature Review.</w:t>
      </w:r>
      <w:r>
        <w:t xml:space="preserve"> London: National Children’s Bureau</w:t>
      </w:r>
    </w:p>
    <w:p w14:paraId="688F400C" w14:textId="77777777" w:rsidR="00DB2B22" w:rsidRDefault="00DB2B22" w:rsidP="00DB2B22">
      <w:r>
        <w:t xml:space="preserve">United Kingdom Government (2002) ‘Education Act’ Available at: </w:t>
      </w:r>
      <w:hyperlink r:id="rId17" w:history="1">
        <w:r w:rsidRPr="00846885">
          <w:rPr>
            <w:rStyle w:val="Hyperlink"/>
          </w:rPr>
          <w:t>https://www.legislation.gov.uk/ukpga/2002/32/contents</w:t>
        </w:r>
      </w:hyperlink>
      <w:r>
        <w:t xml:space="preserve"> Accessed on [05/12/17]</w:t>
      </w:r>
    </w:p>
    <w:p w14:paraId="5A98F51C" w14:textId="77777777" w:rsidR="00DB2B22" w:rsidRPr="00C33B86" w:rsidRDefault="00DB2B22" w:rsidP="00DB2B22">
      <w:pPr>
        <w:spacing w:after="160" w:line="259" w:lineRule="auto"/>
        <w:rPr>
          <w:sz w:val="22"/>
          <w:szCs w:val="22"/>
        </w:rPr>
      </w:pPr>
      <w:r w:rsidRPr="00C33B86">
        <w:rPr>
          <w:sz w:val="22"/>
          <w:szCs w:val="22"/>
        </w:rPr>
        <w:t xml:space="preserve">University College London (Date unknown) ‘Special Educational Needs in Mainstream Schools’ Available at: </w:t>
      </w:r>
      <w:hyperlink r:id="rId18" w:history="1">
        <w:r w:rsidRPr="00C33B86">
          <w:rPr>
            <w:rStyle w:val="Hyperlink"/>
            <w:sz w:val="22"/>
            <w:szCs w:val="22"/>
          </w:rPr>
          <w:t>https://eppi.ioe.ac.uk/cms/Default.aspx?tabid=490</w:t>
        </w:r>
      </w:hyperlink>
      <w:r w:rsidRPr="00C33B86">
        <w:rPr>
          <w:sz w:val="22"/>
          <w:szCs w:val="22"/>
        </w:rPr>
        <w:t xml:space="preserve"> Accessed on [05/12/12]</w:t>
      </w:r>
    </w:p>
    <w:p w14:paraId="39000A77" w14:textId="77777777" w:rsidR="00DB2B22" w:rsidRDefault="00DB2B22" w:rsidP="00DB2B22">
      <w:r>
        <w:t xml:space="preserve">Valentine, R and Eaves, E. (2014) </w:t>
      </w:r>
      <w:r>
        <w:rPr>
          <w:i/>
        </w:rPr>
        <w:t xml:space="preserve">Marmaduke the Very Different Dragon. </w:t>
      </w:r>
      <w:r>
        <w:t xml:space="preserve">London: Bloomsbury. </w:t>
      </w:r>
    </w:p>
    <w:p w14:paraId="519E4228" w14:textId="77777777" w:rsidR="00DB2B22" w:rsidRPr="00C33B86" w:rsidRDefault="00DB2B22" w:rsidP="00DB2B22">
      <w:pPr>
        <w:rPr>
          <w:sz w:val="22"/>
          <w:szCs w:val="22"/>
        </w:rPr>
      </w:pPr>
      <w:r w:rsidRPr="00C33B86">
        <w:rPr>
          <w:sz w:val="22"/>
          <w:szCs w:val="22"/>
        </w:rPr>
        <w:t xml:space="preserve">Wales: Department for Children, Education, Lifelong Learning and Skills (2015a) </w:t>
      </w:r>
      <w:r w:rsidRPr="00C33B86">
        <w:rPr>
          <w:i/>
          <w:sz w:val="22"/>
          <w:szCs w:val="22"/>
        </w:rPr>
        <w:t>Foundation Phase Framework.</w:t>
      </w:r>
      <w:r w:rsidRPr="00C33B86">
        <w:rPr>
          <w:sz w:val="22"/>
          <w:szCs w:val="22"/>
        </w:rPr>
        <w:t xml:space="preserve"> (revised) Cardiff: Welsh Assembly Government.</w:t>
      </w:r>
    </w:p>
    <w:p w14:paraId="3F5CEAF2" w14:textId="77777777" w:rsidR="00DB2B22" w:rsidRDefault="00DB2B22" w:rsidP="00DB2B22">
      <w:r>
        <w:t xml:space="preserve">Welsh Government (2016) </w:t>
      </w:r>
      <w:r w:rsidRPr="007F7DFE">
        <w:rPr>
          <w:i/>
        </w:rPr>
        <w:t>Digital Competence Framework Guidance</w:t>
      </w:r>
      <w:r>
        <w:rPr>
          <w:i/>
        </w:rPr>
        <w:t>.</w:t>
      </w:r>
      <w:r>
        <w:t xml:space="preserve"> OGL: Crown Copyright 2016. </w:t>
      </w:r>
    </w:p>
    <w:p w14:paraId="6AAE2DC3" w14:textId="77777777" w:rsidR="00DB2B22" w:rsidRPr="00C33B86" w:rsidRDefault="00DB2B22" w:rsidP="00DB2B22">
      <w:pPr>
        <w:rPr>
          <w:rFonts w:ascii="Helvetica" w:hAnsi="Helvetica" w:cs="Helvetica"/>
          <w:color w:val="333333"/>
          <w:sz w:val="22"/>
          <w:szCs w:val="22"/>
        </w:rPr>
      </w:pPr>
      <w:r w:rsidRPr="00C33B86">
        <w:rPr>
          <w:sz w:val="22"/>
          <w:szCs w:val="22"/>
        </w:rPr>
        <w:t xml:space="preserve">Wilson, R. (2017) </w:t>
      </w:r>
      <w:r w:rsidRPr="00C33B86">
        <w:rPr>
          <w:rFonts w:eastAsiaTheme="minorEastAsia"/>
          <w:i/>
          <w:sz w:val="22"/>
          <w:szCs w:val="22"/>
        </w:rPr>
        <w:t>Talk to My Hand: Using Puppets to Navigate Emotions</w:t>
      </w:r>
      <w:r w:rsidRPr="00C33B86">
        <w:rPr>
          <w:i/>
          <w:sz w:val="22"/>
          <w:szCs w:val="22"/>
        </w:rPr>
        <w:t>.</w:t>
      </w:r>
      <w:r w:rsidRPr="00C33B86">
        <w:rPr>
          <w:sz w:val="22"/>
          <w:szCs w:val="22"/>
        </w:rPr>
        <w:t xml:space="preserve"> International Journal of Early Childhood Environmental Education </w:t>
      </w:r>
      <w:r w:rsidRPr="00C33B86">
        <w:rPr>
          <w:rFonts w:ascii="Helvetica" w:hAnsi="Helvetica" w:cs="Helvetica"/>
          <w:color w:val="333333"/>
          <w:sz w:val="22"/>
          <w:szCs w:val="22"/>
        </w:rPr>
        <w:t>Issue 236, p74-77</w:t>
      </w:r>
    </w:p>
    <w:p w14:paraId="371E889A" w14:textId="77777777" w:rsidR="00DB2B22" w:rsidRDefault="00DB2B22" w:rsidP="00DB2B22">
      <w:r w:rsidRPr="00C33B86">
        <w:rPr>
          <w:sz w:val="22"/>
          <w:szCs w:val="22"/>
        </w:rPr>
        <w:t>Woolley and Ghossainy</w:t>
      </w:r>
      <w:r>
        <w:t>.</w:t>
      </w:r>
      <w:r w:rsidRPr="00C33B86">
        <w:rPr>
          <w:sz w:val="22"/>
          <w:szCs w:val="22"/>
        </w:rPr>
        <w:t xml:space="preserve"> (2013) ‘Revisiting the Fantasy-Reality Distinction: Children as Naïve Skeptics’ Available at: </w:t>
      </w:r>
      <w:hyperlink r:id="rId19" w:history="1">
        <w:r w:rsidRPr="00C33B86">
          <w:rPr>
            <w:rStyle w:val="Hyperlink"/>
            <w:sz w:val="22"/>
            <w:szCs w:val="22"/>
          </w:rPr>
          <w:t>https://www.ncbi.nlm.nih.gov/pmc/articles/PMC368</w:t>
        </w:r>
        <w:r w:rsidRPr="00C33B86">
          <w:rPr>
            <w:rStyle w:val="Hyperlink"/>
            <w:sz w:val="22"/>
            <w:szCs w:val="22"/>
          </w:rPr>
          <w:t>9</w:t>
        </w:r>
        <w:r w:rsidRPr="00C33B86">
          <w:rPr>
            <w:rStyle w:val="Hyperlink"/>
            <w:sz w:val="22"/>
            <w:szCs w:val="22"/>
          </w:rPr>
          <w:t>871/</w:t>
        </w:r>
      </w:hyperlink>
      <w:r w:rsidRPr="00C33B86">
        <w:rPr>
          <w:sz w:val="22"/>
          <w:szCs w:val="22"/>
        </w:rPr>
        <w:t xml:space="preserve"> Accessed on [05/12/12]</w:t>
      </w:r>
    </w:p>
    <w:p w14:paraId="721AFD63" w14:textId="77777777" w:rsidR="00DB2B22" w:rsidRPr="00DB2B22" w:rsidRDefault="00DB2B22">
      <w:pPr>
        <w:rPr>
          <w:u w:val="single"/>
        </w:rPr>
      </w:pPr>
      <w:bookmarkStart w:id="0" w:name="_GoBack"/>
      <w:bookmarkEnd w:id="0"/>
    </w:p>
    <w:sectPr w:rsidR="00DB2B22" w:rsidRPr="00DB2B22"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1E7CA" w14:textId="77777777" w:rsidR="009D737B" w:rsidRDefault="009D737B">
      <w:r>
        <w:separator/>
      </w:r>
    </w:p>
  </w:endnote>
  <w:endnote w:type="continuationSeparator" w:id="0">
    <w:p w14:paraId="3E4C5048" w14:textId="77777777" w:rsidR="009D737B" w:rsidRDefault="009D73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3F3606BB" w:rsidR="003F00F0" w:rsidRPr="0075481B" w:rsidRDefault="003F00F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DB2B22">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DB2B22">
      <w:rPr>
        <w:rFonts w:asciiTheme="majorHAnsi" w:hAnsiTheme="majorHAnsi"/>
        <w:b/>
        <w:noProof/>
      </w:rPr>
      <w:t>4</w:t>
    </w:r>
    <w:r w:rsidRPr="0075481B">
      <w:rPr>
        <w:rFonts w:asciiTheme="majorHAnsi" w:hAnsiTheme="majorHAnsi"/>
        <w:b/>
        <w:szCs w:val="24"/>
      </w:rPr>
      <w:fldChar w:fldCharType="end"/>
    </w:r>
  </w:p>
  <w:p w14:paraId="6DD8F910" w14:textId="77777777" w:rsidR="003F00F0" w:rsidRDefault="003F00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2E2108B2" w:rsidR="003F00F0" w:rsidRPr="0075481B" w:rsidRDefault="003F00F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DB2B22">
      <w:rPr>
        <w:rFonts w:asciiTheme="majorHAnsi" w:hAnsiTheme="majorHAnsi"/>
        <w:b/>
        <w:noProof/>
      </w:rPr>
      <w:t>4</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DB2B22">
      <w:rPr>
        <w:rFonts w:asciiTheme="majorHAnsi" w:hAnsiTheme="majorHAnsi"/>
        <w:b/>
        <w:noProof/>
      </w:rPr>
      <w:t>4</w:t>
    </w:r>
    <w:r w:rsidRPr="0075481B">
      <w:rPr>
        <w:rFonts w:asciiTheme="majorHAnsi" w:hAnsiTheme="majorHAnsi"/>
        <w:b/>
        <w:szCs w:val="24"/>
      </w:rPr>
      <w:fldChar w:fldCharType="end"/>
    </w:r>
  </w:p>
  <w:p w14:paraId="442600CA" w14:textId="77777777" w:rsidR="003F00F0" w:rsidRDefault="003F00F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1D73C" w14:textId="77777777" w:rsidR="009D737B" w:rsidRDefault="009D737B">
      <w:r>
        <w:separator/>
      </w:r>
    </w:p>
  </w:footnote>
  <w:footnote w:type="continuationSeparator" w:id="0">
    <w:p w14:paraId="535D9288" w14:textId="77777777" w:rsidR="009D737B" w:rsidRDefault="009D73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3F00F0"/>
    <w:rsid w:val="004678AC"/>
    <w:rsid w:val="006831A7"/>
    <w:rsid w:val="008367B8"/>
    <w:rsid w:val="009363B9"/>
    <w:rsid w:val="00965F20"/>
    <w:rsid w:val="009D737B"/>
    <w:rsid w:val="00DB2B22"/>
    <w:rsid w:val="00DF1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DF1369"/>
    <w:rPr>
      <w:color w:val="0563C1" w:themeColor="hyperlink"/>
      <w:u w:val="single"/>
    </w:rPr>
  </w:style>
  <w:style w:type="character" w:styleId="UnresolvedMention">
    <w:name w:val="Unresolved Mention"/>
    <w:basedOn w:val="DefaultParagraphFont"/>
    <w:uiPriority w:val="99"/>
    <w:rsid w:val="00DF13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18" Type="http://schemas.openxmlformats.org/officeDocument/2006/relationships/hyperlink" Target="https://eppi.ioe.ac.uk/cms/Default.aspx?tabid=49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footer" Target="footer1.xml"/><Relationship Id="rId17" Type="http://schemas.openxmlformats.org/officeDocument/2006/relationships/hyperlink" Target="https://www.legislation.gov.uk/ukpga/2002/32/contents" TargetMode="External"/><Relationship Id="rId2" Type="http://schemas.openxmlformats.org/officeDocument/2006/relationships/styles" Target="styles.xml"/><Relationship Id="rId16" Type="http://schemas.openxmlformats.org/officeDocument/2006/relationships/hyperlink" Target="http://www.bloomstaxonomy.org/Blooms%20Taxonomy%20question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dz4vh0i-YO0" TargetMode="External"/><Relationship Id="rId5" Type="http://schemas.openxmlformats.org/officeDocument/2006/relationships/footnotes" Target="footnotes.xml"/><Relationship Id="rId15" Type="http://schemas.openxmlformats.org/officeDocument/2006/relationships/hyperlink" Target="http://studysites.uk.sagepub.com/haylock/Making%20Connections.pdf" TargetMode="External"/><Relationship Id="rId10" Type="http://schemas.openxmlformats.org/officeDocument/2006/relationships/image" Target="cid:image001.png@01D0EA4A.2BD679A0" TargetMode="External"/><Relationship Id="rId19" Type="http://schemas.openxmlformats.org/officeDocument/2006/relationships/hyperlink" Target="https://www.ncbi.nlm.nih.gov/pmc/articles/PMC3689871/"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2478/cris-2014-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1366</TotalTime>
  <Pages>4</Pages>
  <Words>1122</Words>
  <Characters>6397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Laptop</cp:lastModifiedBy>
  <cp:revision>4</cp:revision>
  <dcterms:created xsi:type="dcterms:W3CDTF">2017-12-10T15:50:00Z</dcterms:created>
  <dcterms:modified xsi:type="dcterms:W3CDTF">2017-12-11T14:42:00Z</dcterms:modified>
</cp:coreProperties>
</file>