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AF430D" w:rsidRDefault="00AF430D">
      <w:pPr>
        <w:jc w:val="center"/>
        <w:rPr>
          <w:b/>
          <w:bCs/>
        </w:rPr>
      </w:pPr>
    </w:p>
    <w:p w14:paraId="00000002" w14:textId="77777777" w:rsidR="00AF430D" w:rsidRDefault="00AF430D">
      <w:pPr>
        <w:jc w:val="center"/>
        <w:rPr>
          <w:b/>
          <w:bCs/>
        </w:rPr>
      </w:pPr>
    </w:p>
    <w:p w14:paraId="00000003" w14:textId="77777777" w:rsidR="00AF430D" w:rsidRDefault="00AF430D">
      <w:pPr>
        <w:jc w:val="center"/>
        <w:rPr>
          <w:b/>
          <w:bCs/>
        </w:rPr>
      </w:pPr>
    </w:p>
    <w:p w14:paraId="00000004" w14:textId="77777777" w:rsidR="00AF430D" w:rsidRDefault="00000000">
      <w:pPr>
        <w:jc w:val="center"/>
      </w:pPr>
      <w:r>
        <w:rPr>
          <w:b/>
          <w:bCs/>
        </w:rPr>
        <w:t>Programme:</w:t>
      </w:r>
      <w:r>
        <w:t xml:space="preserve"> </w:t>
      </w:r>
      <w:r>
        <w:rPr>
          <w:i/>
          <w:iCs/>
          <w:u w:val="single"/>
        </w:rPr>
        <w:t>BSc (Hons) Health and Social Care</w:t>
      </w:r>
    </w:p>
    <w:p w14:paraId="00000005" w14:textId="77777777" w:rsidR="00AF430D" w:rsidRDefault="00000000">
      <w:pPr>
        <w:jc w:val="center"/>
        <w:rPr>
          <w:i/>
          <w:iCs/>
          <w:u w:val="single"/>
        </w:rPr>
      </w:pPr>
      <w:r>
        <w:rPr>
          <w:b/>
          <w:bCs/>
        </w:rPr>
        <w:t>Module:</w:t>
      </w:r>
      <w:r>
        <w:t xml:space="preserve"> </w:t>
      </w:r>
      <w:r>
        <w:rPr>
          <w:i/>
          <w:iCs/>
          <w:u w:val="single"/>
        </w:rPr>
        <w:t>Health, Wellbeing and Sustainable Development</w:t>
      </w:r>
    </w:p>
    <w:p w14:paraId="00000006" w14:textId="77777777" w:rsidR="00AF430D" w:rsidRDefault="00000000">
      <w:pPr>
        <w:jc w:val="center"/>
        <w:rPr>
          <w:i/>
          <w:iCs/>
          <w:u w:val="single"/>
        </w:rPr>
      </w:pPr>
      <w:r>
        <w:rPr>
          <w:b/>
          <w:bCs/>
        </w:rPr>
        <w:t xml:space="preserve">Module Code: </w:t>
      </w:r>
      <w:r>
        <w:rPr>
          <w:i/>
          <w:iCs/>
          <w:u w:val="single"/>
        </w:rPr>
        <w:t>BMHP6030</w:t>
      </w:r>
    </w:p>
    <w:p w14:paraId="00000007" w14:textId="77777777" w:rsidR="00AF430D" w:rsidRDefault="00AF430D">
      <w:pPr>
        <w:jc w:val="center"/>
        <w:rPr>
          <w:i/>
          <w:iCs/>
          <w:u w:val="single"/>
        </w:rPr>
      </w:pPr>
    </w:p>
    <w:p w14:paraId="00000008" w14:textId="77777777" w:rsidR="00AF430D" w:rsidRDefault="00000000">
      <w:pPr>
        <w:jc w:val="center"/>
        <w:rPr>
          <w:i/>
          <w:iCs/>
          <w:u w:val="single"/>
        </w:rPr>
      </w:pPr>
      <w:r>
        <w:rPr>
          <w:b/>
          <w:bCs/>
        </w:rPr>
        <w:t>Assignment Title:</w:t>
      </w:r>
      <w:r>
        <w:t xml:space="preserve"> </w:t>
      </w:r>
      <w:r>
        <w:rPr>
          <w:i/>
          <w:iCs/>
          <w:u w:val="single"/>
        </w:rPr>
        <w:t>Component 2: Written Assignment (Report)</w:t>
      </w:r>
    </w:p>
    <w:p w14:paraId="00000009" w14:textId="77777777" w:rsidR="00AF430D" w:rsidRDefault="00000000">
      <w:pPr>
        <w:jc w:val="center"/>
        <w:rPr>
          <w:b/>
          <w:bCs/>
        </w:rPr>
      </w:pPr>
      <w:r>
        <w:rPr>
          <w:b/>
          <w:bCs/>
        </w:rPr>
        <w:t>OBESITY PREVENTION AND SUSTAINABLE HEALTH: ANALYSING THE IMPACT OF SDG 2 AND SDG 3 ACROSS GLOBAL, NATIONAL AND LOCAL CONTEXTS</w:t>
      </w:r>
    </w:p>
    <w:p w14:paraId="0000000A" w14:textId="77777777" w:rsidR="00AF430D" w:rsidRDefault="00AF430D">
      <w:pPr>
        <w:rPr>
          <w:i/>
          <w:iCs/>
          <w:u w:val="single"/>
        </w:rPr>
      </w:pPr>
    </w:p>
    <w:p w14:paraId="0000000B" w14:textId="77777777" w:rsidR="00AF430D" w:rsidRDefault="00AF430D">
      <w:pPr>
        <w:jc w:val="center"/>
        <w:rPr>
          <w:i/>
          <w:iCs/>
        </w:rPr>
      </w:pPr>
    </w:p>
    <w:p w14:paraId="0000000C" w14:textId="77777777" w:rsidR="00AF430D" w:rsidRDefault="00000000">
      <w:pPr>
        <w:jc w:val="center"/>
        <w:rPr>
          <w:i/>
          <w:iCs/>
        </w:rPr>
      </w:pPr>
      <w:r>
        <w:rPr>
          <w:i/>
          <w:iCs/>
        </w:rPr>
        <w:t>Student Name: Sobia kauser</w:t>
      </w:r>
    </w:p>
    <w:p w14:paraId="0000000D" w14:textId="77777777" w:rsidR="00AF430D" w:rsidRDefault="00000000">
      <w:pPr>
        <w:jc w:val="center"/>
        <w:rPr>
          <w:b/>
          <w:bCs/>
          <w:i/>
          <w:iCs/>
          <w:u w:val="single"/>
        </w:rPr>
      </w:pPr>
      <w:r>
        <w:rPr>
          <w:i/>
          <w:iCs/>
        </w:rPr>
        <w:t xml:space="preserve">Student ID: </w:t>
      </w:r>
      <w:r>
        <w:rPr>
          <w:b/>
          <w:bCs/>
          <w:i/>
          <w:iCs/>
          <w:u w:val="single"/>
        </w:rPr>
        <w:t>2243574</w:t>
      </w:r>
    </w:p>
    <w:p w14:paraId="0000000E" w14:textId="77777777" w:rsidR="00AF430D" w:rsidRDefault="00000000">
      <w:pPr>
        <w:jc w:val="center"/>
        <w:rPr>
          <w:i/>
          <w:iCs/>
          <w:u w:val="single"/>
        </w:rPr>
      </w:pPr>
      <w:r>
        <w:rPr>
          <w:b/>
          <w:bCs/>
          <w:i/>
          <w:iCs/>
          <w:u w:val="single"/>
        </w:rPr>
        <w:t>Lecturer name; philip johnes</w:t>
      </w:r>
    </w:p>
    <w:p w14:paraId="0000000F" w14:textId="77777777" w:rsidR="00AF430D" w:rsidRDefault="00000000">
      <w:r>
        <w:br w:type="page"/>
      </w:r>
    </w:p>
    <w:p w14:paraId="00000010" w14:textId="77777777" w:rsidR="00AF430D" w:rsidRDefault="00000000">
      <w:pPr>
        <w:rPr>
          <w:b/>
          <w:bCs/>
          <w:i/>
          <w:iCs/>
          <w:u w:val="single"/>
        </w:rPr>
      </w:pPr>
      <w:r>
        <w:rPr>
          <w:b/>
          <w:bCs/>
          <w:i/>
          <w:iCs/>
          <w:u w:val="single"/>
        </w:rPr>
        <w:lastRenderedPageBreak/>
        <w:t>Table of Contents</w:t>
      </w:r>
    </w:p>
    <w:sdt>
      <w:sdtPr>
        <w:id w:val="893460851"/>
        <w:docPartObj>
          <w:docPartGallery w:val="Table of Contents"/>
          <w:docPartUnique/>
        </w:docPartObj>
      </w:sdtPr>
      <w:sdtContent>
        <w:p w14:paraId="00000011" w14:textId="77777777" w:rsidR="00AF430D" w:rsidRDefault="00000000">
          <w:pPr>
            <w:pBdr>
              <w:top w:val="nil"/>
              <w:left w:val="nil"/>
              <w:bottom w:val="nil"/>
              <w:right w:val="nil"/>
              <w:between w:val="nil"/>
            </w:pBdr>
            <w:tabs>
              <w:tab w:val="left" w:pos="480"/>
              <w:tab w:val="right" w:leader="dot" w:pos="9350"/>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heading=h.m3sih4c5f3xf">
            <w:r>
              <w:rPr>
                <w:color w:val="000000"/>
              </w:rPr>
              <w:t>1</w:t>
            </w:r>
          </w:hyperlink>
          <w:hyperlink w:anchor="_heading=h.m3sih4c5f3xf">
            <w:r>
              <w:rPr>
                <w:rFonts w:ascii="Calibri" w:eastAsia="Calibri" w:hAnsi="Calibri" w:cs="Calibri"/>
                <w:color w:val="000000"/>
              </w:rPr>
              <w:tab/>
            </w:r>
          </w:hyperlink>
          <w:r>
            <w:fldChar w:fldCharType="begin"/>
          </w:r>
          <w:r>
            <w:instrText xml:space="preserve"> PAGEREF _heading=h.m3sih4c5f3xf \h </w:instrText>
          </w:r>
          <w:r>
            <w:fldChar w:fldCharType="separate"/>
          </w:r>
          <w:r>
            <w:rPr>
              <w:color w:val="000000"/>
            </w:rPr>
            <w:t>Introduction</w:t>
          </w:r>
          <w:r>
            <w:rPr>
              <w:color w:val="000000"/>
            </w:rPr>
            <w:tab/>
            <w:t>3</w:t>
          </w:r>
          <w:r>
            <w:fldChar w:fldCharType="end"/>
          </w:r>
        </w:p>
        <w:p w14:paraId="00000012" w14:textId="77777777" w:rsidR="00AF430D" w:rsidRDefault="00000000">
          <w:pPr>
            <w:pBdr>
              <w:top w:val="nil"/>
              <w:left w:val="nil"/>
              <w:bottom w:val="nil"/>
              <w:right w:val="nil"/>
              <w:between w:val="nil"/>
            </w:pBdr>
            <w:tabs>
              <w:tab w:val="left" w:pos="480"/>
              <w:tab w:val="right" w:leader="dot" w:pos="9350"/>
            </w:tabs>
            <w:spacing w:after="100"/>
            <w:rPr>
              <w:rFonts w:ascii="Calibri" w:eastAsia="Calibri" w:hAnsi="Calibri" w:cs="Calibri"/>
              <w:color w:val="000000"/>
            </w:rPr>
          </w:pPr>
          <w:hyperlink w:anchor="_heading=h.z2n63nh18iun">
            <w:r>
              <w:rPr>
                <w:color w:val="000000"/>
              </w:rPr>
              <w:t>2</w:t>
            </w:r>
          </w:hyperlink>
          <w:hyperlink w:anchor="_heading=h.z2n63nh18iun">
            <w:r>
              <w:rPr>
                <w:rFonts w:ascii="Calibri" w:eastAsia="Calibri" w:hAnsi="Calibri" w:cs="Calibri"/>
                <w:color w:val="000000"/>
              </w:rPr>
              <w:tab/>
            </w:r>
          </w:hyperlink>
          <w:r>
            <w:fldChar w:fldCharType="begin"/>
          </w:r>
          <w:r>
            <w:instrText xml:space="preserve"> PAGEREF _heading=h.z2n63nh18iun \h </w:instrText>
          </w:r>
          <w:r>
            <w:fldChar w:fldCharType="separate"/>
          </w:r>
          <w:r>
            <w:rPr>
              <w:color w:val="000000"/>
            </w:rPr>
            <w:t>SDG 3 and SDG 2: Relationship with Health, Wellbeing and Sustainability</w:t>
          </w:r>
          <w:r>
            <w:rPr>
              <w:color w:val="000000"/>
            </w:rPr>
            <w:tab/>
            <w:t>3</w:t>
          </w:r>
          <w:r>
            <w:fldChar w:fldCharType="end"/>
          </w:r>
        </w:p>
        <w:p w14:paraId="00000013" w14:textId="77777777" w:rsidR="00AF430D" w:rsidRDefault="00000000">
          <w:pPr>
            <w:pBdr>
              <w:top w:val="nil"/>
              <w:left w:val="nil"/>
              <w:bottom w:val="nil"/>
              <w:right w:val="nil"/>
              <w:between w:val="nil"/>
            </w:pBdr>
            <w:tabs>
              <w:tab w:val="left" w:pos="880"/>
              <w:tab w:val="right" w:leader="dot" w:pos="9350"/>
            </w:tabs>
            <w:spacing w:after="100"/>
            <w:ind w:left="240"/>
            <w:rPr>
              <w:rFonts w:ascii="Calibri" w:eastAsia="Calibri" w:hAnsi="Calibri" w:cs="Calibri"/>
              <w:color w:val="000000"/>
            </w:rPr>
          </w:pPr>
          <w:hyperlink w:anchor="_heading=h.mz05u6qgicnk">
            <w:r>
              <w:rPr>
                <w:color w:val="000000"/>
              </w:rPr>
              <w:t>2.1</w:t>
            </w:r>
          </w:hyperlink>
          <w:hyperlink w:anchor="_heading=h.mz05u6qgicnk">
            <w:r>
              <w:rPr>
                <w:rFonts w:ascii="Calibri" w:eastAsia="Calibri" w:hAnsi="Calibri" w:cs="Calibri"/>
                <w:color w:val="000000"/>
              </w:rPr>
              <w:tab/>
            </w:r>
          </w:hyperlink>
          <w:r>
            <w:fldChar w:fldCharType="begin"/>
          </w:r>
          <w:r>
            <w:instrText xml:space="preserve"> PAGEREF _heading=h.mz05u6qgicnk \h </w:instrText>
          </w:r>
          <w:r>
            <w:fldChar w:fldCharType="separate"/>
          </w:r>
          <w:r>
            <w:rPr>
              <w:color w:val="000000"/>
            </w:rPr>
            <w:t>SDG 3: Good Health and Wellbeing</w:t>
          </w:r>
          <w:r>
            <w:rPr>
              <w:color w:val="000000"/>
            </w:rPr>
            <w:tab/>
            <w:t>3</w:t>
          </w:r>
          <w:r>
            <w:fldChar w:fldCharType="end"/>
          </w:r>
        </w:p>
        <w:p w14:paraId="00000014" w14:textId="77777777" w:rsidR="00AF430D" w:rsidRDefault="00000000">
          <w:pPr>
            <w:pBdr>
              <w:top w:val="nil"/>
              <w:left w:val="nil"/>
              <w:bottom w:val="nil"/>
              <w:right w:val="nil"/>
              <w:between w:val="nil"/>
            </w:pBdr>
            <w:tabs>
              <w:tab w:val="left" w:pos="880"/>
              <w:tab w:val="right" w:leader="dot" w:pos="9350"/>
            </w:tabs>
            <w:spacing w:after="100"/>
            <w:ind w:left="240"/>
            <w:rPr>
              <w:rFonts w:ascii="Calibri" w:eastAsia="Calibri" w:hAnsi="Calibri" w:cs="Calibri"/>
              <w:color w:val="000000"/>
            </w:rPr>
          </w:pPr>
          <w:hyperlink w:anchor="_heading=h.6gbjkwvdyhru">
            <w:r>
              <w:rPr>
                <w:color w:val="000000"/>
              </w:rPr>
              <w:t>2.2</w:t>
            </w:r>
          </w:hyperlink>
          <w:hyperlink w:anchor="_heading=h.6gbjkwvdyhru">
            <w:r>
              <w:rPr>
                <w:rFonts w:ascii="Calibri" w:eastAsia="Calibri" w:hAnsi="Calibri" w:cs="Calibri"/>
                <w:color w:val="000000"/>
              </w:rPr>
              <w:tab/>
            </w:r>
          </w:hyperlink>
          <w:r>
            <w:fldChar w:fldCharType="begin"/>
          </w:r>
          <w:r>
            <w:instrText xml:space="preserve"> PAGEREF _heading=h.6gbjkwvdyhru \h </w:instrText>
          </w:r>
          <w:r>
            <w:fldChar w:fldCharType="separate"/>
          </w:r>
          <w:r>
            <w:rPr>
              <w:color w:val="000000"/>
            </w:rPr>
            <w:t>SDG 2: Zero Hunger</w:t>
          </w:r>
          <w:r>
            <w:rPr>
              <w:color w:val="000000"/>
            </w:rPr>
            <w:tab/>
            <w:t>4</w:t>
          </w:r>
          <w:r>
            <w:fldChar w:fldCharType="end"/>
          </w:r>
        </w:p>
        <w:p w14:paraId="00000015" w14:textId="77777777" w:rsidR="00AF430D" w:rsidRDefault="00000000">
          <w:pPr>
            <w:pBdr>
              <w:top w:val="nil"/>
              <w:left w:val="nil"/>
              <w:bottom w:val="nil"/>
              <w:right w:val="nil"/>
              <w:between w:val="nil"/>
            </w:pBdr>
            <w:tabs>
              <w:tab w:val="left" w:pos="880"/>
              <w:tab w:val="right" w:leader="dot" w:pos="9350"/>
            </w:tabs>
            <w:spacing w:after="100"/>
            <w:ind w:left="240"/>
            <w:rPr>
              <w:rFonts w:ascii="Calibri" w:eastAsia="Calibri" w:hAnsi="Calibri" w:cs="Calibri"/>
              <w:color w:val="000000"/>
            </w:rPr>
          </w:pPr>
          <w:hyperlink w:anchor="_heading=h.eo1q13n6qfta">
            <w:r>
              <w:rPr>
                <w:color w:val="000000"/>
              </w:rPr>
              <w:t>2.3</w:t>
            </w:r>
          </w:hyperlink>
          <w:hyperlink w:anchor="_heading=h.eo1q13n6qfta">
            <w:r>
              <w:rPr>
                <w:rFonts w:ascii="Calibri" w:eastAsia="Calibri" w:hAnsi="Calibri" w:cs="Calibri"/>
                <w:color w:val="000000"/>
              </w:rPr>
              <w:tab/>
            </w:r>
          </w:hyperlink>
          <w:r>
            <w:fldChar w:fldCharType="begin"/>
          </w:r>
          <w:r>
            <w:instrText xml:space="preserve"> PAGEREF _heading=h.eo1q13n6qfta \h </w:instrText>
          </w:r>
          <w:r>
            <w:fldChar w:fldCharType="separate"/>
          </w:r>
          <w:r>
            <w:rPr>
              <w:color w:val="000000"/>
            </w:rPr>
            <w:t>Provisions of SDG–2  to SDG–3</w:t>
          </w:r>
          <w:r>
            <w:rPr>
              <w:color w:val="000000"/>
            </w:rPr>
            <w:tab/>
            <w:t>4</w:t>
          </w:r>
          <w:r>
            <w:fldChar w:fldCharType="end"/>
          </w:r>
        </w:p>
        <w:p w14:paraId="00000016" w14:textId="77777777" w:rsidR="00AF430D" w:rsidRDefault="00000000">
          <w:pPr>
            <w:pBdr>
              <w:top w:val="nil"/>
              <w:left w:val="nil"/>
              <w:bottom w:val="nil"/>
              <w:right w:val="nil"/>
              <w:between w:val="nil"/>
            </w:pBdr>
            <w:tabs>
              <w:tab w:val="left" w:pos="480"/>
              <w:tab w:val="right" w:leader="dot" w:pos="9350"/>
            </w:tabs>
            <w:spacing w:after="100"/>
            <w:rPr>
              <w:rFonts w:ascii="Calibri" w:eastAsia="Calibri" w:hAnsi="Calibri" w:cs="Calibri"/>
              <w:color w:val="000000"/>
            </w:rPr>
          </w:pPr>
          <w:hyperlink w:anchor="_heading=h.borbz6ir367j">
            <w:r>
              <w:rPr>
                <w:color w:val="000000"/>
              </w:rPr>
              <w:t>3</w:t>
            </w:r>
          </w:hyperlink>
          <w:hyperlink w:anchor="_heading=h.borbz6ir367j">
            <w:r>
              <w:rPr>
                <w:rFonts w:ascii="Calibri" w:eastAsia="Calibri" w:hAnsi="Calibri" w:cs="Calibri"/>
                <w:color w:val="000000"/>
              </w:rPr>
              <w:tab/>
            </w:r>
          </w:hyperlink>
          <w:r>
            <w:fldChar w:fldCharType="begin"/>
          </w:r>
          <w:r>
            <w:instrText xml:space="preserve"> PAGEREF _heading=h.borbz6ir367j \h </w:instrText>
          </w:r>
          <w:r>
            <w:fldChar w:fldCharType="separate"/>
          </w:r>
          <w:r>
            <w:rPr>
              <w:color w:val="000000"/>
            </w:rPr>
            <w:t>Global Policies and Initiatives</w:t>
          </w:r>
          <w:r>
            <w:rPr>
              <w:color w:val="000000"/>
            </w:rPr>
            <w:tab/>
            <w:t>5</w:t>
          </w:r>
          <w:r>
            <w:fldChar w:fldCharType="end"/>
          </w:r>
        </w:p>
        <w:p w14:paraId="00000017" w14:textId="77777777" w:rsidR="00AF430D" w:rsidRDefault="00000000">
          <w:pPr>
            <w:pBdr>
              <w:top w:val="nil"/>
              <w:left w:val="nil"/>
              <w:bottom w:val="nil"/>
              <w:right w:val="nil"/>
              <w:between w:val="nil"/>
            </w:pBdr>
            <w:tabs>
              <w:tab w:val="left" w:pos="480"/>
              <w:tab w:val="right" w:leader="dot" w:pos="9350"/>
            </w:tabs>
            <w:spacing w:after="100"/>
            <w:rPr>
              <w:rFonts w:ascii="Calibri" w:eastAsia="Calibri" w:hAnsi="Calibri" w:cs="Calibri"/>
              <w:color w:val="000000"/>
            </w:rPr>
          </w:pPr>
          <w:hyperlink w:anchor="_heading=h.m3783w6qaoe1">
            <w:r>
              <w:rPr>
                <w:color w:val="000000"/>
              </w:rPr>
              <w:t>4</w:t>
            </w:r>
          </w:hyperlink>
          <w:hyperlink w:anchor="_heading=h.m3783w6qaoe1">
            <w:r>
              <w:rPr>
                <w:rFonts w:ascii="Calibri" w:eastAsia="Calibri" w:hAnsi="Calibri" w:cs="Calibri"/>
                <w:color w:val="000000"/>
              </w:rPr>
              <w:tab/>
            </w:r>
          </w:hyperlink>
          <w:r>
            <w:fldChar w:fldCharType="begin"/>
          </w:r>
          <w:r>
            <w:instrText xml:space="preserve"> PAGEREF _heading=h.m3783w6qaoe1 \h </w:instrText>
          </w:r>
          <w:r>
            <w:fldChar w:fldCharType="separate"/>
          </w:r>
          <w:r>
            <w:rPr>
              <w:color w:val="000000"/>
            </w:rPr>
            <w:t>United Kingdom’s National Policies and Initiatives</w:t>
          </w:r>
          <w:r>
            <w:rPr>
              <w:color w:val="000000"/>
            </w:rPr>
            <w:tab/>
            <w:t>5</w:t>
          </w:r>
          <w:r>
            <w:fldChar w:fldCharType="end"/>
          </w:r>
        </w:p>
        <w:p w14:paraId="00000018" w14:textId="77777777" w:rsidR="00AF430D" w:rsidRDefault="00000000">
          <w:pPr>
            <w:pBdr>
              <w:top w:val="nil"/>
              <w:left w:val="nil"/>
              <w:bottom w:val="nil"/>
              <w:right w:val="nil"/>
              <w:between w:val="nil"/>
            </w:pBdr>
            <w:tabs>
              <w:tab w:val="left" w:pos="480"/>
              <w:tab w:val="right" w:leader="dot" w:pos="9350"/>
            </w:tabs>
            <w:spacing w:after="100"/>
            <w:rPr>
              <w:rFonts w:ascii="Calibri" w:eastAsia="Calibri" w:hAnsi="Calibri" w:cs="Calibri"/>
              <w:color w:val="000000"/>
            </w:rPr>
          </w:pPr>
          <w:hyperlink w:anchor="_heading=h.4rppbkkp5csa">
            <w:r>
              <w:rPr>
                <w:color w:val="000000"/>
              </w:rPr>
              <w:t>5</w:t>
            </w:r>
          </w:hyperlink>
          <w:hyperlink w:anchor="_heading=h.4rppbkkp5csa">
            <w:r>
              <w:rPr>
                <w:rFonts w:ascii="Calibri" w:eastAsia="Calibri" w:hAnsi="Calibri" w:cs="Calibri"/>
                <w:color w:val="000000"/>
              </w:rPr>
              <w:tab/>
            </w:r>
          </w:hyperlink>
          <w:r>
            <w:fldChar w:fldCharType="begin"/>
          </w:r>
          <w:r>
            <w:instrText xml:space="preserve"> PAGEREF _heading=h.4rppbkkp5csa \h </w:instrText>
          </w:r>
          <w:r>
            <w:fldChar w:fldCharType="separate"/>
          </w:r>
          <w:r>
            <w:rPr>
              <w:color w:val="000000"/>
            </w:rPr>
            <w:t>Local Policies and Initiatives</w:t>
          </w:r>
          <w:r>
            <w:rPr>
              <w:color w:val="000000"/>
            </w:rPr>
            <w:tab/>
            <w:t>7</w:t>
          </w:r>
          <w:r>
            <w:fldChar w:fldCharType="end"/>
          </w:r>
        </w:p>
        <w:p w14:paraId="00000019" w14:textId="77777777" w:rsidR="00AF430D" w:rsidRDefault="00000000">
          <w:pPr>
            <w:pBdr>
              <w:top w:val="nil"/>
              <w:left w:val="nil"/>
              <w:bottom w:val="nil"/>
              <w:right w:val="nil"/>
              <w:between w:val="nil"/>
            </w:pBdr>
            <w:tabs>
              <w:tab w:val="left" w:pos="480"/>
              <w:tab w:val="right" w:leader="dot" w:pos="9350"/>
            </w:tabs>
            <w:spacing w:after="100"/>
            <w:rPr>
              <w:rFonts w:ascii="Calibri" w:eastAsia="Calibri" w:hAnsi="Calibri" w:cs="Calibri"/>
              <w:color w:val="000000"/>
            </w:rPr>
          </w:pPr>
          <w:hyperlink w:anchor="_heading=h.mo9jqq5wbj1">
            <w:r>
              <w:rPr>
                <w:color w:val="000000"/>
              </w:rPr>
              <w:t>6</w:t>
            </w:r>
          </w:hyperlink>
          <w:hyperlink w:anchor="_heading=h.mo9jqq5wbj1">
            <w:r>
              <w:rPr>
                <w:rFonts w:ascii="Calibri" w:eastAsia="Calibri" w:hAnsi="Calibri" w:cs="Calibri"/>
                <w:color w:val="000000"/>
              </w:rPr>
              <w:tab/>
            </w:r>
          </w:hyperlink>
          <w:r>
            <w:fldChar w:fldCharType="begin"/>
          </w:r>
          <w:r>
            <w:instrText xml:space="preserve"> PAGEREF _heading=h.mo9jqq5wbj1 \h </w:instrText>
          </w:r>
          <w:r>
            <w:fldChar w:fldCharType="separate"/>
          </w:r>
          <w:r>
            <w:rPr>
              <w:color w:val="000000"/>
            </w:rPr>
            <w:t>Recommendations for Improvement</w:t>
          </w:r>
          <w:r>
            <w:rPr>
              <w:color w:val="000000"/>
            </w:rPr>
            <w:tab/>
            <w:t>8</w:t>
          </w:r>
          <w:r>
            <w:fldChar w:fldCharType="end"/>
          </w:r>
        </w:p>
        <w:p w14:paraId="0000001A" w14:textId="77777777" w:rsidR="00AF430D" w:rsidRDefault="00000000">
          <w:pPr>
            <w:pBdr>
              <w:top w:val="nil"/>
              <w:left w:val="nil"/>
              <w:bottom w:val="nil"/>
              <w:right w:val="nil"/>
              <w:between w:val="nil"/>
            </w:pBdr>
            <w:tabs>
              <w:tab w:val="left" w:pos="480"/>
              <w:tab w:val="right" w:leader="dot" w:pos="9350"/>
            </w:tabs>
            <w:spacing w:after="100"/>
            <w:rPr>
              <w:rFonts w:ascii="Calibri" w:eastAsia="Calibri" w:hAnsi="Calibri" w:cs="Calibri"/>
              <w:color w:val="000000"/>
            </w:rPr>
          </w:pPr>
          <w:hyperlink w:anchor="_heading=h.dkd4es4xs9tp">
            <w:r>
              <w:rPr>
                <w:color w:val="000000"/>
              </w:rPr>
              <w:t>7</w:t>
            </w:r>
          </w:hyperlink>
          <w:hyperlink w:anchor="_heading=h.dkd4es4xs9tp">
            <w:r>
              <w:rPr>
                <w:rFonts w:ascii="Calibri" w:eastAsia="Calibri" w:hAnsi="Calibri" w:cs="Calibri"/>
                <w:color w:val="000000"/>
              </w:rPr>
              <w:tab/>
            </w:r>
          </w:hyperlink>
          <w:r>
            <w:fldChar w:fldCharType="begin"/>
          </w:r>
          <w:r>
            <w:instrText xml:space="preserve"> PAGEREF _heading=h.dkd4es4xs9tp \h </w:instrText>
          </w:r>
          <w:r>
            <w:fldChar w:fldCharType="separate"/>
          </w:r>
          <w:r>
            <w:rPr>
              <w:color w:val="000000"/>
            </w:rPr>
            <w:t>Conclusion</w:t>
          </w:r>
          <w:r>
            <w:rPr>
              <w:color w:val="000000"/>
            </w:rPr>
            <w:tab/>
            <w:t>8</w:t>
          </w:r>
          <w:r>
            <w:fldChar w:fldCharType="end"/>
          </w:r>
        </w:p>
        <w:p w14:paraId="0000001B" w14:textId="77777777" w:rsidR="00AF430D" w:rsidRDefault="00000000">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7ce911mz5j1i">
            <w:r>
              <w:rPr>
                <w:color w:val="000000"/>
              </w:rPr>
              <w:t>References</w:t>
            </w:r>
            <w:r>
              <w:rPr>
                <w:color w:val="000000"/>
              </w:rPr>
              <w:tab/>
              <w:t>10</w:t>
            </w:r>
          </w:hyperlink>
        </w:p>
        <w:p w14:paraId="0000001C" w14:textId="77777777" w:rsidR="00AF430D" w:rsidRDefault="00000000">
          <w:r>
            <w:fldChar w:fldCharType="end"/>
          </w:r>
        </w:p>
      </w:sdtContent>
    </w:sdt>
    <w:p w14:paraId="0000001D" w14:textId="77777777" w:rsidR="00AF430D" w:rsidRDefault="00000000">
      <w:pPr>
        <w:spacing w:before="0" w:after="160" w:line="259" w:lineRule="auto"/>
      </w:pPr>
      <w:r>
        <w:br w:type="page"/>
      </w:r>
    </w:p>
    <w:p w14:paraId="0000001E" w14:textId="77777777" w:rsidR="00AF430D" w:rsidRDefault="00000000">
      <w:pPr>
        <w:pStyle w:val="Heading1"/>
        <w:numPr>
          <w:ilvl w:val="0"/>
          <w:numId w:val="1"/>
        </w:numPr>
      </w:pPr>
      <w:bookmarkStart w:id="0" w:name="_heading=h.m3sih4c5f3xf" w:colFirst="0" w:colLast="0"/>
      <w:bookmarkEnd w:id="0"/>
      <w:r>
        <w:lastRenderedPageBreak/>
        <w:t>Introduction</w:t>
      </w:r>
    </w:p>
    <w:p w14:paraId="0000001F" w14:textId="77777777" w:rsidR="00AF430D" w:rsidRDefault="00000000">
      <w:r>
        <w:t xml:space="preserve">The United Nations Sustainable Development Goals (UNSDGs) are an integrated approach to addressing interconnected social, environmental, and economic challenges that is designed to achieve equity and sustainable development globally by 2030 (UN, 2025). SDG 3 (Good Health and Well-being) focuses on action to reduce preventable deaths, improve health systems, and prevent non-communicable diseases (NCDs) by ensuring universal access to quality health care (WHO, 2024). SDG 3 cannot be achieved without significant contributions from SDG 2 (Zero Hunger), given that both the health benefits of nutrition and sustainable food systems reduce the risk of obesity and promote lifelong health (FAO, 2026). As of 2022, over 1 billion people in the world were overweight or obese, contributing to higher rates of cardiovascular disease, diabetes, and premature death (ECR, 2024). In England, being overweight is one of the largest drivers of preventable disease, driving socioeconomic inequalities in health and creating a cost to the NHS (Health Equity North, 2025). Additionally, the report critically examines global, national and local policies and initiatives that address the SDG 3 and SDG 2 linkage and assesses their effectiveness and evidence-based recommendations for improvement. </w:t>
      </w:r>
    </w:p>
    <w:p w14:paraId="00000020" w14:textId="77777777" w:rsidR="00AF430D" w:rsidRDefault="00AF430D"/>
    <w:p w14:paraId="00000021" w14:textId="77777777" w:rsidR="00AF430D" w:rsidRDefault="00000000">
      <w:pPr>
        <w:pStyle w:val="Heading1"/>
        <w:numPr>
          <w:ilvl w:val="0"/>
          <w:numId w:val="1"/>
        </w:numPr>
      </w:pPr>
      <w:bookmarkStart w:id="1" w:name="_heading=h.z2n63nh18iun" w:colFirst="0" w:colLast="0"/>
      <w:bookmarkEnd w:id="1"/>
      <w:r>
        <w:t>SDG 3 and SDG 2: Relationship with Health, Wellbeing and Sustainability</w:t>
      </w:r>
    </w:p>
    <w:p w14:paraId="00000022" w14:textId="77777777" w:rsidR="00AF430D" w:rsidRDefault="00000000">
      <w:pPr>
        <w:pStyle w:val="Heading2"/>
        <w:numPr>
          <w:ilvl w:val="1"/>
          <w:numId w:val="1"/>
        </w:numPr>
      </w:pPr>
      <w:bookmarkStart w:id="2" w:name="_heading=h.mz05u6qgicnk" w:colFirst="0" w:colLast="0"/>
      <w:bookmarkEnd w:id="2"/>
      <w:r>
        <w:t>SDG 3: Good Health and Wellbeing</w:t>
      </w:r>
    </w:p>
    <w:p w14:paraId="00000023" w14:textId="77777777" w:rsidR="00AF430D" w:rsidRDefault="00000000">
      <w:r>
        <w:t xml:space="preserve">SDG 3 aims to ensure healthy lives by eliminating preventable deaths, bolstering health systems and building wellbeing at all stages of life (Monaco, 2024). Universal Health Coverage is the cornerstone, ensuring fair, equitable and effective access to essential health services without any financial hardship and enhancing the resilience of populations to the health threats that are emerging (The Lancet, 2025). Non-communicable diseases are responsible for about 74% of the deaths each year around the world, where preventive strategies through healthy living, early detection and treatment pathways are essential in an integrated manner (Ibraheem et al., 2025) SDG 3 is also affected by persistent health inequalities, resulting in health outcomes that are significantly deteriorated for the most deprived populations, which are also less likely to achieve healthy life expectancy and experience higher chances of avoidable health risks (WHO, 2024). </w:t>
      </w:r>
    </w:p>
    <w:p w14:paraId="00000024" w14:textId="77777777" w:rsidR="00AF430D" w:rsidRDefault="00AF430D"/>
    <w:p w14:paraId="00000025" w14:textId="77777777" w:rsidR="00AF430D" w:rsidRDefault="00000000">
      <w:pPr>
        <w:pStyle w:val="Heading2"/>
        <w:numPr>
          <w:ilvl w:val="1"/>
          <w:numId w:val="1"/>
        </w:numPr>
      </w:pPr>
      <w:bookmarkStart w:id="3" w:name="_heading=h.6gbjkwvdyhru" w:colFirst="0" w:colLast="0"/>
      <w:bookmarkEnd w:id="3"/>
      <w:r>
        <w:lastRenderedPageBreak/>
        <w:t>SDG 2: Zero Hunger</w:t>
      </w:r>
    </w:p>
    <w:p w14:paraId="00000026" w14:textId="77777777" w:rsidR="00AF430D" w:rsidRDefault="00000000">
      <w:r>
        <w:t>SDG 2 aims to eradicate hunger by ensuring universal access to safe, nutritious and sufficient food throughout the year, particularly for vulnerable populations (The Global Goals, 2025). Food security is a situation in which people have all the physical, social, and economic means to access food on a sufficient basis so that they can lead healthy and active lives (Onyeaka et al., 2024). Poor nutrition continues to be a significant driver of malnutrition in all its forms, including obesity and micronutrient deficiencies and diet-related chronic diseases (Basu et al., 2025). Sustainable food systems support environmentally sustainable production and access to food, fair food distribution, improved food habits, and increased resilience against climate and economic shocks that impact food security in the future, while also supporting health equity (Health Equity North, 2025).</w:t>
      </w:r>
    </w:p>
    <w:p w14:paraId="00000027" w14:textId="77777777" w:rsidR="00AF430D" w:rsidRDefault="00AF430D"/>
    <w:p w14:paraId="00000028" w14:textId="77777777" w:rsidR="00AF430D" w:rsidRDefault="00000000">
      <w:pPr>
        <w:pStyle w:val="Heading2"/>
        <w:numPr>
          <w:ilvl w:val="1"/>
          <w:numId w:val="1"/>
        </w:numPr>
      </w:pPr>
      <w:bookmarkStart w:id="4" w:name="_heading=h.eo1q13n6qfta" w:colFirst="0" w:colLast="0"/>
      <w:bookmarkEnd w:id="4"/>
      <w:r>
        <w:t>Provisions of SDG–</w:t>
      </w:r>
      <w:proofErr w:type="gramStart"/>
      <w:r>
        <w:t>2  to</w:t>
      </w:r>
      <w:proofErr w:type="gramEnd"/>
      <w:r>
        <w:t xml:space="preserve"> SDG–3 </w:t>
      </w:r>
    </w:p>
    <w:p w14:paraId="00000029" w14:textId="77777777" w:rsidR="00AF430D" w:rsidRDefault="00000000">
      <w:r>
        <w:t xml:space="preserve">The SDG 2 directly supports SDG 3 by ensuring food security and nutritious diets decrease exposure to preventable non-communicable diseases among populations (Mathews et al., 2025). Obesity is a multifactorial condition that results from unhealthy diets, sedentary lifestyles, and socioeconomic disadvantage; integrated nutrition and physical activity interventions are needed for obesity prevention (CDC, 2024). Obesity is also linked to a significantly increased risk of type 2 diabetes and cardiovascular disease, which leads to avoidable mortality, high health service demand, and obesity often continues into adulthood, increasing lifetime morbidity, psychological burden and productivity loss (NICE, 2023). Access to affordable, healthy food environments reduces inequalities in health and improves mental wellbeing by making it easier to access healthier diets and strengthen communities (Onyeaka et al., 2024). In addition, a healthier population will also contribute to long-term cost savings for the NHS, through lower treatment costs, greater workforce productivity and support for sustainable economic development (OECD, 2026). This represents progress towards SDG 2 to enable SDG 3 outcomes through prevention-based policies, including the NHS Diabetes Prevention Programme and the Healthy Start Scheme (The Health Foundation, 2025). Thus, the implementation of integrated nutrition policies improves the health of the population, contributing to the sustainable SDG 3 goal of improving health outcomes nationally inclusively.  </w:t>
      </w:r>
    </w:p>
    <w:p w14:paraId="0000002A" w14:textId="77777777" w:rsidR="00AF430D" w:rsidRDefault="00AF430D"/>
    <w:p w14:paraId="0000002B" w14:textId="77777777" w:rsidR="00AF430D" w:rsidRDefault="00000000">
      <w:pPr>
        <w:pStyle w:val="Heading1"/>
        <w:numPr>
          <w:ilvl w:val="0"/>
          <w:numId w:val="1"/>
        </w:numPr>
      </w:pPr>
      <w:bookmarkStart w:id="5" w:name="_heading=h.borbz6ir367j" w:colFirst="0" w:colLast="0"/>
      <w:bookmarkEnd w:id="5"/>
      <w:r>
        <w:t>Global Policies and Initiatives</w:t>
      </w:r>
    </w:p>
    <w:p w14:paraId="0000002C" w14:textId="77777777" w:rsidR="00AF430D" w:rsidRDefault="00000000">
      <w:r>
        <w:t xml:space="preserve">SDG 2 and SDG 3 are linked through healthy diets and physical activity, which are considered essential and interdependent factors in ensuring a sustainable healthy nutrition system with the involvement of different sectors of society (UN Nutrition Website, 2024). The WHO Global Action Plan on Physical Activity 2018–2030 is a plan that provides measurable policy direction for reducing physical inactivity by 15% in the world by 2030 by creating active societies, environments, people and systems (BJSM, 2023). Its major value has been its focus on breaking down silos between various sectors, including transport, education and urban planning; however, implementation remains inconsistent because many countries do not have adequate financial and institutional capacity (Nature, 2026). Despite widespread adoption of the WHO Acceleration Plan, global obesity surpassed the one billion </w:t>
      </w:r>
      <w:proofErr w:type="gramStart"/>
      <w:r>
        <w:t>mark</w:t>
      </w:r>
      <w:proofErr w:type="gramEnd"/>
      <w:r>
        <w:t xml:space="preserve"> in 2022, showing limited effectiveness to date in advancing obesity prevention commitment (Global Health Council, 2025). </w:t>
      </w:r>
    </w:p>
    <w:p w14:paraId="0000002D" w14:textId="77777777" w:rsidR="00AF430D" w:rsidRDefault="00000000">
      <w:r>
        <w:t>Furthermore, the WHO Healthy Diet Guidelines recommend lowering salt intake, free sugars and saturated fat, while increasing fruit, vegetable, and whole grains intake, offering evidence-based guidelines for nutrition policies at a national level (The Nutrition Source, 2026). However, food environments at the commercial level, and the unequal availability of affordable nutritious food, remain major obstacles to dietary improvements, especially for disadvantaged groups (The Lancet, 2025). Although the UN Decade of Action on Nutrition (2016-2025) achieved increased visibility of nutrition in international development agendas and increased accountability from governments, progress has not been uniform due to climate change, conflict and food insecurity affecting sustainable food systems (United Nations Digital Library System, 2026). Collectively, these efforts showed significant strategic coherence and scientific validity, but lack of investment and limited governance and uneven implementation remain substantial barriers to measurable obesity reductions, diet-related health inequalities, and health impacts in different global contexts.</w:t>
      </w:r>
    </w:p>
    <w:p w14:paraId="0000002E" w14:textId="77777777" w:rsidR="00AF430D" w:rsidRDefault="00AF430D"/>
    <w:p w14:paraId="0000002F" w14:textId="77777777" w:rsidR="00AF430D" w:rsidRDefault="00000000">
      <w:pPr>
        <w:pStyle w:val="Heading1"/>
        <w:numPr>
          <w:ilvl w:val="0"/>
          <w:numId w:val="1"/>
        </w:numPr>
      </w:pPr>
      <w:bookmarkStart w:id="6" w:name="_heading=h.m3783w6qaoe1" w:colFirst="0" w:colLast="0"/>
      <w:bookmarkEnd w:id="6"/>
      <w:r>
        <w:t xml:space="preserve">United Kingdom’s National Policies and Initiatives </w:t>
      </w:r>
    </w:p>
    <w:p w14:paraId="00000030" w14:textId="77777777" w:rsidR="00AF430D" w:rsidRDefault="00000000">
      <w:r>
        <w:t xml:space="preserve">The NHS Long Term Plan of the United Kingdom (UK) places a high emphasis on prevention, including the growth of weight management services, diabetes prevention, and personalised care, with obesity identified as one of the key factors leading to avoidable morbidity and health care demand (NHS England, 2025). It is also working to embed prevention in primary care and digital services, which helps to reinforce population health management, though there are still issues around workforce pressures and regional resource disparities that hinder the consistent implementation of this across England (The King's Fund, 2025). Food reduction measures become a priority for policy, as increasing policy focus turns to early-life prevention, including the UK Government Childhood Obesity Plan's regulatory measures on calorie reduction, food reformulation, and healthy school environments (BBC, 2024). However, childhood overweight and obesity continue to disproportionately affect deprived communities, indicating persisting structural socioeconomic inequalities that continue to constrain policies from being effective, even with increased national-level commitments (Global Health Council, 2025). </w:t>
      </w:r>
    </w:p>
    <w:p w14:paraId="00000031" w14:textId="77777777" w:rsidR="00AF430D" w:rsidRDefault="00000000">
      <w:r>
        <w:t xml:space="preserve">The Better Health Campaign has raised awareness about healthy eating, physical activity and weight loss behaviours, but achieving long-term lifestyle change is limited without the presence of more comprehensive environmental and community supports (Campaign Resource Centre, 2022). The Soft Drinks Industry Levy (SDIL) was a successful fiscal policy implementation that saw a significant reformulation of products and sugar reductions before implementation, while not affecting total sales of soft drinks (ECR, 2024). However, evidence indicates consumers frequently substitute other energy-dense foods and drinks, limiting broader dietary improvements beyond sugar-sweetened beverages alone (Nature, 2026). </w:t>
      </w:r>
    </w:p>
    <w:p w14:paraId="00000032" w14:textId="77777777" w:rsidR="00AF430D" w:rsidRDefault="00000000">
      <w:r>
        <w:t xml:space="preserve">The NHS Digital Weight Management Programme aims to increase access to evidence-based behavioural support for adults with obesity and diabetes risk via remote delivery, with a focus on underserved populations, especially those in Monaco (Monaco, 2024). Digital exclusion occurs in specific groups, including older adults, deprived households and those with low digital literacy, which limits access to participation and engagement in programmes in the longer term (The Health Foundation, 2025). The Eatwell Guide is still at the heart of public health nutrition advice in the UK, underpinned by evidence-based nutritional recommendations to support a balanced diet and prevention of chronic disease (NHS Inform, 2023). However, because of the scientific basis, the high food prices and cost of living continue to make healthy food choices a luxury for lower-income households, leading to less equitable nutrition transitions at the national level (FAO, 2026). Consequently, the need for further strengthening of the integrated approach to prevention, a reduction of socio-economic inequalities and an increase in equitable access are fundamental for sustainable success nationally. </w:t>
      </w:r>
    </w:p>
    <w:p w14:paraId="00000033" w14:textId="77777777" w:rsidR="00AF430D" w:rsidRDefault="00AF430D"/>
    <w:p w14:paraId="00000034" w14:textId="77777777" w:rsidR="00AF430D" w:rsidRDefault="00000000">
      <w:pPr>
        <w:pStyle w:val="Heading1"/>
        <w:numPr>
          <w:ilvl w:val="0"/>
          <w:numId w:val="1"/>
        </w:numPr>
      </w:pPr>
      <w:bookmarkStart w:id="7" w:name="_heading=h.4rppbkkp5csa" w:colFirst="0" w:colLast="0"/>
      <w:bookmarkEnd w:id="7"/>
      <w:r>
        <w:t>Local Policies and Initiatives</w:t>
      </w:r>
    </w:p>
    <w:p w14:paraId="00000035" w14:textId="77777777" w:rsidR="00AF430D" w:rsidRDefault="00000000">
      <w:r>
        <w:t xml:space="preserve">Bath and </w:t>
      </w:r>
      <w:proofErr w:type="gramStart"/>
      <w:r>
        <w:t>North East</w:t>
      </w:r>
      <w:proofErr w:type="gramEnd"/>
      <w:r>
        <w:t xml:space="preserve"> Somerset Council aims to improve the health of the community by targeting weight gain in integrated public health interventions to encourage better nutrition, physical activity and obesity prevention in the community (BSW Together, 2026). The Healthy Weight Strategy empowers collaborative efforts between health professionals, schools, community groups and local government by facilitating the integration of interventions across the determinants of obesity across the life course (Mathews et al., 2025). Active Travel programmes create more opportunities to walk and cycle, whilst also addressing environmental sustainability goals and cutting down transport </w:t>
      </w:r>
      <w:proofErr w:type="gramStart"/>
      <w:r>
        <w:t>emissions, and</w:t>
      </w:r>
      <w:proofErr w:type="gramEnd"/>
      <w:r>
        <w:t xml:space="preserve"> increasing opportunities for people to be physically active as part of their everyday lives (West of England Combined Authority, 2024).  </w:t>
      </w:r>
    </w:p>
    <w:p w14:paraId="00000036" w14:textId="77777777" w:rsidR="00AF430D" w:rsidRDefault="00000000">
      <w:r>
        <w:t xml:space="preserve">The school food policies promote healthier eating practices by raising nutritional standards and providing education, which contributes to the establishment of healthy eating habits early in life, when dietary patterns are formed that last a lifetime (Health Equity North, 2025). Community physical activity programmes offer more opportunities for inclusive participation as the sessions are free of charge, but there is a lower uptake of participation among socioeconomically disadvantaged people who may have a lack of financial resources or physical accessibility (Sport England, 2024). Public health campaigns provide targeted communication that promotes healthy lifestyle behaviours, such as weight management, healthier food choices and greater physical activity among various populations (UN Nutrition Website, 2024).  </w:t>
      </w:r>
    </w:p>
    <w:p w14:paraId="00000037" w14:textId="77777777" w:rsidR="00AF430D" w:rsidRDefault="00000000">
      <w:r>
        <w:t>Despite these concerted efforts, inequalities remain as deprived neighbourhoods still have higher rates of obesity, lower levels of healthy life expectancy and lower rates of uptake into preventative health programmes (NIHR Evidence, 2025). Partnership delivery has improved over time, with local outcomes showing a gradual improvement, but limited funding for public health services and workforce capacity and rising living costs remain barriers to the reach and sustainable behavioural change of programmes. (Ibraheem et al., 2025) Thus, the importance of sustaining investments, involving communities in an equitable mode, and engaging in integrated local partnerships will have a positive impact on obesity prevention measures.</w:t>
      </w:r>
    </w:p>
    <w:p w14:paraId="00000038" w14:textId="77777777" w:rsidR="00AF430D" w:rsidRDefault="00AF430D"/>
    <w:p w14:paraId="00000039" w14:textId="77777777" w:rsidR="00AF430D" w:rsidRDefault="00000000">
      <w:pPr>
        <w:pStyle w:val="Heading1"/>
        <w:numPr>
          <w:ilvl w:val="0"/>
          <w:numId w:val="1"/>
        </w:numPr>
      </w:pPr>
      <w:bookmarkStart w:id="8" w:name="_heading=h.mo9jqq5wbj1" w:colFirst="0" w:colLast="0"/>
      <w:bookmarkEnd w:id="8"/>
      <w:r>
        <w:t>Recommendations for Improvement</w:t>
      </w:r>
    </w:p>
    <w:p w14:paraId="0000003A" w14:textId="77777777" w:rsidR="00AF430D" w:rsidRDefault="00000000">
      <w:r>
        <w:t xml:space="preserve">Addressing the cost of healthy foods with targeted subsidies and healthier retail incentives should address dietary inequalities and move lower-income households toward sustainable consumption of nutritious foods (Mathews et al., 2025). There is an opportunity to expand community-based physical activity programmes in deprived neighbourhoods because these programmes would boost participation, improve social inclusion and lead to lower obesity-related disease burdens via accessible preventative interventions (The Lancet, 2025). Improved school nutrition education, combined with improved food environments at school, should help build dietary habits that last a lifetime, helping children to avoid childhood obesity and improve their physical and cognitive functioning and hence their education (CDC, 2024). </w:t>
      </w:r>
    </w:p>
    <w:p w14:paraId="0000003B" w14:textId="77777777" w:rsidR="00AF430D" w:rsidRDefault="00000000">
      <w:r>
        <w:t xml:space="preserve">Improving collaborative working between NHS organisations, local authorities and the voluntary sector </w:t>
      </w:r>
      <w:proofErr w:type="gramStart"/>
      <w:r>
        <w:t>needs</w:t>
      </w:r>
      <w:proofErr w:type="gramEnd"/>
      <w:r>
        <w:t xml:space="preserve"> to include prevention, sharing of information and service coordination, which will enhance health outcomes for the population and minimise the duplication of resources (Health Equity North, 2025). Accessibility to the digital weight management service would be enhanced with increased evidence-based weight management services and targeted technological support to ensure digital inclusion across a range of population groups (Sport England, 2024). Measurable indicators of obesity, nutrition and physical activity should be used regularly to increase accountability of policies to these measures and to make policy adjustments to physical activity in a timely manner based on evidence (ECR, 2024). Thus, comprehensive evidence-based preventive approaches continue to be important for the improvement of population health in a sustainable way. </w:t>
      </w:r>
    </w:p>
    <w:p w14:paraId="0000003C" w14:textId="77777777" w:rsidR="00AF430D" w:rsidRDefault="00AF430D"/>
    <w:p w14:paraId="0000003D" w14:textId="77777777" w:rsidR="00AF430D" w:rsidRDefault="00000000">
      <w:pPr>
        <w:pStyle w:val="Heading1"/>
        <w:numPr>
          <w:ilvl w:val="0"/>
          <w:numId w:val="1"/>
        </w:numPr>
      </w:pPr>
      <w:bookmarkStart w:id="9" w:name="_heading=h.dkd4es4xs9tp" w:colFirst="0" w:colLast="0"/>
      <w:bookmarkEnd w:id="9"/>
      <w:r>
        <w:t>Conclusion</w:t>
      </w:r>
    </w:p>
    <w:p w14:paraId="0000003E" w14:textId="77777777" w:rsidR="00AF430D" w:rsidRDefault="00000000">
      <w:r>
        <w:t xml:space="preserve">In conclusion, SDG 2 and SDG 3 are closely linked as nutrition, food security and healthy lifestyles are essential prerequisites for better population health and prevention of non-communicable diseases. The most cost-effective ways to prevent overweight, obesity, diabetes, cardiovascular disease, and health disparities due to these conditions across all age groups are healthy diets and regular physical activity. Global, national and local initiatives have established comprehensive policy frameworks supporting prevention, healthier environments and integrated public health approaches. However, there are still significant socio-economic inequalities, inequitable access to healthy food, funding shortages and inconsistent implementation that continue to limit measurable long-term impacts. In order to address these structural barriers effectively, a strengthened partnership between the different sectors, consistent funding and evidence-based policy delivery are needed. Ultimately, embedding sustainability within health promotion strategies accelerates progress towards populations, resilient communities and equitable public outcomes sustainably.  </w:t>
      </w:r>
    </w:p>
    <w:p w14:paraId="0000003F" w14:textId="77777777" w:rsidR="00AF430D" w:rsidRDefault="00000000">
      <w:pPr>
        <w:spacing w:before="0" w:after="160" w:line="259" w:lineRule="auto"/>
      </w:pPr>
      <w:r>
        <w:br w:type="page"/>
      </w:r>
    </w:p>
    <w:p w14:paraId="00000040" w14:textId="77777777" w:rsidR="00AF430D" w:rsidRDefault="00000000">
      <w:pPr>
        <w:pStyle w:val="Heading1"/>
      </w:pPr>
      <w:bookmarkStart w:id="10" w:name="_heading=h.7ce911mz5j1i" w:colFirst="0" w:colLast="0"/>
      <w:bookmarkEnd w:id="10"/>
      <w:r>
        <w:t>References</w:t>
      </w:r>
    </w:p>
    <w:p w14:paraId="00000041" w14:textId="77777777" w:rsidR="00AF430D" w:rsidRDefault="00000000">
      <w:pPr>
        <w:ind w:left="720" w:hanging="720"/>
      </w:pPr>
      <w:r>
        <w:t xml:space="preserve">Basu, B., Das, K., and Palodhi, M. (2025). Impact of malnutrition on public health: A Community-Driven approach. In Dietary supplements and nutraceuticals (pp. 727-793). Singapore: Springer Nature Singapore. </w:t>
      </w:r>
    </w:p>
    <w:p w14:paraId="00000042" w14:textId="77777777" w:rsidR="00AF430D" w:rsidRDefault="00000000">
      <w:pPr>
        <w:ind w:left="720" w:hanging="720"/>
      </w:pPr>
      <w:r>
        <w:t xml:space="preserve">BBC (2024). Childhood obesity: Plan attacked as “weak” and “watered down.” BBC News. [online] 18 Aug. Available at: </w:t>
      </w:r>
      <w:hyperlink r:id="rId8">
        <w:r>
          <w:rPr>
            <w:color w:val="0563C1"/>
            <w:u w:val="single"/>
          </w:rPr>
          <w:t>https://www.bbc.com/news/health-37108767</w:t>
        </w:r>
      </w:hyperlink>
      <w:r>
        <w:t xml:space="preserve"> [Accessed 16 July 2026].</w:t>
      </w:r>
    </w:p>
    <w:p w14:paraId="00000043" w14:textId="77777777" w:rsidR="00AF430D" w:rsidRDefault="00000000">
      <w:pPr>
        <w:ind w:left="720" w:hanging="720"/>
      </w:pPr>
      <w:r>
        <w:t xml:space="preserve">BJSM (2023). New global physical activity guidelines for a more active and healthier world: The WHO Regional Offices perspective. British Journal of Sports Medicine, 54(24), pp.1449–1450. doi: </w:t>
      </w:r>
      <w:hyperlink r:id="rId9">
        <w:r>
          <w:rPr>
            <w:color w:val="0563C1"/>
            <w:u w:val="single"/>
          </w:rPr>
          <w:t>https://www.10.1136/bjsports-2020-103531</w:t>
        </w:r>
      </w:hyperlink>
      <w:r>
        <w:t xml:space="preserve"> [Accessed 16 July 2026]. </w:t>
      </w:r>
    </w:p>
    <w:p w14:paraId="00000044" w14:textId="77777777" w:rsidR="00AF430D" w:rsidRDefault="00000000">
      <w:pPr>
        <w:ind w:left="720" w:hanging="720"/>
      </w:pPr>
      <w:r>
        <w:t xml:space="preserve">BSW Together (2026). Bath and </w:t>
      </w:r>
      <w:proofErr w:type="gramStart"/>
      <w:r>
        <w:t>North East</w:t>
      </w:r>
      <w:proofErr w:type="gramEnd"/>
      <w:r>
        <w:t xml:space="preserve"> Somerset, Swindon and Wiltshire Integrated Care System (BSW Together). [online] Available at: </w:t>
      </w:r>
      <w:hyperlink r:id="rId10">
        <w:r>
          <w:rPr>
            <w:color w:val="0563C1"/>
            <w:u w:val="single"/>
          </w:rPr>
          <w:t>https://bswtogether.org.uk/wp-content/uploads/Integrated-Care-Strategy-v4.pdf</w:t>
        </w:r>
      </w:hyperlink>
      <w:r>
        <w:t xml:space="preserve"> [Accessed 16 July 2026]. </w:t>
      </w:r>
    </w:p>
    <w:p w14:paraId="00000045" w14:textId="77777777" w:rsidR="00AF430D" w:rsidRDefault="00000000">
      <w:pPr>
        <w:ind w:left="720" w:hanging="720"/>
      </w:pPr>
      <w:r>
        <w:t xml:space="preserve">Campaign Resource Centre (2022). Better Health Adult Obesity - Campaign Resource Centre. [online] Campaign Resource Centre. Available at: </w:t>
      </w:r>
      <w:hyperlink r:id="rId11">
        <w:r>
          <w:rPr>
            <w:color w:val="0563C1"/>
            <w:u w:val="single"/>
          </w:rPr>
          <w:t>https://campaignresources.dhsc.gov.uk/campaigns/better-health-adult-obesity/</w:t>
        </w:r>
      </w:hyperlink>
      <w:r>
        <w:t xml:space="preserve"> [Accessed 16 July 2026]. </w:t>
      </w:r>
    </w:p>
    <w:p w14:paraId="00000046" w14:textId="77777777" w:rsidR="00AF430D" w:rsidRDefault="00000000">
      <w:pPr>
        <w:ind w:left="720" w:hanging="720"/>
      </w:pPr>
      <w:r>
        <w:t xml:space="preserve">CDC (2024). Risk Factors for Obesity. [online] Centers for Disease Control and Prevention. Available at: </w:t>
      </w:r>
      <w:hyperlink r:id="rId12">
        <w:r>
          <w:rPr>
            <w:color w:val="0563C1"/>
            <w:u w:val="single"/>
          </w:rPr>
          <w:t>https://www.cdc.gov/obesity/risk-factors/risk-factors.html</w:t>
        </w:r>
      </w:hyperlink>
      <w:r>
        <w:t xml:space="preserve"> [Accessed 16 July 2026].</w:t>
      </w:r>
    </w:p>
    <w:p w14:paraId="00000047" w14:textId="77777777" w:rsidR="00AF430D" w:rsidRDefault="00000000">
      <w:pPr>
        <w:ind w:left="720" w:hanging="720"/>
      </w:pPr>
      <w:r>
        <w:t xml:space="preserve">ECR (2024). The Global Obesity Epidemic: Epidemiology, Health Burden and Policy Priorities. [online] ECR Journal. Available at: </w:t>
      </w:r>
      <w:hyperlink r:id="rId13">
        <w:r>
          <w:rPr>
            <w:color w:val="0563C1"/>
            <w:u w:val="single"/>
          </w:rPr>
          <w:t>https://www.ecrjournal.com/articles/global-obesity-epidemic-epidemiology-health-burden-and-policy-priorities?language_content_entity=en</w:t>
        </w:r>
      </w:hyperlink>
      <w:r>
        <w:t xml:space="preserve"> [Accessed 16 July 2026]. </w:t>
      </w:r>
    </w:p>
    <w:p w14:paraId="00000048" w14:textId="77777777" w:rsidR="00AF430D" w:rsidRDefault="00000000">
      <w:pPr>
        <w:ind w:left="720" w:hanging="720"/>
      </w:pPr>
      <w:r>
        <w:t xml:space="preserve">FAO (2026). The Sustainable Development Goals and the FAO Strategic Framework. [online] SDGHelpdesk. Available at: </w:t>
      </w:r>
      <w:hyperlink r:id="rId14">
        <w:r>
          <w:rPr>
            <w:color w:val="0563C1"/>
            <w:u w:val="single"/>
          </w:rPr>
          <w:t>https://www.fao.org/sustainable-development-goals-helpdesk/overview/the-sdgs-and-the-fao-strategic/en</w:t>
        </w:r>
      </w:hyperlink>
      <w:r>
        <w:t xml:space="preserve"> [Accessed 16 July 2026]. </w:t>
      </w:r>
    </w:p>
    <w:p w14:paraId="00000049" w14:textId="77777777" w:rsidR="00AF430D" w:rsidRDefault="00000000">
      <w:pPr>
        <w:ind w:left="720" w:hanging="720"/>
      </w:pPr>
      <w:r>
        <w:t xml:space="preserve">Global Health Council (2025). How the WHO Acceleration Plan to Stop Obesity is unlocking country action. [online] Globalhealth.org. Available at: </w:t>
      </w:r>
      <w:hyperlink r:id="rId15">
        <w:r>
          <w:rPr>
            <w:color w:val="0563C1"/>
            <w:u w:val="single"/>
          </w:rPr>
          <w:t>https://globalhealth.org/event/how-the-who-acceleration-plan-to-stop-obesity-is-unlocking-country-action/</w:t>
        </w:r>
      </w:hyperlink>
      <w:r>
        <w:t xml:space="preserve"> [Accessed 16 July 2026].</w:t>
      </w:r>
    </w:p>
    <w:p w14:paraId="0000004A" w14:textId="77777777" w:rsidR="00AF430D" w:rsidRDefault="00000000">
      <w:pPr>
        <w:ind w:left="720" w:hanging="720"/>
      </w:pPr>
      <w:r>
        <w:t xml:space="preserve">Health Equity North (2025). Food, Health and Nutrition in the North of England: Inequalities and opportunities. [online] Available at: </w:t>
      </w:r>
      <w:hyperlink r:id="rId16">
        <w:r>
          <w:rPr>
            <w:color w:val="0563C1"/>
            <w:u w:val="single"/>
          </w:rPr>
          <w:t>https://www.healthequitynorth.co.uk/app/uploads/NUTRITION-NORTH-REPORT-6-08-07-2025.pdf</w:t>
        </w:r>
      </w:hyperlink>
      <w:r>
        <w:t xml:space="preserve"> [Accessed 16 July 2026].</w:t>
      </w:r>
    </w:p>
    <w:p w14:paraId="0000004B" w14:textId="77777777" w:rsidR="00AF430D" w:rsidRDefault="00000000">
      <w:pPr>
        <w:ind w:left="720" w:hanging="720"/>
      </w:pPr>
      <w:r>
        <w:t xml:space="preserve">Ibraheem, A. S., Nwosu, C. B., Omowumi, R. K., and Ayodapo, A. O. (2025). Managing population health through prevention and early detection of cancer and other non-communicable diseases: a call for action. Discover Public Health, 22(1), 143. </w:t>
      </w:r>
    </w:p>
    <w:p w14:paraId="0000004C" w14:textId="77777777" w:rsidR="00AF430D" w:rsidRDefault="00000000">
      <w:pPr>
        <w:ind w:left="720" w:hanging="720"/>
      </w:pPr>
      <w:bookmarkStart w:id="11" w:name="_heading=h.6744thc9xnrt" w:colFirst="0" w:colLast="0"/>
      <w:bookmarkEnd w:id="11"/>
      <w:r>
        <w:t xml:space="preserve">Mathews, E., Ibáñez, E., Cifuentes, A., and Atanassova, M. (2025). Nutrition and sustainable development goal 3: good health and wellbeing. Frontiers in Nutrition, 11, 1542307. </w:t>
      </w:r>
    </w:p>
    <w:p w14:paraId="0000004D" w14:textId="77777777" w:rsidR="00AF430D" w:rsidRDefault="00000000">
      <w:pPr>
        <w:ind w:left="720" w:hanging="720"/>
      </w:pPr>
      <w:r>
        <w:t xml:space="preserve">Monaco, S. (2024). SDG 3. Ensure healthy lives and promote well-being for all at all ages. In Identity, territories, and sustainability: challenges and opportunities for achieving the UN sustainable development goals (pp. 33-41). Emerald Publishing Limited. </w:t>
      </w:r>
    </w:p>
    <w:p w14:paraId="0000004E" w14:textId="77777777" w:rsidR="00AF430D" w:rsidRDefault="00000000">
      <w:pPr>
        <w:ind w:left="720" w:hanging="720"/>
      </w:pPr>
      <w:r>
        <w:t xml:space="preserve">Nature (2026). Low global physical activity despite two decades of policy progress. Nature Health, 1(3), pp.338–354. doi: </w:t>
      </w:r>
      <w:hyperlink r:id="rId17">
        <w:r>
          <w:rPr>
            <w:color w:val="0563C1"/>
            <w:u w:val="single"/>
          </w:rPr>
          <w:t>https://www.10.1038/s44360-025-00044-3</w:t>
        </w:r>
      </w:hyperlink>
      <w:r>
        <w:t xml:space="preserve"> [Accessed 16 July 2026].</w:t>
      </w:r>
    </w:p>
    <w:p w14:paraId="0000004F" w14:textId="77777777" w:rsidR="00AF430D" w:rsidRDefault="00000000">
      <w:pPr>
        <w:ind w:left="720" w:hanging="720"/>
      </w:pPr>
      <w:r>
        <w:t xml:space="preserve">NHS England (2025). NHS England » NHS diabetes prevention scheme helps one million people. [online] England.nhs.uk. Available at: </w:t>
      </w:r>
      <w:hyperlink r:id="rId18">
        <w:r>
          <w:rPr>
            <w:color w:val="0563C1"/>
            <w:u w:val="single"/>
          </w:rPr>
          <w:t>https://www.england.nhs.uk/2025/12/nhs-diabetes-prevention-scheme-helps-one-million-people/</w:t>
        </w:r>
      </w:hyperlink>
      <w:r>
        <w:t xml:space="preserve"> [Accessed 16 July 2026].</w:t>
      </w:r>
    </w:p>
    <w:p w14:paraId="00000050" w14:textId="77777777" w:rsidR="00AF430D" w:rsidRDefault="00000000">
      <w:pPr>
        <w:ind w:left="720" w:hanging="720"/>
      </w:pPr>
      <w:r>
        <w:t xml:space="preserve">NHS Inform (2023). Eatwell Guide: How to Eat a Healthy Balanced Diet. [online] </w:t>
      </w:r>
      <w:proofErr w:type="gramStart"/>
      <w:r>
        <w:t>Www.nhsinform.scot</w:t>
      </w:r>
      <w:proofErr w:type="gramEnd"/>
      <w:r>
        <w:t xml:space="preserve">. Available at: </w:t>
      </w:r>
      <w:hyperlink r:id="rId19">
        <w:r>
          <w:rPr>
            <w:color w:val="0563C1"/>
            <w:u w:val="single"/>
          </w:rPr>
          <w:t>https://www.nhsinform.scot/healthy-living/food-and-nutrition/eating-well/eatwell-guide-how-to-eat-a-healthy-balanced-diet/</w:t>
        </w:r>
      </w:hyperlink>
      <w:r>
        <w:t xml:space="preserve"> [Accessed 16 July 2026]. </w:t>
      </w:r>
    </w:p>
    <w:p w14:paraId="00000051" w14:textId="77777777" w:rsidR="00AF430D" w:rsidRDefault="00000000">
      <w:pPr>
        <w:ind w:left="720" w:hanging="720"/>
      </w:pPr>
      <w:r>
        <w:t xml:space="preserve">NICE (2023). Cardiovascular disease prevention </w:t>
      </w:r>
      <w:proofErr w:type="gramStart"/>
      <w:r>
        <w:t>Public</w:t>
      </w:r>
      <w:proofErr w:type="gramEnd"/>
      <w:r>
        <w:t xml:space="preserve"> health guideline. [online] Available at: </w:t>
      </w:r>
      <w:hyperlink r:id="rId20">
        <w:r>
          <w:rPr>
            <w:color w:val="0563C1"/>
            <w:u w:val="single"/>
          </w:rPr>
          <w:t>https://www.nice.org.uk/guidance/ph25/resources/cardiovascular-disease-prevention-pdf-1996238687173</w:t>
        </w:r>
      </w:hyperlink>
      <w:r>
        <w:t xml:space="preserve"> [Accessed 16 July 2026]. </w:t>
      </w:r>
    </w:p>
    <w:p w14:paraId="00000052" w14:textId="77777777" w:rsidR="00AF430D" w:rsidRDefault="00000000">
      <w:pPr>
        <w:ind w:left="720" w:hanging="720"/>
      </w:pPr>
      <w:r>
        <w:t xml:space="preserve">NIHR Evidence (2025). How can local authorities reduce </w:t>
      </w:r>
      <w:proofErr w:type="gramStart"/>
      <w:r>
        <w:t>obesity?:</w:t>
      </w:r>
      <w:proofErr w:type="gramEnd"/>
      <w:r>
        <w:t xml:space="preserve"> Insights from NIHR research. doi: </w:t>
      </w:r>
      <w:hyperlink r:id="rId21">
        <w:r>
          <w:rPr>
            <w:color w:val="0563C1"/>
            <w:u w:val="single"/>
          </w:rPr>
          <w:t>https://www.10.3310/nihrevidence_50720</w:t>
        </w:r>
      </w:hyperlink>
      <w:r>
        <w:t xml:space="preserve"> [Accessed 16 July 2026]. </w:t>
      </w:r>
    </w:p>
    <w:p w14:paraId="00000053" w14:textId="77777777" w:rsidR="00AF430D" w:rsidRDefault="00000000">
      <w:pPr>
        <w:ind w:left="720" w:hanging="720"/>
      </w:pPr>
      <w:r>
        <w:t xml:space="preserve">OECD (2026). Health and long-term care: Restoring Public Finances. [online] Organisation for Economic Co-operation and Development. Available at: </w:t>
      </w:r>
      <w:hyperlink r:id="rId22">
        <w:r>
          <w:rPr>
            <w:color w:val="0563C1"/>
            <w:u w:val="single"/>
          </w:rPr>
          <w:t>https://www.oecd.org/en/publications/2026/05/restoring-public-finances_0c1f7ce5/full-report/health-and-long-term-care_6692ee50.html</w:t>
        </w:r>
      </w:hyperlink>
      <w:r>
        <w:t xml:space="preserve"> [Accessed 16 July 2026].</w:t>
      </w:r>
    </w:p>
    <w:p w14:paraId="00000054" w14:textId="77777777" w:rsidR="00AF430D" w:rsidRDefault="00000000">
      <w:pPr>
        <w:ind w:left="720" w:hanging="720"/>
      </w:pPr>
      <w:r>
        <w:t xml:space="preserve">Onyeaka, H., Ejiohuo, O., Taiwo, O. R., Nnaji, N. D., Odeyemi, O. A., Duan, K., ... and Odeyemi, O. (2024). The intersection of food security and mental health in the pursuit of sustainable development goals. Nutrients, 16(13), 2036. </w:t>
      </w:r>
    </w:p>
    <w:p w14:paraId="00000055" w14:textId="77777777" w:rsidR="00AF430D" w:rsidRDefault="00000000">
      <w:pPr>
        <w:ind w:left="720" w:hanging="720"/>
      </w:pPr>
      <w:r>
        <w:t xml:space="preserve">Sport England (2024). Lower socio-economic groups. [online] Sport England. Available at: </w:t>
      </w:r>
      <w:hyperlink r:id="rId23">
        <w:r>
          <w:rPr>
            <w:color w:val="0563C1"/>
            <w:u w:val="single"/>
          </w:rPr>
          <w:t>https://www.sportengland.org/research-and-data/research/lower-socio-economic-groups</w:t>
        </w:r>
      </w:hyperlink>
      <w:r>
        <w:t xml:space="preserve"> [Accessed 16 July 2026].</w:t>
      </w:r>
    </w:p>
    <w:p w14:paraId="00000056" w14:textId="77777777" w:rsidR="00AF430D" w:rsidRDefault="00000000">
      <w:pPr>
        <w:ind w:left="720" w:hanging="720"/>
      </w:pPr>
      <w:r>
        <w:t xml:space="preserve">The Global Goals (2025). Goal 2: Zero Hunger. [online] The Global Goals. Available at: </w:t>
      </w:r>
      <w:hyperlink r:id="rId24">
        <w:r>
          <w:rPr>
            <w:color w:val="0563C1"/>
            <w:u w:val="single"/>
          </w:rPr>
          <w:t>https://globalgoals.org/goals/2-zero-hunger/</w:t>
        </w:r>
      </w:hyperlink>
      <w:r>
        <w:t xml:space="preserve"> [Accessed 16 July 2026].</w:t>
      </w:r>
    </w:p>
    <w:p w14:paraId="00000057" w14:textId="77777777" w:rsidR="00AF430D" w:rsidRDefault="00000000">
      <w:pPr>
        <w:ind w:left="720" w:hanging="720"/>
      </w:pPr>
      <w:r>
        <w:t xml:space="preserve">The Health Foundation (2025). Sustainable Development Goals: Is enough happening to keep us healthy? [online] The Health Foundation. Available at: </w:t>
      </w:r>
      <w:hyperlink r:id="rId25">
        <w:r>
          <w:rPr>
            <w:color w:val="0563C1"/>
            <w:u w:val="single"/>
          </w:rPr>
          <w:t>https://www.health.org.uk/blogs/sustainable-development-goals-%E2%80%93-is-enough-happening-to-keep-us-healthy</w:t>
        </w:r>
      </w:hyperlink>
      <w:r>
        <w:t xml:space="preserve"> [Accessed 16 July 2026]. </w:t>
      </w:r>
    </w:p>
    <w:p w14:paraId="00000058" w14:textId="77777777" w:rsidR="00AF430D" w:rsidRDefault="00000000">
      <w:pPr>
        <w:ind w:left="720" w:hanging="720"/>
      </w:pPr>
      <w:r>
        <w:t xml:space="preserve">The King’s Fund (2025). Supporting digital inclusion in health care. [online] The King’s Fund. Available at: </w:t>
      </w:r>
      <w:hyperlink r:id="rId26">
        <w:r>
          <w:rPr>
            <w:color w:val="0563C1"/>
            <w:u w:val="single"/>
          </w:rPr>
          <w:t>https://www.kingsfund.org.uk/insight-and-analysis/projects/digital-equity</w:t>
        </w:r>
      </w:hyperlink>
      <w:r>
        <w:t xml:space="preserve"> [Accessed 16 July 2026].</w:t>
      </w:r>
    </w:p>
    <w:p w14:paraId="00000059" w14:textId="77777777" w:rsidR="00AF430D" w:rsidRDefault="00000000">
      <w:pPr>
        <w:ind w:left="720" w:hanging="720"/>
      </w:pPr>
      <w:r>
        <w:t xml:space="preserve">The Lancet (2025). Universal health coverage: Necessary, but not enough. The Lancet, [online] 406(10521), p.2727. doi: </w:t>
      </w:r>
      <w:hyperlink r:id="rId27">
        <w:r>
          <w:rPr>
            <w:color w:val="0563C1"/>
            <w:u w:val="single"/>
          </w:rPr>
          <w:t>https://www.10.1016/s0140-6736(25)02511-5</w:t>
        </w:r>
      </w:hyperlink>
      <w:r>
        <w:t xml:space="preserve"> [Accessed 16 July 2026].</w:t>
      </w:r>
    </w:p>
    <w:p w14:paraId="0000005A" w14:textId="77777777" w:rsidR="00AF430D" w:rsidRDefault="00000000">
      <w:pPr>
        <w:ind w:left="720" w:hanging="720"/>
      </w:pPr>
      <w:r>
        <w:t xml:space="preserve">The Nutrition Source (2026). Dietary Guidelines for Americans 2025-2030: Progress on added sugar, protein hype, saturated fat contradictions • The Nutrition Source. [online] The Nutrition Source - Harvard Chan School. Available at: </w:t>
      </w:r>
      <w:hyperlink r:id="rId28">
        <w:r>
          <w:rPr>
            <w:color w:val="0563C1"/>
            <w:u w:val="single"/>
          </w:rPr>
          <w:t>https://nutritionsource.hsph.harvard.edu/2026/01/09/dietary-guidelines-for-americans-2025-2030/</w:t>
        </w:r>
      </w:hyperlink>
      <w:r>
        <w:t xml:space="preserve"> [Accessed 16 July 2026]. </w:t>
      </w:r>
    </w:p>
    <w:p w14:paraId="0000005B" w14:textId="77777777" w:rsidR="00AF430D" w:rsidRDefault="00000000">
      <w:pPr>
        <w:ind w:left="720" w:hanging="720"/>
      </w:pPr>
      <w:r>
        <w:t xml:space="preserve">UN (2025). The 17 sustainable development goals. [online] United Nations. Available at: </w:t>
      </w:r>
      <w:hyperlink r:id="rId29">
        <w:r>
          <w:rPr>
            <w:color w:val="0563C1"/>
            <w:u w:val="single"/>
          </w:rPr>
          <w:t>https://sdgs.un.org/goals</w:t>
        </w:r>
      </w:hyperlink>
      <w:r>
        <w:t xml:space="preserve"> [Accessed 16 July 2026]. </w:t>
      </w:r>
    </w:p>
    <w:p w14:paraId="0000005C" w14:textId="77777777" w:rsidR="00AF430D" w:rsidRDefault="00000000">
      <w:pPr>
        <w:ind w:left="720" w:hanging="720"/>
      </w:pPr>
      <w:r>
        <w:t xml:space="preserve">UN Nutrition Website (2024). Sustainable Diets for Healthy People and a Healthy Planet United Nations System Standing Committee on Nutrition UNSCN. [online] Available at: </w:t>
      </w:r>
      <w:hyperlink r:id="rId30">
        <w:r>
          <w:rPr>
            <w:color w:val="0563C1"/>
            <w:u w:val="single"/>
          </w:rPr>
          <w:t>https://www.unnutrition.org/sites/default/files/2024-02/UNSCN-Sustainable%20Diets%20paper-EN-WEB.pdf</w:t>
        </w:r>
      </w:hyperlink>
      <w:r>
        <w:t xml:space="preserve"> [Accessed 16 July 2026]. </w:t>
      </w:r>
    </w:p>
    <w:p w14:paraId="0000005D" w14:textId="77777777" w:rsidR="00AF430D" w:rsidRDefault="00000000">
      <w:pPr>
        <w:ind w:left="720" w:hanging="720"/>
      </w:pPr>
      <w:r>
        <w:t>United Nations Digital Library System (2026). United Nations Decade of Action on Nutrition (2016-2025</w:t>
      </w:r>
      <w:proofErr w:type="gramStart"/>
      <w:r>
        <w:t>) :</w:t>
      </w:r>
      <w:proofErr w:type="gramEnd"/>
      <w:r>
        <w:t xml:space="preserve"> Resolution / adopted by the General Assembly. [online] United Nations Digital Library System. Available at: </w:t>
      </w:r>
      <w:hyperlink r:id="rId31">
        <w:r>
          <w:rPr>
            <w:color w:val="0563C1"/>
            <w:u w:val="single"/>
          </w:rPr>
          <w:t>https://digitallibrary.un.org/record/827756?ln=en</w:t>
        </w:r>
      </w:hyperlink>
      <w:r>
        <w:t xml:space="preserve"> [Accessed 16 July 2026]. </w:t>
      </w:r>
    </w:p>
    <w:p w14:paraId="0000005E" w14:textId="77777777" w:rsidR="00AF430D" w:rsidRDefault="00000000">
      <w:pPr>
        <w:ind w:left="720" w:hanging="720"/>
      </w:pPr>
      <w:r>
        <w:t xml:space="preserve">West of England Combined Authority (2024). Walking and cycling - West of England Combined Authority. [online] West of England Combined Authority - We deliver economic growth for the region and address challenges around productivity and skills, housing and transport. Available at: </w:t>
      </w:r>
      <w:hyperlink r:id="rId32">
        <w:r>
          <w:rPr>
            <w:color w:val="0563C1"/>
            <w:u w:val="single"/>
          </w:rPr>
          <w:t>https://www.westofengland-ca.gov.uk/what-we-do/transport/walking-cycling/</w:t>
        </w:r>
      </w:hyperlink>
      <w:r>
        <w:t xml:space="preserve"> [Accessed 16 July 2026].</w:t>
      </w:r>
    </w:p>
    <w:p w14:paraId="0000005F" w14:textId="77777777" w:rsidR="00AF430D" w:rsidRDefault="00000000">
      <w:pPr>
        <w:ind w:left="720" w:hanging="720"/>
      </w:pPr>
      <w:r>
        <w:t xml:space="preserve">WHO (2024). Targets of sustainable development goal 3. [online] World Health Organisation. Available at: </w:t>
      </w:r>
      <w:hyperlink r:id="rId33">
        <w:r>
          <w:rPr>
            <w:color w:val="0563C1"/>
            <w:u w:val="single"/>
          </w:rPr>
          <w:t>https://www.who.int/europe/about-us/our-work/sustainable-development-goals/targets-of-sustainable-development-goal-3</w:t>
        </w:r>
      </w:hyperlink>
      <w:r>
        <w:t xml:space="preserve"> [Accessed 16 July 2026]. </w:t>
      </w:r>
    </w:p>
    <w:p w14:paraId="00000060" w14:textId="77777777" w:rsidR="00AF430D" w:rsidRDefault="00AF430D"/>
    <w:p w14:paraId="00000061" w14:textId="77777777" w:rsidR="00AF430D" w:rsidRDefault="00AF430D"/>
    <w:p w14:paraId="00000062" w14:textId="77777777" w:rsidR="00AF430D" w:rsidRDefault="00AF430D"/>
    <w:p w14:paraId="00000063" w14:textId="77777777" w:rsidR="00AF430D" w:rsidRDefault="00AF430D"/>
    <w:sectPr w:rsidR="00AF430D">
      <w:footerReference w:type="default" r:id="rId3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B8A86" w14:textId="77777777" w:rsidR="0017637C" w:rsidRDefault="0017637C">
      <w:pPr>
        <w:spacing w:before="0" w:after="0" w:line="240" w:lineRule="auto"/>
      </w:pPr>
      <w:r>
        <w:separator/>
      </w:r>
    </w:p>
  </w:endnote>
  <w:endnote w:type="continuationSeparator" w:id="0">
    <w:p w14:paraId="70273C12" w14:textId="77777777" w:rsidR="0017637C" w:rsidRDefault="0017637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B2980CD-D8E3-449A-88EB-ECE27BA6A133}"/>
    <w:embedItalic r:id="rId2" w:fontKey="{D768E4C4-1705-4EA9-AB34-ADF98865BC17}"/>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3" w:fontKey="{3344071E-6414-49C8-B650-2A900932F68C}"/>
  </w:font>
  <w:font w:name="Cambria">
    <w:panose1 w:val="02040503050406030204"/>
    <w:charset w:val="00"/>
    <w:family w:val="roman"/>
    <w:pitch w:val="variable"/>
    <w:sig w:usb0="E00006FF" w:usb1="420024FF" w:usb2="02000000" w:usb3="00000000" w:csb0="0000019F" w:csb1="00000000"/>
    <w:embedRegular r:id="rId4" w:fontKey="{8D22EEE0-BC3E-457D-874A-C05FB5CAABF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4" w14:textId="77E769AE" w:rsidR="00AF430D"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E12783">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15B2E" w14:textId="77777777" w:rsidR="0017637C" w:rsidRDefault="0017637C">
      <w:pPr>
        <w:spacing w:before="0" w:after="0" w:line="240" w:lineRule="auto"/>
      </w:pPr>
      <w:r>
        <w:separator/>
      </w:r>
    </w:p>
  </w:footnote>
  <w:footnote w:type="continuationSeparator" w:id="0">
    <w:p w14:paraId="36E8AB2D" w14:textId="77777777" w:rsidR="0017637C" w:rsidRDefault="0017637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F5122"/>
    <w:multiLevelType w:val="multilevel"/>
    <w:tmpl w:val="6AB2D0C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889143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430D"/>
    <w:rsid w:val="00163C50"/>
    <w:rsid w:val="0017637C"/>
    <w:rsid w:val="00AF430D"/>
    <w:rsid w:val="00E12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B99FF20-BAF0-4DF8-B3BB-CF08262B3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before="120" w:after="28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ind w:left="432" w:hanging="432"/>
      <w:outlineLvl w:val="0"/>
    </w:pPr>
    <w:rPr>
      <w:b/>
      <w:bCs/>
      <w:i/>
      <w:iCs/>
    </w:rPr>
  </w:style>
  <w:style w:type="paragraph" w:styleId="Heading2">
    <w:name w:val="heading 2"/>
    <w:basedOn w:val="Normal"/>
    <w:next w:val="Normal"/>
    <w:uiPriority w:val="9"/>
    <w:unhideWhenUsed/>
    <w:qFormat/>
    <w:pPr>
      <w:keepNext/>
      <w:keepLines/>
      <w:spacing w:before="160" w:after="120"/>
      <w:ind w:left="576" w:hanging="576"/>
      <w:outlineLvl w:val="1"/>
    </w:pPr>
    <w:rPr>
      <w:i/>
      <w:iCs/>
    </w:rPr>
  </w:style>
  <w:style w:type="paragraph" w:styleId="Heading3">
    <w:name w:val="heading 3"/>
    <w:basedOn w:val="Normal"/>
    <w:next w:val="Normal"/>
    <w:uiPriority w:val="9"/>
    <w:semiHidden/>
    <w:unhideWhenUsed/>
    <w:qFormat/>
    <w:pPr>
      <w:keepNext/>
      <w:keepLines/>
      <w:spacing w:before="160" w:after="120"/>
      <w:ind w:left="720" w:hanging="720"/>
      <w:jc w:val="center"/>
      <w:outlineLvl w:val="2"/>
    </w:pPr>
    <w:rPr>
      <w:b/>
      <w:bCs/>
    </w:rPr>
  </w:style>
  <w:style w:type="paragraph" w:styleId="Heading4">
    <w:name w:val="heading 4"/>
    <w:basedOn w:val="Normal"/>
    <w:next w:val="Normal"/>
    <w:uiPriority w:val="9"/>
    <w:semiHidden/>
    <w:unhideWhenUsed/>
    <w:qFormat/>
    <w:pPr>
      <w:keepNext/>
      <w:keepLines/>
      <w:spacing w:before="40" w:after="0"/>
      <w:ind w:left="864" w:hanging="864"/>
      <w:outlineLvl w:val="3"/>
    </w:pPr>
    <w:rPr>
      <w:rFonts w:ascii="Calibri" w:eastAsia="Calibri" w:hAnsi="Calibri" w:cs="Calibri"/>
      <w:i/>
      <w:iCs/>
      <w:color w:val="2E75B5"/>
    </w:rPr>
  </w:style>
  <w:style w:type="paragraph" w:styleId="Heading5">
    <w:name w:val="heading 5"/>
    <w:basedOn w:val="Normal"/>
    <w:next w:val="Normal"/>
    <w:uiPriority w:val="9"/>
    <w:semiHidden/>
    <w:unhideWhenUsed/>
    <w:qFormat/>
    <w:pPr>
      <w:keepNext/>
      <w:keepLines/>
      <w:spacing w:before="40" w:after="0"/>
      <w:ind w:left="1008" w:hanging="1008"/>
      <w:outlineLvl w:val="4"/>
    </w:pPr>
    <w:rPr>
      <w:rFonts w:ascii="Calibri" w:eastAsia="Calibri" w:hAnsi="Calibri" w:cs="Calibri"/>
      <w:color w:val="2E75B5"/>
    </w:rPr>
  </w:style>
  <w:style w:type="paragraph" w:styleId="Heading6">
    <w:name w:val="heading 6"/>
    <w:basedOn w:val="Normal"/>
    <w:next w:val="Normal"/>
    <w:uiPriority w:val="9"/>
    <w:semiHidden/>
    <w:unhideWhenUsed/>
    <w:qFormat/>
    <w:pPr>
      <w:keepNext/>
      <w:keepLines/>
      <w:spacing w:before="40" w:after="0"/>
      <w:ind w:left="1152" w:hanging="1152"/>
      <w:outlineLvl w:val="5"/>
    </w:pPr>
    <w:rPr>
      <w:rFonts w:ascii="Calibri" w:eastAsia="Calibri" w:hAnsi="Calibri" w:cs="Calibri"/>
      <w:color w:val="1E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ecrjournal.com/articles/global-obesity-epidemic-epidemiology-health-burden-and-policy-priorities?language_content_entity=en" TargetMode="External"/><Relationship Id="rId18" Type="http://schemas.openxmlformats.org/officeDocument/2006/relationships/hyperlink" Target="https://www.england.nhs.uk/2025/12/nhs-diabetes-prevention-scheme-helps-one-million-people/" TargetMode="External"/><Relationship Id="rId26" Type="http://schemas.openxmlformats.org/officeDocument/2006/relationships/hyperlink" Target="https://www.kingsfund.org.uk/insight-and-analysis/projects/digital-equity" TargetMode="External"/><Relationship Id="rId3" Type="http://schemas.openxmlformats.org/officeDocument/2006/relationships/styles" Target="styles.xml"/><Relationship Id="rId21" Type="http://schemas.openxmlformats.org/officeDocument/2006/relationships/hyperlink" Target="about:blank"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dc.gov/obesity/risk-factors/risk-factors.html" TargetMode="External"/><Relationship Id="rId17" Type="http://schemas.openxmlformats.org/officeDocument/2006/relationships/hyperlink" Target="about:blank" TargetMode="External"/><Relationship Id="rId25" Type="http://schemas.openxmlformats.org/officeDocument/2006/relationships/hyperlink" Target="https://www.health.org.uk/blogs/sustainable-development-goals-%E2%80%93-is-enough-happening-to-keep-us-healthy" TargetMode="External"/><Relationship Id="rId33" Type="http://schemas.openxmlformats.org/officeDocument/2006/relationships/hyperlink" Target="https://www.who.int/europe/about-us/our-work/sustainable-development-goals/targets-of-sustainable-development-goal-3" TargetMode="External"/><Relationship Id="rId2" Type="http://schemas.openxmlformats.org/officeDocument/2006/relationships/numbering" Target="numbering.xml"/><Relationship Id="rId16" Type="http://schemas.openxmlformats.org/officeDocument/2006/relationships/hyperlink" Target="https://www.healthequitynorth.co.uk/app/uploads/NUTRITION-NORTH-REPORT-6-08-07-2025.pdf" TargetMode="External"/><Relationship Id="rId20" Type="http://schemas.openxmlformats.org/officeDocument/2006/relationships/hyperlink" Target="https://www.nice.org.uk/guidance/ph25/resources/cardiovascular-disease-prevention-pdf-1996238687173" TargetMode="External"/><Relationship Id="rId29" Type="http://schemas.openxmlformats.org/officeDocument/2006/relationships/hyperlink" Target="https://sdgs.un.org/goa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mpaignresources.dhsc.gov.uk/campaigns/better-health-adult-obesity/" TargetMode="External"/><Relationship Id="rId24" Type="http://schemas.openxmlformats.org/officeDocument/2006/relationships/hyperlink" Target="https://globalgoals.org/goals/2-zero-hunger/" TargetMode="External"/><Relationship Id="rId32" Type="http://schemas.openxmlformats.org/officeDocument/2006/relationships/hyperlink" Target="https://www.westofengland-ca.gov.uk/what-we-do/transport/walking-cycling/" TargetMode="External"/><Relationship Id="rId5" Type="http://schemas.openxmlformats.org/officeDocument/2006/relationships/webSettings" Target="webSettings.xml"/><Relationship Id="rId15" Type="http://schemas.openxmlformats.org/officeDocument/2006/relationships/hyperlink" Target="https://globalhealth.org/event/how-the-who-acceleration-plan-to-stop-obesity-is-unlocking-country-action/" TargetMode="External"/><Relationship Id="rId23" Type="http://schemas.openxmlformats.org/officeDocument/2006/relationships/hyperlink" Target="https://www.sportengland.org/research-and-data/research/lower-socio-economic-groups" TargetMode="External"/><Relationship Id="rId28" Type="http://schemas.openxmlformats.org/officeDocument/2006/relationships/hyperlink" Target="https://nutritionsource.hsph.harvard.edu/2026/01/09/dietary-guidelines-for-americans-2025-2030/" TargetMode="External"/><Relationship Id="rId36" Type="http://schemas.openxmlformats.org/officeDocument/2006/relationships/theme" Target="theme/theme1.xml"/><Relationship Id="rId10" Type="http://schemas.openxmlformats.org/officeDocument/2006/relationships/hyperlink" Target="https://bswtogether.org.uk/wp-content/uploads/Integrated-Care-Strategy-v4.pdf" TargetMode="External"/><Relationship Id="rId19" Type="http://schemas.openxmlformats.org/officeDocument/2006/relationships/hyperlink" Target="https://www.nhsinform.scot/healthy-living/food-and-nutrition/eating-well/eatwell-guide-how-to-eat-a-healthy-balanced-diet/" TargetMode="External"/><Relationship Id="rId31" Type="http://schemas.openxmlformats.org/officeDocument/2006/relationships/hyperlink" Target="https://digitallibrary.un.org/record/827756?ln=en"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https://www.fao.org/sustainable-development-goals-helpdesk/overview/the-sdgs-and-the-fao-strategic/en" TargetMode="External"/><Relationship Id="rId22" Type="http://schemas.openxmlformats.org/officeDocument/2006/relationships/hyperlink" Target="https://www.oecd.org/en/publications/2026/05/restoring-public-finances_0c1f7ce5/full-report/health-and-long-term-care_6692ee50.html" TargetMode="External"/><Relationship Id="rId27" Type="http://schemas.openxmlformats.org/officeDocument/2006/relationships/hyperlink" Target="about:blank" TargetMode="External"/><Relationship Id="rId30" Type="http://schemas.openxmlformats.org/officeDocument/2006/relationships/hyperlink" Target="https://www.unnutrition.org/sites/default/files/2024-02/UNSCN-Sustainable%20Diets%20paper-EN-WEB.pdf" TargetMode="External"/><Relationship Id="rId35" Type="http://schemas.openxmlformats.org/officeDocument/2006/relationships/fontTable" Target="fontTable.xml"/><Relationship Id="rId8" Type="http://schemas.openxmlformats.org/officeDocument/2006/relationships/hyperlink" Target="https://www.bbc.com/news/health-3710876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9lXjIrXdrveYFEQ4eiMM2hs3XXQ==">CgMxLjAyDmgubTNzaWg0YzVmM3hmMg5oLnoybjYzbmgxOGl1bjIOaC5tejA1dTZxZ2ljbmsyDmguNmdiamt3dmR5aHJ1Mg5oLmVvMXExM242cWZ0YTIOaC5ib3JiejZpcjM2N2oyDmgubTM3ODN3NnFhb2UxMg5oLjRycHBia2twNWNzYTINaC5tbzlqcXE1d2JqMTIOaC5ka2Q0ZXM0eHM5dHAyDmguN2NlOTExbXo1ajFpMg5oLjY3NDR0aGM5eG5ydDgAciExSTkyMzBtd0hUci1nQ3BEZ2RUd2xCb2ZxVDI0dnh3Zm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4123</Words>
  <Characters>23506</Characters>
  <Application>Microsoft Office Word</Application>
  <DocSecurity>0</DocSecurity>
  <Lines>195</Lines>
  <Paragraphs>55</Paragraphs>
  <ScaleCrop>false</ScaleCrop>
  <Company/>
  <LinksUpToDate>false</LinksUpToDate>
  <CharactersWithSpaces>27574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sobia kauser</dc:creator>
  <cp:lastModifiedBy>sobia kauser</cp:lastModifiedBy>
  <cp:revision>2</cp:revision>
  <dcterms:created xsi:type="dcterms:W3CDTF">2026-07-19T00:08:00Z</dcterms:created>
  <dcterms:modified xsi:type="dcterms:W3CDTF">2026-07-19T00:08:00Z</dcterms:modified>
</cp:coreProperties>
</file>