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E66A4" w14:textId="77777777" w:rsidR="00BB0FE9" w:rsidRDefault="00000000">
      <w:pPr>
        <w:spacing w:before="1400"/>
        <w:jc w:val="center"/>
      </w:pPr>
      <w:r>
        <w:rPr>
          <w:b/>
          <w:color w:val="1F4E79"/>
          <w:sz w:val="48"/>
        </w:rPr>
        <w:t>Design Thinking and Innovation Portfolio</w:t>
      </w:r>
    </w:p>
    <w:p w14:paraId="2A549126" w14:textId="77777777" w:rsidR="00BB0FE9" w:rsidRDefault="00000000">
      <w:pPr>
        <w:jc w:val="center"/>
      </w:pPr>
      <w:r>
        <w:rPr>
          <w:b/>
          <w:color w:val="505050"/>
          <w:sz w:val="32"/>
        </w:rPr>
        <w:t>Task 1 and Task 2</w:t>
      </w:r>
    </w:p>
    <w:p w14:paraId="0951241E" w14:textId="77777777" w:rsidR="00BB0FE9" w:rsidRDefault="00000000">
      <w:pPr>
        <w:spacing w:before="440"/>
        <w:jc w:val="center"/>
      </w:pPr>
      <w:r>
        <w:rPr>
          <w:i/>
          <w:color w:val="232323"/>
          <w:sz w:val="24"/>
        </w:rPr>
        <w:t>Official Company Case: Shopify in the UK SME Digital Commerce Market</w:t>
      </w:r>
    </w:p>
    <w:p w14:paraId="08E3470D" w14:textId="77777777" w:rsidR="00BB0FE9" w:rsidRDefault="00000000">
      <w:pPr>
        <w:spacing w:before="900"/>
        <w:jc w:val="center"/>
      </w:pPr>
      <w:r>
        <w:rPr>
          <w:b/>
          <w:color w:val="232323"/>
        </w:rPr>
        <w:t xml:space="preserve">Student name: </w:t>
      </w:r>
      <w:r>
        <w:rPr>
          <w:color w:val="232323"/>
        </w:rPr>
        <w:t>Cristian Petrus Dica</w:t>
      </w:r>
      <w:r>
        <w:br/>
      </w:r>
      <w:r>
        <w:rPr>
          <w:b/>
          <w:color w:val="232323"/>
        </w:rPr>
        <w:t xml:space="preserve">Student ID: </w:t>
      </w:r>
      <w:r>
        <w:rPr>
          <w:color w:val="232323"/>
        </w:rPr>
        <w:t>2332747</w:t>
      </w:r>
      <w:r>
        <w:br/>
      </w:r>
      <w:r>
        <w:rPr>
          <w:b/>
          <w:color w:val="232323"/>
        </w:rPr>
        <w:t xml:space="preserve">Module: </w:t>
      </w:r>
      <w:r>
        <w:rPr>
          <w:color w:val="232323"/>
        </w:rPr>
        <w:t>Design Thinking and Innovation (LCLM6002_BIRM)</w:t>
      </w:r>
      <w:r>
        <w:br/>
      </w:r>
      <w:r>
        <w:rPr>
          <w:b/>
          <w:color w:val="232323"/>
        </w:rPr>
        <w:t xml:space="preserve">Lecturer: </w:t>
      </w:r>
      <w:r>
        <w:rPr>
          <w:color w:val="232323"/>
        </w:rPr>
        <w:t>Navid Nasirpourosgoei</w:t>
      </w:r>
      <w:r>
        <w:br/>
      </w:r>
    </w:p>
    <w:p w14:paraId="5D556743" w14:textId="77777777" w:rsidR="00BB0FE9" w:rsidRDefault="00000000">
      <w:r>
        <w:br w:type="page"/>
      </w:r>
    </w:p>
    <w:p w14:paraId="30676D4D" w14:textId="77777777" w:rsidR="00BB0FE9" w:rsidRDefault="00000000">
      <w:pPr>
        <w:pStyle w:val="TOCTitleCustom"/>
      </w:pPr>
      <w:r>
        <w:lastRenderedPageBreak/>
        <w:t>Table of Contents</w:t>
      </w:r>
    </w:p>
    <w:sdt>
      <w:sdtPr>
        <w:id w:val="-1169405828"/>
        <w:docPartObj>
          <w:docPartGallery w:val="Table of Contents"/>
          <w:docPartUnique/>
        </w:docPartObj>
      </w:sdtPr>
      <w:sdtContent>
        <w:p w14:paraId="0AD8F566" w14:textId="77777777" w:rsidR="00BB0FE9" w:rsidRDefault="00000000">
          <w:pPr>
            <w:pStyle w:val="TOC1"/>
            <w:tabs>
              <w:tab w:val="clear" w:pos="9525"/>
              <w:tab w:val="right" w:leader="dot" w:pos="9524"/>
            </w:tabs>
          </w:pPr>
          <w:r>
            <w:fldChar w:fldCharType="begin"/>
          </w:r>
          <w:r>
            <w:rPr>
              <w:rStyle w:val="IndexLink"/>
              <w:webHidden/>
            </w:rPr>
            <w:instrText xml:space="preserve"> TOC \z \o "1-2" \u \h</w:instrText>
          </w:r>
          <w:r>
            <w:rPr>
              <w:rStyle w:val="IndexLink"/>
            </w:rPr>
            <w:fldChar w:fldCharType="separate"/>
          </w:r>
          <w:hyperlink w:anchor="__RefHeading___Toc792_2097188755">
            <w:r>
              <w:rPr>
                <w:rStyle w:val="IndexLink"/>
                <w:webHidden/>
              </w:rPr>
              <w:t>Executive Summary</w:t>
            </w:r>
            <w:r>
              <w:rPr>
                <w:rStyle w:val="IndexLink"/>
                <w:webHidden/>
              </w:rPr>
              <w:tab/>
              <w:t>3</w:t>
            </w:r>
          </w:hyperlink>
        </w:p>
        <w:p w14:paraId="404AF60A" w14:textId="77777777" w:rsidR="00BB0FE9" w:rsidRDefault="00000000">
          <w:pPr>
            <w:pStyle w:val="TOC1"/>
            <w:tabs>
              <w:tab w:val="clear" w:pos="9525"/>
              <w:tab w:val="right" w:leader="dot" w:pos="9524"/>
            </w:tabs>
          </w:pPr>
          <w:hyperlink w:anchor="__RefHeading___Toc794_2097188755">
            <w:r>
              <w:rPr>
                <w:rStyle w:val="IndexLink"/>
                <w:webHidden/>
              </w:rPr>
              <w:t>1. Introduction and Methodological Approach</w:t>
            </w:r>
            <w:r>
              <w:rPr>
                <w:rStyle w:val="IndexLink"/>
                <w:webHidden/>
              </w:rPr>
              <w:tab/>
              <w:t>3</w:t>
            </w:r>
          </w:hyperlink>
        </w:p>
        <w:p w14:paraId="16CDA903" w14:textId="77777777" w:rsidR="00BB0FE9" w:rsidRDefault="00000000">
          <w:pPr>
            <w:pStyle w:val="TOC1"/>
            <w:tabs>
              <w:tab w:val="clear" w:pos="9525"/>
              <w:tab w:val="right" w:leader="dot" w:pos="9524"/>
            </w:tabs>
          </w:pPr>
          <w:hyperlink w:anchor="__RefHeading___Toc796_2097188755">
            <w:r>
              <w:rPr>
                <w:rStyle w:val="IndexLink"/>
                <w:webHidden/>
              </w:rPr>
              <w:t>2. Task 1: UK Market Opportunities Through a Design Thinking Lens</w:t>
            </w:r>
            <w:r>
              <w:rPr>
                <w:rStyle w:val="IndexLink"/>
                <w:webHidden/>
              </w:rPr>
              <w:tab/>
              <w:t>4</w:t>
            </w:r>
          </w:hyperlink>
        </w:p>
        <w:p w14:paraId="6AD9A796" w14:textId="77777777" w:rsidR="00BB0FE9" w:rsidRDefault="00000000">
          <w:pPr>
            <w:pStyle w:val="TOC2"/>
            <w:tabs>
              <w:tab w:val="clear" w:pos="9242"/>
              <w:tab w:val="right" w:leader="dot" w:pos="9524"/>
            </w:tabs>
          </w:pPr>
          <w:hyperlink w:anchor="__RefHeading___Toc798_2097188755">
            <w:r>
              <w:rPr>
                <w:rStyle w:val="IndexLink"/>
                <w:webHidden/>
              </w:rPr>
              <w:t>2.1 Empathising with the Market</w:t>
            </w:r>
            <w:r>
              <w:rPr>
                <w:rStyle w:val="IndexLink"/>
                <w:webHidden/>
              </w:rPr>
              <w:tab/>
              <w:t>4</w:t>
            </w:r>
          </w:hyperlink>
        </w:p>
        <w:p w14:paraId="3AFF1AFB" w14:textId="77777777" w:rsidR="00BB0FE9" w:rsidRDefault="00000000">
          <w:pPr>
            <w:pStyle w:val="TOC2"/>
            <w:tabs>
              <w:tab w:val="clear" w:pos="9242"/>
              <w:tab w:val="right" w:leader="dot" w:pos="9524"/>
            </w:tabs>
          </w:pPr>
          <w:hyperlink w:anchor="__RefHeading___Toc800_2097188755">
            <w:r>
              <w:rPr>
                <w:rStyle w:val="IndexLink"/>
                <w:webHidden/>
              </w:rPr>
              <w:t>2.2 E-commerce and Booking Enablement</w:t>
            </w:r>
            <w:r>
              <w:rPr>
                <w:rStyle w:val="IndexLink"/>
                <w:webHidden/>
              </w:rPr>
              <w:tab/>
              <w:t>4</w:t>
            </w:r>
          </w:hyperlink>
        </w:p>
        <w:p w14:paraId="67BAE1D4" w14:textId="77777777" w:rsidR="00BB0FE9" w:rsidRDefault="00000000">
          <w:pPr>
            <w:pStyle w:val="TOC2"/>
            <w:tabs>
              <w:tab w:val="clear" w:pos="9242"/>
              <w:tab w:val="right" w:leader="dot" w:pos="9524"/>
            </w:tabs>
          </w:pPr>
          <w:hyperlink w:anchor="__RefHeading___Toc802_2097188755">
            <w:r>
              <w:rPr>
                <w:rStyle w:val="IndexLink"/>
                <w:webHidden/>
              </w:rPr>
              <w:t>2.3 Local Digital Marketing and Customer Relationships</w:t>
            </w:r>
            <w:r>
              <w:rPr>
                <w:rStyle w:val="IndexLink"/>
                <w:webHidden/>
              </w:rPr>
              <w:tab/>
              <w:t>4</w:t>
            </w:r>
          </w:hyperlink>
        </w:p>
        <w:p w14:paraId="07766945" w14:textId="77777777" w:rsidR="00BB0FE9" w:rsidRDefault="00000000">
          <w:pPr>
            <w:pStyle w:val="TOC2"/>
            <w:tabs>
              <w:tab w:val="clear" w:pos="9242"/>
              <w:tab w:val="right" w:leader="dot" w:pos="9524"/>
            </w:tabs>
          </w:pPr>
          <w:hyperlink w:anchor="__RefHeading___Toc804_2097188755">
            <w:r>
              <w:rPr>
                <w:rStyle w:val="IndexLink"/>
                <w:webHidden/>
              </w:rPr>
              <w:t>2.4 Integrated POS, Payments and Inventory</w:t>
            </w:r>
            <w:r>
              <w:rPr>
                <w:rStyle w:val="IndexLink"/>
                <w:webHidden/>
              </w:rPr>
              <w:tab/>
              <w:t>5</w:t>
            </w:r>
          </w:hyperlink>
        </w:p>
        <w:p w14:paraId="64B13B14" w14:textId="77777777" w:rsidR="00BB0FE9" w:rsidRDefault="00000000">
          <w:pPr>
            <w:pStyle w:val="TOC2"/>
            <w:tabs>
              <w:tab w:val="clear" w:pos="9242"/>
              <w:tab w:val="right" w:leader="dot" w:pos="9524"/>
            </w:tabs>
          </w:pPr>
          <w:hyperlink w:anchor="__RefHeading___Toc806_2097188755">
            <w:r>
              <w:rPr>
                <w:rStyle w:val="IndexLink"/>
                <w:webHidden/>
              </w:rPr>
              <w:t>2.5 Local Fulfilment and Last-Mile Coordination</w:t>
            </w:r>
            <w:r>
              <w:rPr>
                <w:rStyle w:val="IndexLink"/>
                <w:webHidden/>
              </w:rPr>
              <w:tab/>
              <w:t>5</w:t>
            </w:r>
          </w:hyperlink>
        </w:p>
        <w:p w14:paraId="7E346540" w14:textId="77777777" w:rsidR="00BB0FE9" w:rsidRDefault="00000000">
          <w:pPr>
            <w:pStyle w:val="TOC2"/>
            <w:tabs>
              <w:tab w:val="clear" w:pos="9242"/>
              <w:tab w:val="right" w:leader="dot" w:pos="9524"/>
            </w:tabs>
          </w:pPr>
          <w:hyperlink w:anchor="__RefHeading___Toc808_2097188755">
            <w:r>
              <w:rPr>
                <w:rStyle w:val="IndexLink"/>
                <w:webHidden/>
              </w:rPr>
              <w:t>2.6 Supported Adoption and Digital Inclusion</w:t>
            </w:r>
            <w:r>
              <w:rPr>
                <w:rStyle w:val="IndexLink"/>
                <w:webHidden/>
              </w:rPr>
              <w:tab/>
              <w:t>6</w:t>
            </w:r>
          </w:hyperlink>
        </w:p>
        <w:p w14:paraId="3B1D332C" w14:textId="77777777" w:rsidR="00BB0FE9" w:rsidRDefault="00000000">
          <w:pPr>
            <w:pStyle w:val="TOC2"/>
            <w:tabs>
              <w:tab w:val="clear" w:pos="9242"/>
              <w:tab w:val="right" w:leader="dot" w:pos="9524"/>
            </w:tabs>
          </w:pPr>
          <w:hyperlink w:anchor="__RefHeading___Toc810_2097188755">
            <w:r>
              <w:rPr>
                <w:rStyle w:val="IndexLink"/>
                <w:webHidden/>
              </w:rPr>
              <w:t>2.7 Opportunity Prioritisation and Critical Evaluation</w:t>
            </w:r>
            <w:r>
              <w:rPr>
                <w:rStyle w:val="IndexLink"/>
                <w:webHidden/>
              </w:rPr>
              <w:tab/>
              <w:t>6</w:t>
            </w:r>
          </w:hyperlink>
        </w:p>
        <w:p w14:paraId="6A41009D" w14:textId="77777777" w:rsidR="00BB0FE9" w:rsidRDefault="00000000">
          <w:pPr>
            <w:pStyle w:val="TOC1"/>
            <w:tabs>
              <w:tab w:val="clear" w:pos="9525"/>
              <w:tab w:val="right" w:leader="dot" w:pos="9524"/>
            </w:tabs>
          </w:pPr>
          <w:hyperlink w:anchor="__RefHeading___Toc812_2097188755">
            <w:r>
              <w:rPr>
                <w:rStyle w:val="IndexLink"/>
                <w:webHidden/>
              </w:rPr>
              <w:t>3. Task 2: Developing a New Venture Through the Five Design Thinking Stages</w:t>
            </w:r>
            <w:r>
              <w:rPr>
                <w:rStyle w:val="IndexLink"/>
                <w:webHidden/>
              </w:rPr>
              <w:tab/>
              <w:t>7</w:t>
            </w:r>
          </w:hyperlink>
        </w:p>
        <w:p w14:paraId="5AC17ADF" w14:textId="77777777" w:rsidR="00BB0FE9" w:rsidRDefault="00000000">
          <w:pPr>
            <w:pStyle w:val="TOC2"/>
            <w:tabs>
              <w:tab w:val="clear" w:pos="9242"/>
              <w:tab w:val="right" w:leader="dot" w:pos="9524"/>
            </w:tabs>
          </w:pPr>
          <w:hyperlink w:anchor="__RefHeading___Toc814_2097188755">
            <w:r>
              <w:rPr>
                <w:rStyle w:val="IndexLink"/>
                <w:webHidden/>
              </w:rPr>
              <w:t>3.1 Venture Concept and Goals</w:t>
            </w:r>
            <w:r>
              <w:rPr>
                <w:rStyle w:val="IndexLink"/>
                <w:webHidden/>
              </w:rPr>
              <w:tab/>
              <w:t>7</w:t>
            </w:r>
          </w:hyperlink>
        </w:p>
        <w:p w14:paraId="4B93B62C" w14:textId="77777777" w:rsidR="00BB0FE9" w:rsidRDefault="00000000">
          <w:pPr>
            <w:pStyle w:val="TOC2"/>
            <w:tabs>
              <w:tab w:val="clear" w:pos="9242"/>
              <w:tab w:val="right" w:leader="dot" w:pos="9524"/>
            </w:tabs>
          </w:pPr>
          <w:hyperlink w:anchor="__RefHeading___Toc816_2097188755">
            <w:r>
              <w:rPr>
                <w:rStyle w:val="IndexLink"/>
                <w:webHidden/>
              </w:rPr>
              <w:t>3.2 Empathise</w:t>
            </w:r>
            <w:r>
              <w:rPr>
                <w:rStyle w:val="IndexLink"/>
                <w:webHidden/>
              </w:rPr>
              <w:tab/>
              <w:t>7</w:t>
            </w:r>
          </w:hyperlink>
        </w:p>
        <w:p w14:paraId="7CC084CE" w14:textId="77777777" w:rsidR="00BB0FE9" w:rsidRDefault="00000000">
          <w:pPr>
            <w:pStyle w:val="TOC2"/>
            <w:tabs>
              <w:tab w:val="clear" w:pos="9242"/>
              <w:tab w:val="right" w:leader="dot" w:pos="9524"/>
            </w:tabs>
          </w:pPr>
          <w:hyperlink w:anchor="__RefHeading___Toc818_2097188755">
            <w:r>
              <w:rPr>
                <w:rStyle w:val="IndexLink"/>
                <w:webHidden/>
              </w:rPr>
              <w:t>3.3 Define: Problem Statement and Root Causes</w:t>
            </w:r>
            <w:r>
              <w:rPr>
                <w:rStyle w:val="IndexLink"/>
                <w:webHidden/>
              </w:rPr>
              <w:tab/>
              <w:t>8</w:t>
            </w:r>
          </w:hyperlink>
        </w:p>
        <w:p w14:paraId="00B3D657" w14:textId="77777777" w:rsidR="00BB0FE9" w:rsidRDefault="00000000">
          <w:pPr>
            <w:pStyle w:val="TOC2"/>
            <w:tabs>
              <w:tab w:val="clear" w:pos="9242"/>
              <w:tab w:val="right" w:leader="dot" w:pos="9524"/>
            </w:tabs>
          </w:pPr>
          <w:hyperlink w:anchor="__RefHeading___Toc820_2097188755">
            <w:r>
              <w:rPr>
                <w:rStyle w:val="IndexLink"/>
                <w:webHidden/>
              </w:rPr>
              <w:t>3.4 Ideat</w:t>
            </w:r>
            <w:r>
              <w:rPr>
                <w:rStyle w:val="IndexLink"/>
                <w:webHidden/>
              </w:rPr>
              <w:t>e</w:t>
            </w:r>
            <w:r>
              <w:rPr>
                <w:rStyle w:val="IndexLink"/>
                <w:webHidden/>
              </w:rPr>
              <w:t>: Generating and Selecting Alternatives</w:t>
            </w:r>
            <w:r>
              <w:rPr>
                <w:rStyle w:val="IndexLink"/>
                <w:webHidden/>
              </w:rPr>
              <w:tab/>
              <w:t>8</w:t>
            </w:r>
          </w:hyperlink>
        </w:p>
        <w:p w14:paraId="0E3272B1" w14:textId="77777777" w:rsidR="00BB0FE9" w:rsidRDefault="00000000">
          <w:pPr>
            <w:pStyle w:val="TOC2"/>
            <w:tabs>
              <w:tab w:val="clear" w:pos="9242"/>
              <w:tab w:val="right" w:leader="dot" w:pos="9524"/>
            </w:tabs>
          </w:pPr>
          <w:hyperlink w:anchor="__RefHeading___Toc822_2097188755">
            <w:r>
              <w:rPr>
                <w:rStyle w:val="IndexLink"/>
                <w:webHidden/>
              </w:rPr>
              <w:t>3.5 Prototype: The Minimum Viable Product</w:t>
            </w:r>
            <w:r>
              <w:rPr>
                <w:rStyle w:val="IndexLink"/>
                <w:webHidden/>
              </w:rPr>
              <w:tab/>
              <w:t>9</w:t>
            </w:r>
          </w:hyperlink>
        </w:p>
        <w:p w14:paraId="4066B4C9" w14:textId="77777777" w:rsidR="00BB0FE9" w:rsidRDefault="00000000">
          <w:pPr>
            <w:pStyle w:val="TOC2"/>
            <w:tabs>
              <w:tab w:val="clear" w:pos="9242"/>
              <w:tab w:val="right" w:leader="dot" w:pos="9524"/>
            </w:tabs>
          </w:pPr>
          <w:hyperlink w:anchor="__RefHeading___Toc824_2097188755">
            <w:r>
              <w:rPr>
                <w:rStyle w:val="IndexLink"/>
                <w:webHidden/>
              </w:rPr>
              <w:t>3.6 Test and Refine</w:t>
            </w:r>
            <w:r>
              <w:rPr>
                <w:rStyle w:val="IndexLink"/>
                <w:webHidden/>
              </w:rPr>
              <w:tab/>
              <w:t>9</w:t>
            </w:r>
          </w:hyperlink>
        </w:p>
        <w:p w14:paraId="3F32691C" w14:textId="77777777" w:rsidR="00BB0FE9" w:rsidRDefault="00000000">
          <w:pPr>
            <w:pStyle w:val="TOC2"/>
            <w:tabs>
              <w:tab w:val="clear" w:pos="9242"/>
              <w:tab w:val="right" w:leader="dot" w:pos="9524"/>
            </w:tabs>
          </w:pPr>
          <w:hyperlink w:anchor="__RefHeading___Toc826_2097188755">
            <w:r>
              <w:rPr>
                <w:rStyle w:val="IndexLink"/>
                <w:webHidden/>
              </w:rPr>
              <w:t>3.7 Viability, Risk, Sustainability and Implementation</w:t>
            </w:r>
            <w:r>
              <w:rPr>
                <w:rStyle w:val="IndexLink"/>
                <w:webHidden/>
              </w:rPr>
              <w:tab/>
              <w:t>10</w:t>
            </w:r>
          </w:hyperlink>
        </w:p>
        <w:p w14:paraId="0BF7307D" w14:textId="77777777" w:rsidR="00BB0FE9" w:rsidRDefault="00000000">
          <w:pPr>
            <w:pStyle w:val="TOC1"/>
            <w:tabs>
              <w:tab w:val="clear" w:pos="9525"/>
              <w:tab w:val="right" w:leader="dot" w:pos="9524"/>
            </w:tabs>
          </w:pPr>
          <w:hyperlink w:anchor="__RefHeading___Toc828_2097188755">
            <w:r>
              <w:rPr>
                <w:rStyle w:val="IndexLink"/>
                <w:webHidden/>
              </w:rPr>
              <w:t>4. Conclusion and Recommendation</w:t>
            </w:r>
            <w:r>
              <w:rPr>
                <w:rStyle w:val="IndexLink"/>
                <w:webHidden/>
              </w:rPr>
              <w:tab/>
              <w:t>11</w:t>
            </w:r>
          </w:hyperlink>
        </w:p>
        <w:p w14:paraId="250BF2AB" w14:textId="77777777" w:rsidR="00BB0FE9" w:rsidRDefault="00000000">
          <w:pPr>
            <w:pStyle w:val="TOC1"/>
            <w:tabs>
              <w:tab w:val="clear" w:pos="9525"/>
              <w:tab w:val="right" w:leader="dot" w:pos="9524"/>
            </w:tabs>
          </w:pPr>
          <w:hyperlink w:anchor="__RefHeading___Toc830_2097188755">
            <w:r>
              <w:rPr>
                <w:rStyle w:val="IndexLink"/>
                <w:webHidden/>
              </w:rPr>
              <w:t>References</w:t>
            </w:r>
            <w:r>
              <w:rPr>
                <w:rStyle w:val="IndexLink"/>
                <w:webHidden/>
              </w:rPr>
              <w:tab/>
              <w:t>12</w:t>
            </w:r>
          </w:hyperlink>
          <w:r>
            <w:rPr>
              <w:rStyle w:val="IndexLink"/>
            </w:rPr>
            <w:fldChar w:fldCharType="end"/>
          </w:r>
        </w:p>
      </w:sdtContent>
    </w:sdt>
    <w:p w14:paraId="566959FE" w14:textId="77777777" w:rsidR="00BB0FE9" w:rsidRDefault="00000000">
      <w:r>
        <w:br w:type="page"/>
      </w:r>
    </w:p>
    <w:p w14:paraId="22AE573E" w14:textId="77777777" w:rsidR="00BB0FE9" w:rsidRDefault="00000000">
      <w:pPr>
        <w:pStyle w:val="Heading1"/>
        <w:spacing w:before="0"/>
      </w:pPr>
      <w:bookmarkStart w:id="0" w:name="__RefHeading___Toc792_2097188755"/>
      <w:bookmarkEnd w:id="0"/>
      <w:r>
        <w:lastRenderedPageBreak/>
        <w:t>Executive Summary</w:t>
      </w:r>
    </w:p>
    <w:p w14:paraId="1555A391" w14:textId="77777777" w:rsidR="00BB0FE9" w:rsidRDefault="00000000">
      <w:pPr>
        <w:pStyle w:val="BodyText"/>
        <w:jc w:val="both"/>
      </w:pPr>
      <w:r>
        <w:rPr>
          <w:color w:val="232323"/>
        </w:rPr>
        <w:t>This portfolio critically evaluates opportunities created by the continuing expansion of digital commerce in the United Kingdom, using Shopify as the company case rather than assuming that one platform is the answer to every SME problem. UK SMEs employed 16.9 million people and generated £2.8 trillion in turnover at the start of 2025, while online sales accounted for 28.8 per cent of retail spending in May 2026 (Department for Business and Trade, 2025a; Office for National Statistics, 2026). These figures establish economic relevance and persistent digital demand, but they do not prove that individual micro-businesses can adopt technology profitably. The analysis therefore focuses on the gap between technical availability and practical use.</w:t>
      </w:r>
    </w:p>
    <w:p w14:paraId="1170B471" w14:textId="77777777" w:rsidR="00BB0FE9" w:rsidRDefault="00000000">
      <w:pPr>
        <w:pStyle w:val="BodyText"/>
        <w:jc w:val="both"/>
      </w:pPr>
      <w:r>
        <w:rPr>
          <w:color w:val="232323"/>
        </w:rPr>
        <w:t>Task 1 compares five opportunity areas: e-commerce enablement, measurable local marketing, integrated payments and inventory, local fulfilment, and supported adoption. The strongest opportunity is not another website builder. It is a narrow integration and onboarding service that reduces operational fragmentation. Task 2 develops LocalConnect UK, an independent Shopify-enabled venture. Its concierge minimum viable product combines guided setup, QR ordering, unified order visibility, click-and-collect and restricted delivery trials. Critical decision rules are included so that weak features are removed rather than defended. Illustrative unit economics show that a 20-merchant pilot would not be self-financing; partner funding or a larger paying base would be required. The final recommendation is therefore conditional: test adoption and willingness to pay first, add delivery only where route density is demonstrated, and scale only when merchant retention and contribution margins justify expansion.</w:t>
      </w:r>
    </w:p>
    <w:p w14:paraId="2BC70075" w14:textId="77777777" w:rsidR="00BB0FE9" w:rsidRDefault="00000000">
      <w:pPr>
        <w:pStyle w:val="Heading1"/>
      </w:pPr>
      <w:bookmarkStart w:id="1" w:name="__RefHeading___Toc794_2097188755"/>
      <w:bookmarkEnd w:id="1"/>
      <w:r>
        <w:t>1. Introduction and Methodological Approach</w:t>
      </w:r>
    </w:p>
    <w:p w14:paraId="0C696532" w14:textId="77777777" w:rsidR="00BB0FE9" w:rsidRDefault="00000000">
      <w:pPr>
        <w:pStyle w:val="BodyText"/>
        <w:jc w:val="both"/>
      </w:pPr>
      <w:r>
        <w:rPr>
          <w:color w:val="232323"/>
        </w:rPr>
        <w:t>The pandemic accelerated digital purchasing, but the strategic issue is no longer emergency adoption. Customers now expect businesses to be searchable, easy to pay and clear about fulfilment. A bookshop, farm producer and personal trainer have different operating models, yet all must connect discovery, transaction, service delivery and follow-up. The scenario is therefore better understood as an integration problem than as a simple shortage of websites.</w:t>
      </w:r>
    </w:p>
    <w:p w14:paraId="425BD6BA" w14:textId="77777777" w:rsidR="00BB0FE9" w:rsidRDefault="00000000">
      <w:pPr>
        <w:pStyle w:val="BodyText"/>
        <w:jc w:val="both"/>
      </w:pPr>
      <w:r>
        <w:rPr>
          <w:color w:val="232323"/>
        </w:rPr>
        <w:t>Shopify is a useful case because it combines storefront, payment, point-of-sale and fulfilment functions. Its 2025 annual report states that merchant solutions produced 76 per cent of total revenue, indicating that payments and related services are central to its model (Shopify, 2026a). However, this creates a methodological caution: analysing the market through Shopify may overstate the value of platform integration and understate lower-cost alternatives such as separate payment, booking or open-source tools. The portfolio consequently evaluates Shopify as an enabling infrastructure, not as evidence that the proposed venture is automatically viable.</w:t>
      </w:r>
    </w:p>
    <w:p w14:paraId="584973D0" w14:textId="77777777" w:rsidR="00BB0FE9" w:rsidRDefault="00000000">
      <w:pPr>
        <w:pStyle w:val="BodyText"/>
        <w:jc w:val="both"/>
      </w:pPr>
      <w:r>
        <w:rPr>
          <w:color w:val="232323"/>
        </w:rPr>
        <w:t xml:space="preserve">The five stages of Design Thinking organise the work: empathise, define, ideate, prototype and test. Brown (2008) is useful for connecting user value, technical capability and commercial logic, while Buchanan (1992) and Dorst (2011) explain why complex problems must be reframed </w:t>
      </w:r>
      <w:r>
        <w:rPr>
          <w:color w:val="232323"/>
        </w:rPr>
        <w:lastRenderedPageBreak/>
        <w:t>iteratively. Nevertheless, Design Thinking is not a guaranteed innovation formula. Johansson-Sköldberg, Woodilla and Çetinkaya (2013) show that the term contains different managerial and designerly traditions, while Micheli et al. (2019) identify variation in how organisations interpret and apply it. A linear reading of the five stages could therefore produce superficial workshops rather than evidence. To limit this weakness, the portfolio triangulates user research with official market data, uses Lean Startup experiments to challenge assumptions (Ries, 2011; Blank, 2013), and applies business-model analysis to costs and revenue (Osterwalder and Pigneur, 2010; Teece, 2010).</w:t>
      </w:r>
    </w:p>
    <w:p w14:paraId="14ECCF07" w14:textId="77777777" w:rsidR="00BB0FE9" w:rsidRDefault="00000000">
      <w:pPr>
        <w:pStyle w:val="Heading1"/>
      </w:pPr>
      <w:bookmarkStart w:id="2" w:name="__RefHeading___Toc796_2097188755"/>
      <w:bookmarkEnd w:id="2"/>
      <w:r>
        <w:t>2. Task 1: UK Market Opportunities Through a Design Thinking Lens</w:t>
      </w:r>
    </w:p>
    <w:p w14:paraId="5BCEF890" w14:textId="77777777" w:rsidR="00BB0FE9" w:rsidRDefault="00000000">
      <w:pPr>
        <w:pStyle w:val="Heading2"/>
      </w:pPr>
      <w:bookmarkStart w:id="3" w:name="__RefHeading___Toc798_2097188755"/>
      <w:bookmarkEnd w:id="3"/>
      <w:r>
        <w:t>2.1 Empathising with the Market</w:t>
      </w:r>
    </w:p>
    <w:p w14:paraId="2E228EEB" w14:textId="77777777" w:rsidR="00BB0FE9" w:rsidRDefault="00000000">
      <w:pPr>
        <w:pStyle w:val="BodyText"/>
        <w:jc w:val="both"/>
      </w:pPr>
      <w:r>
        <w:rPr>
          <w:color w:val="232323"/>
        </w:rPr>
        <w:t>Empathy begins with tasks and constraints, not with a preferred technology. Small retailers need to attract customers, record payment, maintain stock and complete fulfilment without creating another administrative job. Local producers face fluctuating availability and collection schedules. Rural consumers may value local choice but still compare the experience with national platforms. Delivery partners need concentrated routes, accurate addresses and realistic collection times.</w:t>
      </w:r>
    </w:p>
    <w:p w14:paraId="7ED1A8B5" w14:textId="77777777" w:rsidR="00BB0FE9" w:rsidRDefault="00000000">
      <w:pPr>
        <w:pStyle w:val="BodyText"/>
        <w:jc w:val="both"/>
      </w:pPr>
      <w:r>
        <w:rPr>
          <w:color w:val="232323"/>
        </w:rPr>
        <w:t>Official evidence supports the existence of adoption friction. The SME Digital Adoption Taskforce reports concerns about lock-in, unclear switching costs and process complexity (Department for Business and Trade, 2025b). Yet this evidence is broad: it does not identify which barrier is most important for the specific merchants LocalConnect would serve. Therefore, the market data justify investigation rather than the venture itself. The most credible opportunities are those where interviews, observed workflows and transaction data reveal repeated loss of time or sales.</w:t>
      </w:r>
    </w:p>
    <w:p w14:paraId="4C4211B4" w14:textId="77777777" w:rsidR="00BB0FE9" w:rsidRDefault="00000000">
      <w:pPr>
        <w:pStyle w:val="Heading2"/>
      </w:pPr>
      <w:bookmarkStart w:id="4" w:name="__RefHeading___Toc800_2097188755"/>
      <w:bookmarkEnd w:id="4"/>
      <w:r>
        <w:t>2.2 E-commerce and Booking Enablement</w:t>
      </w:r>
    </w:p>
    <w:p w14:paraId="1DADFA3D" w14:textId="77777777" w:rsidR="00BB0FE9" w:rsidRDefault="00000000">
      <w:pPr>
        <w:pStyle w:val="BodyText"/>
        <w:jc w:val="both"/>
      </w:pPr>
      <w:r>
        <w:rPr>
          <w:color w:val="232323"/>
        </w:rPr>
        <w:t>E-commerce and booking enablement addresses a visible pain point, but the market is crowded and basic site creation is increasingly commoditised. A micro-business may need product photography, policy configuration, stock updates and booking rules more than it needs another template. Informal ordering through messages appears cheap until volume creates omissions, duplicated work or uncertain availability.</w:t>
      </w:r>
    </w:p>
    <w:p w14:paraId="3665B374" w14:textId="77777777" w:rsidR="00BB0FE9" w:rsidRDefault="00000000">
      <w:pPr>
        <w:pStyle w:val="BodyText"/>
        <w:jc w:val="both"/>
      </w:pPr>
      <w:r>
        <w:rPr>
          <w:color w:val="232323"/>
        </w:rPr>
        <w:t>Cloud tools, payment links and mobile templates make deployment feasible. However, low technical barriers also make this opportunity easy for competitors to copy. A new venture would therefore need differentiation through sector-specific onboarding, time-to-first-order and ongoing operational support. Scalability is constrained by the human assistance required: standard templates scale, but bespoke catalogue cleaning does not. Consequently, e-commerce enablement is attractive as an entry service, not a defensible standalone venture.</w:t>
      </w:r>
    </w:p>
    <w:p w14:paraId="76A232F1" w14:textId="77777777" w:rsidR="00BB0FE9" w:rsidRDefault="00000000">
      <w:pPr>
        <w:pStyle w:val="Heading2"/>
      </w:pPr>
      <w:bookmarkStart w:id="5" w:name="__RefHeading___Toc802_2097188755"/>
      <w:bookmarkEnd w:id="5"/>
      <w:r>
        <w:t>2.3 Local Digital Marketing and Customer Relationships</w:t>
      </w:r>
    </w:p>
    <w:p w14:paraId="47894488" w14:textId="77777777" w:rsidR="00BB0FE9" w:rsidRDefault="00000000">
      <w:pPr>
        <w:pStyle w:val="BodyText"/>
        <w:jc w:val="both"/>
      </w:pPr>
      <w:r>
        <w:rPr>
          <w:color w:val="232323"/>
        </w:rPr>
        <w:t xml:space="preserve">Local digital marketing responds to weak conversion and customer retention. Many SMEs can generate attention but cannot attribute sales to a campaign or identify profitable repeat </w:t>
      </w:r>
      <w:r>
        <w:rPr>
          <w:color w:val="232323"/>
        </w:rPr>
        <w:lastRenderedPageBreak/>
        <w:t>customers. AI-assisted content, email automation and simple analytics reduce effort, yet they also lower entry barriers for every agency and can produce generic communication.</w:t>
      </w:r>
    </w:p>
    <w:p w14:paraId="7816EE58" w14:textId="77777777" w:rsidR="00BB0FE9" w:rsidRDefault="00000000">
      <w:pPr>
        <w:pStyle w:val="BodyText"/>
        <w:jc w:val="both"/>
      </w:pPr>
      <w:r>
        <w:rPr>
          <w:color w:val="232323"/>
        </w:rPr>
        <w:t>The commercial gap is therefore narrower than “digital marketing for SMEs”. A stronger offer would connect campaigns to completed transactions and test small interventions against a baseline. Liedtka (2015) supports experimentation as a way to expose assumptions, but attribution remains difficult when customers move between social media, telephone and in-store purchase. This opportunity has low capital requirements and good template scalability, but limited defensibility. It should be bundled with commerce data rather than selected as LocalConnect’s core proposition.</w:t>
      </w:r>
    </w:p>
    <w:p w14:paraId="22C2971D" w14:textId="77777777" w:rsidR="00BB0FE9" w:rsidRDefault="00000000">
      <w:pPr>
        <w:pStyle w:val="Heading2"/>
      </w:pPr>
      <w:bookmarkStart w:id="6" w:name="__RefHeading___Toc804_2097188755"/>
      <w:bookmarkEnd w:id="6"/>
      <w:r>
        <w:t>2.4 Integrated POS, Payments and Inventory</w:t>
      </w:r>
    </w:p>
    <w:p w14:paraId="1E2BF1CE" w14:textId="77777777" w:rsidR="00BB0FE9" w:rsidRDefault="00000000">
      <w:pPr>
        <w:pStyle w:val="BodyText"/>
        <w:jc w:val="both"/>
      </w:pPr>
      <w:r>
        <w:rPr>
          <w:color w:val="232323"/>
        </w:rPr>
        <w:t>Integrated payments, inventory and order visibility addresses a more persistent operational problem. When payments, stock and customer messages sit in separate systems, owners spend time reconciling records and risk selling unavailable products. UK Finance reports that cards represented 64 per cent of UK payments in 2024, confirming that digital payment acceptance is mainstream (UK Finance, 2025). Shopify’s platform can display online and POS orders together and its merchant-solutions revenue shows strategic commitment to this area (Shopify, 2026a).</w:t>
      </w:r>
    </w:p>
    <w:p w14:paraId="16E81D24" w14:textId="77777777" w:rsidR="00BB0FE9" w:rsidRDefault="00000000">
      <w:pPr>
        <w:pStyle w:val="BodyText"/>
        <w:jc w:val="both"/>
      </w:pPr>
      <w:r>
        <w:rPr>
          <w:color w:val="232323"/>
        </w:rPr>
        <w:t>The opportunity is feasible and recurrent, but it is not uncontested. Shopify, Square and other providers already integrate parts of the workflow, while app subscriptions can increase total cost. LocalConnect cannot differentiate by claiming to possess unique payment technology. Its advantage would have to come from configuration, migration, training and measurable reductions in manual work. Inclusion also limits a digital-only design: access-to-cash regulation recognises continuing reliance on cash, so pay-on-collection and assisted orders should remain available (Financial Conduct Authority, 2024).</w:t>
      </w:r>
    </w:p>
    <w:p w14:paraId="61B2B57C" w14:textId="77777777" w:rsidR="00BB0FE9" w:rsidRDefault="00000000">
      <w:pPr>
        <w:pStyle w:val="Heading2"/>
      </w:pPr>
      <w:bookmarkStart w:id="7" w:name="__RefHeading___Toc806_2097188755"/>
      <w:bookmarkEnd w:id="7"/>
      <w:r>
        <w:t>2.5 Local Fulfilment and Last-Mile Coordination</w:t>
      </w:r>
    </w:p>
    <w:p w14:paraId="1FE933DC" w14:textId="77777777" w:rsidR="00BB0FE9" w:rsidRDefault="00000000">
      <w:pPr>
        <w:pStyle w:val="BodyText"/>
        <w:jc w:val="both"/>
      </w:pPr>
      <w:r>
        <w:rPr>
          <w:color w:val="232323"/>
        </w:rPr>
        <w:t>Local fulfilment is highly desirable for consumers but commercially less certain. Low order density, waiting time and failed deliveries can make each drop expensive, particularly outside dense urban areas. Shopify can configure local delivery zones and pickup, reducing development requirements (Shopify, 2026b; 2026c). Nevertheless, software does not create route density.</w:t>
      </w:r>
    </w:p>
    <w:p w14:paraId="50774248" w14:textId="77777777" w:rsidR="00BB0FE9" w:rsidRDefault="00000000">
      <w:pPr>
        <w:pStyle w:val="BodyText"/>
        <w:jc w:val="both"/>
      </w:pPr>
      <w:r>
        <w:rPr>
          <w:color w:val="232323"/>
        </w:rPr>
        <w:t>The market gap is coordination rather than another courier: scheduled rounds, shared collection points and consolidated merchant orders. The main trade-off is between convenience and economics. Frequent delivery may attract customers but weaken margins and increase mileage; fewer rounds improve density but reduce convenience. Environmental benefit is similarly conditional. No sustainability claim should be made until miles per order and failed-drop rates improve relative to merchants arranging separate journeys. Fulfilment should therefore enter the pilot as a restricted experiment, not as the venture’s initial revenue foundation.</w:t>
      </w:r>
    </w:p>
    <w:p w14:paraId="0A36A950" w14:textId="77777777" w:rsidR="00BB0FE9" w:rsidRDefault="00000000">
      <w:pPr>
        <w:pStyle w:val="Heading2"/>
      </w:pPr>
      <w:bookmarkStart w:id="8" w:name="__RefHeading___Toc808_2097188755"/>
      <w:bookmarkEnd w:id="8"/>
      <w:r>
        <w:lastRenderedPageBreak/>
        <w:t>2.6 Supported Adoption and Digital Inclusion</w:t>
      </w:r>
    </w:p>
    <w:p w14:paraId="6E0A1DC7" w14:textId="77777777" w:rsidR="00BB0FE9" w:rsidRDefault="00000000">
      <w:pPr>
        <w:pStyle w:val="BodyText"/>
        <w:jc w:val="both"/>
      </w:pPr>
      <w:r>
        <w:rPr>
          <w:color w:val="232323"/>
        </w:rPr>
        <w:t>Supported adoption addresses the distance between platform capability and owner confidence. Ofcom reports that full fibre reached 82 per cent of UK homes by January 2026, but infrastructure cannot solve uncertainty about pricing, data protection or workflow change (Ofcom, 2026). Rogers (2003) and Venkatesh et al. (2003) suggest that visible benefit, compatibility and manageable effort influence adoption.</w:t>
      </w:r>
    </w:p>
    <w:p w14:paraId="15255295" w14:textId="77777777" w:rsidR="00BB0FE9" w:rsidRDefault="00000000">
      <w:pPr>
        <w:pStyle w:val="BodyText"/>
        <w:jc w:val="both"/>
      </w:pPr>
      <w:r>
        <w:rPr>
          <w:color w:val="232323"/>
        </w:rPr>
        <w:t>Support can increase use of every other opportunity, but its economics are difficult. Human onboarding is valuable precisely because it is labour-intensive. As a standalone training business it may have weak recurring revenue; as an embedded service it can reduce churn and failed implementation. The critical design choice is therefore to standardise repeatable tasks while reserving human assistance for decisions that genuinely require judgement.</w:t>
      </w:r>
    </w:p>
    <w:p w14:paraId="53DDD833" w14:textId="77777777" w:rsidR="00BB0FE9" w:rsidRDefault="00000000">
      <w:pPr>
        <w:pStyle w:val="Heading2"/>
      </w:pPr>
      <w:bookmarkStart w:id="9" w:name="__RefHeading___Toc810_2097188755"/>
      <w:bookmarkEnd w:id="9"/>
      <w:r>
        <w:t>2.7 Opportunity Prioritisation and Critical Evaluation</w:t>
      </w:r>
    </w:p>
    <w:p w14:paraId="00BBED9B" w14:textId="77777777" w:rsidR="00BB0FE9" w:rsidRDefault="00000000">
      <w:pPr>
        <w:pStyle w:val="BodyText"/>
        <w:jc w:val="both"/>
      </w:pPr>
      <w:r>
        <w:rPr>
          <w:color w:val="232323"/>
        </w:rPr>
        <w:t>Table 1 ranks the five areas using desirability, feasibility, viability and scale/sustainability. The scores are reasoned managerial judgements, not objective measurements. They are useful for comparison but sensitive to weighting. Payments and inventory remain strongest when feasibility or viability receives greater weight; fulfilment rises only when sustainability is heavily weighted and successful route consolidation is assumed. This sensitivity check prevents the matrix from disguising uncertainty as precision.</w:t>
      </w:r>
    </w:p>
    <w:p w14:paraId="4496F4F4" w14:textId="77777777" w:rsidR="00BB0FE9" w:rsidRDefault="00000000">
      <w:pPr>
        <w:pStyle w:val="BodyText"/>
        <w:jc w:val="both"/>
      </w:pPr>
      <w:r>
        <w:rPr>
          <w:color w:val="232323"/>
        </w:rPr>
        <w:t>The analysis supports an integrated adoption proposition centred on payments, inventory and e-commerce setup, with marketing as an add-on and delivery as a conditional module. Monthly ONS data show that online retail remains substantial, but the 28.8 per cent figure does not isolate SMEs and may vary from month to month (Office for National Statistics, 2026). It therefore indicates structural demand, not LocalConnect’s addressable market.</w:t>
      </w:r>
    </w:p>
    <w:p w14:paraId="6E3FFD78" w14:textId="77777777" w:rsidR="00BB0FE9" w:rsidRDefault="00000000">
      <w:pPr>
        <w:pStyle w:val="BodyText"/>
        <w:jc w:val="both"/>
      </w:pPr>
      <w:r>
        <w:rPr>
          <w:color w:val="232323"/>
        </w:rPr>
        <w:t>The company case also needs comparison against plausible alternatives. A merchant could combine WooCommerce with a separate payment provider, use Square for POS, or continue with social-media ordering. These routes may have lower subscription cost or greater control, but they also increase integration and support responsibility. Shopify is therefore not selected because it is universally superior; it is selected because a single platform makes the pilot easier to configure and measure. This creates a trade-off between implementation simplicity and supplier dependence. The venture should record total merchant cost, including paid applications, so that platform convenience is not evaluated while hidden add-on expenditure is ignored.</w:t>
      </w:r>
    </w:p>
    <w:p w14:paraId="27EBDF2E" w14:textId="77777777" w:rsidR="00BB0FE9" w:rsidRDefault="00000000">
      <w:pPr>
        <w:pStyle w:val="BodyText"/>
        <w:jc w:val="both"/>
      </w:pPr>
      <w:r>
        <w:rPr>
          <w:color w:val="232323"/>
        </w:rPr>
        <w:t>A concise PESTEL and SWOT assessment reinforces the conditional recommendation. Policy support and improving infrastructure favour adoption, while consumer law, data protection and payment security raise compliance cost. Shopify supplies scale and ecosystem depth but also creates dependency on pricing and platform rules. Competitors can imitate basic setup services. According to Porter (1985), sustainable differentiation requires a system of reinforcing activities; for LocalConnect, that system would be guided migration, local merchant support, transaction-</w:t>
      </w:r>
      <w:r>
        <w:rPr>
          <w:color w:val="232323"/>
        </w:rPr>
        <w:lastRenderedPageBreak/>
        <w:t>linked learning and disciplined fulfilment testing. The opportunity is credible only if these activities reduce merchant workload more than they increase service cost.</w:t>
      </w:r>
    </w:p>
    <w:tbl>
      <w:tblPr>
        <w:tblStyle w:val="TableGrid"/>
        <w:tblW w:w="9522" w:type="dxa"/>
        <w:jc w:val="center"/>
        <w:tblLayout w:type="fixed"/>
        <w:tblCellMar>
          <w:top w:w="65" w:type="dxa"/>
          <w:left w:w="65" w:type="dxa"/>
          <w:bottom w:w="65" w:type="dxa"/>
          <w:right w:w="65" w:type="dxa"/>
        </w:tblCellMar>
        <w:tblLook w:val="04A0" w:firstRow="1" w:lastRow="0" w:firstColumn="1" w:lastColumn="0" w:noHBand="0" w:noVBand="1"/>
      </w:tblPr>
      <w:tblGrid>
        <w:gridCol w:w="1588"/>
        <w:gridCol w:w="1586"/>
        <w:gridCol w:w="1588"/>
        <w:gridCol w:w="1587"/>
        <w:gridCol w:w="1586"/>
        <w:gridCol w:w="1587"/>
      </w:tblGrid>
      <w:tr w:rsidR="00BB0FE9" w14:paraId="004D3CE9" w14:textId="77777777">
        <w:trPr>
          <w:cantSplit/>
          <w:tblHeader/>
          <w:jc w:val="center"/>
        </w:trPr>
        <w:tc>
          <w:tcPr>
            <w:tcW w:w="1587" w:type="dxa"/>
            <w:shd w:val="clear" w:color="auto" w:fill="1F4E79"/>
            <w:vAlign w:val="center"/>
          </w:tcPr>
          <w:p w14:paraId="1EDDA17C" w14:textId="77777777" w:rsidR="00BB0FE9" w:rsidRDefault="00000000">
            <w:pPr>
              <w:spacing w:after="0" w:line="240" w:lineRule="auto"/>
              <w:rPr>
                <w:rFonts w:eastAsia="MS Mincho"/>
              </w:rPr>
            </w:pPr>
            <w:r>
              <w:rPr>
                <w:rFonts w:eastAsia="MS Mincho"/>
                <w:b/>
                <w:color w:val="FFFFFF"/>
                <w:sz w:val="15"/>
              </w:rPr>
              <w:t>Opportunity</w:t>
            </w:r>
          </w:p>
        </w:tc>
        <w:tc>
          <w:tcPr>
            <w:tcW w:w="1586" w:type="dxa"/>
            <w:shd w:val="clear" w:color="auto" w:fill="1F4E79"/>
            <w:vAlign w:val="center"/>
          </w:tcPr>
          <w:p w14:paraId="3788C73F" w14:textId="77777777" w:rsidR="00BB0FE9" w:rsidRDefault="00000000">
            <w:pPr>
              <w:spacing w:after="0" w:line="240" w:lineRule="auto"/>
              <w:jc w:val="center"/>
              <w:rPr>
                <w:rFonts w:eastAsia="MS Mincho"/>
              </w:rPr>
            </w:pPr>
            <w:r>
              <w:rPr>
                <w:rFonts w:eastAsia="MS Mincho"/>
                <w:b/>
                <w:color w:val="FFFFFF"/>
                <w:sz w:val="15"/>
              </w:rPr>
              <w:t>Desirability</w:t>
            </w:r>
            <w:r>
              <w:rPr>
                <w:rFonts w:eastAsia="MS Mincho"/>
                <w:b/>
                <w:color w:val="FFFFFF"/>
                <w:sz w:val="15"/>
              </w:rPr>
              <w:br/>
              <w:t>30%</w:t>
            </w:r>
          </w:p>
        </w:tc>
        <w:tc>
          <w:tcPr>
            <w:tcW w:w="1588" w:type="dxa"/>
            <w:shd w:val="clear" w:color="auto" w:fill="1F4E79"/>
            <w:vAlign w:val="center"/>
          </w:tcPr>
          <w:p w14:paraId="15509461" w14:textId="77777777" w:rsidR="00BB0FE9" w:rsidRDefault="00000000">
            <w:pPr>
              <w:spacing w:after="0" w:line="240" w:lineRule="auto"/>
              <w:jc w:val="center"/>
              <w:rPr>
                <w:rFonts w:eastAsia="MS Mincho"/>
              </w:rPr>
            </w:pPr>
            <w:r>
              <w:rPr>
                <w:rFonts w:eastAsia="MS Mincho"/>
                <w:b/>
                <w:color w:val="FFFFFF"/>
                <w:sz w:val="15"/>
              </w:rPr>
              <w:t>Feasibility</w:t>
            </w:r>
            <w:r>
              <w:rPr>
                <w:rFonts w:eastAsia="MS Mincho"/>
                <w:b/>
                <w:color w:val="FFFFFF"/>
                <w:sz w:val="15"/>
              </w:rPr>
              <w:br/>
              <w:t>25%</w:t>
            </w:r>
          </w:p>
        </w:tc>
        <w:tc>
          <w:tcPr>
            <w:tcW w:w="1587" w:type="dxa"/>
            <w:shd w:val="clear" w:color="auto" w:fill="1F4E79"/>
            <w:vAlign w:val="center"/>
          </w:tcPr>
          <w:p w14:paraId="4F591492" w14:textId="77777777" w:rsidR="00BB0FE9" w:rsidRDefault="00000000">
            <w:pPr>
              <w:spacing w:after="0" w:line="240" w:lineRule="auto"/>
              <w:jc w:val="center"/>
              <w:rPr>
                <w:rFonts w:eastAsia="MS Mincho"/>
              </w:rPr>
            </w:pPr>
            <w:r>
              <w:rPr>
                <w:rFonts w:eastAsia="MS Mincho"/>
                <w:b/>
                <w:color w:val="FFFFFF"/>
                <w:sz w:val="15"/>
              </w:rPr>
              <w:t>Viability</w:t>
            </w:r>
            <w:r>
              <w:rPr>
                <w:rFonts w:eastAsia="MS Mincho"/>
                <w:b/>
                <w:color w:val="FFFFFF"/>
                <w:sz w:val="15"/>
              </w:rPr>
              <w:br/>
              <w:t>25%</w:t>
            </w:r>
          </w:p>
        </w:tc>
        <w:tc>
          <w:tcPr>
            <w:tcW w:w="1586" w:type="dxa"/>
            <w:shd w:val="clear" w:color="auto" w:fill="1F4E79"/>
            <w:vAlign w:val="center"/>
          </w:tcPr>
          <w:p w14:paraId="2776FBE2" w14:textId="77777777" w:rsidR="00BB0FE9" w:rsidRDefault="00000000">
            <w:pPr>
              <w:spacing w:after="0" w:line="240" w:lineRule="auto"/>
              <w:jc w:val="center"/>
              <w:rPr>
                <w:rFonts w:eastAsia="MS Mincho"/>
              </w:rPr>
            </w:pPr>
            <w:r>
              <w:rPr>
                <w:rFonts w:eastAsia="MS Mincho"/>
                <w:b/>
                <w:color w:val="FFFFFF"/>
                <w:sz w:val="15"/>
              </w:rPr>
              <w:t>Scale / sustainability</w:t>
            </w:r>
            <w:r>
              <w:rPr>
                <w:rFonts w:eastAsia="MS Mincho"/>
                <w:b/>
                <w:color w:val="FFFFFF"/>
                <w:sz w:val="15"/>
              </w:rPr>
              <w:br/>
              <w:t>20%</w:t>
            </w:r>
          </w:p>
        </w:tc>
        <w:tc>
          <w:tcPr>
            <w:tcW w:w="1587" w:type="dxa"/>
            <w:shd w:val="clear" w:color="auto" w:fill="1F4E79"/>
            <w:vAlign w:val="center"/>
          </w:tcPr>
          <w:p w14:paraId="1AA9D496" w14:textId="77777777" w:rsidR="00BB0FE9" w:rsidRDefault="00000000">
            <w:pPr>
              <w:spacing w:after="0" w:line="240" w:lineRule="auto"/>
              <w:jc w:val="center"/>
              <w:rPr>
                <w:rFonts w:eastAsia="MS Mincho"/>
              </w:rPr>
            </w:pPr>
            <w:r>
              <w:rPr>
                <w:rFonts w:eastAsia="MS Mincho"/>
                <w:b/>
                <w:color w:val="FFFFFF"/>
                <w:sz w:val="15"/>
              </w:rPr>
              <w:t>Weighted score</w:t>
            </w:r>
          </w:p>
        </w:tc>
      </w:tr>
      <w:tr w:rsidR="00BB0FE9" w14:paraId="2E42F45F" w14:textId="77777777">
        <w:trPr>
          <w:cantSplit/>
          <w:jc w:val="center"/>
        </w:trPr>
        <w:tc>
          <w:tcPr>
            <w:tcW w:w="1587" w:type="dxa"/>
            <w:vAlign w:val="center"/>
          </w:tcPr>
          <w:p w14:paraId="2E2675E3" w14:textId="77777777" w:rsidR="00BB0FE9" w:rsidRDefault="00000000">
            <w:pPr>
              <w:spacing w:after="0" w:line="240" w:lineRule="auto"/>
              <w:rPr>
                <w:rFonts w:eastAsia="MS Mincho"/>
              </w:rPr>
            </w:pPr>
            <w:r>
              <w:rPr>
                <w:rFonts w:eastAsia="MS Mincho"/>
                <w:color w:val="232323"/>
                <w:sz w:val="15"/>
              </w:rPr>
              <w:t>E-commerce / booking enablement</w:t>
            </w:r>
          </w:p>
        </w:tc>
        <w:tc>
          <w:tcPr>
            <w:tcW w:w="1586" w:type="dxa"/>
            <w:vAlign w:val="center"/>
          </w:tcPr>
          <w:p w14:paraId="148544A2" w14:textId="77777777" w:rsidR="00BB0FE9" w:rsidRDefault="00000000">
            <w:pPr>
              <w:spacing w:after="0" w:line="240" w:lineRule="auto"/>
              <w:jc w:val="center"/>
              <w:rPr>
                <w:rFonts w:eastAsia="MS Mincho"/>
              </w:rPr>
            </w:pPr>
            <w:r>
              <w:rPr>
                <w:rFonts w:eastAsia="MS Mincho"/>
                <w:color w:val="232323"/>
                <w:sz w:val="15"/>
              </w:rPr>
              <w:t>5</w:t>
            </w:r>
          </w:p>
        </w:tc>
        <w:tc>
          <w:tcPr>
            <w:tcW w:w="1588" w:type="dxa"/>
            <w:vAlign w:val="center"/>
          </w:tcPr>
          <w:p w14:paraId="57A6C16F" w14:textId="77777777" w:rsidR="00BB0FE9" w:rsidRDefault="00000000">
            <w:pPr>
              <w:spacing w:after="0" w:line="240" w:lineRule="auto"/>
              <w:jc w:val="center"/>
              <w:rPr>
                <w:rFonts w:eastAsia="MS Mincho"/>
              </w:rPr>
            </w:pPr>
            <w:r>
              <w:rPr>
                <w:rFonts w:eastAsia="MS Mincho"/>
                <w:color w:val="232323"/>
                <w:sz w:val="15"/>
              </w:rPr>
              <w:t>5</w:t>
            </w:r>
          </w:p>
        </w:tc>
        <w:tc>
          <w:tcPr>
            <w:tcW w:w="1587" w:type="dxa"/>
            <w:vAlign w:val="center"/>
          </w:tcPr>
          <w:p w14:paraId="33579D36" w14:textId="77777777" w:rsidR="00BB0FE9" w:rsidRDefault="00000000">
            <w:pPr>
              <w:spacing w:after="0" w:line="240" w:lineRule="auto"/>
              <w:jc w:val="center"/>
              <w:rPr>
                <w:rFonts w:eastAsia="MS Mincho"/>
              </w:rPr>
            </w:pPr>
            <w:r>
              <w:rPr>
                <w:rFonts w:eastAsia="MS Mincho"/>
                <w:color w:val="232323"/>
                <w:sz w:val="15"/>
              </w:rPr>
              <w:t>3</w:t>
            </w:r>
          </w:p>
        </w:tc>
        <w:tc>
          <w:tcPr>
            <w:tcW w:w="1586" w:type="dxa"/>
            <w:vAlign w:val="center"/>
          </w:tcPr>
          <w:p w14:paraId="4336EAF2" w14:textId="77777777" w:rsidR="00BB0FE9" w:rsidRDefault="00000000">
            <w:pPr>
              <w:spacing w:after="0" w:line="240" w:lineRule="auto"/>
              <w:jc w:val="center"/>
              <w:rPr>
                <w:rFonts w:eastAsia="MS Mincho"/>
              </w:rPr>
            </w:pPr>
            <w:r>
              <w:rPr>
                <w:rFonts w:eastAsia="MS Mincho"/>
                <w:color w:val="232323"/>
                <w:sz w:val="15"/>
              </w:rPr>
              <w:t>4</w:t>
            </w:r>
          </w:p>
        </w:tc>
        <w:tc>
          <w:tcPr>
            <w:tcW w:w="1587" w:type="dxa"/>
            <w:vAlign w:val="center"/>
          </w:tcPr>
          <w:p w14:paraId="2CE026F3" w14:textId="77777777" w:rsidR="00BB0FE9" w:rsidRDefault="00000000">
            <w:pPr>
              <w:spacing w:after="0" w:line="240" w:lineRule="auto"/>
              <w:jc w:val="center"/>
              <w:rPr>
                <w:rFonts w:eastAsia="MS Mincho"/>
              </w:rPr>
            </w:pPr>
            <w:r>
              <w:rPr>
                <w:rFonts w:eastAsia="MS Mincho"/>
                <w:color w:val="232323"/>
                <w:sz w:val="15"/>
              </w:rPr>
              <w:t>4.30</w:t>
            </w:r>
          </w:p>
        </w:tc>
      </w:tr>
      <w:tr w:rsidR="00BB0FE9" w14:paraId="4DB8C165" w14:textId="77777777">
        <w:trPr>
          <w:cantSplit/>
          <w:jc w:val="center"/>
        </w:trPr>
        <w:tc>
          <w:tcPr>
            <w:tcW w:w="1587" w:type="dxa"/>
            <w:shd w:val="clear" w:color="auto" w:fill="F2F2F2"/>
            <w:vAlign w:val="center"/>
          </w:tcPr>
          <w:p w14:paraId="59A5ADE9" w14:textId="77777777" w:rsidR="00BB0FE9" w:rsidRDefault="00000000">
            <w:pPr>
              <w:spacing w:after="0" w:line="240" w:lineRule="auto"/>
              <w:rPr>
                <w:rFonts w:eastAsia="MS Mincho"/>
              </w:rPr>
            </w:pPr>
            <w:r>
              <w:rPr>
                <w:rFonts w:eastAsia="MS Mincho"/>
                <w:color w:val="232323"/>
                <w:sz w:val="15"/>
              </w:rPr>
              <w:t>Local marketing and CRM</w:t>
            </w:r>
          </w:p>
        </w:tc>
        <w:tc>
          <w:tcPr>
            <w:tcW w:w="1586" w:type="dxa"/>
            <w:shd w:val="clear" w:color="auto" w:fill="F2F2F2"/>
            <w:vAlign w:val="center"/>
          </w:tcPr>
          <w:p w14:paraId="440DB5D6" w14:textId="77777777" w:rsidR="00BB0FE9" w:rsidRDefault="00000000">
            <w:pPr>
              <w:spacing w:after="0" w:line="240" w:lineRule="auto"/>
              <w:jc w:val="center"/>
              <w:rPr>
                <w:rFonts w:eastAsia="MS Mincho"/>
              </w:rPr>
            </w:pPr>
            <w:r>
              <w:rPr>
                <w:rFonts w:eastAsia="MS Mincho"/>
                <w:color w:val="232323"/>
                <w:sz w:val="15"/>
              </w:rPr>
              <w:t>4</w:t>
            </w:r>
          </w:p>
        </w:tc>
        <w:tc>
          <w:tcPr>
            <w:tcW w:w="1588" w:type="dxa"/>
            <w:shd w:val="clear" w:color="auto" w:fill="F2F2F2"/>
            <w:vAlign w:val="center"/>
          </w:tcPr>
          <w:p w14:paraId="5D05A5B0" w14:textId="77777777" w:rsidR="00BB0FE9" w:rsidRDefault="00000000">
            <w:pPr>
              <w:spacing w:after="0" w:line="240" w:lineRule="auto"/>
              <w:jc w:val="center"/>
              <w:rPr>
                <w:rFonts w:eastAsia="MS Mincho"/>
              </w:rPr>
            </w:pPr>
            <w:r>
              <w:rPr>
                <w:rFonts w:eastAsia="MS Mincho"/>
                <w:color w:val="232323"/>
                <w:sz w:val="15"/>
              </w:rPr>
              <w:t>5</w:t>
            </w:r>
          </w:p>
        </w:tc>
        <w:tc>
          <w:tcPr>
            <w:tcW w:w="1587" w:type="dxa"/>
            <w:shd w:val="clear" w:color="auto" w:fill="F2F2F2"/>
            <w:vAlign w:val="center"/>
          </w:tcPr>
          <w:p w14:paraId="3CB22DB3" w14:textId="77777777" w:rsidR="00BB0FE9" w:rsidRDefault="00000000">
            <w:pPr>
              <w:spacing w:after="0" w:line="240" w:lineRule="auto"/>
              <w:jc w:val="center"/>
              <w:rPr>
                <w:rFonts w:eastAsia="MS Mincho"/>
              </w:rPr>
            </w:pPr>
            <w:r>
              <w:rPr>
                <w:rFonts w:eastAsia="MS Mincho"/>
                <w:color w:val="232323"/>
                <w:sz w:val="15"/>
              </w:rPr>
              <w:t>3</w:t>
            </w:r>
          </w:p>
        </w:tc>
        <w:tc>
          <w:tcPr>
            <w:tcW w:w="1586" w:type="dxa"/>
            <w:shd w:val="clear" w:color="auto" w:fill="F2F2F2"/>
            <w:vAlign w:val="center"/>
          </w:tcPr>
          <w:p w14:paraId="1A9000EC" w14:textId="77777777" w:rsidR="00BB0FE9" w:rsidRDefault="00000000">
            <w:pPr>
              <w:spacing w:after="0" w:line="240" w:lineRule="auto"/>
              <w:jc w:val="center"/>
              <w:rPr>
                <w:rFonts w:eastAsia="MS Mincho"/>
              </w:rPr>
            </w:pPr>
            <w:r>
              <w:rPr>
                <w:rFonts w:eastAsia="MS Mincho"/>
                <w:color w:val="232323"/>
                <w:sz w:val="15"/>
              </w:rPr>
              <w:t>4</w:t>
            </w:r>
          </w:p>
        </w:tc>
        <w:tc>
          <w:tcPr>
            <w:tcW w:w="1587" w:type="dxa"/>
            <w:shd w:val="clear" w:color="auto" w:fill="F2F2F2"/>
            <w:vAlign w:val="center"/>
          </w:tcPr>
          <w:p w14:paraId="21802FDC" w14:textId="77777777" w:rsidR="00BB0FE9" w:rsidRDefault="00000000">
            <w:pPr>
              <w:spacing w:after="0" w:line="240" w:lineRule="auto"/>
              <w:jc w:val="center"/>
              <w:rPr>
                <w:rFonts w:eastAsia="MS Mincho"/>
              </w:rPr>
            </w:pPr>
            <w:r>
              <w:rPr>
                <w:rFonts w:eastAsia="MS Mincho"/>
                <w:color w:val="232323"/>
                <w:sz w:val="15"/>
              </w:rPr>
              <w:t>4.00</w:t>
            </w:r>
          </w:p>
        </w:tc>
      </w:tr>
      <w:tr w:rsidR="00BB0FE9" w14:paraId="004C5634" w14:textId="77777777">
        <w:trPr>
          <w:cantSplit/>
          <w:jc w:val="center"/>
        </w:trPr>
        <w:tc>
          <w:tcPr>
            <w:tcW w:w="1587" w:type="dxa"/>
            <w:vAlign w:val="center"/>
          </w:tcPr>
          <w:p w14:paraId="43E01B8E" w14:textId="77777777" w:rsidR="00BB0FE9" w:rsidRDefault="00000000">
            <w:pPr>
              <w:spacing w:after="0" w:line="240" w:lineRule="auto"/>
              <w:rPr>
                <w:rFonts w:eastAsia="MS Mincho"/>
              </w:rPr>
            </w:pPr>
            <w:r>
              <w:rPr>
                <w:rFonts w:eastAsia="MS Mincho"/>
                <w:color w:val="232323"/>
                <w:sz w:val="15"/>
              </w:rPr>
              <w:t>POS, payments and inventory</w:t>
            </w:r>
          </w:p>
        </w:tc>
        <w:tc>
          <w:tcPr>
            <w:tcW w:w="1586" w:type="dxa"/>
            <w:vAlign w:val="center"/>
          </w:tcPr>
          <w:p w14:paraId="078DE497" w14:textId="77777777" w:rsidR="00BB0FE9" w:rsidRDefault="00000000">
            <w:pPr>
              <w:spacing w:after="0" w:line="240" w:lineRule="auto"/>
              <w:jc w:val="center"/>
              <w:rPr>
                <w:rFonts w:eastAsia="MS Mincho"/>
              </w:rPr>
            </w:pPr>
            <w:r>
              <w:rPr>
                <w:rFonts w:eastAsia="MS Mincho"/>
                <w:color w:val="232323"/>
                <w:sz w:val="15"/>
              </w:rPr>
              <w:t>5</w:t>
            </w:r>
          </w:p>
        </w:tc>
        <w:tc>
          <w:tcPr>
            <w:tcW w:w="1588" w:type="dxa"/>
            <w:vAlign w:val="center"/>
          </w:tcPr>
          <w:p w14:paraId="69872BB3" w14:textId="77777777" w:rsidR="00BB0FE9" w:rsidRDefault="00000000">
            <w:pPr>
              <w:spacing w:after="0" w:line="240" w:lineRule="auto"/>
              <w:jc w:val="center"/>
              <w:rPr>
                <w:rFonts w:eastAsia="MS Mincho"/>
              </w:rPr>
            </w:pPr>
            <w:r>
              <w:rPr>
                <w:rFonts w:eastAsia="MS Mincho"/>
                <w:color w:val="232323"/>
                <w:sz w:val="15"/>
              </w:rPr>
              <w:t>5</w:t>
            </w:r>
          </w:p>
        </w:tc>
        <w:tc>
          <w:tcPr>
            <w:tcW w:w="1587" w:type="dxa"/>
            <w:vAlign w:val="center"/>
          </w:tcPr>
          <w:p w14:paraId="01A470BC" w14:textId="77777777" w:rsidR="00BB0FE9" w:rsidRDefault="00000000">
            <w:pPr>
              <w:spacing w:after="0" w:line="240" w:lineRule="auto"/>
              <w:jc w:val="center"/>
              <w:rPr>
                <w:rFonts w:eastAsia="MS Mincho"/>
              </w:rPr>
            </w:pPr>
            <w:r>
              <w:rPr>
                <w:rFonts w:eastAsia="MS Mincho"/>
                <w:color w:val="232323"/>
                <w:sz w:val="15"/>
              </w:rPr>
              <w:t>5</w:t>
            </w:r>
          </w:p>
        </w:tc>
        <w:tc>
          <w:tcPr>
            <w:tcW w:w="1586" w:type="dxa"/>
            <w:vAlign w:val="center"/>
          </w:tcPr>
          <w:p w14:paraId="1C8595B2" w14:textId="77777777" w:rsidR="00BB0FE9" w:rsidRDefault="00000000">
            <w:pPr>
              <w:spacing w:after="0" w:line="240" w:lineRule="auto"/>
              <w:jc w:val="center"/>
              <w:rPr>
                <w:rFonts w:eastAsia="MS Mincho"/>
              </w:rPr>
            </w:pPr>
            <w:r>
              <w:rPr>
                <w:rFonts w:eastAsia="MS Mincho"/>
                <w:color w:val="232323"/>
                <w:sz w:val="15"/>
              </w:rPr>
              <w:t>4</w:t>
            </w:r>
          </w:p>
        </w:tc>
        <w:tc>
          <w:tcPr>
            <w:tcW w:w="1587" w:type="dxa"/>
            <w:vAlign w:val="center"/>
          </w:tcPr>
          <w:p w14:paraId="4BCC8663" w14:textId="77777777" w:rsidR="00BB0FE9" w:rsidRDefault="00000000">
            <w:pPr>
              <w:spacing w:after="0" w:line="240" w:lineRule="auto"/>
              <w:jc w:val="center"/>
              <w:rPr>
                <w:rFonts w:eastAsia="MS Mincho"/>
              </w:rPr>
            </w:pPr>
            <w:r>
              <w:rPr>
                <w:rFonts w:eastAsia="MS Mincho"/>
                <w:color w:val="232323"/>
                <w:sz w:val="15"/>
              </w:rPr>
              <w:t>4.80</w:t>
            </w:r>
          </w:p>
        </w:tc>
      </w:tr>
      <w:tr w:rsidR="00BB0FE9" w14:paraId="3C75CF62" w14:textId="77777777">
        <w:trPr>
          <w:cantSplit/>
          <w:jc w:val="center"/>
        </w:trPr>
        <w:tc>
          <w:tcPr>
            <w:tcW w:w="1587" w:type="dxa"/>
            <w:shd w:val="clear" w:color="auto" w:fill="F2F2F2"/>
            <w:vAlign w:val="center"/>
          </w:tcPr>
          <w:p w14:paraId="0B93B69A" w14:textId="77777777" w:rsidR="00BB0FE9" w:rsidRDefault="00000000">
            <w:pPr>
              <w:spacing w:after="0" w:line="240" w:lineRule="auto"/>
              <w:rPr>
                <w:rFonts w:eastAsia="MS Mincho"/>
              </w:rPr>
            </w:pPr>
            <w:r>
              <w:rPr>
                <w:rFonts w:eastAsia="MS Mincho"/>
                <w:color w:val="232323"/>
                <w:sz w:val="15"/>
              </w:rPr>
              <w:t>Local fulfilment coordination</w:t>
            </w:r>
          </w:p>
        </w:tc>
        <w:tc>
          <w:tcPr>
            <w:tcW w:w="1586" w:type="dxa"/>
            <w:shd w:val="clear" w:color="auto" w:fill="F2F2F2"/>
            <w:vAlign w:val="center"/>
          </w:tcPr>
          <w:p w14:paraId="3CD0DDC8" w14:textId="77777777" w:rsidR="00BB0FE9" w:rsidRDefault="00000000">
            <w:pPr>
              <w:spacing w:after="0" w:line="240" w:lineRule="auto"/>
              <w:jc w:val="center"/>
              <w:rPr>
                <w:rFonts w:eastAsia="MS Mincho"/>
              </w:rPr>
            </w:pPr>
            <w:r>
              <w:rPr>
                <w:rFonts w:eastAsia="MS Mincho"/>
                <w:color w:val="232323"/>
                <w:sz w:val="15"/>
              </w:rPr>
              <w:t>5</w:t>
            </w:r>
          </w:p>
        </w:tc>
        <w:tc>
          <w:tcPr>
            <w:tcW w:w="1588" w:type="dxa"/>
            <w:shd w:val="clear" w:color="auto" w:fill="F2F2F2"/>
            <w:vAlign w:val="center"/>
          </w:tcPr>
          <w:p w14:paraId="33D90D7A" w14:textId="77777777" w:rsidR="00BB0FE9" w:rsidRDefault="00000000">
            <w:pPr>
              <w:spacing w:after="0" w:line="240" w:lineRule="auto"/>
              <w:jc w:val="center"/>
              <w:rPr>
                <w:rFonts w:eastAsia="MS Mincho"/>
              </w:rPr>
            </w:pPr>
            <w:r>
              <w:rPr>
                <w:rFonts w:eastAsia="MS Mincho"/>
                <w:color w:val="232323"/>
                <w:sz w:val="15"/>
              </w:rPr>
              <w:t>3</w:t>
            </w:r>
          </w:p>
        </w:tc>
        <w:tc>
          <w:tcPr>
            <w:tcW w:w="1587" w:type="dxa"/>
            <w:shd w:val="clear" w:color="auto" w:fill="F2F2F2"/>
            <w:vAlign w:val="center"/>
          </w:tcPr>
          <w:p w14:paraId="28E6C4FB" w14:textId="77777777" w:rsidR="00BB0FE9" w:rsidRDefault="00000000">
            <w:pPr>
              <w:spacing w:after="0" w:line="240" w:lineRule="auto"/>
              <w:jc w:val="center"/>
              <w:rPr>
                <w:rFonts w:eastAsia="MS Mincho"/>
              </w:rPr>
            </w:pPr>
            <w:r>
              <w:rPr>
                <w:rFonts w:eastAsia="MS Mincho"/>
                <w:color w:val="232323"/>
                <w:sz w:val="15"/>
              </w:rPr>
              <w:t>2</w:t>
            </w:r>
          </w:p>
        </w:tc>
        <w:tc>
          <w:tcPr>
            <w:tcW w:w="1586" w:type="dxa"/>
            <w:shd w:val="clear" w:color="auto" w:fill="F2F2F2"/>
            <w:vAlign w:val="center"/>
          </w:tcPr>
          <w:p w14:paraId="381FABD9" w14:textId="77777777" w:rsidR="00BB0FE9" w:rsidRDefault="00000000">
            <w:pPr>
              <w:spacing w:after="0" w:line="240" w:lineRule="auto"/>
              <w:jc w:val="center"/>
              <w:rPr>
                <w:rFonts w:eastAsia="MS Mincho"/>
              </w:rPr>
            </w:pPr>
            <w:r>
              <w:rPr>
                <w:rFonts w:eastAsia="MS Mincho"/>
                <w:color w:val="232323"/>
                <w:sz w:val="15"/>
              </w:rPr>
              <w:t>3</w:t>
            </w:r>
          </w:p>
        </w:tc>
        <w:tc>
          <w:tcPr>
            <w:tcW w:w="1587" w:type="dxa"/>
            <w:shd w:val="clear" w:color="auto" w:fill="F2F2F2"/>
            <w:vAlign w:val="center"/>
          </w:tcPr>
          <w:p w14:paraId="3210756E" w14:textId="77777777" w:rsidR="00BB0FE9" w:rsidRDefault="00000000">
            <w:pPr>
              <w:spacing w:after="0" w:line="240" w:lineRule="auto"/>
              <w:jc w:val="center"/>
              <w:rPr>
                <w:rFonts w:eastAsia="MS Mincho"/>
              </w:rPr>
            </w:pPr>
            <w:r>
              <w:rPr>
                <w:rFonts w:eastAsia="MS Mincho"/>
                <w:color w:val="232323"/>
                <w:sz w:val="15"/>
              </w:rPr>
              <w:t>3.35</w:t>
            </w:r>
          </w:p>
        </w:tc>
      </w:tr>
      <w:tr w:rsidR="00BB0FE9" w14:paraId="52E6E9ED" w14:textId="77777777">
        <w:trPr>
          <w:cantSplit/>
          <w:jc w:val="center"/>
        </w:trPr>
        <w:tc>
          <w:tcPr>
            <w:tcW w:w="1587" w:type="dxa"/>
            <w:vAlign w:val="center"/>
          </w:tcPr>
          <w:p w14:paraId="0EA1B4F3" w14:textId="77777777" w:rsidR="00BB0FE9" w:rsidRDefault="00000000">
            <w:pPr>
              <w:spacing w:after="0" w:line="240" w:lineRule="auto"/>
              <w:rPr>
                <w:rFonts w:eastAsia="MS Mincho"/>
              </w:rPr>
            </w:pPr>
            <w:r>
              <w:rPr>
                <w:rFonts w:eastAsia="MS Mincho"/>
                <w:color w:val="232323"/>
                <w:sz w:val="15"/>
              </w:rPr>
              <w:t>Supported adoption and inclusion</w:t>
            </w:r>
          </w:p>
        </w:tc>
        <w:tc>
          <w:tcPr>
            <w:tcW w:w="1586" w:type="dxa"/>
            <w:vAlign w:val="center"/>
          </w:tcPr>
          <w:p w14:paraId="6CA799A7" w14:textId="77777777" w:rsidR="00BB0FE9" w:rsidRDefault="00000000">
            <w:pPr>
              <w:spacing w:after="0" w:line="240" w:lineRule="auto"/>
              <w:jc w:val="center"/>
              <w:rPr>
                <w:rFonts w:eastAsia="MS Mincho"/>
              </w:rPr>
            </w:pPr>
            <w:r>
              <w:rPr>
                <w:rFonts w:eastAsia="MS Mincho"/>
                <w:color w:val="232323"/>
                <w:sz w:val="15"/>
              </w:rPr>
              <w:t>4</w:t>
            </w:r>
          </w:p>
        </w:tc>
        <w:tc>
          <w:tcPr>
            <w:tcW w:w="1588" w:type="dxa"/>
            <w:vAlign w:val="center"/>
          </w:tcPr>
          <w:p w14:paraId="74BE9187" w14:textId="77777777" w:rsidR="00BB0FE9" w:rsidRDefault="00000000">
            <w:pPr>
              <w:spacing w:after="0" w:line="240" w:lineRule="auto"/>
              <w:jc w:val="center"/>
              <w:rPr>
                <w:rFonts w:eastAsia="MS Mincho"/>
              </w:rPr>
            </w:pPr>
            <w:r>
              <w:rPr>
                <w:rFonts w:eastAsia="MS Mincho"/>
                <w:color w:val="232323"/>
                <w:sz w:val="15"/>
              </w:rPr>
              <w:t>5</w:t>
            </w:r>
          </w:p>
        </w:tc>
        <w:tc>
          <w:tcPr>
            <w:tcW w:w="1587" w:type="dxa"/>
            <w:vAlign w:val="center"/>
          </w:tcPr>
          <w:p w14:paraId="4DE1DD9B" w14:textId="77777777" w:rsidR="00BB0FE9" w:rsidRDefault="00000000">
            <w:pPr>
              <w:spacing w:after="0" w:line="240" w:lineRule="auto"/>
              <w:jc w:val="center"/>
              <w:rPr>
                <w:rFonts w:eastAsia="MS Mincho"/>
              </w:rPr>
            </w:pPr>
            <w:r>
              <w:rPr>
                <w:rFonts w:eastAsia="MS Mincho"/>
                <w:color w:val="232323"/>
                <w:sz w:val="15"/>
              </w:rPr>
              <w:t>4</w:t>
            </w:r>
          </w:p>
        </w:tc>
        <w:tc>
          <w:tcPr>
            <w:tcW w:w="1586" w:type="dxa"/>
            <w:vAlign w:val="center"/>
          </w:tcPr>
          <w:p w14:paraId="6CFF5CFF" w14:textId="77777777" w:rsidR="00BB0FE9" w:rsidRDefault="00000000">
            <w:pPr>
              <w:spacing w:after="0" w:line="240" w:lineRule="auto"/>
              <w:jc w:val="center"/>
              <w:rPr>
                <w:rFonts w:eastAsia="MS Mincho"/>
              </w:rPr>
            </w:pPr>
            <w:r>
              <w:rPr>
                <w:rFonts w:eastAsia="MS Mincho"/>
                <w:color w:val="232323"/>
                <w:sz w:val="15"/>
              </w:rPr>
              <w:t>4</w:t>
            </w:r>
          </w:p>
        </w:tc>
        <w:tc>
          <w:tcPr>
            <w:tcW w:w="1587" w:type="dxa"/>
            <w:vAlign w:val="center"/>
          </w:tcPr>
          <w:p w14:paraId="1B9F8CBD" w14:textId="77777777" w:rsidR="00BB0FE9" w:rsidRDefault="00000000">
            <w:pPr>
              <w:spacing w:after="0" w:line="240" w:lineRule="auto"/>
              <w:jc w:val="center"/>
              <w:rPr>
                <w:rFonts w:eastAsia="MS Mincho"/>
              </w:rPr>
            </w:pPr>
            <w:r>
              <w:rPr>
                <w:rFonts w:eastAsia="MS Mincho"/>
                <w:color w:val="232323"/>
                <w:sz w:val="15"/>
              </w:rPr>
              <w:t>4.25</w:t>
            </w:r>
          </w:p>
        </w:tc>
      </w:tr>
    </w:tbl>
    <w:p w14:paraId="7FA91CEF" w14:textId="77777777" w:rsidR="00BB0FE9" w:rsidRDefault="00000000">
      <w:pPr>
        <w:spacing w:before="60" w:after="140"/>
        <w:jc w:val="center"/>
      </w:pPr>
      <w:r>
        <w:rPr>
          <w:i/>
          <w:color w:val="595959"/>
          <w:sz w:val="18"/>
        </w:rPr>
        <w:t>Table 1. Weighted opportunity screen. Scores are author judgements based on the cited evidence.</w:t>
      </w:r>
    </w:p>
    <w:p w14:paraId="15C7F5FC" w14:textId="77777777" w:rsidR="00BB0FE9" w:rsidRDefault="00000000">
      <w:pPr>
        <w:pStyle w:val="Heading1"/>
      </w:pPr>
      <w:bookmarkStart w:id="10" w:name="__RefHeading___Toc812_2097188755"/>
      <w:bookmarkEnd w:id="10"/>
      <w:r>
        <w:t>3. Task 2: Developing a New Venture Through the Five Design Thinking Stages</w:t>
      </w:r>
    </w:p>
    <w:p w14:paraId="33349373" w14:textId="77777777" w:rsidR="00BB0FE9" w:rsidRDefault="00000000">
      <w:pPr>
        <w:pStyle w:val="Heading2"/>
      </w:pPr>
      <w:bookmarkStart w:id="11" w:name="__RefHeading___Toc814_2097188755"/>
      <w:bookmarkEnd w:id="11"/>
      <w:r>
        <w:t>3.1 Venture Concept and Goals</w:t>
      </w:r>
    </w:p>
    <w:p w14:paraId="03096086" w14:textId="77777777" w:rsidR="00BB0FE9" w:rsidRDefault="00000000">
      <w:pPr>
        <w:pStyle w:val="BodyText"/>
        <w:jc w:val="both"/>
      </w:pPr>
      <w:r>
        <w:rPr>
          <w:color w:val="232323"/>
        </w:rPr>
        <w:t>LocalConnect UK is proposed as an independent Shopify-enabled service for micro-retailers, local producers and selected service businesses. It is not presented as an official Shopify product. The venture would configure existing Shopify tools and add local onboarding, QR discovery, merchant support and limited fulfilment coordination.</w:t>
      </w:r>
    </w:p>
    <w:p w14:paraId="19C89B92" w14:textId="77777777" w:rsidR="00BB0FE9" w:rsidRDefault="00000000">
      <w:pPr>
        <w:pStyle w:val="BodyText"/>
        <w:jc w:val="both"/>
      </w:pPr>
      <w:r>
        <w:rPr>
          <w:color w:val="232323"/>
        </w:rPr>
        <w:t>Its primary goal is operational: a participating merchant should be able to accept and correctly fulfil a first integrated local order within one working day of onboarding. Secondary goals are to reduce reconciliation time, improve customer clarity about collection or delivery, and test paid retention. These goals are intentionally narrower than “digitally transform local business”, which would be difficult to measure and would encourage feature expansion without evidence.</w:t>
      </w:r>
    </w:p>
    <w:p w14:paraId="4004EDEF" w14:textId="77777777" w:rsidR="00BB0FE9" w:rsidRDefault="00000000">
      <w:pPr>
        <w:pStyle w:val="Heading2"/>
      </w:pPr>
      <w:bookmarkStart w:id="12" w:name="__RefHeading___Toc816_2097188755"/>
      <w:bookmarkEnd w:id="12"/>
      <w:r>
        <w:t>3.2 Empathise</w:t>
      </w:r>
    </w:p>
    <w:p w14:paraId="1828B5A8" w14:textId="77777777" w:rsidR="00BB0FE9" w:rsidRDefault="00000000">
      <w:pPr>
        <w:pStyle w:val="BodyText"/>
        <w:jc w:val="both"/>
      </w:pPr>
      <w:r>
        <w:rPr>
          <w:color w:val="232323"/>
        </w:rPr>
        <w:t>The empathy stage would combine observation, semi-structured interviews and journey mapping. Observation is important because workarounds often become invisible to the people using them. The researcher would follow real orders from discovery to payment and fulfilment, recording duplicated entry, waiting time, errors and help requests.</w:t>
      </w:r>
    </w:p>
    <w:p w14:paraId="6CCD9A9C" w14:textId="77777777" w:rsidR="00BB0FE9" w:rsidRDefault="00000000">
      <w:pPr>
        <w:pStyle w:val="BodyText"/>
        <w:jc w:val="both"/>
      </w:pPr>
      <w:r>
        <w:rPr>
          <w:color w:val="232323"/>
        </w:rPr>
        <w:t>The sample would include approximately 12 merchants, 15 consumers and three delivery partners in one locality. It should deliberately include non-adopters and merchants who abandoned previous platforms, not only enthusiastic users. Otherwise, the research would overestimate willingness to change. Interviews would ask participants to reconstruct a recent failed or difficult order rather than speculate about a hypothetical service. Consumer recruitment should include people who need assisted ordering or use cash, because a smartphone-only sample would conceal exclusion.</w:t>
      </w:r>
    </w:p>
    <w:p w14:paraId="26B155CC" w14:textId="77777777" w:rsidR="00BB0FE9" w:rsidRDefault="00000000">
      <w:pPr>
        <w:pStyle w:val="BodyText"/>
        <w:jc w:val="both"/>
      </w:pPr>
      <w:r>
        <w:rPr>
          <w:color w:val="232323"/>
        </w:rPr>
        <w:lastRenderedPageBreak/>
        <w:t>The sample is suitable for discovering patterns but not for estimating market prevalence. Personas and journey maps would therefore be treated as provisional design artefacts, not as representative statistics. Findings would be triangulated with observed behaviour and pilot data. This qualification is important because empathy can become selective storytelling when a small number of vivid interviews are treated as universal evidence (Cross, 2011; Micheli et al., 2019).</w:t>
      </w:r>
    </w:p>
    <w:p w14:paraId="7C354826" w14:textId="77777777" w:rsidR="00BB0FE9" w:rsidRDefault="00000000">
      <w:pPr>
        <w:pStyle w:val="Heading2"/>
      </w:pPr>
      <w:bookmarkStart w:id="13" w:name="__RefHeading___Toc818_2097188755"/>
      <w:bookmarkEnd w:id="13"/>
      <w:r>
        <w:t>3.3 Define: Problem Statement and Root Causes</w:t>
      </w:r>
    </w:p>
    <w:p w14:paraId="231DE03A" w14:textId="77777777" w:rsidR="00BB0FE9" w:rsidRDefault="00000000">
      <w:pPr>
        <w:pStyle w:val="BodyText"/>
        <w:jc w:val="both"/>
      </w:pPr>
      <w:r>
        <w:rPr>
          <w:color w:val="232323"/>
        </w:rPr>
        <w:t>The problem statement is: How might LocalConnect UK help time-poor micro-businesses convert local demand into paid, accurately fulfilled orders while limiting implementation effort and preserving access for customers who need assistance?</w:t>
      </w:r>
    </w:p>
    <w:p w14:paraId="4C2FE5D0" w14:textId="77777777" w:rsidR="00BB0FE9" w:rsidRDefault="00000000">
      <w:pPr>
        <w:pStyle w:val="BodyText"/>
        <w:jc w:val="both"/>
      </w:pPr>
      <w:r>
        <w:rPr>
          <w:color w:val="232323"/>
        </w:rPr>
        <w:t>The Five Whys analysis in Table 2 reframes low online sales as a possible symptom of fragmented operations and unsupported change. However, Five Whys does not prove causality; each answer is a hypothesis to be tested. For example, low sales may result from weak demand or uncompetitive pricing rather than software fragmentation. Discovery interviews must therefore look for disconfirming evidence, and merchants with well-integrated systems but low sales should not be forced into the proposed explanation.</w:t>
      </w:r>
    </w:p>
    <w:p w14:paraId="6490471C" w14:textId="77777777" w:rsidR="00BB0FE9" w:rsidRDefault="00000000">
      <w:pPr>
        <w:pStyle w:val="BodyText"/>
        <w:jc w:val="both"/>
      </w:pPr>
      <w:r>
        <w:rPr>
          <w:color w:val="232323"/>
        </w:rPr>
        <w:t>The definition sets boundaries. LocalConnect will not create a new commerce engine, promise national delivery or provide full-service advertising. It will test one locality and a limited set of workflows. These exclusions improve feasibility and make failure interpretable: if the pilot does not improve completed orders or workload, the team can reject the proposition rather than blame an unfinished national platform.</w:t>
      </w:r>
    </w:p>
    <w:tbl>
      <w:tblPr>
        <w:tblStyle w:val="TableGrid"/>
        <w:tblW w:w="9526" w:type="dxa"/>
        <w:jc w:val="center"/>
        <w:tblLayout w:type="fixed"/>
        <w:tblCellMar>
          <w:top w:w="65" w:type="dxa"/>
          <w:left w:w="65" w:type="dxa"/>
          <w:bottom w:w="65" w:type="dxa"/>
          <w:right w:w="65" w:type="dxa"/>
        </w:tblCellMar>
        <w:tblLook w:val="04A0" w:firstRow="1" w:lastRow="0" w:firstColumn="1" w:lastColumn="0" w:noHBand="0" w:noVBand="1"/>
      </w:tblPr>
      <w:tblGrid>
        <w:gridCol w:w="3175"/>
        <w:gridCol w:w="3175"/>
        <w:gridCol w:w="3176"/>
      </w:tblGrid>
      <w:tr w:rsidR="00BB0FE9" w14:paraId="2E6FC526" w14:textId="77777777">
        <w:trPr>
          <w:cantSplit/>
          <w:tblHeader/>
          <w:jc w:val="center"/>
        </w:trPr>
        <w:tc>
          <w:tcPr>
            <w:tcW w:w="3175" w:type="dxa"/>
            <w:shd w:val="clear" w:color="auto" w:fill="1F4E79"/>
            <w:vAlign w:val="center"/>
          </w:tcPr>
          <w:p w14:paraId="0E04E241" w14:textId="77777777" w:rsidR="00BB0FE9" w:rsidRDefault="00000000">
            <w:pPr>
              <w:spacing w:after="0" w:line="240" w:lineRule="auto"/>
              <w:rPr>
                <w:rFonts w:eastAsia="MS Mincho"/>
              </w:rPr>
            </w:pPr>
            <w:r>
              <w:rPr>
                <w:rFonts w:eastAsia="MS Mincho"/>
                <w:b/>
                <w:color w:val="FFFFFF"/>
                <w:sz w:val="15"/>
              </w:rPr>
              <w:t>Stage</w:t>
            </w:r>
          </w:p>
        </w:tc>
        <w:tc>
          <w:tcPr>
            <w:tcW w:w="3175" w:type="dxa"/>
            <w:shd w:val="clear" w:color="auto" w:fill="1F4E79"/>
            <w:vAlign w:val="center"/>
          </w:tcPr>
          <w:p w14:paraId="6C688C5C" w14:textId="77777777" w:rsidR="00BB0FE9" w:rsidRDefault="00000000">
            <w:pPr>
              <w:spacing w:after="0" w:line="240" w:lineRule="auto"/>
              <w:rPr>
                <w:rFonts w:eastAsia="MS Mincho"/>
              </w:rPr>
            </w:pPr>
            <w:r>
              <w:rPr>
                <w:rFonts w:eastAsia="MS Mincho"/>
                <w:b/>
                <w:color w:val="FFFFFF"/>
                <w:sz w:val="15"/>
              </w:rPr>
              <w:t>Working question</w:t>
            </w:r>
          </w:p>
        </w:tc>
        <w:tc>
          <w:tcPr>
            <w:tcW w:w="3176" w:type="dxa"/>
            <w:shd w:val="clear" w:color="auto" w:fill="1F4E79"/>
            <w:vAlign w:val="center"/>
          </w:tcPr>
          <w:p w14:paraId="01DDA0D5" w14:textId="77777777" w:rsidR="00BB0FE9" w:rsidRDefault="00000000">
            <w:pPr>
              <w:spacing w:after="0" w:line="240" w:lineRule="auto"/>
              <w:rPr>
                <w:rFonts w:eastAsia="MS Mincho"/>
              </w:rPr>
            </w:pPr>
            <w:r>
              <w:rPr>
                <w:rFonts w:eastAsia="MS Mincho"/>
                <w:b/>
                <w:color w:val="FFFFFF"/>
                <w:sz w:val="15"/>
              </w:rPr>
              <w:t>Hypothesis requiring validation</w:t>
            </w:r>
          </w:p>
        </w:tc>
      </w:tr>
      <w:tr w:rsidR="00BB0FE9" w14:paraId="3B70E3EC" w14:textId="77777777">
        <w:trPr>
          <w:cantSplit/>
          <w:jc w:val="center"/>
        </w:trPr>
        <w:tc>
          <w:tcPr>
            <w:tcW w:w="3175" w:type="dxa"/>
            <w:vAlign w:val="center"/>
          </w:tcPr>
          <w:p w14:paraId="10EB1E5F" w14:textId="77777777" w:rsidR="00BB0FE9" w:rsidRDefault="00000000">
            <w:pPr>
              <w:spacing w:after="0" w:line="240" w:lineRule="auto"/>
              <w:rPr>
                <w:rFonts w:eastAsia="MS Mincho"/>
              </w:rPr>
            </w:pPr>
            <w:r>
              <w:rPr>
                <w:rFonts w:eastAsia="MS Mincho"/>
                <w:color w:val="232323"/>
                <w:sz w:val="15"/>
              </w:rPr>
              <w:t>Problem</w:t>
            </w:r>
          </w:p>
        </w:tc>
        <w:tc>
          <w:tcPr>
            <w:tcW w:w="3175" w:type="dxa"/>
            <w:vAlign w:val="center"/>
          </w:tcPr>
          <w:p w14:paraId="26F8EBA5" w14:textId="77777777" w:rsidR="00BB0FE9" w:rsidRDefault="00000000">
            <w:pPr>
              <w:spacing w:after="0" w:line="240" w:lineRule="auto"/>
              <w:rPr>
                <w:rFonts w:eastAsia="MS Mincho"/>
              </w:rPr>
            </w:pPr>
            <w:r>
              <w:rPr>
                <w:rFonts w:eastAsia="MS Mincho"/>
                <w:color w:val="232323"/>
                <w:sz w:val="15"/>
              </w:rPr>
              <w:t>Why are completed local digital orders inconsistent?</w:t>
            </w:r>
          </w:p>
        </w:tc>
        <w:tc>
          <w:tcPr>
            <w:tcW w:w="3176" w:type="dxa"/>
            <w:vAlign w:val="center"/>
          </w:tcPr>
          <w:p w14:paraId="3674D735" w14:textId="77777777" w:rsidR="00BB0FE9" w:rsidRDefault="00000000">
            <w:pPr>
              <w:spacing w:after="0" w:line="240" w:lineRule="auto"/>
              <w:rPr>
                <w:rFonts w:eastAsia="MS Mincho"/>
              </w:rPr>
            </w:pPr>
            <w:r>
              <w:rPr>
                <w:rFonts w:eastAsia="MS Mincho"/>
                <w:color w:val="232323"/>
                <w:sz w:val="15"/>
              </w:rPr>
              <w:t>Orders may be lost, delayed or abandoned.</w:t>
            </w:r>
          </w:p>
        </w:tc>
      </w:tr>
      <w:tr w:rsidR="00BB0FE9" w14:paraId="62DB6A97" w14:textId="77777777">
        <w:trPr>
          <w:cantSplit/>
          <w:jc w:val="center"/>
        </w:trPr>
        <w:tc>
          <w:tcPr>
            <w:tcW w:w="3175" w:type="dxa"/>
            <w:shd w:val="clear" w:color="auto" w:fill="F2F2F2"/>
            <w:vAlign w:val="center"/>
          </w:tcPr>
          <w:p w14:paraId="74E49C23" w14:textId="77777777" w:rsidR="00BB0FE9" w:rsidRDefault="00000000">
            <w:pPr>
              <w:spacing w:after="0" w:line="240" w:lineRule="auto"/>
              <w:rPr>
                <w:rFonts w:eastAsia="MS Mincho"/>
              </w:rPr>
            </w:pPr>
            <w:r>
              <w:rPr>
                <w:rFonts w:eastAsia="MS Mincho"/>
                <w:color w:val="232323"/>
                <w:sz w:val="15"/>
              </w:rPr>
              <w:t>Why 1</w:t>
            </w:r>
          </w:p>
        </w:tc>
        <w:tc>
          <w:tcPr>
            <w:tcW w:w="3175" w:type="dxa"/>
            <w:shd w:val="clear" w:color="auto" w:fill="F2F2F2"/>
            <w:vAlign w:val="center"/>
          </w:tcPr>
          <w:p w14:paraId="0146EEE4" w14:textId="77777777" w:rsidR="00BB0FE9" w:rsidRDefault="00000000">
            <w:pPr>
              <w:spacing w:after="0" w:line="240" w:lineRule="auto"/>
              <w:rPr>
                <w:rFonts w:eastAsia="MS Mincho"/>
              </w:rPr>
            </w:pPr>
            <w:r>
              <w:rPr>
                <w:rFonts w:eastAsia="MS Mincho"/>
                <w:color w:val="232323"/>
                <w:sz w:val="15"/>
              </w:rPr>
              <w:t>Why might this occur?</w:t>
            </w:r>
          </w:p>
        </w:tc>
        <w:tc>
          <w:tcPr>
            <w:tcW w:w="3176" w:type="dxa"/>
            <w:shd w:val="clear" w:color="auto" w:fill="F2F2F2"/>
            <w:vAlign w:val="center"/>
          </w:tcPr>
          <w:p w14:paraId="19476431" w14:textId="77777777" w:rsidR="00BB0FE9" w:rsidRDefault="00000000">
            <w:pPr>
              <w:spacing w:after="0" w:line="240" w:lineRule="auto"/>
              <w:rPr>
                <w:rFonts w:eastAsia="MS Mincho"/>
              </w:rPr>
            </w:pPr>
            <w:r>
              <w:rPr>
                <w:rFonts w:eastAsia="MS Mincho"/>
                <w:color w:val="232323"/>
                <w:sz w:val="15"/>
              </w:rPr>
              <w:t>Discovery, payment, stock and fulfilment use separate processes.</w:t>
            </w:r>
          </w:p>
        </w:tc>
      </w:tr>
      <w:tr w:rsidR="00BB0FE9" w14:paraId="2766FD87" w14:textId="77777777">
        <w:trPr>
          <w:cantSplit/>
          <w:jc w:val="center"/>
        </w:trPr>
        <w:tc>
          <w:tcPr>
            <w:tcW w:w="3175" w:type="dxa"/>
            <w:vAlign w:val="center"/>
          </w:tcPr>
          <w:p w14:paraId="16951071" w14:textId="77777777" w:rsidR="00BB0FE9" w:rsidRDefault="00000000">
            <w:pPr>
              <w:spacing w:after="0" w:line="240" w:lineRule="auto"/>
              <w:rPr>
                <w:rFonts w:eastAsia="MS Mincho"/>
              </w:rPr>
            </w:pPr>
            <w:r>
              <w:rPr>
                <w:rFonts w:eastAsia="MS Mincho"/>
                <w:color w:val="232323"/>
                <w:sz w:val="15"/>
              </w:rPr>
              <w:t>Why 2</w:t>
            </w:r>
          </w:p>
        </w:tc>
        <w:tc>
          <w:tcPr>
            <w:tcW w:w="3175" w:type="dxa"/>
            <w:vAlign w:val="center"/>
          </w:tcPr>
          <w:p w14:paraId="6FA4784B" w14:textId="77777777" w:rsidR="00BB0FE9" w:rsidRDefault="00000000">
            <w:pPr>
              <w:spacing w:after="0" w:line="240" w:lineRule="auto"/>
              <w:rPr>
                <w:rFonts w:eastAsia="MS Mincho"/>
              </w:rPr>
            </w:pPr>
            <w:r>
              <w:rPr>
                <w:rFonts w:eastAsia="MS Mincho"/>
                <w:color w:val="232323"/>
                <w:sz w:val="15"/>
              </w:rPr>
              <w:t>Why are processes not integrated?</w:t>
            </w:r>
          </w:p>
        </w:tc>
        <w:tc>
          <w:tcPr>
            <w:tcW w:w="3176" w:type="dxa"/>
            <w:vAlign w:val="center"/>
          </w:tcPr>
          <w:p w14:paraId="13A7CCC2" w14:textId="77777777" w:rsidR="00BB0FE9" w:rsidRDefault="00000000">
            <w:pPr>
              <w:spacing w:after="0" w:line="240" w:lineRule="auto"/>
              <w:rPr>
                <w:rFonts w:eastAsia="MS Mincho"/>
              </w:rPr>
            </w:pPr>
            <w:r>
              <w:rPr>
                <w:rFonts w:eastAsia="MS Mincho"/>
                <w:color w:val="232323"/>
                <w:sz w:val="15"/>
              </w:rPr>
              <w:t>Informal tools feel cheaper and integrated setup appears difficult.</w:t>
            </w:r>
          </w:p>
        </w:tc>
      </w:tr>
      <w:tr w:rsidR="00BB0FE9" w14:paraId="4FF18AB1" w14:textId="77777777">
        <w:trPr>
          <w:cantSplit/>
          <w:jc w:val="center"/>
        </w:trPr>
        <w:tc>
          <w:tcPr>
            <w:tcW w:w="3175" w:type="dxa"/>
            <w:shd w:val="clear" w:color="auto" w:fill="F2F2F2"/>
            <w:vAlign w:val="center"/>
          </w:tcPr>
          <w:p w14:paraId="3518EFB9" w14:textId="77777777" w:rsidR="00BB0FE9" w:rsidRDefault="00000000">
            <w:pPr>
              <w:spacing w:after="0" w:line="240" w:lineRule="auto"/>
              <w:rPr>
                <w:rFonts w:eastAsia="MS Mincho"/>
              </w:rPr>
            </w:pPr>
            <w:r>
              <w:rPr>
                <w:rFonts w:eastAsia="MS Mincho"/>
                <w:color w:val="232323"/>
                <w:sz w:val="15"/>
              </w:rPr>
              <w:t>Why 3</w:t>
            </w:r>
          </w:p>
        </w:tc>
        <w:tc>
          <w:tcPr>
            <w:tcW w:w="3175" w:type="dxa"/>
            <w:shd w:val="clear" w:color="auto" w:fill="F2F2F2"/>
            <w:vAlign w:val="center"/>
          </w:tcPr>
          <w:p w14:paraId="18B15138" w14:textId="77777777" w:rsidR="00BB0FE9" w:rsidRDefault="00000000">
            <w:pPr>
              <w:spacing w:after="0" w:line="240" w:lineRule="auto"/>
              <w:rPr>
                <w:rFonts w:eastAsia="MS Mincho"/>
              </w:rPr>
            </w:pPr>
            <w:r>
              <w:rPr>
                <w:rFonts w:eastAsia="MS Mincho"/>
                <w:color w:val="232323"/>
                <w:sz w:val="15"/>
              </w:rPr>
              <w:t>Why does difficulty prevent adoption?</w:t>
            </w:r>
          </w:p>
        </w:tc>
        <w:tc>
          <w:tcPr>
            <w:tcW w:w="3176" w:type="dxa"/>
            <w:shd w:val="clear" w:color="auto" w:fill="F2F2F2"/>
            <w:vAlign w:val="center"/>
          </w:tcPr>
          <w:p w14:paraId="65858FFB" w14:textId="77777777" w:rsidR="00BB0FE9" w:rsidRDefault="00000000">
            <w:pPr>
              <w:spacing w:after="0" w:line="240" w:lineRule="auto"/>
              <w:rPr>
                <w:rFonts w:eastAsia="MS Mincho"/>
              </w:rPr>
            </w:pPr>
            <w:r>
              <w:rPr>
                <w:rFonts w:eastAsia="MS Mincho"/>
                <w:color w:val="232323"/>
                <w:sz w:val="15"/>
              </w:rPr>
              <w:t>Owners have limited time, confidence and implementation support.</w:t>
            </w:r>
          </w:p>
        </w:tc>
      </w:tr>
      <w:tr w:rsidR="00BB0FE9" w14:paraId="23C322DE" w14:textId="77777777">
        <w:trPr>
          <w:cantSplit/>
          <w:jc w:val="center"/>
        </w:trPr>
        <w:tc>
          <w:tcPr>
            <w:tcW w:w="3175" w:type="dxa"/>
            <w:vAlign w:val="center"/>
          </w:tcPr>
          <w:p w14:paraId="00628178" w14:textId="77777777" w:rsidR="00BB0FE9" w:rsidRDefault="00000000">
            <w:pPr>
              <w:spacing w:after="0" w:line="240" w:lineRule="auto"/>
              <w:rPr>
                <w:rFonts w:eastAsia="MS Mincho"/>
              </w:rPr>
            </w:pPr>
            <w:r>
              <w:rPr>
                <w:rFonts w:eastAsia="MS Mincho"/>
                <w:color w:val="232323"/>
                <w:sz w:val="15"/>
              </w:rPr>
              <w:t>Why 4</w:t>
            </w:r>
          </w:p>
        </w:tc>
        <w:tc>
          <w:tcPr>
            <w:tcW w:w="3175" w:type="dxa"/>
            <w:vAlign w:val="center"/>
          </w:tcPr>
          <w:p w14:paraId="5E0D91EA" w14:textId="77777777" w:rsidR="00BB0FE9" w:rsidRDefault="00000000">
            <w:pPr>
              <w:spacing w:after="0" w:line="240" w:lineRule="auto"/>
              <w:rPr>
                <w:rFonts w:eastAsia="MS Mincho"/>
              </w:rPr>
            </w:pPr>
            <w:r>
              <w:rPr>
                <w:rFonts w:eastAsia="MS Mincho"/>
                <w:color w:val="232323"/>
                <w:sz w:val="15"/>
              </w:rPr>
              <w:t>Why is support limited?</w:t>
            </w:r>
          </w:p>
        </w:tc>
        <w:tc>
          <w:tcPr>
            <w:tcW w:w="3176" w:type="dxa"/>
            <w:vAlign w:val="center"/>
          </w:tcPr>
          <w:p w14:paraId="49A39620" w14:textId="77777777" w:rsidR="00BB0FE9" w:rsidRDefault="00000000">
            <w:pPr>
              <w:spacing w:after="0" w:line="240" w:lineRule="auto"/>
              <w:rPr>
                <w:rFonts w:eastAsia="MS Mincho"/>
              </w:rPr>
            </w:pPr>
            <w:r>
              <w:rPr>
                <w:rFonts w:eastAsia="MS Mincho"/>
                <w:color w:val="232323"/>
                <w:sz w:val="15"/>
              </w:rPr>
              <w:t>Providers optimise individual products rather than the merchant change journey.</w:t>
            </w:r>
          </w:p>
        </w:tc>
      </w:tr>
      <w:tr w:rsidR="00BB0FE9" w14:paraId="734268E5" w14:textId="77777777">
        <w:trPr>
          <w:cantSplit/>
          <w:jc w:val="center"/>
        </w:trPr>
        <w:tc>
          <w:tcPr>
            <w:tcW w:w="3175" w:type="dxa"/>
            <w:shd w:val="clear" w:color="auto" w:fill="F2F2F2"/>
            <w:vAlign w:val="center"/>
          </w:tcPr>
          <w:p w14:paraId="101D5EF1" w14:textId="77777777" w:rsidR="00BB0FE9" w:rsidRDefault="00000000">
            <w:pPr>
              <w:spacing w:after="0" w:line="240" w:lineRule="auto"/>
              <w:rPr>
                <w:rFonts w:eastAsia="MS Mincho"/>
              </w:rPr>
            </w:pPr>
            <w:r>
              <w:rPr>
                <w:rFonts w:eastAsia="MS Mincho"/>
                <w:color w:val="232323"/>
                <w:sz w:val="15"/>
              </w:rPr>
              <w:t>Caution</w:t>
            </w:r>
          </w:p>
        </w:tc>
        <w:tc>
          <w:tcPr>
            <w:tcW w:w="3175" w:type="dxa"/>
            <w:shd w:val="clear" w:color="auto" w:fill="F2F2F2"/>
            <w:vAlign w:val="center"/>
          </w:tcPr>
          <w:p w14:paraId="51CFF12E" w14:textId="77777777" w:rsidR="00BB0FE9" w:rsidRDefault="00000000">
            <w:pPr>
              <w:spacing w:after="0" w:line="240" w:lineRule="auto"/>
              <w:rPr>
                <w:rFonts w:eastAsia="MS Mincho"/>
              </w:rPr>
            </w:pPr>
            <w:r>
              <w:rPr>
                <w:rFonts w:eastAsia="MS Mincho"/>
                <w:color w:val="232323"/>
                <w:sz w:val="15"/>
              </w:rPr>
              <w:t>What alternative cause must be tested?</w:t>
            </w:r>
          </w:p>
        </w:tc>
        <w:tc>
          <w:tcPr>
            <w:tcW w:w="3176" w:type="dxa"/>
            <w:shd w:val="clear" w:color="auto" w:fill="F2F2F2"/>
            <w:vAlign w:val="center"/>
          </w:tcPr>
          <w:p w14:paraId="3164634E" w14:textId="77777777" w:rsidR="00BB0FE9" w:rsidRDefault="00000000">
            <w:pPr>
              <w:spacing w:after="0" w:line="240" w:lineRule="auto"/>
              <w:rPr>
                <w:rFonts w:eastAsia="MS Mincho"/>
              </w:rPr>
            </w:pPr>
            <w:r>
              <w:rPr>
                <w:rFonts w:eastAsia="MS Mincho"/>
                <w:color w:val="232323"/>
                <w:sz w:val="15"/>
              </w:rPr>
              <w:t>Weak demand, price or product quality may matter more than technology.</w:t>
            </w:r>
          </w:p>
        </w:tc>
      </w:tr>
    </w:tbl>
    <w:p w14:paraId="55BF16EC" w14:textId="77777777" w:rsidR="00BB0FE9" w:rsidRDefault="00000000">
      <w:pPr>
        <w:spacing w:before="60" w:after="140"/>
        <w:jc w:val="center"/>
      </w:pPr>
      <w:r>
        <w:rPr>
          <w:i/>
          <w:color w:val="595959"/>
          <w:sz w:val="18"/>
        </w:rPr>
        <w:t>Table 2. Five Whys analysis. Findings are hypotheses for testing, not established causes.</w:t>
      </w:r>
    </w:p>
    <w:p w14:paraId="1EDF2DC9" w14:textId="77777777" w:rsidR="00BB0FE9" w:rsidRDefault="00000000">
      <w:pPr>
        <w:pStyle w:val="Heading2"/>
      </w:pPr>
      <w:bookmarkStart w:id="14" w:name="__RefHeading___Toc820_2097188755"/>
      <w:bookmarkEnd w:id="14"/>
      <w:r>
        <w:t>3.4 Ideate: Generating and Selecting Alternatives</w:t>
      </w:r>
    </w:p>
    <w:p w14:paraId="72EC2785" w14:textId="77777777" w:rsidR="00BB0FE9" w:rsidRDefault="00000000">
      <w:pPr>
        <w:pStyle w:val="BodyText"/>
        <w:jc w:val="both"/>
      </w:pPr>
      <w:r>
        <w:rPr>
          <w:color w:val="232323"/>
        </w:rPr>
        <w:t>Ideation separates generating options from defending a favourite solution. A workshop would use spoken brainstorming followed by silent brainwriting so that confident participants do not dominate. Paulus and Yang (2000) found that written idea exchange can reduce production blocking. After a short incubation period, ideas would be clustered by discovery, transaction, operations, fulfilment and support.</w:t>
      </w:r>
    </w:p>
    <w:p w14:paraId="68B51FA9" w14:textId="78874A3A" w:rsidR="00BB0FE9" w:rsidRDefault="00000000">
      <w:pPr>
        <w:pStyle w:val="BodyText"/>
        <w:jc w:val="both"/>
      </w:pPr>
      <w:r>
        <w:rPr>
          <w:color w:val="232323"/>
        </w:rPr>
        <w:lastRenderedPageBreak/>
        <w:t>Random entry transfers the logic of a car-park QR code to local commerce: scanning should reveal live availability, total cost and collection choices without an app download. Reverse provocation asks how to create the worst service</w:t>
      </w:r>
      <w:r w:rsidR="001B1C34">
        <w:rPr>
          <w:color w:val="232323"/>
        </w:rPr>
        <w:t xml:space="preserve"> </w:t>
      </w:r>
      <w:r>
        <w:rPr>
          <w:color w:val="232323"/>
        </w:rPr>
        <w:t>hidden charges, duplicate data entry, compulsory apps and vague delivery</w:t>
      </w:r>
      <w:r w:rsidR="001B1C34">
        <w:rPr>
          <w:color w:val="232323"/>
        </w:rPr>
        <w:t xml:space="preserve"> </w:t>
      </w:r>
      <w:r>
        <w:rPr>
          <w:color w:val="232323"/>
        </w:rPr>
        <w:t>and converts these failures into design constraints. An analogy with a scheduled bus route suggests pooled delivery windows rather than a separate journey for every order (de Bono, 1992).</w:t>
      </w:r>
    </w:p>
    <w:p w14:paraId="078C8A76" w14:textId="77777777" w:rsidR="00BB0FE9" w:rsidRDefault="00000000">
      <w:pPr>
        <w:pStyle w:val="BodyText"/>
        <w:jc w:val="both"/>
      </w:pPr>
      <w:r>
        <w:rPr>
          <w:color w:val="232323"/>
        </w:rPr>
        <w:t>Four strategic options emerge: a training-only service, a local multi-vendor marketplace, a delivery cooperative, and an integrated adoption service. Training is feasible but weak in recurring revenue; a marketplace improves discovery but requires costly demand generation; delivery is desirable but depends on density; the integrated service addresses merchant operations but risks complexity. LocalConnect selects the fourth option only after reducing it to modules: guided setup and order visibility form the core, QR discovery is a low-cost acquisition test, and fulfilment remains optional. This selection is a compromise, not an assumption that combining more features automatically creates more value.</w:t>
      </w:r>
    </w:p>
    <w:p w14:paraId="35A89235" w14:textId="77777777" w:rsidR="00BB0FE9" w:rsidRDefault="00000000">
      <w:pPr>
        <w:pStyle w:val="Heading2"/>
      </w:pPr>
      <w:bookmarkStart w:id="15" w:name="__RefHeading___Toc822_2097188755"/>
      <w:bookmarkEnd w:id="15"/>
      <w:r>
        <w:t>3.5 Prototype: The Minimum Viable Product</w:t>
      </w:r>
    </w:p>
    <w:p w14:paraId="1EFDBDB8" w14:textId="77777777" w:rsidR="00BB0FE9" w:rsidRDefault="00000000">
      <w:pPr>
        <w:pStyle w:val="BodyText"/>
        <w:jc w:val="both"/>
      </w:pPr>
      <w:r>
        <w:rPr>
          <w:color w:val="232323"/>
        </w:rPr>
        <w:t>The riskiest assumptions are not whether Shopify can process an order, but whether merchants will change routines, customers will complete local purchases and merchants will pay for support. The first prototype should therefore be a clickable journey and a manual service script, not custom software. A concierge MVP makes hidden labour visible before automation (Brown, 2009; Ries, 2011).</w:t>
      </w:r>
    </w:p>
    <w:p w14:paraId="0763F3BE" w14:textId="77777777" w:rsidR="00BB0FE9" w:rsidRDefault="00000000">
      <w:pPr>
        <w:pStyle w:val="BodyText"/>
        <w:jc w:val="both"/>
      </w:pPr>
      <w:r>
        <w:rPr>
          <w:color w:val="232323"/>
        </w:rPr>
        <w:t>The 12-week pilot would recruit 20 businesses in one town or rural-suburban cluster. Each merchant would launch no more than 20 products or three bookable services. Core elements are guided catalogue setup, checkout, order-status visibility, QR and social links, and click-and-collect. Two scheduled delivery rounds would be offered only in defined postcodes. Staff may manually group orders and enter assisted telephone orders. Manual work is acceptable for learning, but every intervention must be logged because high support demand would weaken scalability.</w:t>
      </w:r>
    </w:p>
    <w:p w14:paraId="208A86D5" w14:textId="77777777" w:rsidR="00BB0FE9" w:rsidRDefault="00000000">
      <w:pPr>
        <w:pStyle w:val="BodyText"/>
        <w:jc w:val="both"/>
      </w:pPr>
      <w:r>
        <w:rPr>
          <w:color w:val="232323"/>
        </w:rPr>
        <w:t>The prototype deliberately excludes custom route software, advanced AI marketing and a full local marketplace. Those features could make the pilot look impressive while preventing the team from identifying which element creates value. Osterwalder and Pigneur (2010) and Teece (2010) are applied by linking each feature to a customer problem, cost, partner and revenue hypothesis rather than presenting a feature list as a business model.</w:t>
      </w:r>
    </w:p>
    <w:p w14:paraId="7D6365CD" w14:textId="77777777" w:rsidR="00BB0FE9" w:rsidRDefault="00000000">
      <w:pPr>
        <w:pStyle w:val="Heading2"/>
      </w:pPr>
      <w:bookmarkStart w:id="16" w:name="__RefHeading___Toc824_2097188755"/>
      <w:bookmarkEnd w:id="16"/>
      <w:r>
        <w:t>3.6 Test and Refine</w:t>
      </w:r>
    </w:p>
    <w:p w14:paraId="6945742A" w14:textId="77777777" w:rsidR="00BB0FE9" w:rsidRDefault="00000000">
      <w:pPr>
        <w:pStyle w:val="BodyText"/>
        <w:jc w:val="both"/>
      </w:pPr>
      <w:r>
        <w:rPr>
          <w:color w:val="232323"/>
        </w:rPr>
        <w:t xml:space="preserve">Testing prioritises behaviour over stated enthusiasm. Merchant onboarding measures completion time, catalogue accuracy, support contacts and four-week activity. The initial pass condition is that at least 80 per cent publish a usable catalogue with no more than two substantive support </w:t>
      </w:r>
      <w:r>
        <w:rPr>
          <w:color w:val="232323"/>
        </w:rPr>
        <w:lastRenderedPageBreak/>
        <w:t>interventions. Failure would trigger a smaller catalogue or a narrower target segment, not additional features.</w:t>
      </w:r>
    </w:p>
    <w:p w14:paraId="2886517E" w14:textId="77777777" w:rsidR="00BB0FE9" w:rsidRDefault="00000000">
      <w:pPr>
        <w:pStyle w:val="BodyText"/>
        <w:jc w:val="both"/>
      </w:pPr>
      <w:r>
        <w:rPr>
          <w:color w:val="232323"/>
        </w:rPr>
        <w:t>Customer tests compare QR posters, merchant social links and a simple local directory. Completed checkout, repeat purchase and contribution per order matter more than scans or page views. A high scan rate with weak purchases would suggest that interest exists but price, trust or fulfilment remains unacceptable. Short interviews at collection would help interpret the analytics.</w:t>
      </w:r>
    </w:p>
    <w:p w14:paraId="43F10745" w14:textId="77777777" w:rsidR="00BB0FE9" w:rsidRDefault="00000000">
      <w:pPr>
        <w:pStyle w:val="BodyText"/>
        <w:jc w:val="both"/>
      </w:pPr>
      <w:r>
        <w:rPr>
          <w:color w:val="232323"/>
        </w:rPr>
        <w:t>Fulfilment tests measure cost per drop, orders per route, on-time performance, failed deliveries and miles per order. Delivery is paused if routes cannot reach the threshold defined in Table 3. Inclusion testing records assisted orders, accessibility issues and payment preferences. Personal data would be minimised and privacy considered during design, consistent with ICO guidance (Information Commissioner’s Office, 2026).</w:t>
      </w:r>
    </w:p>
    <w:p w14:paraId="10B0BA43" w14:textId="77777777" w:rsidR="00BB0FE9" w:rsidRDefault="00000000">
      <w:pPr>
        <w:pStyle w:val="BodyText"/>
        <w:jc w:val="both"/>
      </w:pPr>
      <w:r>
        <w:rPr>
          <w:color w:val="232323"/>
        </w:rPr>
        <w:t>The pilot is too small to establish statistical certainty, so results should be interpreted as directional. A second location should use a different demographic or geographic profile to test transferability. This protects the venture from scaling a solution that works only because of one supportive merchant group or unusually dense neighbourhood.</w:t>
      </w:r>
    </w:p>
    <w:tbl>
      <w:tblPr>
        <w:tblStyle w:val="TableGrid"/>
        <w:tblW w:w="9526" w:type="dxa"/>
        <w:jc w:val="center"/>
        <w:tblLayout w:type="fixed"/>
        <w:tblCellMar>
          <w:top w:w="65" w:type="dxa"/>
          <w:left w:w="65" w:type="dxa"/>
          <w:bottom w:w="65" w:type="dxa"/>
          <w:right w:w="65" w:type="dxa"/>
        </w:tblCellMar>
        <w:tblLook w:val="04A0" w:firstRow="1" w:lastRow="0" w:firstColumn="1" w:lastColumn="0" w:noHBand="0" w:noVBand="1"/>
      </w:tblPr>
      <w:tblGrid>
        <w:gridCol w:w="3175"/>
        <w:gridCol w:w="3175"/>
        <w:gridCol w:w="3176"/>
      </w:tblGrid>
      <w:tr w:rsidR="00BB0FE9" w14:paraId="7B658CFC" w14:textId="77777777">
        <w:trPr>
          <w:cantSplit/>
          <w:tblHeader/>
          <w:jc w:val="center"/>
        </w:trPr>
        <w:tc>
          <w:tcPr>
            <w:tcW w:w="3175" w:type="dxa"/>
            <w:shd w:val="clear" w:color="auto" w:fill="1F4E79"/>
            <w:vAlign w:val="center"/>
          </w:tcPr>
          <w:p w14:paraId="66E647CC" w14:textId="77777777" w:rsidR="00BB0FE9" w:rsidRDefault="00000000">
            <w:pPr>
              <w:spacing w:after="0" w:line="240" w:lineRule="auto"/>
              <w:rPr>
                <w:rFonts w:eastAsia="MS Mincho"/>
              </w:rPr>
            </w:pPr>
            <w:r>
              <w:rPr>
                <w:rFonts w:eastAsia="MS Mincho"/>
                <w:b/>
                <w:color w:val="FFFFFF"/>
                <w:sz w:val="15"/>
              </w:rPr>
              <w:t>Assumption</w:t>
            </w:r>
          </w:p>
        </w:tc>
        <w:tc>
          <w:tcPr>
            <w:tcW w:w="3175" w:type="dxa"/>
            <w:shd w:val="clear" w:color="auto" w:fill="1F4E79"/>
            <w:vAlign w:val="center"/>
          </w:tcPr>
          <w:p w14:paraId="2B5D4470" w14:textId="77777777" w:rsidR="00BB0FE9" w:rsidRDefault="00000000">
            <w:pPr>
              <w:spacing w:after="0" w:line="240" w:lineRule="auto"/>
              <w:rPr>
                <w:rFonts w:eastAsia="MS Mincho"/>
              </w:rPr>
            </w:pPr>
            <w:r>
              <w:rPr>
                <w:rFonts w:eastAsia="MS Mincho"/>
                <w:b/>
                <w:color w:val="FFFFFF"/>
                <w:sz w:val="15"/>
              </w:rPr>
              <w:t>Evidence</w:t>
            </w:r>
          </w:p>
        </w:tc>
        <w:tc>
          <w:tcPr>
            <w:tcW w:w="3176" w:type="dxa"/>
            <w:shd w:val="clear" w:color="auto" w:fill="1F4E79"/>
            <w:vAlign w:val="center"/>
          </w:tcPr>
          <w:p w14:paraId="341742AC" w14:textId="77777777" w:rsidR="00BB0FE9" w:rsidRDefault="00000000">
            <w:pPr>
              <w:spacing w:after="0" w:line="240" w:lineRule="auto"/>
              <w:rPr>
                <w:rFonts w:eastAsia="MS Mincho"/>
              </w:rPr>
            </w:pPr>
            <w:r>
              <w:rPr>
                <w:rFonts w:eastAsia="MS Mincho"/>
                <w:b/>
                <w:color w:val="FFFFFF"/>
                <w:sz w:val="15"/>
              </w:rPr>
              <w:t>Decision rule</w:t>
            </w:r>
          </w:p>
        </w:tc>
      </w:tr>
      <w:tr w:rsidR="00BB0FE9" w14:paraId="5F6908C8" w14:textId="77777777">
        <w:trPr>
          <w:cantSplit/>
          <w:jc w:val="center"/>
        </w:trPr>
        <w:tc>
          <w:tcPr>
            <w:tcW w:w="3175" w:type="dxa"/>
            <w:vAlign w:val="center"/>
          </w:tcPr>
          <w:p w14:paraId="01DE8AD9" w14:textId="77777777" w:rsidR="00BB0FE9" w:rsidRDefault="00000000">
            <w:pPr>
              <w:spacing w:after="0" w:line="240" w:lineRule="auto"/>
              <w:rPr>
                <w:rFonts w:eastAsia="MS Mincho"/>
              </w:rPr>
            </w:pPr>
            <w:r>
              <w:rPr>
                <w:rFonts w:eastAsia="MS Mincho"/>
                <w:color w:val="232323"/>
                <w:sz w:val="15"/>
              </w:rPr>
              <w:t>Onboarding can be simplified</w:t>
            </w:r>
          </w:p>
        </w:tc>
        <w:tc>
          <w:tcPr>
            <w:tcW w:w="3175" w:type="dxa"/>
            <w:vAlign w:val="center"/>
          </w:tcPr>
          <w:p w14:paraId="51815E81" w14:textId="77777777" w:rsidR="00BB0FE9" w:rsidRDefault="00000000">
            <w:pPr>
              <w:spacing w:after="0" w:line="240" w:lineRule="auto"/>
              <w:rPr>
                <w:rFonts w:eastAsia="MS Mincho"/>
              </w:rPr>
            </w:pPr>
            <w:r>
              <w:rPr>
                <w:rFonts w:eastAsia="MS Mincho"/>
                <w:color w:val="232323"/>
                <w:sz w:val="15"/>
              </w:rPr>
              <w:t>Time, errors, support contacts and 4-week activity</w:t>
            </w:r>
          </w:p>
        </w:tc>
        <w:tc>
          <w:tcPr>
            <w:tcW w:w="3176" w:type="dxa"/>
            <w:vAlign w:val="center"/>
          </w:tcPr>
          <w:p w14:paraId="6B135321" w14:textId="77777777" w:rsidR="00BB0FE9" w:rsidRDefault="00000000">
            <w:pPr>
              <w:spacing w:after="0" w:line="240" w:lineRule="auto"/>
              <w:rPr>
                <w:rFonts w:eastAsia="MS Mincho"/>
              </w:rPr>
            </w:pPr>
            <w:r>
              <w:rPr>
                <w:rFonts w:eastAsia="MS Mincho"/>
                <w:color w:val="232323"/>
                <w:sz w:val="15"/>
              </w:rPr>
              <w:t>Redesign if fewer than 80% publish with no more than two interventions</w:t>
            </w:r>
          </w:p>
        </w:tc>
      </w:tr>
      <w:tr w:rsidR="00BB0FE9" w14:paraId="794C58E3" w14:textId="77777777">
        <w:trPr>
          <w:cantSplit/>
          <w:jc w:val="center"/>
        </w:trPr>
        <w:tc>
          <w:tcPr>
            <w:tcW w:w="3175" w:type="dxa"/>
            <w:shd w:val="clear" w:color="auto" w:fill="F2F2F2"/>
            <w:vAlign w:val="center"/>
          </w:tcPr>
          <w:p w14:paraId="5B82BACB" w14:textId="77777777" w:rsidR="00BB0FE9" w:rsidRDefault="00000000">
            <w:pPr>
              <w:spacing w:after="0" w:line="240" w:lineRule="auto"/>
              <w:rPr>
                <w:rFonts w:eastAsia="MS Mincho"/>
              </w:rPr>
            </w:pPr>
            <w:r>
              <w:rPr>
                <w:rFonts w:eastAsia="MS Mincho"/>
                <w:color w:val="232323"/>
                <w:sz w:val="15"/>
              </w:rPr>
              <w:t>Customers will complete orders</w:t>
            </w:r>
          </w:p>
        </w:tc>
        <w:tc>
          <w:tcPr>
            <w:tcW w:w="3175" w:type="dxa"/>
            <w:shd w:val="clear" w:color="auto" w:fill="F2F2F2"/>
            <w:vAlign w:val="center"/>
          </w:tcPr>
          <w:p w14:paraId="4144EB4B" w14:textId="77777777" w:rsidR="00BB0FE9" w:rsidRDefault="00000000">
            <w:pPr>
              <w:spacing w:after="0" w:line="240" w:lineRule="auto"/>
              <w:rPr>
                <w:rFonts w:eastAsia="MS Mincho"/>
              </w:rPr>
            </w:pPr>
            <w:r>
              <w:rPr>
                <w:rFonts w:eastAsia="MS Mincho"/>
                <w:color w:val="232323"/>
                <w:sz w:val="15"/>
              </w:rPr>
              <w:t>Checkout completion, repeat purchase and contribution per order</w:t>
            </w:r>
          </w:p>
        </w:tc>
        <w:tc>
          <w:tcPr>
            <w:tcW w:w="3176" w:type="dxa"/>
            <w:shd w:val="clear" w:color="auto" w:fill="F2F2F2"/>
            <w:vAlign w:val="center"/>
          </w:tcPr>
          <w:p w14:paraId="0C036528" w14:textId="77777777" w:rsidR="00BB0FE9" w:rsidRDefault="00000000">
            <w:pPr>
              <w:spacing w:after="0" w:line="240" w:lineRule="auto"/>
              <w:rPr>
                <w:rFonts w:eastAsia="MS Mincho"/>
              </w:rPr>
            </w:pPr>
            <w:r>
              <w:rPr>
                <w:rFonts w:eastAsia="MS Mincho"/>
                <w:color w:val="232323"/>
                <w:sz w:val="15"/>
              </w:rPr>
              <w:t>Drop channels that create attention but not completed sales</w:t>
            </w:r>
          </w:p>
        </w:tc>
      </w:tr>
      <w:tr w:rsidR="00BB0FE9" w14:paraId="643BD3DE" w14:textId="77777777">
        <w:trPr>
          <w:cantSplit/>
          <w:jc w:val="center"/>
        </w:trPr>
        <w:tc>
          <w:tcPr>
            <w:tcW w:w="3175" w:type="dxa"/>
            <w:vAlign w:val="center"/>
          </w:tcPr>
          <w:p w14:paraId="00FB06DD" w14:textId="77777777" w:rsidR="00BB0FE9" w:rsidRDefault="00000000">
            <w:pPr>
              <w:spacing w:after="0" w:line="240" w:lineRule="auto"/>
              <w:rPr>
                <w:rFonts w:eastAsia="MS Mincho"/>
              </w:rPr>
            </w:pPr>
            <w:r>
              <w:rPr>
                <w:rFonts w:eastAsia="MS Mincho"/>
                <w:color w:val="232323"/>
                <w:sz w:val="15"/>
              </w:rPr>
              <w:t>Operations become clearer</w:t>
            </w:r>
          </w:p>
        </w:tc>
        <w:tc>
          <w:tcPr>
            <w:tcW w:w="3175" w:type="dxa"/>
            <w:vAlign w:val="center"/>
          </w:tcPr>
          <w:p w14:paraId="3942EC48" w14:textId="77777777" w:rsidR="00BB0FE9" w:rsidRDefault="00000000">
            <w:pPr>
              <w:spacing w:after="0" w:line="240" w:lineRule="auto"/>
              <w:rPr>
                <w:rFonts w:eastAsia="MS Mincho"/>
              </w:rPr>
            </w:pPr>
            <w:r>
              <w:rPr>
                <w:rFonts w:eastAsia="MS Mincho"/>
                <w:color w:val="232323"/>
                <w:sz w:val="15"/>
              </w:rPr>
              <w:t>Reconciliation time, stock corrections and support tickets</w:t>
            </w:r>
          </w:p>
        </w:tc>
        <w:tc>
          <w:tcPr>
            <w:tcW w:w="3176" w:type="dxa"/>
            <w:vAlign w:val="center"/>
          </w:tcPr>
          <w:p w14:paraId="576F4F23" w14:textId="77777777" w:rsidR="00BB0FE9" w:rsidRDefault="00000000">
            <w:pPr>
              <w:spacing w:after="0" w:line="240" w:lineRule="auto"/>
              <w:rPr>
                <w:rFonts w:eastAsia="MS Mincho"/>
              </w:rPr>
            </w:pPr>
            <w:r>
              <w:rPr>
                <w:rFonts w:eastAsia="MS Mincho"/>
                <w:color w:val="232323"/>
                <w:sz w:val="15"/>
              </w:rPr>
              <w:t>Remove features that do not reduce manual work</w:t>
            </w:r>
          </w:p>
        </w:tc>
      </w:tr>
      <w:tr w:rsidR="00BB0FE9" w14:paraId="6C890195" w14:textId="77777777">
        <w:trPr>
          <w:cantSplit/>
          <w:jc w:val="center"/>
        </w:trPr>
        <w:tc>
          <w:tcPr>
            <w:tcW w:w="3175" w:type="dxa"/>
            <w:shd w:val="clear" w:color="auto" w:fill="F2F2F2"/>
            <w:vAlign w:val="center"/>
          </w:tcPr>
          <w:p w14:paraId="663BE9E7" w14:textId="77777777" w:rsidR="00BB0FE9" w:rsidRDefault="00000000">
            <w:pPr>
              <w:spacing w:after="0" w:line="240" w:lineRule="auto"/>
              <w:rPr>
                <w:rFonts w:eastAsia="MS Mincho"/>
              </w:rPr>
            </w:pPr>
            <w:r>
              <w:rPr>
                <w:rFonts w:eastAsia="MS Mincho"/>
                <w:color w:val="232323"/>
                <w:sz w:val="15"/>
              </w:rPr>
              <w:t>Delivery can reach density</w:t>
            </w:r>
          </w:p>
        </w:tc>
        <w:tc>
          <w:tcPr>
            <w:tcW w:w="3175" w:type="dxa"/>
            <w:shd w:val="clear" w:color="auto" w:fill="F2F2F2"/>
            <w:vAlign w:val="center"/>
          </w:tcPr>
          <w:p w14:paraId="23891F3B" w14:textId="77777777" w:rsidR="00BB0FE9" w:rsidRDefault="00000000">
            <w:pPr>
              <w:spacing w:after="0" w:line="240" w:lineRule="auto"/>
              <w:rPr>
                <w:rFonts w:eastAsia="MS Mincho"/>
              </w:rPr>
            </w:pPr>
            <w:r>
              <w:rPr>
                <w:rFonts w:eastAsia="MS Mincho"/>
                <w:color w:val="232323"/>
                <w:sz w:val="15"/>
              </w:rPr>
              <w:t>Orders per route, cost per drop, failures and miles per order</w:t>
            </w:r>
          </w:p>
        </w:tc>
        <w:tc>
          <w:tcPr>
            <w:tcW w:w="3176" w:type="dxa"/>
            <w:shd w:val="clear" w:color="auto" w:fill="F2F2F2"/>
            <w:vAlign w:val="center"/>
          </w:tcPr>
          <w:p w14:paraId="5E7FEBE1" w14:textId="77777777" w:rsidR="00BB0FE9" w:rsidRDefault="00000000">
            <w:pPr>
              <w:spacing w:after="0" w:line="240" w:lineRule="auto"/>
              <w:rPr>
                <w:rFonts w:eastAsia="MS Mincho"/>
              </w:rPr>
            </w:pPr>
            <w:r>
              <w:rPr>
                <w:rFonts w:eastAsia="MS Mincho"/>
                <w:color w:val="232323"/>
                <w:sz w:val="15"/>
              </w:rPr>
              <w:t>Pause delivery if fewer than 8 drops per round after week 6</w:t>
            </w:r>
          </w:p>
        </w:tc>
      </w:tr>
      <w:tr w:rsidR="00BB0FE9" w14:paraId="6051A62D" w14:textId="77777777">
        <w:trPr>
          <w:cantSplit/>
          <w:jc w:val="center"/>
        </w:trPr>
        <w:tc>
          <w:tcPr>
            <w:tcW w:w="3175" w:type="dxa"/>
            <w:vAlign w:val="center"/>
          </w:tcPr>
          <w:p w14:paraId="5F0EB214" w14:textId="77777777" w:rsidR="00BB0FE9" w:rsidRDefault="00000000">
            <w:pPr>
              <w:spacing w:after="0" w:line="240" w:lineRule="auto"/>
              <w:rPr>
                <w:rFonts w:eastAsia="MS Mincho"/>
              </w:rPr>
            </w:pPr>
            <w:r>
              <w:rPr>
                <w:rFonts w:eastAsia="MS Mincho"/>
                <w:color w:val="232323"/>
                <w:sz w:val="15"/>
              </w:rPr>
              <w:t>Merchants will pay</w:t>
            </w:r>
          </w:p>
        </w:tc>
        <w:tc>
          <w:tcPr>
            <w:tcW w:w="3175" w:type="dxa"/>
            <w:vAlign w:val="center"/>
          </w:tcPr>
          <w:p w14:paraId="51D29A55" w14:textId="77777777" w:rsidR="00BB0FE9" w:rsidRDefault="00000000">
            <w:pPr>
              <w:spacing w:after="0" w:line="240" w:lineRule="auto"/>
              <w:rPr>
                <w:rFonts w:eastAsia="MS Mincho"/>
              </w:rPr>
            </w:pPr>
            <w:r>
              <w:rPr>
                <w:rFonts w:eastAsia="MS Mincho"/>
                <w:color w:val="232323"/>
                <w:sz w:val="15"/>
              </w:rPr>
              <w:t>Paid conversion and three-month retention</w:t>
            </w:r>
          </w:p>
        </w:tc>
        <w:tc>
          <w:tcPr>
            <w:tcW w:w="3176" w:type="dxa"/>
            <w:vAlign w:val="center"/>
          </w:tcPr>
          <w:p w14:paraId="17778C64" w14:textId="77777777" w:rsidR="00BB0FE9" w:rsidRDefault="00000000">
            <w:pPr>
              <w:spacing w:after="0" w:line="240" w:lineRule="auto"/>
              <w:rPr>
                <w:rFonts w:eastAsia="MS Mincho"/>
              </w:rPr>
            </w:pPr>
            <w:r>
              <w:rPr>
                <w:rFonts w:eastAsia="MS Mincho"/>
                <w:color w:val="232323"/>
                <w:sz w:val="15"/>
              </w:rPr>
              <w:t>Do not expand if paid retention is below 60%</w:t>
            </w:r>
          </w:p>
        </w:tc>
      </w:tr>
    </w:tbl>
    <w:p w14:paraId="376101FC" w14:textId="77777777" w:rsidR="00BB0FE9" w:rsidRDefault="00000000">
      <w:pPr>
        <w:spacing w:before="60" w:after="140"/>
        <w:jc w:val="center"/>
      </w:pPr>
      <w:r>
        <w:rPr>
          <w:i/>
          <w:color w:val="595959"/>
          <w:sz w:val="18"/>
        </w:rPr>
        <w:t>Table 3. MVP evidence and decision rules. Source: author’s analysis.</w:t>
      </w:r>
    </w:p>
    <w:p w14:paraId="1F960122" w14:textId="77777777" w:rsidR="00BB0FE9" w:rsidRDefault="00000000">
      <w:pPr>
        <w:pStyle w:val="Heading2"/>
      </w:pPr>
      <w:bookmarkStart w:id="17" w:name="__RefHeading___Toc826_2097188755"/>
      <w:bookmarkEnd w:id="17"/>
      <w:r>
        <w:t>3.7 Viability, Risk, Sustainability and Implementation</w:t>
      </w:r>
    </w:p>
    <w:p w14:paraId="58B62DFF" w14:textId="77777777" w:rsidR="00BB0FE9" w:rsidRDefault="00000000">
      <w:pPr>
        <w:pStyle w:val="BodyText"/>
        <w:jc w:val="both"/>
      </w:pPr>
      <w:r>
        <w:rPr>
          <w:color w:val="232323"/>
        </w:rPr>
        <w:t>Commercial viability requires a clearer calculation than positive feedback. Table 4 presents illustrative assumptions, not a forecast. At a £49 monthly support fee and £14 variable service cost, contribution is £35 per merchant. With assumed fixed operating costs of £4,000 per month, break-even requires 115 active merchants. Twenty pilot merchants would contribute only £700 per month, so the pilot cannot fund a coordinator without partner support, onboarding fees or a higher price. In an alternative case, a £69 fee with £19 variable cost produces £50 contribution and reduces break-even to 80 merchants. The comparison shows that price acceptance and support intensity are critical uncertainties. It also exposes a strategic choice: council or business-support funding could subsidise discovery, but recurring operations should not depend indefinitely on grants. An onboarding fee may improve cash flow, yet a high upfront price could discourage precisely the micro-businesses the venture intends to serve. The pilot must therefore test both payment timing and total willingness to pay.</w:t>
      </w:r>
    </w:p>
    <w:p w14:paraId="600F75C3" w14:textId="77777777" w:rsidR="00BB0FE9" w:rsidRDefault="00000000">
      <w:pPr>
        <w:pStyle w:val="BodyText"/>
        <w:jc w:val="both"/>
      </w:pPr>
      <w:r>
        <w:rPr>
          <w:color w:val="232323"/>
        </w:rPr>
        <w:lastRenderedPageBreak/>
        <w:t>The principal risks are adoption, service cost, platform dependence, compliance and delivery reliability. Familiar workarounds may remain preferable to merchants. Support may consume more time than subscriptions recover. Shopify controls core functionality and pricing, so LocalConnect should use clear contracts, exportable data and modular processes. Consumer rights, payment responsibilities and data protection require documented ownership and staff training. The ICO requires privacy and data protection to be considered from design through the service lifecycle (Information Commissioner’s Office, 2026).</w:t>
      </w:r>
    </w:p>
    <w:p w14:paraId="4C25A9C8" w14:textId="77777777" w:rsidR="00BB0FE9" w:rsidRDefault="00000000">
      <w:pPr>
        <w:pStyle w:val="BodyText"/>
        <w:jc w:val="both"/>
      </w:pPr>
      <w:r>
        <w:rPr>
          <w:color w:val="232323"/>
        </w:rPr>
        <w:t>Sustainability is assessed rather than asserted. Economically, the service should improve merchant resilience and retain paying users. Socially, assisted ordering and flexible collection reduce exclusion. Environmentally, delivery remains only if batching demonstrates fewer or shorter journeys. This reflects sustainable business-model research, which treats environmental and social value as part of the model rather than promotional language (Bocken et al., 2014; Geissdoerfer, Vladimirova and Evans, 2018).</w:t>
      </w:r>
    </w:p>
    <w:p w14:paraId="5BEF45BB" w14:textId="77777777" w:rsidR="00BB0FE9" w:rsidRDefault="00000000">
      <w:pPr>
        <w:pStyle w:val="BodyText"/>
        <w:jc w:val="both"/>
      </w:pPr>
      <w:r>
        <w:rPr>
          <w:color w:val="232323"/>
        </w:rPr>
        <w:t>Implementation has three gates: four weeks of discovery and prototype work; a 12-week pilot; and four weeks of evaluation. Expansion to a second location requires merchant retention, positive contribution after direct support cost, acceptable complaint levels and viable fulfilment. The risk of not acting is continued fragmented administration and dependence on marketplaces, but that risk does not justify scaling a weak model. Stopping or narrowing the venture remains a legitimate evidence-based outcome.</w:t>
      </w:r>
    </w:p>
    <w:tbl>
      <w:tblPr>
        <w:tblStyle w:val="TableGrid"/>
        <w:tblW w:w="9522" w:type="dxa"/>
        <w:jc w:val="center"/>
        <w:tblLayout w:type="fixed"/>
        <w:tblCellMar>
          <w:top w:w="65" w:type="dxa"/>
          <w:left w:w="65" w:type="dxa"/>
          <w:bottom w:w="65" w:type="dxa"/>
          <w:right w:w="65" w:type="dxa"/>
        </w:tblCellMar>
        <w:tblLook w:val="04A0" w:firstRow="1" w:lastRow="0" w:firstColumn="1" w:lastColumn="0" w:noHBand="0" w:noVBand="1"/>
      </w:tblPr>
      <w:tblGrid>
        <w:gridCol w:w="1588"/>
        <w:gridCol w:w="1586"/>
        <w:gridCol w:w="1588"/>
        <w:gridCol w:w="1587"/>
        <w:gridCol w:w="1586"/>
        <w:gridCol w:w="1587"/>
      </w:tblGrid>
      <w:tr w:rsidR="00BB0FE9" w14:paraId="02D24338" w14:textId="77777777">
        <w:trPr>
          <w:cantSplit/>
          <w:tblHeader/>
          <w:jc w:val="center"/>
        </w:trPr>
        <w:tc>
          <w:tcPr>
            <w:tcW w:w="1587" w:type="dxa"/>
            <w:shd w:val="clear" w:color="auto" w:fill="1F4E79"/>
            <w:vAlign w:val="center"/>
          </w:tcPr>
          <w:p w14:paraId="0552FC3E" w14:textId="77777777" w:rsidR="00BB0FE9" w:rsidRDefault="00000000">
            <w:pPr>
              <w:spacing w:after="0" w:line="240" w:lineRule="auto"/>
              <w:rPr>
                <w:rFonts w:eastAsia="MS Mincho"/>
              </w:rPr>
            </w:pPr>
            <w:r>
              <w:rPr>
                <w:rFonts w:eastAsia="MS Mincho"/>
                <w:b/>
                <w:color w:val="FFFFFF"/>
                <w:sz w:val="14"/>
              </w:rPr>
              <w:t>Illustrative case</w:t>
            </w:r>
          </w:p>
        </w:tc>
        <w:tc>
          <w:tcPr>
            <w:tcW w:w="1586" w:type="dxa"/>
            <w:shd w:val="clear" w:color="auto" w:fill="1F4E79"/>
            <w:vAlign w:val="center"/>
          </w:tcPr>
          <w:p w14:paraId="5BA379D0" w14:textId="77777777" w:rsidR="00BB0FE9" w:rsidRDefault="00000000">
            <w:pPr>
              <w:spacing w:after="0" w:line="240" w:lineRule="auto"/>
              <w:jc w:val="center"/>
              <w:rPr>
                <w:rFonts w:eastAsia="MS Mincho"/>
              </w:rPr>
            </w:pPr>
            <w:r>
              <w:rPr>
                <w:rFonts w:eastAsia="MS Mincho"/>
                <w:b/>
                <w:color w:val="FFFFFF"/>
                <w:sz w:val="14"/>
              </w:rPr>
              <w:t>Monthly fee</w:t>
            </w:r>
          </w:p>
        </w:tc>
        <w:tc>
          <w:tcPr>
            <w:tcW w:w="1588" w:type="dxa"/>
            <w:shd w:val="clear" w:color="auto" w:fill="1F4E79"/>
            <w:vAlign w:val="center"/>
          </w:tcPr>
          <w:p w14:paraId="29850F9C" w14:textId="77777777" w:rsidR="00BB0FE9" w:rsidRDefault="00000000">
            <w:pPr>
              <w:spacing w:after="0" w:line="240" w:lineRule="auto"/>
              <w:jc w:val="center"/>
              <w:rPr>
                <w:rFonts w:eastAsia="MS Mincho"/>
              </w:rPr>
            </w:pPr>
            <w:r>
              <w:rPr>
                <w:rFonts w:eastAsia="MS Mincho"/>
                <w:b/>
                <w:color w:val="FFFFFF"/>
                <w:sz w:val="14"/>
              </w:rPr>
              <w:t>Variable cost / merchant</w:t>
            </w:r>
          </w:p>
        </w:tc>
        <w:tc>
          <w:tcPr>
            <w:tcW w:w="1587" w:type="dxa"/>
            <w:shd w:val="clear" w:color="auto" w:fill="1F4E79"/>
            <w:vAlign w:val="center"/>
          </w:tcPr>
          <w:p w14:paraId="70B48E7D" w14:textId="77777777" w:rsidR="00BB0FE9" w:rsidRDefault="00000000">
            <w:pPr>
              <w:spacing w:after="0" w:line="240" w:lineRule="auto"/>
              <w:jc w:val="center"/>
              <w:rPr>
                <w:rFonts w:eastAsia="MS Mincho"/>
              </w:rPr>
            </w:pPr>
            <w:r>
              <w:rPr>
                <w:rFonts w:eastAsia="MS Mincho"/>
                <w:b/>
                <w:color w:val="FFFFFF"/>
                <w:sz w:val="14"/>
              </w:rPr>
              <w:t>Contribution / merchant</w:t>
            </w:r>
          </w:p>
        </w:tc>
        <w:tc>
          <w:tcPr>
            <w:tcW w:w="1586" w:type="dxa"/>
            <w:shd w:val="clear" w:color="auto" w:fill="1F4E79"/>
            <w:vAlign w:val="center"/>
          </w:tcPr>
          <w:p w14:paraId="59CB41CD" w14:textId="77777777" w:rsidR="00BB0FE9" w:rsidRDefault="00000000">
            <w:pPr>
              <w:spacing w:after="0" w:line="240" w:lineRule="auto"/>
              <w:jc w:val="center"/>
              <w:rPr>
                <w:rFonts w:eastAsia="MS Mincho"/>
              </w:rPr>
            </w:pPr>
            <w:r>
              <w:rPr>
                <w:rFonts w:eastAsia="MS Mincho"/>
                <w:b/>
                <w:color w:val="FFFFFF"/>
                <w:sz w:val="14"/>
              </w:rPr>
              <w:t>Fixed cost assumption</w:t>
            </w:r>
          </w:p>
        </w:tc>
        <w:tc>
          <w:tcPr>
            <w:tcW w:w="1587" w:type="dxa"/>
            <w:shd w:val="clear" w:color="auto" w:fill="1F4E79"/>
            <w:vAlign w:val="center"/>
          </w:tcPr>
          <w:p w14:paraId="65A840FE" w14:textId="77777777" w:rsidR="00BB0FE9" w:rsidRDefault="00000000">
            <w:pPr>
              <w:spacing w:after="0" w:line="240" w:lineRule="auto"/>
              <w:jc w:val="center"/>
              <w:rPr>
                <w:rFonts w:eastAsia="MS Mincho"/>
              </w:rPr>
            </w:pPr>
            <w:r>
              <w:rPr>
                <w:rFonts w:eastAsia="MS Mincho"/>
                <w:b/>
                <w:color w:val="FFFFFF"/>
                <w:sz w:val="14"/>
              </w:rPr>
              <w:t>Break-even merchants</w:t>
            </w:r>
          </w:p>
        </w:tc>
      </w:tr>
      <w:tr w:rsidR="00BB0FE9" w14:paraId="14B4415D" w14:textId="77777777">
        <w:trPr>
          <w:cantSplit/>
          <w:jc w:val="center"/>
        </w:trPr>
        <w:tc>
          <w:tcPr>
            <w:tcW w:w="1587" w:type="dxa"/>
            <w:vAlign w:val="center"/>
          </w:tcPr>
          <w:p w14:paraId="576960E2" w14:textId="77777777" w:rsidR="00BB0FE9" w:rsidRDefault="00000000">
            <w:pPr>
              <w:spacing w:after="0" w:line="240" w:lineRule="auto"/>
              <w:rPr>
                <w:rFonts w:eastAsia="MS Mincho"/>
              </w:rPr>
            </w:pPr>
            <w:r>
              <w:rPr>
                <w:rFonts w:eastAsia="MS Mincho"/>
                <w:color w:val="232323"/>
                <w:sz w:val="14"/>
              </w:rPr>
              <w:t>Base case</w:t>
            </w:r>
          </w:p>
        </w:tc>
        <w:tc>
          <w:tcPr>
            <w:tcW w:w="1586" w:type="dxa"/>
            <w:vAlign w:val="center"/>
          </w:tcPr>
          <w:p w14:paraId="00B69806" w14:textId="77777777" w:rsidR="00BB0FE9" w:rsidRDefault="00000000">
            <w:pPr>
              <w:spacing w:after="0" w:line="240" w:lineRule="auto"/>
              <w:jc w:val="center"/>
              <w:rPr>
                <w:rFonts w:eastAsia="MS Mincho"/>
              </w:rPr>
            </w:pPr>
            <w:r>
              <w:rPr>
                <w:rFonts w:eastAsia="MS Mincho"/>
                <w:color w:val="232323"/>
                <w:sz w:val="14"/>
              </w:rPr>
              <w:t>£49</w:t>
            </w:r>
          </w:p>
        </w:tc>
        <w:tc>
          <w:tcPr>
            <w:tcW w:w="1588" w:type="dxa"/>
            <w:vAlign w:val="center"/>
          </w:tcPr>
          <w:p w14:paraId="77F2C118" w14:textId="77777777" w:rsidR="00BB0FE9" w:rsidRDefault="00000000">
            <w:pPr>
              <w:spacing w:after="0" w:line="240" w:lineRule="auto"/>
              <w:jc w:val="center"/>
              <w:rPr>
                <w:rFonts w:eastAsia="MS Mincho"/>
              </w:rPr>
            </w:pPr>
            <w:r>
              <w:rPr>
                <w:rFonts w:eastAsia="MS Mincho"/>
                <w:color w:val="232323"/>
                <w:sz w:val="14"/>
              </w:rPr>
              <w:t>£14</w:t>
            </w:r>
          </w:p>
        </w:tc>
        <w:tc>
          <w:tcPr>
            <w:tcW w:w="1587" w:type="dxa"/>
            <w:vAlign w:val="center"/>
          </w:tcPr>
          <w:p w14:paraId="36E6A849" w14:textId="77777777" w:rsidR="00BB0FE9" w:rsidRDefault="00000000">
            <w:pPr>
              <w:spacing w:after="0" w:line="240" w:lineRule="auto"/>
              <w:jc w:val="center"/>
              <w:rPr>
                <w:rFonts w:eastAsia="MS Mincho"/>
              </w:rPr>
            </w:pPr>
            <w:r>
              <w:rPr>
                <w:rFonts w:eastAsia="MS Mincho"/>
                <w:color w:val="232323"/>
                <w:sz w:val="14"/>
              </w:rPr>
              <w:t>£35</w:t>
            </w:r>
          </w:p>
        </w:tc>
        <w:tc>
          <w:tcPr>
            <w:tcW w:w="1586" w:type="dxa"/>
            <w:vAlign w:val="center"/>
          </w:tcPr>
          <w:p w14:paraId="49D2D38F" w14:textId="77777777" w:rsidR="00BB0FE9" w:rsidRDefault="00000000">
            <w:pPr>
              <w:spacing w:after="0" w:line="240" w:lineRule="auto"/>
              <w:jc w:val="center"/>
              <w:rPr>
                <w:rFonts w:eastAsia="MS Mincho"/>
              </w:rPr>
            </w:pPr>
            <w:r>
              <w:rPr>
                <w:rFonts w:eastAsia="MS Mincho"/>
                <w:color w:val="232323"/>
                <w:sz w:val="14"/>
              </w:rPr>
              <w:t>£4,000</w:t>
            </w:r>
          </w:p>
        </w:tc>
        <w:tc>
          <w:tcPr>
            <w:tcW w:w="1587" w:type="dxa"/>
            <w:vAlign w:val="center"/>
          </w:tcPr>
          <w:p w14:paraId="380AE306" w14:textId="77777777" w:rsidR="00BB0FE9" w:rsidRDefault="00000000">
            <w:pPr>
              <w:spacing w:after="0" w:line="240" w:lineRule="auto"/>
              <w:jc w:val="center"/>
              <w:rPr>
                <w:rFonts w:eastAsia="MS Mincho"/>
              </w:rPr>
            </w:pPr>
            <w:r>
              <w:rPr>
                <w:rFonts w:eastAsia="MS Mincho"/>
                <w:color w:val="232323"/>
                <w:sz w:val="14"/>
              </w:rPr>
              <w:t>115</w:t>
            </w:r>
          </w:p>
        </w:tc>
      </w:tr>
      <w:tr w:rsidR="00BB0FE9" w14:paraId="6FA67334" w14:textId="77777777">
        <w:trPr>
          <w:cantSplit/>
          <w:jc w:val="center"/>
        </w:trPr>
        <w:tc>
          <w:tcPr>
            <w:tcW w:w="1587" w:type="dxa"/>
            <w:shd w:val="clear" w:color="auto" w:fill="F2F2F2"/>
            <w:vAlign w:val="center"/>
          </w:tcPr>
          <w:p w14:paraId="623C3AA4" w14:textId="77777777" w:rsidR="00BB0FE9" w:rsidRDefault="00000000">
            <w:pPr>
              <w:spacing w:after="0" w:line="240" w:lineRule="auto"/>
              <w:rPr>
                <w:rFonts w:eastAsia="MS Mincho"/>
              </w:rPr>
            </w:pPr>
            <w:r>
              <w:rPr>
                <w:rFonts w:eastAsia="MS Mincho"/>
                <w:color w:val="232323"/>
                <w:sz w:val="14"/>
              </w:rPr>
              <w:t>Higher-value case</w:t>
            </w:r>
          </w:p>
        </w:tc>
        <w:tc>
          <w:tcPr>
            <w:tcW w:w="1586" w:type="dxa"/>
            <w:shd w:val="clear" w:color="auto" w:fill="F2F2F2"/>
            <w:vAlign w:val="center"/>
          </w:tcPr>
          <w:p w14:paraId="3BA285B6" w14:textId="77777777" w:rsidR="00BB0FE9" w:rsidRDefault="00000000">
            <w:pPr>
              <w:spacing w:after="0" w:line="240" w:lineRule="auto"/>
              <w:jc w:val="center"/>
              <w:rPr>
                <w:rFonts w:eastAsia="MS Mincho"/>
              </w:rPr>
            </w:pPr>
            <w:r>
              <w:rPr>
                <w:rFonts w:eastAsia="MS Mincho"/>
                <w:color w:val="232323"/>
                <w:sz w:val="14"/>
              </w:rPr>
              <w:t>£69</w:t>
            </w:r>
          </w:p>
        </w:tc>
        <w:tc>
          <w:tcPr>
            <w:tcW w:w="1588" w:type="dxa"/>
            <w:shd w:val="clear" w:color="auto" w:fill="F2F2F2"/>
            <w:vAlign w:val="center"/>
          </w:tcPr>
          <w:p w14:paraId="64F072AD" w14:textId="77777777" w:rsidR="00BB0FE9" w:rsidRDefault="00000000">
            <w:pPr>
              <w:spacing w:after="0" w:line="240" w:lineRule="auto"/>
              <w:jc w:val="center"/>
              <w:rPr>
                <w:rFonts w:eastAsia="MS Mincho"/>
              </w:rPr>
            </w:pPr>
            <w:r>
              <w:rPr>
                <w:rFonts w:eastAsia="MS Mincho"/>
                <w:color w:val="232323"/>
                <w:sz w:val="14"/>
              </w:rPr>
              <w:t>£19</w:t>
            </w:r>
          </w:p>
        </w:tc>
        <w:tc>
          <w:tcPr>
            <w:tcW w:w="1587" w:type="dxa"/>
            <w:shd w:val="clear" w:color="auto" w:fill="F2F2F2"/>
            <w:vAlign w:val="center"/>
          </w:tcPr>
          <w:p w14:paraId="776C55B3" w14:textId="77777777" w:rsidR="00BB0FE9" w:rsidRDefault="00000000">
            <w:pPr>
              <w:spacing w:after="0" w:line="240" w:lineRule="auto"/>
              <w:jc w:val="center"/>
              <w:rPr>
                <w:rFonts w:eastAsia="MS Mincho"/>
              </w:rPr>
            </w:pPr>
            <w:r>
              <w:rPr>
                <w:rFonts w:eastAsia="MS Mincho"/>
                <w:color w:val="232323"/>
                <w:sz w:val="14"/>
              </w:rPr>
              <w:t>£50</w:t>
            </w:r>
          </w:p>
        </w:tc>
        <w:tc>
          <w:tcPr>
            <w:tcW w:w="1586" w:type="dxa"/>
            <w:shd w:val="clear" w:color="auto" w:fill="F2F2F2"/>
            <w:vAlign w:val="center"/>
          </w:tcPr>
          <w:p w14:paraId="1220A1BA" w14:textId="77777777" w:rsidR="00BB0FE9" w:rsidRDefault="00000000">
            <w:pPr>
              <w:spacing w:after="0" w:line="240" w:lineRule="auto"/>
              <w:jc w:val="center"/>
              <w:rPr>
                <w:rFonts w:eastAsia="MS Mincho"/>
              </w:rPr>
            </w:pPr>
            <w:r>
              <w:rPr>
                <w:rFonts w:eastAsia="MS Mincho"/>
                <w:color w:val="232323"/>
                <w:sz w:val="14"/>
              </w:rPr>
              <w:t>£4,000</w:t>
            </w:r>
          </w:p>
        </w:tc>
        <w:tc>
          <w:tcPr>
            <w:tcW w:w="1587" w:type="dxa"/>
            <w:shd w:val="clear" w:color="auto" w:fill="F2F2F2"/>
            <w:vAlign w:val="center"/>
          </w:tcPr>
          <w:p w14:paraId="08E90D0D" w14:textId="77777777" w:rsidR="00BB0FE9" w:rsidRDefault="00000000">
            <w:pPr>
              <w:spacing w:after="0" w:line="240" w:lineRule="auto"/>
              <w:jc w:val="center"/>
              <w:rPr>
                <w:rFonts w:eastAsia="MS Mincho"/>
              </w:rPr>
            </w:pPr>
            <w:r>
              <w:rPr>
                <w:rFonts w:eastAsia="MS Mincho"/>
                <w:color w:val="232323"/>
                <w:sz w:val="14"/>
              </w:rPr>
              <w:t>80</w:t>
            </w:r>
          </w:p>
        </w:tc>
      </w:tr>
    </w:tbl>
    <w:p w14:paraId="5F9E76AB" w14:textId="77777777" w:rsidR="00BB0FE9" w:rsidRDefault="00000000">
      <w:pPr>
        <w:spacing w:before="60" w:after="140"/>
        <w:jc w:val="center"/>
      </w:pPr>
      <w:r>
        <w:rPr>
          <w:i/>
          <w:color w:val="595959"/>
          <w:sz w:val="18"/>
        </w:rPr>
        <w:t>Table 4. Illustrative monthly unit economics. Values are planning assumptions, not forecasts.</w:t>
      </w:r>
    </w:p>
    <w:p w14:paraId="5D3B63CC" w14:textId="77777777" w:rsidR="00BB0FE9" w:rsidRDefault="00000000">
      <w:pPr>
        <w:pStyle w:val="Heading1"/>
      </w:pPr>
      <w:bookmarkStart w:id="18" w:name="__RefHeading___Toc828_2097188755"/>
      <w:bookmarkEnd w:id="18"/>
      <w:r>
        <w:t>4. Conclusion and Recommendation</w:t>
      </w:r>
    </w:p>
    <w:p w14:paraId="4A70759B" w14:textId="77777777" w:rsidR="00BB0FE9" w:rsidRDefault="00000000">
      <w:pPr>
        <w:pStyle w:val="BodyText"/>
        <w:jc w:val="both"/>
      </w:pPr>
      <w:r>
        <w:rPr>
          <w:color w:val="232323"/>
        </w:rPr>
        <w:t>The UK environment supports continued SME digital-commerce innovation, but broad market growth does not remove venture-level risk. The central pain point is fragmented execution across discovery, payment, stock and fulfilment. Task 1 therefore rejects website building and generic marketing as sufficiently defensible standalone opportunities. It prioritises integrated operations and supported adoption, while treating delivery as conditional on route economics.</w:t>
      </w:r>
    </w:p>
    <w:p w14:paraId="575C95BF" w14:textId="77777777" w:rsidR="00BB0FE9" w:rsidRDefault="00000000">
      <w:pPr>
        <w:pStyle w:val="BodyText"/>
        <w:jc w:val="both"/>
      </w:pPr>
      <w:r>
        <w:rPr>
          <w:color w:val="232323"/>
        </w:rPr>
        <w:t>Task 2 converts this judgement into LocalConnect UK. The Design Thinking process is used critically rather than ceremonially: empathy findings remain provisional, Five Whys produces hypotheses rather than proof, ideation compares competing models, and the MVP removes non-essential features. Testing includes failure thresholds and a second-location check. Illustrative unit economics show that the initial pilot requires external support and that the venture needs approximately 80–115 active merchants under the stated scenarios to cover assumed fixed costs.</w:t>
      </w:r>
    </w:p>
    <w:p w14:paraId="15E9A372" w14:textId="77777777" w:rsidR="00BB0FE9" w:rsidRDefault="00000000">
      <w:pPr>
        <w:pStyle w:val="BodyText"/>
        <w:jc w:val="both"/>
      </w:pPr>
      <w:r>
        <w:rPr>
          <w:color w:val="232323"/>
        </w:rPr>
        <w:lastRenderedPageBreak/>
        <w:t>The recommendation is to proceed with a bounded pilot, not a full launch. LocalConnect should scale only when it demonstrates three outcomes simultaneously: merchants continue paying, manual workload falls, and fulfilment contributes value without creating uneconomic or environmentally inefficient journeys. This conditional conclusion is stronger than assuming that digital demand alone guarantees a successful venture.</w:t>
      </w:r>
    </w:p>
    <w:p w14:paraId="3F3004D6" w14:textId="77777777" w:rsidR="00BB0FE9" w:rsidRDefault="00000000">
      <w:pPr>
        <w:pStyle w:val="Heading1"/>
      </w:pPr>
      <w:bookmarkStart w:id="19" w:name="__RefHeading___Toc830_2097188755"/>
      <w:bookmarkEnd w:id="19"/>
      <w:r>
        <w:t>References</w:t>
      </w:r>
    </w:p>
    <w:p w14:paraId="303656F7" w14:textId="77777777" w:rsidR="00BB0FE9" w:rsidRDefault="00000000">
      <w:pPr>
        <w:spacing w:after="30" w:line="240" w:lineRule="auto"/>
        <w:ind w:left="648" w:hanging="360"/>
      </w:pPr>
      <w:r>
        <w:rPr>
          <w:color w:val="232323"/>
          <w:sz w:val="17"/>
        </w:rPr>
        <w:t>Blank, S. (2013) ‘Why the lean start-up changes everything’, Harvard Business Review, 91(5), pp. 63–72.</w:t>
      </w:r>
    </w:p>
    <w:p w14:paraId="2FB317AD" w14:textId="77777777" w:rsidR="00BB0FE9" w:rsidRDefault="00000000">
      <w:pPr>
        <w:spacing w:after="30" w:line="240" w:lineRule="auto"/>
        <w:ind w:left="648" w:hanging="360"/>
      </w:pPr>
      <w:r>
        <w:rPr>
          <w:color w:val="232323"/>
          <w:sz w:val="17"/>
        </w:rPr>
        <w:t>Bocken, N.M.P., Short, S.W., Rana, P. and Evans, S. (2014) ‘A literature and practice review to develop sustainable business model archetypes’, Journal of Cleaner Production, 65, pp. 42–56. doi: 10.1016/j.jclepro.2013.11.039.</w:t>
      </w:r>
    </w:p>
    <w:p w14:paraId="04A00871" w14:textId="77777777" w:rsidR="00BB0FE9" w:rsidRDefault="00000000">
      <w:pPr>
        <w:spacing w:after="30" w:line="240" w:lineRule="auto"/>
        <w:ind w:left="648" w:hanging="360"/>
      </w:pPr>
      <w:r>
        <w:rPr>
          <w:color w:val="232323"/>
          <w:sz w:val="17"/>
        </w:rPr>
        <w:t>Brown, T. (2008) ‘Design thinking’, Harvard Business Review, 86(6), pp. 84–92.</w:t>
      </w:r>
    </w:p>
    <w:p w14:paraId="0A707A32" w14:textId="77777777" w:rsidR="00BB0FE9" w:rsidRDefault="00000000">
      <w:pPr>
        <w:spacing w:after="30" w:line="240" w:lineRule="auto"/>
        <w:ind w:left="648" w:hanging="360"/>
      </w:pPr>
      <w:r>
        <w:rPr>
          <w:color w:val="232323"/>
          <w:sz w:val="17"/>
        </w:rPr>
        <w:t>Brown, T. (2009) Change by Design. New York: HarperBusiness.</w:t>
      </w:r>
    </w:p>
    <w:p w14:paraId="180C8AE9" w14:textId="77777777" w:rsidR="00BB0FE9" w:rsidRDefault="00000000">
      <w:pPr>
        <w:spacing w:after="30" w:line="240" w:lineRule="auto"/>
        <w:ind w:left="648" w:hanging="360"/>
      </w:pPr>
      <w:r>
        <w:rPr>
          <w:color w:val="232323"/>
          <w:sz w:val="17"/>
        </w:rPr>
        <w:t>Buchanan, R. (1992) ‘Wicked problems in design thinking’, Design Issues, 8(2), pp. 5–21. doi: 10.2307/1511637.</w:t>
      </w:r>
    </w:p>
    <w:p w14:paraId="3439CFB5" w14:textId="77777777" w:rsidR="00BB0FE9" w:rsidRDefault="00000000">
      <w:pPr>
        <w:spacing w:after="30" w:line="240" w:lineRule="auto"/>
        <w:ind w:left="648" w:hanging="360"/>
      </w:pPr>
      <w:r>
        <w:rPr>
          <w:color w:val="232323"/>
          <w:sz w:val="17"/>
        </w:rPr>
        <w:t>Cross, N. (2011) Design Thinking: Understanding How Designers Think and Work. Oxford: Berg.</w:t>
      </w:r>
    </w:p>
    <w:p w14:paraId="28E21C09" w14:textId="77777777" w:rsidR="00BB0FE9" w:rsidRDefault="00000000">
      <w:pPr>
        <w:spacing w:after="30" w:line="240" w:lineRule="auto"/>
        <w:ind w:left="648" w:hanging="360"/>
      </w:pPr>
      <w:r>
        <w:rPr>
          <w:color w:val="232323"/>
          <w:sz w:val="17"/>
        </w:rPr>
        <w:t>de Bono, E. (1992) Serious Creativity. London: HarperCollins.</w:t>
      </w:r>
    </w:p>
    <w:p w14:paraId="055A517A" w14:textId="77777777" w:rsidR="00BB0FE9" w:rsidRDefault="00000000">
      <w:pPr>
        <w:spacing w:after="30" w:line="240" w:lineRule="auto"/>
        <w:ind w:left="648" w:hanging="360"/>
      </w:pPr>
      <w:r>
        <w:rPr>
          <w:color w:val="232323"/>
          <w:sz w:val="17"/>
        </w:rPr>
        <w:t>Department for Business and Trade (2025a) Business population estimates for the UK and regions 2025: statistical release. Available at: https://www.gov.uk/government/statistics/business-population-estimates-2025/business-population-estimates-for-the-uk-and-regions-2025-statistical-release (Accessed: 10 July 2026).</w:t>
      </w:r>
    </w:p>
    <w:p w14:paraId="74F45E61" w14:textId="77777777" w:rsidR="00BB0FE9" w:rsidRDefault="00000000">
      <w:pPr>
        <w:spacing w:after="30" w:line="240" w:lineRule="auto"/>
        <w:ind w:left="648" w:hanging="360"/>
      </w:pPr>
      <w:r>
        <w:rPr>
          <w:color w:val="232323"/>
          <w:sz w:val="17"/>
        </w:rPr>
        <w:t>Department for Business and Trade (2025b) SME Digital Adoption Taskforce: final report. Available at: https://www.gov.uk/government/publications/sme-digital-adoption-taskforce-final-report/sme-digital-adoption-taskforce-final-report (Accessed: 10 July 2026).</w:t>
      </w:r>
    </w:p>
    <w:p w14:paraId="5DD59DC2" w14:textId="77777777" w:rsidR="00BB0FE9" w:rsidRDefault="00000000">
      <w:pPr>
        <w:spacing w:after="30" w:line="240" w:lineRule="auto"/>
        <w:ind w:left="648" w:hanging="360"/>
      </w:pPr>
      <w:r>
        <w:rPr>
          <w:color w:val="232323"/>
          <w:sz w:val="17"/>
        </w:rPr>
        <w:t>Dorst, K. (2011) ‘The core of design thinking and its application’, Design Studies, 32(6), pp. 521–532. doi: 10.1016/j.destud.2011.07.006.</w:t>
      </w:r>
    </w:p>
    <w:p w14:paraId="6711F251" w14:textId="77777777" w:rsidR="00BB0FE9" w:rsidRDefault="00000000">
      <w:pPr>
        <w:spacing w:after="30" w:line="240" w:lineRule="auto"/>
        <w:ind w:left="648" w:hanging="360"/>
      </w:pPr>
      <w:r>
        <w:rPr>
          <w:color w:val="232323"/>
          <w:sz w:val="17"/>
        </w:rPr>
        <w:t>Financial Conduct Authority (2024) PS24/8: Access to cash. Available at: https://www.fca.org.uk/publications/policy-statements/ps24-8-access-cash (Accessed: 10 July 2026).</w:t>
      </w:r>
    </w:p>
    <w:p w14:paraId="3689FB46" w14:textId="77777777" w:rsidR="00BB0FE9" w:rsidRDefault="00000000">
      <w:pPr>
        <w:spacing w:after="30" w:line="240" w:lineRule="auto"/>
        <w:ind w:left="648" w:hanging="360"/>
      </w:pPr>
      <w:r>
        <w:rPr>
          <w:color w:val="232323"/>
          <w:sz w:val="17"/>
        </w:rPr>
        <w:t>Geissdoerfer, M., Vladimirova, D. and Evans, S. (2018) ‘Sustainable business model innovation: a review’, Journal of Cleaner Production, 198, pp. 401–416. doi: 10.1016/j.jclepro.2018.06.240.</w:t>
      </w:r>
    </w:p>
    <w:p w14:paraId="66796AD8" w14:textId="77777777" w:rsidR="00BB0FE9" w:rsidRDefault="00000000">
      <w:pPr>
        <w:spacing w:after="30" w:line="240" w:lineRule="auto"/>
        <w:ind w:left="648" w:hanging="360"/>
      </w:pPr>
      <w:r>
        <w:rPr>
          <w:color w:val="232323"/>
          <w:sz w:val="17"/>
        </w:rPr>
        <w:t>Information Commissioner’s Office (2026) Data protection by design and by default. Available at: https://ico.org.uk/for-organisations/uk-gdpr-guidance-and-resources/accountability-and-governance/guide-to-accountability-and-governance/data-protection-by-design-and-by-default/ (Accessed: 10 July 2026).</w:t>
      </w:r>
    </w:p>
    <w:p w14:paraId="5B04C612" w14:textId="77777777" w:rsidR="00BB0FE9" w:rsidRDefault="00000000">
      <w:pPr>
        <w:spacing w:after="30" w:line="240" w:lineRule="auto"/>
        <w:ind w:left="648" w:hanging="360"/>
      </w:pPr>
      <w:r>
        <w:rPr>
          <w:color w:val="232323"/>
          <w:sz w:val="17"/>
        </w:rPr>
        <w:t>Johansson-Sköldberg, U., Woodilla, J. and Çetinkaya, M. (2013) ‘Design thinking: past, present and possible futures’, Creativity and Innovation Management, 22(2), pp. 121–146. doi: 10.1111/caim.12023.</w:t>
      </w:r>
    </w:p>
    <w:p w14:paraId="612F8611" w14:textId="77777777" w:rsidR="00BB0FE9" w:rsidRDefault="00000000">
      <w:pPr>
        <w:spacing w:after="30" w:line="240" w:lineRule="auto"/>
        <w:ind w:left="648" w:hanging="360"/>
      </w:pPr>
      <w:r>
        <w:rPr>
          <w:color w:val="232323"/>
          <w:sz w:val="17"/>
        </w:rPr>
        <w:t>Liedtka, J. (2015) ‘Perspective: linking design thinking with innovation outcomes through cognitive bias reduction’, Journal of Product Innovation Management, 32(6), pp. 925–938. doi: 10.1111/jpim.12163.</w:t>
      </w:r>
    </w:p>
    <w:p w14:paraId="773718BB" w14:textId="77777777" w:rsidR="00BB0FE9" w:rsidRDefault="00000000">
      <w:pPr>
        <w:spacing w:after="30" w:line="240" w:lineRule="auto"/>
        <w:ind w:left="648" w:hanging="360"/>
      </w:pPr>
      <w:r>
        <w:rPr>
          <w:color w:val="232323"/>
          <w:sz w:val="17"/>
        </w:rPr>
        <w:t>Micheli, P., Wilner, S.J.S., Bhatti, S.H., Mura, M. and Beverland, M.B. (2019) ‘Doing design thinking: conceptual review, synthesis, and research agenda’, Journal of Product Innovation Management, 36(2), pp. 124–148. doi: 10.1111/jpim.12466.</w:t>
      </w:r>
    </w:p>
    <w:p w14:paraId="17BCC6FB" w14:textId="77777777" w:rsidR="00BB0FE9" w:rsidRDefault="00000000">
      <w:pPr>
        <w:spacing w:after="30" w:line="240" w:lineRule="auto"/>
        <w:ind w:left="648" w:hanging="360"/>
      </w:pPr>
      <w:r>
        <w:rPr>
          <w:color w:val="232323"/>
          <w:sz w:val="17"/>
        </w:rPr>
        <w:t>Office for National Statistics (2026) Retail sales, Great Britain: May 2026. Available at: https://www.ons.gov.uk/businessindustryandtrade/retailindustry/bulletins/retailsales/may2026 (Accessed: 10 July 2026).</w:t>
      </w:r>
    </w:p>
    <w:p w14:paraId="402A4734" w14:textId="77777777" w:rsidR="00BB0FE9" w:rsidRDefault="00000000">
      <w:pPr>
        <w:spacing w:after="30" w:line="240" w:lineRule="auto"/>
        <w:ind w:left="648" w:hanging="360"/>
      </w:pPr>
      <w:r>
        <w:rPr>
          <w:color w:val="232323"/>
          <w:sz w:val="17"/>
        </w:rPr>
        <w:t>Ofcom (2026) Connected Nations update: Spring 2026. Available at: https://www.ofcom.org.uk/phones-and-broadband/coverage-and-speeds/connected-nations-update-spring-2026 (Accessed: 10 July 2026).</w:t>
      </w:r>
    </w:p>
    <w:p w14:paraId="30FA5C53" w14:textId="77777777" w:rsidR="00BB0FE9" w:rsidRDefault="00000000">
      <w:pPr>
        <w:spacing w:after="30" w:line="240" w:lineRule="auto"/>
        <w:ind w:left="648" w:hanging="360"/>
      </w:pPr>
      <w:r>
        <w:rPr>
          <w:color w:val="232323"/>
          <w:sz w:val="17"/>
        </w:rPr>
        <w:t>Osterwalder, A. and Pigneur, Y. (2010) Business Model Generation. Hoboken, NJ: John Wiley &amp; Sons.</w:t>
      </w:r>
    </w:p>
    <w:p w14:paraId="0FB4AC1B" w14:textId="77777777" w:rsidR="00BB0FE9" w:rsidRDefault="00000000">
      <w:pPr>
        <w:spacing w:after="30" w:line="240" w:lineRule="auto"/>
        <w:ind w:left="648" w:hanging="360"/>
      </w:pPr>
      <w:r>
        <w:rPr>
          <w:color w:val="232323"/>
          <w:sz w:val="17"/>
        </w:rPr>
        <w:t>Paulus, P.B. and Yang, H.-C. (2000) ‘Idea generation in groups: a basis for creativity in organizations’, Organizational Behavior and Human Decision Processes, 82(1), pp. 76–87. doi: 10.1006/obhd.2000.2888.</w:t>
      </w:r>
    </w:p>
    <w:p w14:paraId="213B3405" w14:textId="77777777" w:rsidR="00BB0FE9" w:rsidRDefault="00000000">
      <w:pPr>
        <w:spacing w:after="30" w:line="240" w:lineRule="auto"/>
        <w:ind w:left="648" w:hanging="360"/>
      </w:pPr>
      <w:r>
        <w:rPr>
          <w:color w:val="232323"/>
          <w:sz w:val="17"/>
        </w:rPr>
        <w:t>Porter, M.E. (1985) Competitive Advantage: Creating and Sustaining Superior Performance. New York: Free Press.</w:t>
      </w:r>
    </w:p>
    <w:p w14:paraId="77475DBC" w14:textId="77777777" w:rsidR="00BB0FE9" w:rsidRDefault="00000000">
      <w:pPr>
        <w:spacing w:after="30" w:line="240" w:lineRule="auto"/>
        <w:ind w:left="648" w:hanging="360"/>
      </w:pPr>
      <w:r>
        <w:rPr>
          <w:color w:val="232323"/>
          <w:sz w:val="17"/>
        </w:rPr>
        <w:t>Ries, E. (2011) The Lean Startup. New York: Crown Business.</w:t>
      </w:r>
    </w:p>
    <w:p w14:paraId="07E3DECD" w14:textId="77777777" w:rsidR="00BB0FE9" w:rsidRDefault="00000000">
      <w:pPr>
        <w:spacing w:after="30" w:line="240" w:lineRule="auto"/>
        <w:ind w:left="648" w:hanging="360"/>
      </w:pPr>
      <w:r>
        <w:rPr>
          <w:color w:val="232323"/>
          <w:sz w:val="17"/>
        </w:rPr>
        <w:t>Rogers, E.M. (2003) Diffusion of Innovations. 5th edn. New York: Free Press.</w:t>
      </w:r>
    </w:p>
    <w:p w14:paraId="4BE7085B" w14:textId="77777777" w:rsidR="00BB0FE9" w:rsidRDefault="00000000">
      <w:pPr>
        <w:spacing w:after="30" w:line="240" w:lineRule="auto"/>
        <w:ind w:left="648" w:hanging="360"/>
      </w:pPr>
      <w:r>
        <w:rPr>
          <w:color w:val="232323"/>
          <w:sz w:val="17"/>
        </w:rPr>
        <w:t>Shopify (2026a) Annual Report on Form 10-K for the year ended 31 December 2025. Available at: https://www.sec.gov/Archives/edgar/data/1594805/000159480526000007/shop-20251231.htm (Accessed: 10 July 2026).</w:t>
      </w:r>
    </w:p>
    <w:p w14:paraId="79387980" w14:textId="77777777" w:rsidR="00BB0FE9" w:rsidRDefault="00000000">
      <w:pPr>
        <w:spacing w:after="30" w:line="240" w:lineRule="auto"/>
        <w:ind w:left="648" w:hanging="360"/>
      </w:pPr>
      <w:r>
        <w:rPr>
          <w:color w:val="232323"/>
          <w:sz w:val="17"/>
        </w:rPr>
        <w:t>Shopify (2026b) Setting up local delivery for online orders. Available at: https://help.shopify.com/en/manual/fulfillment/setup/delivery-methods/local-delivery (Accessed: 10 July 2026).</w:t>
      </w:r>
    </w:p>
    <w:p w14:paraId="069A19AA" w14:textId="77777777" w:rsidR="00BB0FE9" w:rsidRDefault="00000000">
      <w:pPr>
        <w:spacing w:after="30" w:line="240" w:lineRule="auto"/>
        <w:ind w:left="648" w:hanging="360"/>
      </w:pPr>
      <w:r>
        <w:rPr>
          <w:color w:val="232323"/>
          <w:sz w:val="17"/>
        </w:rPr>
        <w:t>Shopify (2026c) Setting up pickup in store for online orders. Available at: https://help.shopify.com/en/manual/fulfillment/setup/delivery-methods/pickup-in-store (Accessed: 10 July 2026).</w:t>
      </w:r>
    </w:p>
    <w:p w14:paraId="60D75377" w14:textId="77777777" w:rsidR="00BB0FE9" w:rsidRDefault="00000000">
      <w:pPr>
        <w:spacing w:after="30" w:line="240" w:lineRule="auto"/>
        <w:ind w:left="648" w:hanging="360"/>
      </w:pPr>
      <w:r>
        <w:rPr>
          <w:color w:val="232323"/>
          <w:sz w:val="17"/>
        </w:rPr>
        <w:t>Teece, D.J. (2010) ‘Business models, business strategy and innovation’, Long Range Planning, 43(2–3), pp. 172–194. doi: 10.1016/j.lrp.2009.07.003.</w:t>
      </w:r>
    </w:p>
    <w:p w14:paraId="3FA9EBB9" w14:textId="77777777" w:rsidR="00BB0FE9" w:rsidRDefault="00000000">
      <w:pPr>
        <w:spacing w:after="30" w:line="240" w:lineRule="auto"/>
        <w:ind w:left="648" w:hanging="360"/>
      </w:pPr>
      <w:r>
        <w:rPr>
          <w:color w:val="232323"/>
          <w:sz w:val="17"/>
        </w:rPr>
        <w:t>UK Finance (2025) UK Payment Markets 2025. Available at: https://www.ukfinance.org.uk/system/files/2025-10/Payment%20Markets%20Report%20Summary.pdf (Accessed: 10 July 2026).</w:t>
      </w:r>
    </w:p>
    <w:p w14:paraId="74C4FCD5" w14:textId="77777777" w:rsidR="00BB0FE9" w:rsidRDefault="00000000">
      <w:pPr>
        <w:spacing w:after="30" w:line="240" w:lineRule="auto"/>
        <w:ind w:left="648" w:hanging="360"/>
      </w:pPr>
      <w:r>
        <w:rPr>
          <w:color w:val="232323"/>
          <w:sz w:val="17"/>
        </w:rPr>
        <w:t>Venkatesh, V., Morris, M.G., Davis, G.B. and Davis, F.D. (2003) ‘User acceptance of information technology: toward a unified view’, MIS Quarterly, 27(3), pp. 425–478. doi: 10.2307/30036540.</w:t>
      </w:r>
    </w:p>
    <w:sectPr w:rsidR="00BB0FE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020" w:left="1247" w:header="454" w:footer="454"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AE036" w14:textId="77777777" w:rsidR="002A350F" w:rsidRDefault="002A350F">
      <w:pPr>
        <w:spacing w:after="0" w:line="240" w:lineRule="auto"/>
      </w:pPr>
      <w:r>
        <w:separator/>
      </w:r>
    </w:p>
  </w:endnote>
  <w:endnote w:type="continuationSeparator" w:id="0">
    <w:p w14:paraId="4E270E90" w14:textId="77777777" w:rsidR="002A350F" w:rsidRDefault="002A3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D1B2B" w14:textId="77777777" w:rsidR="00BB0FE9" w:rsidRDefault="00BB0F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34CC6" w14:textId="77777777" w:rsidR="00BB0FE9" w:rsidRDefault="00000000">
    <w:pPr>
      <w:pStyle w:val="Footer"/>
      <w:jc w:val="center"/>
    </w:pPr>
    <w:r>
      <w:rPr>
        <w:color w:val="6E6E6E"/>
        <w:sz w:val="16"/>
      </w:rPr>
      <w:t xml:space="preserve">Cristian Petrus Dica - 2332747 | Page </w:t>
    </w:r>
    <w:r>
      <w:fldChar w:fldCharType="begin"/>
    </w:r>
    <w:r>
      <w:instrText xml:space="preserve"> PAGE </w:instrText>
    </w:r>
    <w:r>
      <w:fldChar w:fldCharType="separate"/>
    </w:r>
    <w:r>
      <w:t>12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36CED" w14:textId="77777777" w:rsidR="00BB0FE9" w:rsidRDefault="00BB0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AEAB8" w14:textId="77777777" w:rsidR="002A350F" w:rsidRDefault="002A350F">
      <w:pPr>
        <w:spacing w:after="0" w:line="240" w:lineRule="auto"/>
      </w:pPr>
      <w:r>
        <w:separator/>
      </w:r>
    </w:p>
  </w:footnote>
  <w:footnote w:type="continuationSeparator" w:id="0">
    <w:p w14:paraId="4266BDD4" w14:textId="77777777" w:rsidR="002A350F" w:rsidRDefault="002A3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AB21C" w14:textId="77777777" w:rsidR="00BB0FE9" w:rsidRDefault="00BB0F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A66E7" w14:textId="77777777" w:rsidR="00BB0FE9" w:rsidRDefault="00000000">
    <w:pPr>
      <w:pStyle w:val="Header"/>
      <w:jc w:val="right"/>
    </w:pPr>
    <w:r>
      <w:rPr>
        <w:color w:val="6E6E6E"/>
        <w:sz w:val="16"/>
      </w:rPr>
      <w:t>Design Thinking and Innovation Portfolio | Shopify UK SME Digital Commerce Case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F6B1E" w14:textId="77777777" w:rsidR="00BB0FE9" w:rsidRDefault="00BB0F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1425B"/>
    <w:multiLevelType w:val="multilevel"/>
    <w:tmpl w:val="C25A91E6"/>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EBC0D50"/>
    <w:multiLevelType w:val="multilevel"/>
    <w:tmpl w:val="EE527CC4"/>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8182D8D"/>
    <w:multiLevelType w:val="multilevel"/>
    <w:tmpl w:val="2098B7BE"/>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AEE0E53"/>
    <w:multiLevelType w:val="multilevel"/>
    <w:tmpl w:val="70283498"/>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BB8502A"/>
    <w:multiLevelType w:val="multilevel"/>
    <w:tmpl w:val="52C0EC56"/>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5277D2C"/>
    <w:multiLevelType w:val="multilevel"/>
    <w:tmpl w:val="911EBA34"/>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70A16C3"/>
    <w:multiLevelType w:val="multilevel"/>
    <w:tmpl w:val="D1600C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68004709">
    <w:abstractNumId w:val="2"/>
  </w:num>
  <w:num w:numId="2" w16cid:durableId="643656348">
    <w:abstractNumId w:val="5"/>
  </w:num>
  <w:num w:numId="3" w16cid:durableId="1281574285">
    <w:abstractNumId w:val="1"/>
  </w:num>
  <w:num w:numId="4" w16cid:durableId="1396591350">
    <w:abstractNumId w:val="3"/>
  </w:num>
  <w:num w:numId="5" w16cid:durableId="2022118691">
    <w:abstractNumId w:val="4"/>
  </w:num>
  <w:num w:numId="6" w16cid:durableId="1714886545">
    <w:abstractNumId w:val="0"/>
  </w:num>
  <w:num w:numId="7" w16cid:durableId="2074112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0FE9"/>
    <w:rsid w:val="001340AB"/>
    <w:rsid w:val="001B1C34"/>
    <w:rsid w:val="002A350F"/>
    <w:rsid w:val="00BB0FE9"/>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08B1E"/>
  <w15:docId w15:val="{F8CBE0EB-B835-4B55-956B-4BBACEC17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0" w:line="276" w:lineRule="auto"/>
    </w:pPr>
    <w:rPr>
      <w:rFonts w:ascii="Arial" w:hAnsi="Arial"/>
    </w:rPr>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b/>
      <w:bCs/>
      <w:color w:val="1F4E7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rPr>
      <w:color w:val="000080"/>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AA1D8D"/>
    <w:pPr>
      <w:spacing w:after="120" w:line="360" w:lineRule="auto"/>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paragraph" w:customStyle="1" w:styleId="TOCTitleCustom">
    <w:name w:val="TOC Title Custom"/>
    <w:qFormat/>
    <w:pPr>
      <w:spacing w:after="200" w:line="276" w:lineRule="auto"/>
    </w:pPr>
    <w:rPr>
      <w:rFonts w:ascii="Arial" w:eastAsia="MS Mincho" w:hAnsi="Arial"/>
      <w:b/>
      <w:color w:val="1F4E79"/>
      <w:sz w:val="36"/>
    </w:rPr>
  </w:style>
  <w:style w:type="paragraph" w:styleId="TOC1">
    <w:name w:val="toc 1"/>
    <w:basedOn w:val="Index"/>
    <w:pPr>
      <w:tabs>
        <w:tab w:val="right" w:leader="dot" w:pos="9525"/>
      </w:tabs>
    </w:pPr>
  </w:style>
  <w:style w:type="paragraph" w:styleId="TOC2">
    <w:name w:val="toc 2"/>
    <w:basedOn w:val="Index"/>
    <w:pPr>
      <w:tabs>
        <w:tab w:val="right" w:leader="dot" w:pos="9242"/>
      </w:tabs>
      <w:ind w:left="283"/>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5153</Words>
  <Characters>29378</Characters>
  <Application>Microsoft Office Word</Application>
  <DocSecurity>0</DocSecurity>
  <Lines>244</Lines>
  <Paragraphs>68</Paragraphs>
  <ScaleCrop>false</ScaleCrop>
  <Company/>
  <LinksUpToDate>false</LinksUpToDate>
  <CharactersWithSpaces>34463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Thinking and Innovation Portfolio - Critical Revision</dc:title>
  <dc:subject>Task 1 and Task 2 portfolio</dc:subject>
  <dc:creator>Cristian Petrus Dica</dc:creator>
  <cp:keywords>Design Thinking Shopify UK SMEs digital commerce critical analysis MVP</cp:keywords>
  <dc:description>generated by python-docx</dc:description>
  <cp:lastModifiedBy>Dica Cristian</cp:lastModifiedBy>
  <cp:revision>3</cp:revision>
  <dcterms:created xsi:type="dcterms:W3CDTF">2013-12-23T23:15:00Z</dcterms:created>
  <dcterms:modified xsi:type="dcterms:W3CDTF">2026-07-10T14:51:00Z</dcterms:modified>
  <dc:language>en-US</dc:language>
</cp:coreProperties>
</file>