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6C233" w14:textId="77777777" w:rsidR="007E3BB3" w:rsidRPr="00BE7DB8" w:rsidRDefault="007E3BB3" w:rsidP="00B94481">
      <w:pPr>
        <w:pStyle w:val="Title"/>
        <w:rPr>
          <w:color w:val="auto"/>
        </w:rPr>
      </w:pPr>
      <w:r w:rsidRPr="00BE7DB8">
        <w:rPr>
          <w:color w:val="auto"/>
        </w:rPr>
        <w:t>An analysis of the roles of, and relationship between, cosmology and divination in Theurgy</w:t>
      </w:r>
    </w:p>
    <w:p w14:paraId="1FF4F8BE"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13F75F2D"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140B0623" w14:textId="77777777" w:rsidR="007E3BB3" w:rsidRPr="00BE7DB8" w:rsidRDefault="007E3BB3" w:rsidP="00BE7DB8">
      <w:pPr>
        <w:pStyle w:val="Heading1"/>
      </w:pPr>
      <w:r w:rsidRPr="00BE7DB8">
        <w:t>Introduction</w:t>
      </w:r>
    </w:p>
    <w:p w14:paraId="05F71674"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73251A48"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This essay focuses on the roles of and relationship between cosmology and divination, focusing specifically on the system of Theurgy.</w:t>
      </w:r>
    </w:p>
    <w:p w14:paraId="716E3A8F"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2CC96A46"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In the system of Theurgy, cosmology and divination are intertwined in a dual aim to provide a framework for practice and achieve union with the gods. Cosmology in this sense deals with the philosophical understanding of the universe's structure and dynamics, with which to work. While divination is regarded as the practice of interpreting the will of the gods through divine messaging.</w:t>
      </w:r>
    </w:p>
    <w:p w14:paraId="419B230C"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779C47FE" w14:textId="77777777" w:rsidR="007E3BB3" w:rsidRDefault="007E3BB3" w:rsidP="00BE7DB8">
      <w:pPr>
        <w:pStyle w:val="Heading1"/>
      </w:pPr>
      <w:r>
        <w:t>Origins and development of theurgy</w:t>
      </w:r>
    </w:p>
    <w:p w14:paraId="4182C3CC"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6C00FDE2" w14:textId="279F7638" w:rsidR="007E3BB3" w:rsidRDefault="007E3BB3" w:rsidP="00BE7DB8">
      <w:pPr>
        <w:autoSpaceDE w:val="0"/>
        <w:autoSpaceDN w:val="0"/>
        <w:adjustRightInd w:val="0"/>
        <w:spacing w:after="16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Theurgy (θεουργία), translated literally as </w:t>
      </w:r>
      <w:r w:rsidR="00BE7DB8">
        <w:rPr>
          <w:rFonts w:ascii="Helvetica Neue" w:hAnsi="Helvetica Neue" w:cs="Helvetica Neue"/>
          <w:color w:val="000000"/>
          <w:sz w:val="24"/>
          <w:szCs w:val="24"/>
        </w:rPr>
        <w:t>‘</w:t>
      </w:r>
      <w:r>
        <w:rPr>
          <w:rFonts w:ascii="Helvetica Neue" w:hAnsi="Helvetica Neue" w:cs="Helvetica Neue"/>
          <w:color w:val="000000"/>
          <w:sz w:val="24"/>
          <w:szCs w:val="24"/>
        </w:rPr>
        <w:t>divine work</w:t>
      </w:r>
      <w:r w:rsidR="00BE7DB8">
        <w:rPr>
          <w:rFonts w:ascii="Helvetica Neue" w:hAnsi="Helvetica Neue" w:cs="Helvetica Neue"/>
          <w:color w:val="000000"/>
          <w:sz w:val="24"/>
          <w:szCs w:val="24"/>
        </w:rPr>
        <w:t>’</w:t>
      </w:r>
      <w:r>
        <w:rPr>
          <w:rFonts w:ascii="Helvetica Neue" w:hAnsi="Helvetica Neue" w:cs="Helvetica Neue"/>
          <w:color w:val="000000"/>
          <w:sz w:val="24"/>
          <w:szCs w:val="24"/>
        </w:rPr>
        <w:t xml:space="preserve"> or </w:t>
      </w:r>
      <w:r w:rsidR="00BE7DB8">
        <w:rPr>
          <w:rFonts w:ascii="Helvetica Neue" w:hAnsi="Helvetica Neue" w:cs="Helvetica Neue"/>
          <w:color w:val="000000"/>
          <w:sz w:val="24"/>
          <w:szCs w:val="24"/>
        </w:rPr>
        <w:t>‘</w:t>
      </w:r>
      <w:r>
        <w:rPr>
          <w:rFonts w:ascii="Helvetica Neue" w:hAnsi="Helvetica Neue" w:cs="Helvetica Neue"/>
          <w:color w:val="000000"/>
          <w:sz w:val="24"/>
          <w:szCs w:val="24"/>
        </w:rPr>
        <w:t>working with the gods</w:t>
      </w:r>
      <w:r w:rsidR="00BE7DB8">
        <w:rPr>
          <w:rFonts w:ascii="Helvetica Neue" w:hAnsi="Helvetica Neue" w:cs="Helvetica Neue"/>
          <w:color w:val="000000"/>
          <w:sz w:val="24"/>
          <w:szCs w:val="24"/>
        </w:rPr>
        <w:t>’</w:t>
      </w:r>
      <w:r>
        <w:rPr>
          <w:rFonts w:ascii="Helvetica Neue" w:hAnsi="Helvetica Neue" w:cs="Helvetica Neue"/>
          <w:color w:val="000000"/>
          <w:sz w:val="24"/>
          <w:szCs w:val="24"/>
        </w:rPr>
        <w:t xml:space="preserve"> is best understood as a collaborative effort between human souls and the gods. Emerging in the second century CE with the </w:t>
      </w:r>
      <w:r w:rsidRPr="00BE7DB8">
        <w:rPr>
          <w:rFonts w:ascii="Helvetica Neue" w:hAnsi="Helvetica Neue" w:cs="Helvetica Neue"/>
          <w:i/>
          <w:iCs/>
          <w:color w:val="000000"/>
          <w:sz w:val="24"/>
          <w:szCs w:val="24"/>
        </w:rPr>
        <w:t>Chaldean Oracles</w:t>
      </w:r>
      <w:r>
        <w:rPr>
          <w:rFonts w:ascii="Helvetica Neue" w:hAnsi="Helvetica Neue" w:cs="Helvetica Neue"/>
          <w:color w:val="000000"/>
          <w:sz w:val="24"/>
          <w:szCs w:val="24"/>
        </w:rPr>
        <w:t xml:space="preserve">, the instructions contained in the </w:t>
      </w:r>
      <w:r w:rsidRPr="00BE7DB8">
        <w:rPr>
          <w:rFonts w:ascii="Helvetica Neue" w:hAnsi="Helvetica Neue" w:cs="Helvetica Neue"/>
          <w:i/>
          <w:iCs/>
          <w:color w:val="000000"/>
          <w:sz w:val="24"/>
          <w:szCs w:val="24"/>
        </w:rPr>
        <w:t>Oracles</w:t>
      </w:r>
      <w:r>
        <w:rPr>
          <w:rFonts w:ascii="Helvetica Neue" w:hAnsi="Helvetica Neue" w:cs="Helvetica Neue"/>
          <w:color w:val="000000"/>
          <w:sz w:val="24"/>
          <w:szCs w:val="24"/>
        </w:rPr>
        <w:t xml:space="preserve"> comprise the earliest evidence for Theurgy and as such are considered parallel to it</w:t>
      </w:r>
      <w:r w:rsidR="00BE7DB8">
        <w:rPr>
          <w:rFonts w:ascii="Helvetica Neue" w:hAnsi="Helvetica Neue" w:cs="Helvetica Neue"/>
          <w:color w:val="000000"/>
          <w:sz w:val="24"/>
          <w:szCs w:val="24"/>
        </w:rPr>
        <w:t>.</w:t>
      </w:r>
      <w:r w:rsidR="00BE7DB8">
        <w:rPr>
          <w:rStyle w:val="FootnoteReference"/>
          <w:rFonts w:ascii="Helvetica Neue" w:hAnsi="Helvetica Neue" w:cs="Helvetica Neue"/>
          <w:color w:val="000000"/>
          <w:sz w:val="24"/>
          <w:szCs w:val="24"/>
        </w:rPr>
        <w:footnoteReference w:id="1"/>
      </w:r>
      <w:r>
        <w:rPr>
          <w:rFonts w:ascii="Helvetica Neue" w:hAnsi="Helvetica Neue" w:cs="Helvetica Neue"/>
          <w:color w:val="000000"/>
          <w:sz w:val="24"/>
          <w:szCs w:val="24"/>
        </w:rPr>
        <w:t xml:space="preserve"> The </w:t>
      </w:r>
      <w:r w:rsidRPr="00BE7DB8">
        <w:rPr>
          <w:rFonts w:ascii="Helvetica Neue" w:hAnsi="Helvetica Neue" w:cs="Helvetica Neue"/>
          <w:i/>
          <w:iCs/>
          <w:color w:val="000000"/>
          <w:sz w:val="24"/>
          <w:szCs w:val="24"/>
        </w:rPr>
        <w:t>Chaldean Oracles</w:t>
      </w:r>
      <w:r>
        <w:rPr>
          <w:rFonts w:ascii="Helvetica Neue" w:hAnsi="Helvetica Neue" w:cs="Helvetica Neue"/>
          <w:color w:val="000000"/>
          <w:sz w:val="24"/>
          <w:szCs w:val="24"/>
        </w:rPr>
        <w:t xml:space="preserve"> were derived from the gods, purportedly from the soul of Plato, via the mediumship of Julian the Theurgist in conjunction with his father Julian the Chaldean. Scholars agree that the rudiments of the tradition are correct insofar that fragments of the Oracles suggest a date late in the second century, however some scholars still consider they may be forged.</w:t>
      </w:r>
      <w:r w:rsidR="00BE7DB8">
        <w:rPr>
          <w:rStyle w:val="FootnoteReference"/>
          <w:rFonts w:ascii="Helvetica Neue" w:hAnsi="Helvetica Neue" w:cs="Helvetica Neue"/>
          <w:color w:val="000000"/>
          <w:sz w:val="24"/>
          <w:szCs w:val="24"/>
        </w:rPr>
        <w:footnoteReference w:id="2"/>
      </w:r>
      <w:r>
        <w:rPr>
          <w:rFonts w:ascii="Helvetica Neue" w:hAnsi="Helvetica Neue" w:cs="Helvetica Neue"/>
          <w:color w:val="000000"/>
          <w:sz w:val="24"/>
          <w:szCs w:val="24"/>
        </w:rPr>
        <w:t xml:space="preserve"> An observed rapport with Gnostic and Hermetic texts as also been noted.</w:t>
      </w:r>
      <w:r w:rsidR="00BE7DB8">
        <w:rPr>
          <w:rStyle w:val="FootnoteReference"/>
          <w:rFonts w:ascii="Helvetica Neue" w:hAnsi="Helvetica Neue" w:cs="Helvetica Neue"/>
          <w:color w:val="000000"/>
          <w:sz w:val="24"/>
          <w:szCs w:val="24"/>
        </w:rPr>
        <w:footnoteReference w:id="3"/>
      </w:r>
      <w:r w:rsidR="00BE7DB8">
        <w:rPr>
          <w:rFonts w:ascii="Helvetica Neue" w:hAnsi="Helvetica Neue" w:cs="Helvetica Neue"/>
          <w:color w:val="000000"/>
          <w:sz w:val="24"/>
          <w:szCs w:val="24"/>
        </w:rPr>
        <w:t xml:space="preserve"> </w:t>
      </w:r>
      <w:r w:rsidR="00BE7DB8">
        <w:rPr>
          <w:rFonts w:ascii="Helvetica Neue" w:hAnsi="Helvetica Neue" w:cs="Helvetica Neue"/>
          <w:color w:val="000000"/>
          <w:sz w:val="24"/>
          <w:szCs w:val="24"/>
        </w:rPr>
        <w:t xml:space="preserve">Theurgy is a Henotheistic doctrine, due to the belief in one supreme god in a hierarchy of a multitude of other god-like entities, including archangels, daemons, heroes, and archons. Through rituals inspired by the divine, humans seek to enhance their receptiveness for divine union. Theurgy ties soteriology to cosmogony and allows </w:t>
      </w:r>
      <w:r w:rsidR="00BE7DB8">
        <w:rPr>
          <w:rFonts w:ascii="Helvetica Neue" w:hAnsi="Helvetica Neue" w:cs="Helvetica Neue"/>
          <w:color w:val="000000"/>
          <w:sz w:val="24"/>
          <w:szCs w:val="24"/>
        </w:rPr>
        <w:lastRenderedPageBreak/>
        <w:t>the soul to share in both.</w:t>
      </w:r>
      <w:r w:rsidR="00BE7DB8">
        <w:rPr>
          <w:rStyle w:val="FootnoteReference"/>
          <w:rFonts w:ascii="Helvetica Neue" w:hAnsi="Helvetica Neue" w:cs="Helvetica Neue"/>
          <w:color w:val="000000"/>
          <w:sz w:val="24"/>
          <w:szCs w:val="24"/>
        </w:rPr>
        <w:footnoteReference w:id="4"/>
      </w:r>
      <w:r w:rsidR="00BE7DB8">
        <w:rPr>
          <w:rFonts w:ascii="Helvetica Neue" w:hAnsi="Helvetica Neue" w:cs="Helvetica Neue"/>
          <w:color w:val="000000"/>
          <w:sz w:val="24"/>
          <w:szCs w:val="24"/>
        </w:rPr>
        <w:t xml:space="preserve"> </w:t>
      </w:r>
      <w:r>
        <w:rPr>
          <w:rFonts w:ascii="Helvetica Neue" w:hAnsi="Helvetica Neue" w:cs="Helvetica Neue"/>
          <w:color w:val="000000"/>
          <w:sz w:val="24"/>
          <w:szCs w:val="24"/>
        </w:rPr>
        <w:t>The framework of Theurgy was developed significantly by Iamblichus, a Syrian priest and philosopher, marking a departure from earlier Neoplatonic thought, particularly that of Plotinus and Porphyry which stressed the primary importance of contemplation (θεωρία), through an equal emphasis on ritual. Proclus (412 – 485 CE) further developed theurgical Neoplatonism, influencing pseudo-Dionysius's Christian liturgy. Despite Emperor Julian attempting to restore Hellenic paganism, his short reign of just two years did not achieve this objective. By the end of the fourth century, pagan gods had been exiled from the Roman Empire.</w:t>
      </w:r>
      <w:r w:rsidR="00BE7DB8">
        <w:rPr>
          <w:rStyle w:val="FootnoteReference"/>
          <w:rFonts w:ascii="Helvetica Neue" w:hAnsi="Helvetica Neue" w:cs="Helvetica Neue"/>
          <w:color w:val="000000"/>
          <w:sz w:val="24"/>
          <w:szCs w:val="24"/>
        </w:rPr>
        <w:footnoteReference w:id="5"/>
      </w:r>
      <w:r>
        <w:rPr>
          <w:rFonts w:ascii="Helvetica Neue" w:hAnsi="Helvetica Neue" w:cs="Helvetica Neue"/>
          <w:color w:val="000000"/>
          <w:sz w:val="24"/>
          <w:szCs w:val="24"/>
        </w:rPr>
        <w:t xml:space="preserve"> Following the closure of the Athenian Academy by Justinian in 529 C.E., Iamblichan Platonism transferred into the possession of the Arabians, and exiled Platonists, in the city of Harran, where it continued to thrive until the tenth century.</w:t>
      </w:r>
      <w:r w:rsidR="00BE7DB8">
        <w:rPr>
          <w:rStyle w:val="FootnoteReference"/>
          <w:rFonts w:ascii="Helvetica Neue" w:hAnsi="Helvetica Neue" w:cs="Helvetica Neue"/>
          <w:color w:val="000000"/>
          <w:sz w:val="24"/>
          <w:szCs w:val="24"/>
        </w:rPr>
        <w:footnoteReference w:id="6"/>
      </w:r>
      <w:r w:rsidR="00BE7DB8">
        <w:rPr>
          <w:rFonts w:ascii="Helvetica Neue" w:hAnsi="Helvetica Neue" w:cs="Helvetica Neue"/>
          <w:color w:val="000000"/>
          <w:sz w:val="24"/>
          <w:szCs w:val="24"/>
        </w:rPr>
        <w:t xml:space="preserve"> </w:t>
      </w:r>
    </w:p>
    <w:p w14:paraId="7D18A941"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36222105"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65980C6" w14:textId="77777777" w:rsidR="007E3BB3" w:rsidRDefault="007E3BB3" w:rsidP="00B94481">
      <w:pPr>
        <w:pStyle w:val="Heading2"/>
        <w:rPr>
          <w:b w:val="0"/>
        </w:rPr>
      </w:pPr>
      <w:r>
        <w:rPr>
          <w:b w:val="0"/>
        </w:rPr>
        <w:t>The Neo-Platonists</w:t>
      </w:r>
    </w:p>
    <w:p w14:paraId="42AE2277"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2D6D16B5"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r>
        <w:rPr>
          <w:rFonts w:ascii="Helvetica Neue" w:hAnsi="Helvetica Neue" w:cs="Helvetica Neue"/>
          <w:b/>
          <w:bCs/>
          <w:color w:val="000000"/>
          <w:sz w:val="24"/>
          <w:szCs w:val="24"/>
        </w:rPr>
        <w:t>Plotinus</w:t>
      </w:r>
    </w:p>
    <w:p w14:paraId="4D0CF1AC" w14:textId="37E32E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Plotinus (205 – 270 CE) is generally regarded as the founder of Neoplatonism and was somewhat of a precursor to the emergence of Theurgy.</w:t>
      </w:r>
      <w:r w:rsidR="00BE7DB8">
        <w:rPr>
          <w:rStyle w:val="FootnoteReference"/>
          <w:rFonts w:ascii="Helvetica Neue" w:hAnsi="Helvetica Neue" w:cs="Helvetica Neue"/>
          <w:color w:val="000000"/>
          <w:sz w:val="24"/>
          <w:szCs w:val="24"/>
        </w:rPr>
        <w:footnoteReference w:id="7"/>
      </w:r>
      <w:r>
        <w:rPr>
          <w:rFonts w:ascii="Helvetica Neue" w:hAnsi="Helvetica Neue" w:cs="Helvetica Neue"/>
          <w:color w:val="000000"/>
          <w:sz w:val="24"/>
          <w:szCs w:val="24"/>
        </w:rPr>
        <w:t xml:space="preserve"> He fulfilled a two-fold role in his exploration of Plato’s philosophy but also in defending this to critics. It has been noted that there is no mention of theurgy or the Chaldean Oracles in his writings. His views were in line with Plato on the metaphysics of the cosmos including the notion of ‘the One’ as the first principle of a divinely inhabited cosmos and a partial descent of the soul. In his rejection of magic, he does appear to uphold the notion of cosmic sympathy, despite suggesting that it is ineffective as applying only to the physical realm.</w:t>
      </w:r>
      <w:r w:rsidR="00BE7DB8">
        <w:rPr>
          <w:rStyle w:val="FootnoteReference"/>
          <w:rFonts w:ascii="Helvetica Neue" w:hAnsi="Helvetica Neue" w:cs="Helvetica Neue"/>
          <w:color w:val="000000"/>
          <w:sz w:val="24"/>
          <w:szCs w:val="24"/>
        </w:rPr>
        <w:footnoteReference w:id="8"/>
      </w:r>
    </w:p>
    <w:p w14:paraId="04A03E1C"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127B7DDC"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r>
        <w:rPr>
          <w:rFonts w:ascii="Helvetica Neue" w:hAnsi="Helvetica Neue" w:cs="Helvetica Neue"/>
          <w:b/>
          <w:bCs/>
          <w:color w:val="000000"/>
          <w:sz w:val="24"/>
          <w:szCs w:val="24"/>
        </w:rPr>
        <w:t>Porphyry</w:t>
      </w:r>
    </w:p>
    <w:p w14:paraId="41F2271D" w14:textId="5E4894ED"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Porphyry of Tyre (232-305 CE) is another key figure in the in the development of Neoplatonic thought, was the editor of Plotinus’ works and, its suggested, </w:t>
      </w:r>
      <w:r>
        <w:rPr>
          <w:rFonts w:ascii="Helvetica Neue" w:hAnsi="Helvetica Neue" w:cs="Helvetica Neue"/>
          <w:color w:val="000000"/>
          <w:sz w:val="24"/>
          <w:szCs w:val="24"/>
        </w:rPr>
        <w:lastRenderedPageBreak/>
        <w:t>Iamblichus’ teacher.</w:t>
      </w:r>
      <w:r w:rsidR="00BE7DB8">
        <w:rPr>
          <w:rStyle w:val="FootnoteReference"/>
          <w:rFonts w:ascii="Helvetica Neue" w:hAnsi="Helvetica Neue" w:cs="Helvetica Neue"/>
          <w:color w:val="000000"/>
          <w:sz w:val="24"/>
          <w:szCs w:val="24"/>
        </w:rPr>
        <w:footnoteReference w:id="9"/>
      </w:r>
      <w:r>
        <w:rPr>
          <w:rFonts w:ascii="Helvetica Neue" w:hAnsi="Helvetica Neue" w:cs="Helvetica Neue"/>
          <w:color w:val="000000"/>
          <w:sz w:val="24"/>
          <w:szCs w:val="24"/>
        </w:rPr>
        <w:t xml:space="preserve"> Many of Porphyry’s works have not survived and this makes it more challenging to ascertain his </w:t>
      </w:r>
      <w:r w:rsidR="00B94481">
        <w:rPr>
          <w:rFonts w:ascii="Helvetica Neue" w:hAnsi="Helvetica Neue" w:cs="Helvetica Neue"/>
          <w:color w:val="000000"/>
          <w:sz w:val="24"/>
          <w:szCs w:val="24"/>
        </w:rPr>
        <w:t>view</w:t>
      </w:r>
      <w:r>
        <w:rPr>
          <w:rFonts w:ascii="Helvetica Neue" w:hAnsi="Helvetica Neue" w:cs="Helvetica Neue"/>
          <w:color w:val="000000"/>
          <w:sz w:val="24"/>
          <w:szCs w:val="24"/>
        </w:rPr>
        <w:t xml:space="preserve"> of theurgic practice. He agreed with Plotinus on the partial descent of the soul and considered that the attached part provided a way for the soul to reascend without the need for ritual. He also concurred with the notion of the soul needing to free itself from the sensible realm to regain its purity.</w:t>
      </w:r>
      <w:r w:rsidR="00BE7DB8">
        <w:rPr>
          <w:rStyle w:val="FootnoteReference"/>
          <w:rFonts w:ascii="Helvetica Neue" w:hAnsi="Helvetica Neue" w:cs="Helvetica Neue"/>
          <w:color w:val="000000"/>
          <w:sz w:val="24"/>
          <w:szCs w:val="24"/>
        </w:rPr>
        <w:footnoteReference w:id="10"/>
      </w:r>
      <w:r>
        <w:rPr>
          <w:rFonts w:ascii="Helvetica Neue" w:hAnsi="Helvetica Neue" w:cs="Helvetica Neue"/>
          <w:color w:val="000000"/>
          <w:sz w:val="24"/>
          <w:szCs w:val="24"/>
        </w:rPr>
        <w:t xml:space="preserve">  However, the lack of direct evidence does make Porphyry’s position ambiguous.</w:t>
      </w:r>
      <w:r w:rsidR="00BE7DB8">
        <w:rPr>
          <w:rFonts w:ascii="Helvetica Neue" w:hAnsi="Helvetica Neue" w:cs="Helvetica Neue"/>
          <w:color w:val="000000"/>
          <w:sz w:val="24"/>
          <w:szCs w:val="24"/>
        </w:rPr>
        <w:t xml:space="preserve"> </w:t>
      </w:r>
      <w:r>
        <w:rPr>
          <w:rFonts w:ascii="Helvetica Neue" w:hAnsi="Helvetica Neue" w:cs="Helvetica Neue"/>
          <w:color w:val="000000"/>
          <w:sz w:val="24"/>
          <w:szCs w:val="24"/>
        </w:rPr>
        <w:t>Both Plotinus and Porphyry seem to place more emphasis on a philosophical or contemplative as the basis for their approach, which has resulted in many scholars calling theirs a more ‘rational’ practice.</w:t>
      </w:r>
      <w:r w:rsidR="00BE7DB8">
        <w:rPr>
          <w:rStyle w:val="FootnoteReference"/>
          <w:rFonts w:ascii="Helvetica Neue" w:hAnsi="Helvetica Neue" w:cs="Helvetica Neue"/>
          <w:color w:val="000000"/>
          <w:sz w:val="24"/>
          <w:szCs w:val="24"/>
        </w:rPr>
        <w:footnoteReference w:id="11"/>
      </w:r>
    </w:p>
    <w:p w14:paraId="01D369E4"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269207F4"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r>
        <w:rPr>
          <w:rFonts w:ascii="Helvetica Neue" w:hAnsi="Helvetica Neue" w:cs="Helvetica Neue"/>
          <w:b/>
          <w:bCs/>
          <w:color w:val="000000"/>
          <w:sz w:val="24"/>
          <w:szCs w:val="24"/>
        </w:rPr>
        <w:t>Iamblichus</w:t>
      </w:r>
    </w:p>
    <w:p w14:paraId="4B47D0FE"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1D297758" w14:textId="00B91044"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Iamblichus (242–325 CE) was a Syrian Neoplatonist and disciple of Porphyry. Iamblichus is regarded as one of the leading figures in the development of Theurgy. He was considered by his followers and successors to have been in direct contact with the gods and divinely inspired in his teachings.</w:t>
      </w:r>
      <w:r w:rsidR="00BE7DB8">
        <w:rPr>
          <w:rStyle w:val="FootnoteReference"/>
          <w:rFonts w:ascii="Helvetica Neue" w:hAnsi="Helvetica Neue" w:cs="Helvetica Neue"/>
          <w:color w:val="000000"/>
          <w:sz w:val="24"/>
          <w:szCs w:val="24"/>
        </w:rPr>
        <w:footnoteReference w:id="12"/>
      </w:r>
      <w:r>
        <w:rPr>
          <w:rFonts w:ascii="Helvetica Neue" w:hAnsi="Helvetica Neue" w:cs="Helvetica Neue"/>
          <w:color w:val="000000"/>
          <w:sz w:val="24"/>
          <w:szCs w:val="24"/>
        </w:rPr>
        <w:t xml:space="preserve"> He is said to have been prophetic, as well as hard invoked spirits in front of his students.</w:t>
      </w:r>
      <w:r w:rsidR="00BE7DB8">
        <w:rPr>
          <w:rStyle w:val="FootnoteReference"/>
          <w:rFonts w:ascii="Helvetica Neue" w:hAnsi="Helvetica Neue" w:cs="Helvetica Neue"/>
          <w:color w:val="000000"/>
          <w:sz w:val="24"/>
          <w:szCs w:val="24"/>
        </w:rPr>
        <w:footnoteReference w:id="13"/>
      </w:r>
      <w:r>
        <w:rPr>
          <w:rFonts w:ascii="Helvetica Neue" w:hAnsi="Helvetica Neue" w:cs="Helvetica Neue"/>
          <w:color w:val="000000"/>
          <w:sz w:val="24"/>
          <w:szCs w:val="24"/>
        </w:rPr>
        <w:t xml:space="preserve"> </w:t>
      </w:r>
      <w:r w:rsidRPr="00BE7DB8">
        <w:rPr>
          <w:rFonts w:ascii="Helvetica Neue" w:hAnsi="Helvetica Neue" w:cs="Helvetica Neue"/>
          <w:color w:val="000000"/>
          <w:sz w:val="24"/>
          <w:szCs w:val="24"/>
        </w:rPr>
        <w:t>I</w:t>
      </w:r>
      <w:r>
        <w:rPr>
          <w:rFonts w:ascii="Helvetica Neue" w:hAnsi="Helvetica Neue" w:cs="Helvetica Neue"/>
          <w:color w:val="000000"/>
          <w:sz w:val="24"/>
          <w:szCs w:val="24"/>
        </w:rPr>
        <w:t xml:space="preserve">t is considered likely that Iamblichus picked up knowledge of Egyptian religion and mythology from Manetho of Sebennytus, a high priest at Heliopolis. His books, in particular the Aigyptiaka and Hiera Biblos, transmitted the core of Egyptian lore to the </w:t>
      </w:r>
      <w:r w:rsidR="00B94481">
        <w:rPr>
          <w:rFonts w:ascii="Helvetica Neue" w:hAnsi="Helvetica Neue" w:cs="Helvetica Neue"/>
          <w:color w:val="000000"/>
          <w:sz w:val="24"/>
          <w:szCs w:val="24"/>
        </w:rPr>
        <w:t>Greek</w:t>
      </w:r>
      <w:r>
        <w:rPr>
          <w:rFonts w:ascii="Helvetica Neue" w:hAnsi="Helvetica Neue" w:cs="Helvetica Neue"/>
          <w:color w:val="000000"/>
          <w:sz w:val="24"/>
          <w:szCs w:val="24"/>
        </w:rPr>
        <w:t>-speaking world.</w:t>
      </w:r>
      <w:r w:rsidR="004C79F8">
        <w:rPr>
          <w:rStyle w:val="FootnoteReference"/>
          <w:rFonts w:ascii="Helvetica Neue" w:hAnsi="Helvetica Neue" w:cs="Helvetica Neue"/>
          <w:color w:val="000000"/>
          <w:sz w:val="24"/>
          <w:szCs w:val="24"/>
        </w:rPr>
        <w:footnoteReference w:id="14"/>
      </w:r>
      <w:r>
        <w:rPr>
          <w:rFonts w:ascii="Helvetica Neue" w:hAnsi="Helvetica Neue" w:cs="Helvetica Neue"/>
          <w:color w:val="000000"/>
          <w:sz w:val="24"/>
          <w:szCs w:val="24"/>
        </w:rPr>
        <w:t xml:space="preserve"> When the Roman imperial court first came under Christian influence during the reign of Constantine (312-336C.E.), the leading thinkers of the pagan world turned to the Syrian Platonist, Iamblichus for spiritual and intellectual leadership.</w:t>
      </w:r>
      <w:r w:rsidR="004C79F8">
        <w:rPr>
          <w:rStyle w:val="FootnoteReference"/>
          <w:rFonts w:ascii="Helvetica Neue" w:hAnsi="Helvetica Neue" w:cs="Helvetica Neue"/>
          <w:color w:val="000000"/>
          <w:sz w:val="24"/>
          <w:szCs w:val="24"/>
        </w:rPr>
        <w:footnoteReference w:id="15"/>
      </w:r>
      <w:r>
        <w:rPr>
          <w:rFonts w:ascii="Helvetica Neue" w:hAnsi="Helvetica Neue" w:cs="Helvetica Neue"/>
          <w:color w:val="000000"/>
          <w:sz w:val="24"/>
          <w:szCs w:val="24"/>
        </w:rPr>
        <w:t xml:space="preserve"> Iambluchus’s distinction between theurgy and theology underpins his attitude towards Platonism. Theology (logos) was a distinctly human activity, whereas theurgy (theourgia) was an elevated practice at the level of the gods.</w:t>
      </w:r>
      <w:r w:rsidR="004C79F8">
        <w:rPr>
          <w:rStyle w:val="FootnoteReference"/>
          <w:rFonts w:ascii="Helvetica Neue" w:hAnsi="Helvetica Neue" w:cs="Helvetica Neue"/>
          <w:color w:val="000000"/>
          <w:sz w:val="24"/>
          <w:szCs w:val="24"/>
        </w:rPr>
        <w:footnoteReference w:id="16"/>
      </w:r>
      <w:r>
        <w:rPr>
          <w:rFonts w:ascii="Helvetica Neue" w:hAnsi="Helvetica Neue" w:cs="Helvetica Neue"/>
          <w:color w:val="000000"/>
          <w:sz w:val="24"/>
          <w:szCs w:val="24"/>
        </w:rPr>
        <w:t xml:space="preserve"> As a result of lamblichus' teaching and personal example, the religious understanding of the philosopher's vocation that had been taken for granted by Plotinus and Porphyry was pushed towards a more explicit hieraticism, hence the distinction </w:t>
      </w:r>
      <w:r>
        <w:rPr>
          <w:rFonts w:ascii="Helvetica Neue" w:hAnsi="Helvetica Neue" w:cs="Helvetica Neue"/>
          <w:color w:val="000000"/>
          <w:sz w:val="24"/>
          <w:szCs w:val="24"/>
        </w:rPr>
        <w:lastRenderedPageBreak/>
        <w:t>made later by Damscius between the philosophy of Plotinus and Porphyry and the heiratics of Imablichus, Syranius and Proclus.</w:t>
      </w:r>
      <w:r w:rsidR="004C79F8">
        <w:rPr>
          <w:rStyle w:val="FootnoteReference"/>
          <w:rFonts w:ascii="Helvetica Neue" w:hAnsi="Helvetica Neue" w:cs="Helvetica Neue"/>
          <w:color w:val="000000"/>
          <w:sz w:val="24"/>
          <w:szCs w:val="24"/>
        </w:rPr>
        <w:footnoteReference w:id="17"/>
      </w:r>
    </w:p>
    <w:p w14:paraId="5AD420FE"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170288B1"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742AEAA"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r>
        <w:rPr>
          <w:rFonts w:ascii="Helvetica Neue" w:hAnsi="Helvetica Neue" w:cs="Helvetica Neue"/>
          <w:b/>
          <w:bCs/>
          <w:color w:val="000000"/>
          <w:sz w:val="24"/>
          <w:szCs w:val="24"/>
        </w:rPr>
        <w:t>Proclus</w:t>
      </w:r>
    </w:p>
    <w:p w14:paraId="34338AB9"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385DA251" w14:textId="5AA2FA9C"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Proclus (412-485 CE) played a crucial role in transmission of Platonic philosophy as the head of the Platonic Academy in Athens. Proclus was faithful to the idea of the re-ascent to </w:t>
      </w:r>
      <w:r w:rsidR="00B94481">
        <w:rPr>
          <w:rFonts w:ascii="Helvetica Neue" w:hAnsi="Helvetica Neue" w:cs="Helvetica Neue"/>
          <w:color w:val="000000"/>
          <w:sz w:val="24"/>
          <w:szCs w:val="24"/>
        </w:rPr>
        <w:t>God</w:t>
      </w:r>
      <w:r>
        <w:rPr>
          <w:rFonts w:ascii="Helvetica Neue" w:hAnsi="Helvetica Neue" w:cs="Helvetica Neue"/>
          <w:color w:val="000000"/>
          <w:sz w:val="24"/>
          <w:szCs w:val="24"/>
        </w:rPr>
        <w:t xml:space="preserve"> as the main goal of philosophy, as well as Iamblichus’ view of the </w:t>
      </w:r>
      <w:r w:rsidR="00B94481">
        <w:rPr>
          <w:rFonts w:ascii="Helvetica Neue" w:hAnsi="Helvetica Neue" w:cs="Helvetica Neue"/>
          <w:color w:val="000000"/>
          <w:sz w:val="24"/>
          <w:szCs w:val="24"/>
        </w:rPr>
        <w:t>soul’s</w:t>
      </w:r>
      <w:r>
        <w:rPr>
          <w:rFonts w:ascii="Helvetica Neue" w:hAnsi="Helvetica Neue" w:cs="Helvetica Neue"/>
          <w:color w:val="000000"/>
          <w:sz w:val="24"/>
          <w:szCs w:val="24"/>
        </w:rPr>
        <w:t xml:space="preserve"> complete descent into the human body. In his treatise </w:t>
      </w:r>
      <w:r>
        <w:rPr>
          <w:rFonts w:ascii="Helvetica Neue" w:hAnsi="Helvetica Neue" w:cs="Helvetica Neue"/>
          <w:i/>
          <w:iCs/>
          <w:color w:val="000000"/>
          <w:sz w:val="24"/>
          <w:szCs w:val="24"/>
        </w:rPr>
        <w:t>On Hieratic Art</w:t>
      </w:r>
      <w:r>
        <w:rPr>
          <w:rFonts w:ascii="Helvetica Neue" w:hAnsi="Helvetica Neue" w:cs="Helvetica Neue"/>
          <w:color w:val="000000"/>
          <w:sz w:val="24"/>
          <w:szCs w:val="24"/>
        </w:rPr>
        <w:t xml:space="preserve">, Proclus clearly articulates the notion of a vertical chain of sympathy, with a divine essence to be found in each </w:t>
      </w:r>
      <w:r w:rsidR="00B94481">
        <w:rPr>
          <w:rFonts w:ascii="Helvetica Neue" w:hAnsi="Helvetica Neue" w:cs="Helvetica Neue"/>
          <w:color w:val="000000"/>
          <w:sz w:val="24"/>
          <w:szCs w:val="24"/>
        </w:rPr>
        <w:t>thing</w:t>
      </w:r>
      <w:r>
        <w:rPr>
          <w:rFonts w:ascii="Helvetica Neue" w:hAnsi="Helvetica Neue" w:cs="Helvetica Neue"/>
          <w:color w:val="000000"/>
          <w:sz w:val="24"/>
          <w:szCs w:val="24"/>
        </w:rPr>
        <w:t>, as establishing the Hieratic art.</w:t>
      </w:r>
      <w:r w:rsidR="004C79F8">
        <w:rPr>
          <w:rStyle w:val="FootnoteReference"/>
          <w:rFonts w:ascii="Helvetica Neue" w:hAnsi="Helvetica Neue" w:cs="Helvetica Neue"/>
          <w:color w:val="000000"/>
          <w:sz w:val="24"/>
          <w:szCs w:val="24"/>
        </w:rPr>
        <w:footnoteReference w:id="18"/>
      </w:r>
    </w:p>
    <w:p w14:paraId="7B28BF5C"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654226A1" w14:textId="77777777" w:rsidR="007E3BB3" w:rsidRDefault="007E3BB3" w:rsidP="007E3BB3">
      <w:pPr>
        <w:autoSpaceDE w:val="0"/>
        <w:autoSpaceDN w:val="0"/>
        <w:adjustRightInd w:val="0"/>
        <w:spacing w:after="0" w:line="240" w:lineRule="auto"/>
        <w:rPr>
          <w:rFonts w:ascii="Helvetica Neue" w:hAnsi="Helvetica Neue" w:cs="Helvetica Neue"/>
          <w:b/>
          <w:bCs/>
          <w:color w:val="000000"/>
          <w:sz w:val="28"/>
          <w:szCs w:val="28"/>
        </w:rPr>
      </w:pPr>
    </w:p>
    <w:p w14:paraId="35D0D238" w14:textId="77777777" w:rsidR="007E3BB3" w:rsidRDefault="007E3BB3" w:rsidP="00B94481">
      <w:pPr>
        <w:pStyle w:val="Heading2"/>
        <w:rPr>
          <w:b w:val="0"/>
        </w:rPr>
      </w:pPr>
      <w:r>
        <w:rPr>
          <w:b w:val="0"/>
        </w:rPr>
        <w:t xml:space="preserve">De Mysteriis </w:t>
      </w:r>
    </w:p>
    <w:p w14:paraId="271D7F1E"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31A27465"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40582002" w14:textId="208B27FC"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Composed between 280 and 305AD as a reply to Porphyry’s </w:t>
      </w:r>
      <w:r>
        <w:rPr>
          <w:rFonts w:ascii="Helvetica Neue" w:hAnsi="Helvetica Neue" w:cs="Helvetica Neue"/>
          <w:i/>
          <w:iCs/>
          <w:color w:val="000000"/>
          <w:sz w:val="24"/>
          <w:szCs w:val="24"/>
        </w:rPr>
        <w:t>Letter to Anebo</w:t>
      </w:r>
      <w:r>
        <w:rPr>
          <w:rFonts w:ascii="Helvetica Neue" w:hAnsi="Helvetica Neue" w:cs="Helvetica Neue"/>
          <w:color w:val="000000"/>
          <w:sz w:val="24"/>
          <w:szCs w:val="24"/>
        </w:rPr>
        <w:t xml:space="preserve">, </w:t>
      </w:r>
      <w:r>
        <w:rPr>
          <w:rFonts w:ascii="Helvetica Neue" w:hAnsi="Helvetica Neue" w:cs="Helvetica Neue"/>
          <w:i/>
          <w:iCs/>
          <w:color w:val="000000"/>
          <w:sz w:val="24"/>
          <w:szCs w:val="24"/>
        </w:rPr>
        <w:t>De Mysteriis</w:t>
      </w:r>
      <w:r>
        <w:rPr>
          <w:rFonts w:ascii="Helvetica Neue" w:hAnsi="Helvetica Neue" w:cs="Helvetica Neue"/>
          <w:color w:val="000000"/>
          <w:sz w:val="24"/>
          <w:szCs w:val="24"/>
        </w:rPr>
        <w:t xml:space="preserve"> examines the nature of the cosmos, cosmic entities, provides explanation regarding divination and astrology, the power of names and incantations, and the use of invocations and sacrifice.</w:t>
      </w:r>
      <w:r w:rsidR="004C79F8">
        <w:rPr>
          <w:rStyle w:val="FootnoteReference"/>
          <w:rFonts w:ascii="Helvetica Neue" w:hAnsi="Helvetica Neue" w:cs="Helvetica Neue"/>
          <w:color w:val="000000"/>
          <w:sz w:val="24"/>
          <w:szCs w:val="24"/>
        </w:rPr>
        <w:footnoteReference w:id="19"/>
      </w:r>
      <w:r>
        <w:rPr>
          <w:rFonts w:ascii="Helvetica Neue" w:hAnsi="Helvetica Neue" w:cs="Helvetica Neue"/>
          <w:color w:val="000000"/>
          <w:sz w:val="24"/>
          <w:szCs w:val="24"/>
        </w:rPr>
        <w:t xml:space="preserve"> The original title of the work is </w:t>
      </w:r>
      <w:r>
        <w:rPr>
          <w:rFonts w:ascii="Helvetica Neue" w:hAnsi="Helvetica Neue" w:cs="Helvetica Neue"/>
          <w:i/>
          <w:iCs/>
          <w:color w:val="000000"/>
          <w:sz w:val="24"/>
          <w:szCs w:val="24"/>
        </w:rPr>
        <w:t>The Reply of the Master Abammon to the Letter of Porphyry to Anebo, and the Solutions to the Questions it Contains</w:t>
      </w:r>
      <w:r>
        <w:rPr>
          <w:rFonts w:ascii="Helvetica Neue" w:hAnsi="Helvetica Neue" w:cs="Helvetica Neue"/>
          <w:color w:val="000000"/>
          <w:sz w:val="24"/>
          <w:szCs w:val="24"/>
        </w:rPr>
        <w:t>.</w:t>
      </w:r>
      <w:r w:rsidR="004C79F8">
        <w:rPr>
          <w:rStyle w:val="FootnoteReference"/>
          <w:rFonts w:ascii="Helvetica Neue" w:hAnsi="Helvetica Neue" w:cs="Helvetica Neue"/>
          <w:color w:val="000000"/>
          <w:sz w:val="24"/>
          <w:szCs w:val="24"/>
        </w:rPr>
        <w:footnoteReference w:id="20"/>
      </w:r>
      <w:r>
        <w:rPr>
          <w:rFonts w:ascii="Helvetica Neue" w:hAnsi="Helvetica Neue" w:cs="Helvetica Neue"/>
          <w:color w:val="000000"/>
          <w:sz w:val="24"/>
          <w:szCs w:val="24"/>
        </w:rPr>
        <w:t xml:space="preserve"> </w:t>
      </w:r>
      <w:r>
        <w:rPr>
          <w:rFonts w:ascii="Helvetica Neue" w:hAnsi="Helvetica Neue" w:cs="Helvetica Neue"/>
          <w:i/>
          <w:iCs/>
          <w:color w:val="000000"/>
          <w:sz w:val="24"/>
          <w:szCs w:val="24"/>
        </w:rPr>
        <w:t>De Mysteriis</w:t>
      </w:r>
      <w:r>
        <w:rPr>
          <w:rFonts w:ascii="Helvetica Neue" w:hAnsi="Helvetica Neue" w:cs="Helvetica Neue"/>
          <w:color w:val="000000"/>
          <w:sz w:val="24"/>
          <w:szCs w:val="24"/>
        </w:rPr>
        <w:t xml:space="preserve"> represents a comprehensive treatise on divination and theurgy, which encompasses Graeco-Roman religious tradition and civic cult.</w:t>
      </w:r>
      <w:r w:rsidR="004C79F8">
        <w:rPr>
          <w:rStyle w:val="FootnoteReference"/>
          <w:rFonts w:ascii="Helvetica Neue" w:hAnsi="Helvetica Neue" w:cs="Helvetica Neue"/>
          <w:color w:val="000000"/>
          <w:sz w:val="24"/>
          <w:szCs w:val="24"/>
        </w:rPr>
        <w:footnoteReference w:id="21"/>
      </w:r>
      <w:r>
        <w:rPr>
          <w:rFonts w:ascii="Helvetica Neue" w:hAnsi="Helvetica Neue" w:cs="Helvetica Neue"/>
          <w:color w:val="000000"/>
          <w:sz w:val="24"/>
          <w:szCs w:val="24"/>
        </w:rPr>
        <w:t xml:space="preserve"> Scholars mostly agree that the author of </w:t>
      </w:r>
      <w:r>
        <w:rPr>
          <w:rFonts w:ascii="Helvetica Neue" w:hAnsi="Helvetica Neue" w:cs="Helvetica Neue"/>
          <w:i/>
          <w:iCs/>
          <w:color w:val="000000"/>
          <w:sz w:val="24"/>
          <w:szCs w:val="24"/>
        </w:rPr>
        <w:t>De Mysteriis</w:t>
      </w:r>
      <w:r>
        <w:rPr>
          <w:rFonts w:ascii="Helvetica Neue" w:hAnsi="Helvetica Neue" w:cs="Helvetica Neue"/>
          <w:color w:val="000000"/>
          <w:sz w:val="24"/>
          <w:szCs w:val="24"/>
        </w:rPr>
        <w:t xml:space="preserve"> is Iamblichus, despite it being credited to a Master Abammon. It is suggested that Iamblichus adopted the pseudonym of an Egyptian priest due to his reverence for constancy of the Egyptian wisdom and rites. In his rebuttal of Porphyry, Iamblichus draws on the traditions of the Chaldean sages, the teachings of the prophets of Egypt, and the speculations of the Platonic philosophers.</w:t>
      </w:r>
      <w:r w:rsidR="004C79F8">
        <w:rPr>
          <w:rStyle w:val="FootnoteReference"/>
          <w:rFonts w:ascii="Helvetica Neue" w:hAnsi="Helvetica Neue" w:cs="Helvetica Neue"/>
          <w:color w:val="000000"/>
          <w:sz w:val="24"/>
          <w:szCs w:val="24"/>
        </w:rPr>
        <w:footnoteReference w:id="22"/>
      </w:r>
    </w:p>
    <w:p w14:paraId="0FD0B3FD"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4959A6B" w14:textId="48214D4F"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lastRenderedPageBreak/>
        <w:t>The exchanges in both the letter and its reply are considered by Crystal Addey as a deliberate attempt to present philosophical discourse regarding the nature of theurgy and paganism at a time when Christian criticism was common, in a bid to educate and defend such practices. However, other scholars disagree regarding whether this was an orchestrated dialogue or a clear example of hostility between two philosophers whose tension had spilled into a public setting.</w:t>
      </w:r>
      <w:r w:rsidR="004C79F8">
        <w:rPr>
          <w:rStyle w:val="FootnoteReference"/>
          <w:rFonts w:ascii="Helvetica Neue" w:hAnsi="Helvetica Neue" w:cs="Helvetica Neue"/>
          <w:color w:val="000000"/>
          <w:sz w:val="24"/>
          <w:szCs w:val="24"/>
        </w:rPr>
        <w:footnoteReference w:id="23"/>
      </w:r>
      <w:r>
        <w:rPr>
          <w:rFonts w:ascii="Helvetica Neue" w:hAnsi="Helvetica Neue" w:cs="Helvetica Neue"/>
          <w:color w:val="000000"/>
          <w:sz w:val="24"/>
          <w:szCs w:val="24"/>
        </w:rPr>
        <w:t xml:space="preserve"> It is entirely feasible that Porphyry took umbrage to the evolution of theurgy from a chiefly philosophical position to one that placed ritual as importantly as contemplation. However, it must also be noted that many fragments of the work of both philosophers is absent and therefore does not present a sufficiently full picture on which to judge their respective positions. Iamblichus’ references to the </w:t>
      </w:r>
      <w:r>
        <w:rPr>
          <w:rFonts w:ascii="Helvetica Neue" w:hAnsi="Helvetica Neue" w:cs="Helvetica Neue"/>
          <w:i/>
          <w:iCs/>
          <w:color w:val="000000"/>
          <w:sz w:val="24"/>
          <w:szCs w:val="24"/>
        </w:rPr>
        <w:t xml:space="preserve">Chaldean Oracles </w:t>
      </w:r>
      <w:r>
        <w:rPr>
          <w:rFonts w:ascii="Helvetica Neue" w:hAnsi="Helvetica Neue" w:cs="Helvetica Neue"/>
          <w:color w:val="000000"/>
          <w:sz w:val="24"/>
          <w:szCs w:val="24"/>
        </w:rPr>
        <w:t xml:space="preserve">and the notions in the </w:t>
      </w:r>
      <w:r>
        <w:rPr>
          <w:rFonts w:ascii="Helvetica Neue" w:hAnsi="Helvetica Neue" w:cs="Helvetica Neue"/>
          <w:i/>
          <w:iCs/>
          <w:color w:val="000000"/>
          <w:sz w:val="24"/>
          <w:szCs w:val="24"/>
        </w:rPr>
        <w:t xml:space="preserve">Corpus Hermeticum </w:t>
      </w:r>
      <w:r>
        <w:rPr>
          <w:rFonts w:ascii="Helvetica Neue" w:hAnsi="Helvetica Neue" w:cs="Helvetica Neue"/>
          <w:color w:val="000000"/>
          <w:sz w:val="24"/>
          <w:szCs w:val="24"/>
        </w:rPr>
        <w:t xml:space="preserve">are largely sweeping and general, but their influence on him undeniable. Scholars believe that an awareness of their contents is essential for a full understanding of </w:t>
      </w:r>
      <w:r>
        <w:rPr>
          <w:rFonts w:ascii="Helvetica Neue" w:hAnsi="Helvetica Neue" w:cs="Helvetica Neue"/>
          <w:i/>
          <w:iCs/>
          <w:color w:val="000000"/>
          <w:sz w:val="24"/>
          <w:szCs w:val="24"/>
        </w:rPr>
        <w:t>De Mysteriis</w:t>
      </w:r>
      <w:r>
        <w:rPr>
          <w:rFonts w:ascii="Helvetica Neue" w:hAnsi="Helvetica Neue" w:cs="Helvetica Neue"/>
          <w:color w:val="000000"/>
          <w:sz w:val="24"/>
          <w:szCs w:val="24"/>
        </w:rPr>
        <w:t>.</w:t>
      </w:r>
      <w:r w:rsidR="004C79F8">
        <w:rPr>
          <w:rStyle w:val="FootnoteReference"/>
          <w:rFonts w:ascii="Helvetica Neue" w:hAnsi="Helvetica Neue" w:cs="Helvetica Neue"/>
          <w:color w:val="000000"/>
          <w:sz w:val="24"/>
          <w:szCs w:val="24"/>
        </w:rPr>
        <w:footnoteReference w:id="24"/>
      </w:r>
      <w:r>
        <w:rPr>
          <w:rFonts w:ascii="Helvetica Neue" w:hAnsi="Helvetica Neue" w:cs="Helvetica Neue"/>
          <w:color w:val="000000"/>
          <w:sz w:val="24"/>
          <w:szCs w:val="24"/>
        </w:rPr>
        <w:t xml:space="preserve"> Des Places has also noted the influence of Plato’s Phaedra on the </w:t>
      </w:r>
      <w:r>
        <w:rPr>
          <w:rFonts w:ascii="Helvetica Neue" w:hAnsi="Helvetica Neue" w:cs="Helvetica Neue"/>
          <w:i/>
          <w:iCs/>
          <w:color w:val="000000"/>
          <w:sz w:val="24"/>
          <w:szCs w:val="24"/>
        </w:rPr>
        <w:t>De Mysteriis</w:t>
      </w:r>
      <w:r>
        <w:rPr>
          <w:rFonts w:ascii="Helvetica Neue" w:hAnsi="Helvetica Neue" w:cs="Helvetica Neue"/>
          <w:color w:val="000000"/>
          <w:sz w:val="24"/>
          <w:szCs w:val="24"/>
        </w:rPr>
        <w:t>, pointing to Iamblichus’s direct borrowing of words and phrases.</w:t>
      </w:r>
      <w:r w:rsidR="004C79F8">
        <w:rPr>
          <w:rStyle w:val="FootnoteReference"/>
          <w:rFonts w:ascii="Helvetica Neue" w:hAnsi="Helvetica Neue" w:cs="Helvetica Neue"/>
          <w:color w:val="000000"/>
          <w:sz w:val="24"/>
          <w:szCs w:val="24"/>
        </w:rPr>
        <w:footnoteReference w:id="25"/>
      </w:r>
      <w:r>
        <w:rPr>
          <w:rFonts w:ascii="Helvetica Neue" w:hAnsi="Helvetica Neue" w:cs="Helvetica Neue"/>
          <w:color w:val="000000"/>
          <w:sz w:val="24"/>
          <w:szCs w:val="24"/>
        </w:rPr>
        <w:t xml:space="preserve"> The division of the </w:t>
      </w:r>
      <w:r>
        <w:rPr>
          <w:rFonts w:ascii="Helvetica Neue" w:hAnsi="Helvetica Neue" w:cs="Helvetica Neue"/>
          <w:i/>
          <w:iCs/>
          <w:color w:val="000000"/>
          <w:sz w:val="24"/>
          <w:szCs w:val="24"/>
        </w:rPr>
        <w:t>De Mysteriis</w:t>
      </w:r>
      <w:r>
        <w:rPr>
          <w:rFonts w:ascii="Helvetica Neue" w:hAnsi="Helvetica Neue" w:cs="Helvetica Neue"/>
          <w:color w:val="000000"/>
          <w:sz w:val="24"/>
          <w:szCs w:val="24"/>
        </w:rPr>
        <w:t xml:space="preserve"> into individual books dates only from the Renaissance and is considered to skew the original structure.</w:t>
      </w:r>
      <w:r w:rsidR="004C79F8">
        <w:rPr>
          <w:rStyle w:val="FootnoteReference"/>
          <w:rFonts w:ascii="Helvetica Neue" w:hAnsi="Helvetica Neue" w:cs="Helvetica Neue"/>
          <w:color w:val="000000"/>
          <w:sz w:val="24"/>
          <w:szCs w:val="24"/>
        </w:rPr>
        <w:footnoteReference w:id="26"/>
      </w:r>
    </w:p>
    <w:p w14:paraId="0A51ECD7"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03F7B226"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07A1E91" w14:textId="77777777" w:rsidR="007E3BB3" w:rsidRDefault="007E3BB3" w:rsidP="007E3BB3">
      <w:pPr>
        <w:autoSpaceDE w:val="0"/>
        <w:autoSpaceDN w:val="0"/>
        <w:adjustRightInd w:val="0"/>
        <w:spacing w:after="0" w:line="240" w:lineRule="auto"/>
        <w:rPr>
          <w:rFonts w:ascii="Helvetica Neue" w:hAnsi="Helvetica Neue" w:cs="Helvetica Neue"/>
          <w:b/>
          <w:bCs/>
          <w:color w:val="000000"/>
          <w:sz w:val="28"/>
          <w:szCs w:val="28"/>
        </w:rPr>
      </w:pPr>
      <w:r>
        <w:rPr>
          <w:rFonts w:ascii="Helvetica Neue" w:hAnsi="Helvetica Neue" w:cs="Helvetica Neue"/>
          <w:b/>
          <w:bCs/>
          <w:color w:val="000000"/>
          <w:sz w:val="28"/>
          <w:szCs w:val="28"/>
        </w:rPr>
        <w:t>Discuss the cosmological concepts or ideas underlying this form of divination and the broader worldview of this culture or system.</w:t>
      </w:r>
    </w:p>
    <w:p w14:paraId="77F37471"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1C71619" w14:textId="77777777" w:rsidR="007E3BB3" w:rsidRDefault="007E3BB3" w:rsidP="007E3BB3">
      <w:pPr>
        <w:autoSpaceDE w:val="0"/>
        <w:autoSpaceDN w:val="0"/>
        <w:adjustRightInd w:val="0"/>
        <w:spacing w:after="0" w:line="288" w:lineRule="auto"/>
        <w:rPr>
          <w:rFonts w:ascii="Helvetica Neue" w:hAnsi="Helvetica Neue" w:cs="Helvetica Neue"/>
          <w:i/>
          <w:iCs/>
          <w:color w:val="A30003"/>
          <w:sz w:val="24"/>
          <w:szCs w:val="24"/>
        </w:rPr>
      </w:pPr>
      <w:r>
        <w:rPr>
          <w:rFonts w:ascii="Helvetica Neue" w:hAnsi="Helvetica Neue" w:cs="Helvetica Neue"/>
          <w:i/>
          <w:iCs/>
          <w:color w:val="A30003"/>
          <w:sz w:val="24"/>
          <w:szCs w:val="24"/>
        </w:rPr>
        <w:t>Ensure inclusion of competing arguments here - who is saying something different to someone else? Also recognise where contested or incomplete evidence plays a part. Influence of Neoplatonic cosmology on the theory and practice of Theurgy</w:t>
      </w:r>
    </w:p>
    <w:p w14:paraId="5DA7B172" w14:textId="77777777" w:rsidR="007E3BB3" w:rsidRDefault="007E3BB3" w:rsidP="007E3BB3">
      <w:pPr>
        <w:autoSpaceDE w:val="0"/>
        <w:autoSpaceDN w:val="0"/>
        <w:adjustRightInd w:val="0"/>
        <w:spacing w:after="0" w:line="288" w:lineRule="auto"/>
        <w:rPr>
          <w:rFonts w:ascii="Helvetica Neue" w:hAnsi="Helvetica Neue" w:cs="Helvetica Neue"/>
          <w:i/>
          <w:iCs/>
          <w:color w:val="A30003"/>
          <w:sz w:val="24"/>
          <w:szCs w:val="24"/>
        </w:rPr>
      </w:pPr>
    </w:p>
    <w:p w14:paraId="054F3FA1"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4C48B577" w14:textId="77777777" w:rsidR="007E3BB3" w:rsidRDefault="007E3BB3" w:rsidP="00BE7DB8">
      <w:pPr>
        <w:pStyle w:val="Heading1"/>
      </w:pPr>
      <w:r>
        <w:t xml:space="preserve">What is the broader cosmological worldview of theurgy? </w:t>
      </w:r>
    </w:p>
    <w:p w14:paraId="1C6675FE"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21C949FF" w14:textId="76B19F72"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lastRenderedPageBreak/>
        <w:t>Drawing heavily from Platonic metaphysics, the cosmological worldview of Theurgist is of a universe as a single living being.</w:t>
      </w:r>
      <w:r w:rsidR="004C79F8">
        <w:rPr>
          <w:rStyle w:val="FootnoteReference"/>
          <w:rFonts w:ascii="Helvetica Neue" w:hAnsi="Helvetica Neue" w:cs="Helvetica Neue"/>
          <w:color w:val="000000"/>
          <w:sz w:val="24"/>
          <w:szCs w:val="24"/>
        </w:rPr>
        <w:footnoteReference w:id="27"/>
      </w:r>
      <w:r>
        <w:rPr>
          <w:rFonts w:ascii="Helvetica Neue" w:hAnsi="Helvetica Neue" w:cs="Helvetica Neue"/>
          <w:color w:val="000000"/>
          <w:sz w:val="24"/>
          <w:szCs w:val="24"/>
        </w:rPr>
        <w:t xml:space="preserve"> Endowed with vision, the One, as the First undiminished Source of existence, imparts Nous, the immanent changeless Intellect, as its own Image. From this effused Nous issues forth the World Soul, which acts as a transition between the realm of ideas and that of the senses.</w:t>
      </w:r>
      <w:r w:rsidR="004C79F8">
        <w:rPr>
          <w:rStyle w:val="FootnoteReference"/>
          <w:rFonts w:ascii="Helvetica Neue" w:hAnsi="Helvetica Neue" w:cs="Helvetica Neue"/>
          <w:color w:val="000000"/>
          <w:sz w:val="24"/>
          <w:szCs w:val="24"/>
        </w:rPr>
        <w:footnoteReference w:id="28"/>
      </w:r>
      <w:r>
        <w:rPr>
          <w:rFonts w:ascii="Helvetica Neue" w:hAnsi="Helvetica Neue" w:cs="Helvetica Neue"/>
          <w:color w:val="000000"/>
          <w:sz w:val="24"/>
          <w:szCs w:val="24"/>
        </w:rPr>
        <w:t xml:space="preserve"> Each thing derives its nurture and fulfilment from that to which </w:t>
      </w:r>
      <w:r w:rsidR="00B94481">
        <w:rPr>
          <w:rFonts w:ascii="Helvetica Neue" w:hAnsi="Helvetica Neue" w:cs="Helvetica Neue"/>
          <w:color w:val="000000"/>
          <w:sz w:val="24"/>
          <w:szCs w:val="24"/>
        </w:rPr>
        <w:t>it</w:t>
      </w:r>
      <w:r>
        <w:rPr>
          <w:rFonts w:ascii="Helvetica Neue" w:hAnsi="Helvetica Neue" w:cs="Helvetica Neue"/>
          <w:color w:val="000000"/>
          <w:sz w:val="24"/>
          <w:szCs w:val="24"/>
        </w:rPr>
        <w:t xml:space="preserve"> owes its generation.</w:t>
      </w:r>
      <w:r w:rsidR="004C79F8">
        <w:rPr>
          <w:rStyle w:val="FootnoteReference"/>
          <w:rFonts w:ascii="Helvetica Neue" w:hAnsi="Helvetica Neue" w:cs="Helvetica Neue"/>
          <w:color w:val="000000"/>
          <w:sz w:val="24"/>
          <w:szCs w:val="24"/>
        </w:rPr>
        <w:footnoteReference w:id="29"/>
      </w:r>
      <w:r>
        <w:rPr>
          <w:rFonts w:ascii="Helvetica Neue" w:hAnsi="Helvetica Neue" w:cs="Helvetica Neue"/>
          <w:color w:val="000000"/>
          <w:sz w:val="24"/>
          <w:szCs w:val="24"/>
        </w:rPr>
        <w:t xml:space="preserve"> The unanimous view of theurgy is that a supernatural force exists above the level of being, which is pure and good. Below this, on the ‘being level’, the divine is prior to all and gives existence to everything that comes after. Likened to a signature or fragment which serves to preserve order and characteristics.</w:t>
      </w:r>
      <w:r w:rsidR="004C79F8">
        <w:rPr>
          <w:rStyle w:val="FootnoteReference"/>
          <w:rFonts w:ascii="Helvetica Neue" w:hAnsi="Helvetica Neue" w:cs="Helvetica Neue"/>
          <w:color w:val="000000"/>
          <w:sz w:val="24"/>
          <w:szCs w:val="24"/>
        </w:rPr>
        <w:footnoteReference w:id="30"/>
      </w:r>
      <w:r>
        <w:rPr>
          <w:rFonts w:ascii="Helvetica Neue" w:hAnsi="Helvetica Neue" w:cs="Helvetica Neue"/>
          <w:color w:val="000000"/>
          <w:sz w:val="24"/>
          <w:szCs w:val="24"/>
        </w:rPr>
        <w:t xml:space="preserve"> Through an underlying concept of receptivity or ‘like attracting like’, it is considered possible to achieve ascent to the gods through the preparedness and purification of the soul and utilisation of a vertical sympathetic chain of corresponding substances through an intimate knowledge and attachment to create a ‘fit’ level of receptivity. The cultivation of this ‘receptive state’ is an ongoing, dynamic activity to maintain a ‘suitable’ condition.</w:t>
      </w:r>
      <w:r w:rsidR="004C79F8">
        <w:rPr>
          <w:rStyle w:val="FootnoteReference"/>
          <w:rFonts w:ascii="Helvetica Neue" w:hAnsi="Helvetica Neue" w:cs="Helvetica Neue"/>
          <w:color w:val="000000"/>
          <w:sz w:val="24"/>
          <w:szCs w:val="24"/>
        </w:rPr>
        <w:footnoteReference w:id="31"/>
      </w:r>
    </w:p>
    <w:p w14:paraId="4228825F"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271E3BF9" w14:textId="77777777" w:rsidR="007E3BB3" w:rsidRDefault="007E3BB3" w:rsidP="00B94481">
      <w:pPr>
        <w:pStyle w:val="Heading2"/>
        <w:rPr>
          <w:b w:val="0"/>
        </w:rPr>
      </w:pPr>
      <w:r>
        <w:rPr>
          <w:b w:val="0"/>
        </w:rPr>
        <w:t>The Soul in Theurgy</w:t>
      </w:r>
    </w:p>
    <w:p w14:paraId="4DEF818B"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FC349CE" w14:textId="31649826"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The Soul, manifesting in material form, gives rise to all tangible entities, while matter serves as the lowest level of existence, acting as the foundation of the observable universe. This emanation, descending from higher realms, is followed by an ascent, reflecting the rational soul's desire to reunite with its origin and dwell in the realm of abstract ideas.</w:t>
      </w:r>
      <w:r w:rsidR="004C79F8">
        <w:rPr>
          <w:rStyle w:val="FootnoteReference"/>
          <w:rFonts w:ascii="Helvetica Neue" w:hAnsi="Helvetica Neue" w:cs="Helvetica Neue"/>
          <w:color w:val="000000"/>
          <w:sz w:val="24"/>
          <w:szCs w:val="24"/>
        </w:rPr>
        <w:footnoteReference w:id="32"/>
      </w:r>
      <w:r>
        <w:rPr>
          <w:rFonts w:ascii="Helvetica Neue" w:hAnsi="Helvetica Neue" w:cs="Helvetica Neue"/>
          <w:color w:val="000000"/>
          <w:sz w:val="24"/>
          <w:szCs w:val="24"/>
        </w:rPr>
        <w:t xml:space="preserve"> It is agreed among the platonic philosophers that the soul has descended into the human body, but there is disagreement to the extent of this, whether it is fully descended as per Iamblichus and Proclus’ view, or that some portion of the souls remains undescended and in contact with the intellect as per the view of Plotinus and possibly Porphyry.</w:t>
      </w:r>
      <w:r w:rsidR="004C79F8">
        <w:rPr>
          <w:rStyle w:val="FootnoteReference"/>
          <w:rFonts w:ascii="Helvetica Neue" w:hAnsi="Helvetica Neue" w:cs="Helvetica Neue"/>
          <w:color w:val="000000"/>
          <w:sz w:val="24"/>
          <w:szCs w:val="24"/>
        </w:rPr>
        <w:footnoteReference w:id="33"/>
      </w:r>
      <w:r w:rsidR="004C79F8" w:rsidRPr="004C79F8">
        <w:rPr>
          <w:rFonts w:ascii="Helvetica Neue" w:hAnsi="Helvetica Neue" w:cs="Helvetica Neue"/>
          <w:color w:val="000000"/>
          <w:sz w:val="18"/>
          <w:szCs w:val="18"/>
        </w:rPr>
        <w:t xml:space="preserve"> </w:t>
      </w:r>
    </w:p>
    <w:p w14:paraId="61F359C5"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  </w:t>
      </w:r>
    </w:p>
    <w:p w14:paraId="4090CFB4" w14:textId="15A1A95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lastRenderedPageBreak/>
        <w:t xml:space="preserve"> </w:t>
      </w:r>
    </w:p>
    <w:p w14:paraId="59223D01" w14:textId="77777777" w:rsidR="000A7E71" w:rsidRDefault="00B94481" w:rsidP="000A7E71">
      <w:pPr>
        <w:keepNext/>
        <w:autoSpaceDE w:val="0"/>
        <w:autoSpaceDN w:val="0"/>
        <w:adjustRightInd w:val="0"/>
        <w:spacing w:after="160" w:line="288" w:lineRule="auto"/>
        <w:jc w:val="center"/>
      </w:pPr>
      <w:r w:rsidRPr="00B94481">
        <w:rPr>
          <w:rFonts w:ascii="Helvetica Neue" w:hAnsi="Helvetica Neue" w:cs="Helvetica Neue"/>
          <w:color w:val="000000"/>
          <w:sz w:val="24"/>
          <w:szCs w:val="24"/>
        </w:rPr>
        <w:drawing>
          <wp:inline distT="0" distB="0" distL="0" distR="0" wp14:anchorId="3A83BABC" wp14:editId="07518BC1">
            <wp:extent cx="3759200" cy="2476500"/>
            <wp:effectExtent l="0" t="0" r="0" b="0"/>
            <wp:docPr id="1714669634" name="Picture 1" descr="A diagram of different types of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669634" name="Picture 1" descr="A diagram of different types of circles&#10;&#10;Description automatically generated"/>
                    <pic:cNvPicPr/>
                  </pic:nvPicPr>
                  <pic:blipFill>
                    <a:blip r:embed="rId7"/>
                    <a:stretch>
                      <a:fillRect/>
                    </a:stretch>
                  </pic:blipFill>
                  <pic:spPr>
                    <a:xfrm>
                      <a:off x="0" y="0"/>
                      <a:ext cx="3759200" cy="2476500"/>
                    </a:xfrm>
                    <a:prstGeom prst="rect">
                      <a:avLst/>
                    </a:prstGeom>
                  </pic:spPr>
                </pic:pic>
              </a:graphicData>
            </a:graphic>
          </wp:inline>
        </w:drawing>
      </w:r>
    </w:p>
    <w:p w14:paraId="0E7D1405" w14:textId="5D3B5D83" w:rsidR="007E3BB3" w:rsidRDefault="000A7E71" w:rsidP="000A7E71">
      <w:pPr>
        <w:pStyle w:val="Caption"/>
        <w:jc w:val="center"/>
        <w:rPr>
          <w:rFonts w:ascii="Helvetica Neue" w:hAnsi="Helvetica Neue" w:cs="Helvetica Neue"/>
          <w:color w:val="000000"/>
          <w:sz w:val="24"/>
          <w:szCs w:val="24"/>
        </w:rPr>
      </w:pPr>
      <w:r>
        <w:t xml:space="preserve">Figure </w:t>
      </w:r>
      <w:r>
        <w:fldChar w:fldCharType="begin"/>
      </w:r>
      <w:r>
        <w:instrText xml:space="preserve"> SEQ Figure \* ARABIC </w:instrText>
      </w:r>
      <w:r>
        <w:fldChar w:fldCharType="separate"/>
      </w:r>
      <w:r>
        <w:rPr>
          <w:noProof/>
        </w:rPr>
        <w:t>1</w:t>
      </w:r>
      <w:r>
        <w:fldChar w:fldCharType="end"/>
      </w:r>
      <w:r>
        <w:t>. The alternative views regarding the descent of the Soul</w:t>
      </w:r>
    </w:p>
    <w:p w14:paraId="7265CDA1" w14:textId="4F5AF34C" w:rsidR="007E3BB3" w:rsidRDefault="007E3BB3" w:rsidP="007E3BB3">
      <w:pPr>
        <w:autoSpaceDE w:val="0"/>
        <w:autoSpaceDN w:val="0"/>
        <w:adjustRightInd w:val="0"/>
        <w:spacing w:after="16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  </w:t>
      </w:r>
    </w:p>
    <w:p w14:paraId="05A905F7" w14:textId="766DE0FE" w:rsidR="007E3BB3" w:rsidRDefault="007E3BB3" w:rsidP="004C79F8">
      <w:pPr>
        <w:autoSpaceDE w:val="0"/>
        <w:autoSpaceDN w:val="0"/>
        <w:adjustRightInd w:val="0"/>
        <w:spacing w:after="160" w:line="288" w:lineRule="auto"/>
        <w:rPr>
          <w:rFonts w:ascii="Helvetica Neue" w:hAnsi="Helvetica Neue" w:cs="Helvetica Neue"/>
          <w:color w:val="000000"/>
          <w:sz w:val="24"/>
          <w:szCs w:val="24"/>
        </w:rPr>
      </w:pPr>
      <w:r>
        <w:rPr>
          <w:rFonts w:ascii="Helvetica Neue" w:hAnsi="Helvetica Neue" w:cs="Helvetica Neue"/>
          <w:color w:val="000000"/>
          <w:sz w:val="24"/>
          <w:szCs w:val="24"/>
        </w:rPr>
        <w:t>In Iamblichus’ cosmology, each soul had its proper place through which it contributed to the community of humanity.</w:t>
      </w:r>
      <w:r w:rsidR="004C79F8">
        <w:rPr>
          <w:rStyle w:val="FootnoteReference"/>
          <w:rFonts w:ascii="Helvetica Neue" w:hAnsi="Helvetica Neue" w:cs="Helvetica Neue"/>
          <w:color w:val="000000"/>
          <w:sz w:val="24"/>
          <w:szCs w:val="24"/>
        </w:rPr>
        <w:footnoteReference w:id="34"/>
      </w:r>
      <w:r>
        <w:rPr>
          <w:rFonts w:ascii="Helvetica Neue" w:hAnsi="Helvetica Neue" w:cs="Helvetica Neue"/>
          <w:color w:val="000000"/>
          <w:sz w:val="24"/>
          <w:szCs w:val="24"/>
        </w:rPr>
        <w:t xml:space="preserve"> He believed that the soul had a task to partake in divine mimicry to create its own cosmogenesis out of the chaotic world of the embodied soul.</w:t>
      </w:r>
      <w:r w:rsidR="004C79F8">
        <w:rPr>
          <w:rStyle w:val="FootnoteReference"/>
          <w:rFonts w:ascii="Helvetica Neue" w:hAnsi="Helvetica Neue" w:cs="Helvetica Neue"/>
          <w:color w:val="000000"/>
          <w:sz w:val="24"/>
          <w:szCs w:val="24"/>
        </w:rPr>
        <w:footnoteReference w:id="35"/>
      </w:r>
      <w:r>
        <w:rPr>
          <w:rFonts w:ascii="Helvetica Neue" w:hAnsi="Helvetica Neue" w:cs="Helvetica Neue"/>
          <w:color w:val="000000"/>
          <w:sz w:val="24"/>
          <w:szCs w:val="24"/>
        </w:rPr>
        <w:t xml:space="preserve"> The common purpose of each soul’s descent was cosmogonic and revelatory, but since souls were seeded into the ranks of different gods, the nature of their manifestations differed.</w:t>
      </w:r>
      <w:r w:rsidR="004C79F8">
        <w:rPr>
          <w:rStyle w:val="FootnoteReference"/>
          <w:rFonts w:ascii="Helvetica Neue" w:hAnsi="Helvetica Neue" w:cs="Helvetica Neue"/>
          <w:color w:val="000000"/>
          <w:sz w:val="24"/>
          <w:szCs w:val="24"/>
        </w:rPr>
        <w:footnoteReference w:id="36"/>
      </w:r>
      <w:r>
        <w:rPr>
          <w:rFonts w:ascii="Helvetica Neue" w:hAnsi="Helvetica Neue" w:cs="Helvetica Neue"/>
          <w:color w:val="000000"/>
          <w:sz w:val="24"/>
          <w:szCs w:val="24"/>
        </w:rPr>
        <w:t xml:space="preserve"> To the degree that each soul loses its original filiation with its god and divine community, it </w:t>
      </w:r>
      <w:r w:rsidR="00B94481">
        <w:rPr>
          <w:rFonts w:ascii="Helvetica Neue" w:hAnsi="Helvetica Neue" w:cs="Helvetica Neue"/>
          <w:color w:val="000000"/>
          <w:sz w:val="24"/>
          <w:szCs w:val="24"/>
        </w:rPr>
        <w:t>must</w:t>
      </w:r>
      <w:r>
        <w:rPr>
          <w:rFonts w:ascii="Helvetica Neue" w:hAnsi="Helvetica Neue" w:cs="Helvetica Neue"/>
          <w:color w:val="000000"/>
          <w:sz w:val="24"/>
          <w:szCs w:val="24"/>
        </w:rPr>
        <w:t xml:space="preserve"> undergo corresponding degrees of correction. Some souls descend willingly, either through choice to govern terrestrial things, but other descents are involuntary, perhaps as a punishment or judgement of former acts.</w:t>
      </w:r>
      <w:r w:rsidR="004C79F8">
        <w:rPr>
          <w:rStyle w:val="FootnoteReference"/>
          <w:rFonts w:ascii="Helvetica Neue" w:hAnsi="Helvetica Neue" w:cs="Helvetica Neue"/>
          <w:color w:val="000000"/>
          <w:sz w:val="24"/>
          <w:szCs w:val="24"/>
        </w:rPr>
        <w:footnoteReference w:id="37"/>
      </w:r>
      <w:r>
        <w:rPr>
          <w:rFonts w:ascii="Helvetica Neue" w:hAnsi="Helvetica Neue" w:cs="Helvetica Neue"/>
          <w:color w:val="000000"/>
          <w:sz w:val="24"/>
          <w:szCs w:val="24"/>
        </w:rPr>
        <w:t xml:space="preserve"> If the soul descends willingly, for the salvation, </w:t>
      </w:r>
      <w:r w:rsidR="00B94481">
        <w:rPr>
          <w:rFonts w:ascii="Helvetica Neue" w:hAnsi="Helvetica Neue" w:cs="Helvetica Neue"/>
          <w:color w:val="000000"/>
          <w:sz w:val="24"/>
          <w:szCs w:val="24"/>
        </w:rPr>
        <w:t>purification,</w:t>
      </w:r>
      <w:r>
        <w:rPr>
          <w:rFonts w:ascii="Helvetica Neue" w:hAnsi="Helvetica Neue" w:cs="Helvetica Neue"/>
          <w:color w:val="000000"/>
          <w:sz w:val="24"/>
          <w:szCs w:val="24"/>
        </w:rPr>
        <w:t xml:space="preserve"> and perfection of the things in this world then it descends purely. If the soul descends to correct habits or former acts, then it is not entirely pure or without passion. However, if the souls descend against its will, it is to face punishment and judgement.</w:t>
      </w:r>
      <w:r w:rsidR="004C79F8">
        <w:rPr>
          <w:rStyle w:val="FootnoteReference"/>
          <w:rFonts w:ascii="Helvetica Neue" w:hAnsi="Helvetica Neue" w:cs="Helvetica Neue"/>
          <w:color w:val="000000"/>
          <w:sz w:val="24"/>
          <w:szCs w:val="24"/>
        </w:rPr>
        <w:footnoteReference w:id="38"/>
      </w:r>
      <w:r>
        <w:rPr>
          <w:rFonts w:ascii="Helvetica Neue" w:hAnsi="Helvetica Neue" w:cs="Helvetica Neue"/>
          <w:color w:val="000000"/>
          <w:sz w:val="24"/>
          <w:szCs w:val="24"/>
        </w:rPr>
        <w:t xml:space="preserve"> It is a well-attested and fundamental Iamblichean principle that the soul, most especially the embodied soul, is both separate from and inferior to the gods. While the theurgist may, at his most elevated, ascend to the order of angels through the grace of god, he can never be regarded as above and beyond the status of the gods by nature.</w:t>
      </w:r>
      <w:r w:rsidR="004C79F8">
        <w:rPr>
          <w:rStyle w:val="FootnoteReference"/>
          <w:rFonts w:ascii="Helvetica Neue" w:hAnsi="Helvetica Neue" w:cs="Helvetica Neue"/>
          <w:color w:val="000000"/>
          <w:sz w:val="24"/>
          <w:szCs w:val="24"/>
        </w:rPr>
        <w:footnoteReference w:id="39"/>
      </w:r>
      <w:r w:rsidR="004C79F8">
        <w:rPr>
          <w:rFonts w:ascii="Helvetica Neue" w:hAnsi="Helvetica Neue" w:cs="Helvetica Neue"/>
          <w:color w:val="000000"/>
          <w:sz w:val="24"/>
          <w:szCs w:val="24"/>
        </w:rPr>
        <w:t xml:space="preserve"> </w:t>
      </w:r>
      <w:r>
        <w:rPr>
          <w:rFonts w:ascii="Helvetica Neue" w:hAnsi="Helvetica Neue" w:cs="Helvetica Neue"/>
          <w:color w:val="000000"/>
          <w:sz w:val="24"/>
          <w:szCs w:val="24"/>
        </w:rPr>
        <w:t xml:space="preserve">Souls are eternal and are designed </w:t>
      </w:r>
      <w:r>
        <w:rPr>
          <w:rFonts w:ascii="Helvetica Neue" w:hAnsi="Helvetica Neue" w:cs="Helvetica Neue"/>
          <w:color w:val="000000"/>
          <w:sz w:val="24"/>
          <w:szCs w:val="24"/>
        </w:rPr>
        <w:lastRenderedPageBreak/>
        <w:t xml:space="preserve">to rule over the administration of the body. However, by the stage of full descent, the soul has lost the awareness of the essence of the Good even though it is retained within. </w:t>
      </w:r>
      <w:r>
        <w:rPr>
          <w:rFonts w:ascii="Helvetica Neue" w:hAnsi="Helvetica Neue" w:cs="Helvetica Neue"/>
          <w:i/>
          <w:iCs/>
          <w:color w:val="000000"/>
          <w:sz w:val="24"/>
          <w:szCs w:val="24"/>
        </w:rPr>
        <w:t>Anamnesis</w:t>
      </w:r>
      <w:r>
        <w:rPr>
          <w:rFonts w:ascii="Helvetica Neue" w:hAnsi="Helvetica Neue" w:cs="Helvetica Neue"/>
          <w:color w:val="000000"/>
          <w:sz w:val="24"/>
          <w:szCs w:val="24"/>
        </w:rPr>
        <w:t xml:space="preserve"> is the soul’s amnesia of divine knowledge, through drinking ‘the waters of forgetfulness’ during the soul’s descent, which obliterates the knowledge of the gods and the memories of previous lives. Theurgic practice aims to reinstate knowledge of the divine, enabling a process of awakening and remembering.</w:t>
      </w:r>
      <w:r w:rsidR="004C79F8">
        <w:rPr>
          <w:rStyle w:val="FootnoteReference"/>
          <w:rFonts w:ascii="Helvetica Neue" w:hAnsi="Helvetica Neue" w:cs="Helvetica Neue"/>
          <w:color w:val="000000"/>
          <w:sz w:val="24"/>
          <w:szCs w:val="24"/>
        </w:rPr>
        <w:footnoteReference w:id="40"/>
      </w:r>
      <w:r w:rsidR="004C79F8">
        <w:rPr>
          <w:rFonts w:ascii="Helvetica Neue" w:hAnsi="Helvetica Neue" w:cs="Helvetica Neue"/>
          <w:color w:val="000000"/>
          <w:sz w:val="24"/>
          <w:szCs w:val="24"/>
        </w:rPr>
        <w:t xml:space="preserve"> </w:t>
      </w:r>
      <w:r>
        <w:rPr>
          <w:rFonts w:ascii="Helvetica Neue" w:hAnsi="Helvetica Neue" w:cs="Helvetica Neue"/>
          <w:color w:val="000000"/>
          <w:sz w:val="24"/>
          <w:szCs w:val="24"/>
        </w:rPr>
        <w:t xml:space="preserve">On </w:t>
      </w:r>
      <w:r w:rsidR="00B94481">
        <w:rPr>
          <w:rFonts w:ascii="Helvetica Neue" w:hAnsi="Helvetica Neue" w:cs="Helvetica Neue"/>
          <w:color w:val="000000"/>
          <w:sz w:val="24"/>
          <w:szCs w:val="24"/>
        </w:rPr>
        <w:t>its</w:t>
      </w:r>
      <w:r>
        <w:rPr>
          <w:rFonts w:ascii="Helvetica Neue" w:hAnsi="Helvetica Neue" w:cs="Helvetica Neue"/>
          <w:color w:val="000000"/>
          <w:sz w:val="24"/>
          <w:szCs w:val="24"/>
        </w:rPr>
        <w:t xml:space="preserve"> own, the soul has a predisposition for being virtuous and participating in beauty, but this becomes a conflict state once the soul has descended into the human body, which is inevitably drawn to and moved by external, material forces.</w:t>
      </w:r>
      <w:r w:rsidR="004C79F8">
        <w:rPr>
          <w:rStyle w:val="FootnoteReference"/>
          <w:rFonts w:ascii="Helvetica Neue" w:hAnsi="Helvetica Neue" w:cs="Helvetica Neue"/>
          <w:color w:val="000000"/>
          <w:sz w:val="24"/>
          <w:szCs w:val="24"/>
        </w:rPr>
        <w:footnoteReference w:id="41"/>
      </w:r>
      <w:r w:rsidR="004C79F8">
        <w:rPr>
          <w:rFonts w:ascii="Helvetica Neue" w:hAnsi="Helvetica Neue" w:cs="Helvetica Neue"/>
          <w:color w:val="000000"/>
          <w:sz w:val="24"/>
          <w:szCs w:val="24"/>
        </w:rPr>
        <w:t xml:space="preserve"> </w:t>
      </w:r>
      <w:r>
        <w:rPr>
          <w:rFonts w:ascii="Helvetica Neue" w:hAnsi="Helvetica Neue" w:cs="Helvetica Neue"/>
          <w:color w:val="000000"/>
          <w:sz w:val="24"/>
          <w:szCs w:val="24"/>
        </w:rPr>
        <w:t>Iamblichus conceives the hierarchy of souls according to their respective allotments of three elements “essence (Ousia)”, “sameness (tautotes)” and “otherness (heterotes)”. The distribution of these elements, respectively, determined the rank of all souls: divine, daemonic, and human, with human souls carrying the greatest proportion of ‘otherness’.</w:t>
      </w:r>
      <w:r w:rsidR="004C79F8">
        <w:rPr>
          <w:rStyle w:val="FootnoteReference"/>
          <w:rFonts w:ascii="Helvetica Neue" w:hAnsi="Helvetica Neue" w:cs="Helvetica Neue"/>
          <w:color w:val="000000"/>
          <w:sz w:val="24"/>
          <w:szCs w:val="24"/>
        </w:rPr>
        <w:footnoteReference w:id="42"/>
      </w:r>
      <w:r w:rsidR="004C79F8">
        <w:rPr>
          <w:rFonts w:ascii="Helvetica Neue" w:hAnsi="Helvetica Neue" w:cs="Helvetica Neue"/>
          <w:color w:val="000000"/>
          <w:sz w:val="24"/>
          <w:szCs w:val="24"/>
        </w:rPr>
        <w:t xml:space="preserve"> </w:t>
      </w:r>
      <w:r>
        <w:rPr>
          <w:rFonts w:ascii="Helvetica Neue" w:hAnsi="Helvetica Neue" w:cs="Helvetica Neue"/>
          <w:color w:val="000000"/>
          <w:sz w:val="24"/>
          <w:szCs w:val="24"/>
        </w:rPr>
        <w:t>With a philosophy of repeated lives or soul descents, a belief in reincarnation - reflecting Plato’s dialogues, in particular the Book of Er - was an inherent belief among theurgists.</w:t>
      </w:r>
    </w:p>
    <w:p w14:paraId="40567BC5"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0D70065" w14:textId="77777777" w:rsidR="007E3BB3" w:rsidRDefault="007E3BB3" w:rsidP="00B94481">
      <w:pPr>
        <w:pStyle w:val="Heading2"/>
        <w:rPr>
          <w:b w:val="0"/>
        </w:rPr>
      </w:pPr>
      <w:r>
        <w:rPr>
          <w:b w:val="0"/>
        </w:rPr>
        <w:t>The Gods</w:t>
      </w:r>
    </w:p>
    <w:p w14:paraId="6336F5A3"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4E7A4AFA" w14:textId="4599B5E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With souls at the bottom end of the hierarchical structure, the Gods formed the opposite end at the top of the chain. Beyond the One, a series of lesser, but still divine, gods exist to assist in maintenance of the celestial order. These gods are revealed by their participants ethereally (aitherios), aerially (aeries) and aquatically (enhudrios), each having a distinct archetypal role. By nature, as emanating from the One, the gods are inherently good and therefore cannot be responsible for evil. It is through the nature of corporeality that evils and causes of destruction come about for individuals, which are salutary for the good of the whole and the harmony of the universe, but which result in harm or destructiveness for parts through a disproportion of parts, where partial entities participating in matter deviate from the beauty and perfection of the whole.</w:t>
      </w:r>
      <w:r w:rsidR="004C79F8">
        <w:rPr>
          <w:rStyle w:val="FootnoteReference"/>
          <w:rFonts w:ascii="Helvetica Neue" w:hAnsi="Helvetica Neue" w:cs="Helvetica Neue"/>
          <w:color w:val="000000"/>
          <w:sz w:val="24"/>
          <w:szCs w:val="24"/>
        </w:rPr>
        <w:footnoteReference w:id="43"/>
      </w:r>
      <w:r>
        <w:rPr>
          <w:rFonts w:ascii="Helvetica Neue" w:hAnsi="Helvetica Neue" w:cs="Helvetica Neue"/>
          <w:color w:val="000000"/>
          <w:sz w:val="24"/>
          <w:szCs w:val="24"/>
        </w:rPr>
        <w:t xml:space="preserve"> Iamblichus claims that divine presence is not something we can decide to accept or reject, that in fact, our very essence is driven </w:t>
      </w:r>
      <w:r>
        <w:rPr>
          <w:rFonts w:ascii="Helvetica Neue" w:hAnsi="Helvetica Neue" w:cs="Helvetica Neue"/>
          <w:color w:val="000000"/>
          <w:sz w:val="24"/>
          <w:szCs w:val="24"/>
        </w:rPr>
        <w:lastRenderedPageBreak/>
        <w:t>by the intrinsic knowledge that there are gods.</w:t>
      </w:r>
      <w:r w:rsidR="004C79F8">
        <w:rPr>
          <w:rStyle w:val="FootnoteReference"/>
          <w:rFonts w:ascii="Helvetica Neue" w:hAnsi="Helvetica Neue" w:cs="Helvetica Neue"/>
          <w:color w:val="000000"/>
          <w:sz w:val="24"/>
          <w:szCs w:val="24"/>
        </w:rPr>
        <w:footnoteReference w:id="44"/>
      </w:r>
      <w:r>
        <w:rPr>
          <w:rFonts w:ascii="Helvetica Neue" w:hAnsi="Helvetica Neue" w:cs="Helvetica Neue"/>
          <w:color w:val="000000"/>
          <w:sz w:val="24"/>
          <w:szCs w:val="24"/>
        </w:rPr>
        <w:t xml:space="preserve"> Knowledge of these gods in fact precedes human cognition, being instead a recognition of the eternal soul.</w:t>
      </w:r>
      <w:r w:rsidR="004C79F8">
        <w:rPr>
          <w:rStyle w:val="FootnoteReference"/>
          <w:rFonts w:ascii="Helvetica Neue" w:hAnsi="Helvetica Neue" w:cs="Helvetica Neue"/>
          <w:color w:val="000000"/>
          <w:sz w:val="24"/>
          <w:szCs w:val="24"/>
        </w:rPr>
        <w:footnoteReference w:id="45"/>
      </w:r>
    </w:p>
    <w:p w14:paraId="449B2DB7"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1035979B" w14:textId="77777777" w:rsidR="007E3BB3" w:rsidRDefault="007E3BB3" w:rsidP="00B94481">
      <w:pPr>
        <w:pStyle w:val="Heading2"/>
        <w:rPr>
          <w:b w:val="0"/>
        </w:rPr>
      </w:pPr>
      <w:r>
        <w:rPr>
          <w:b w:val="0"/>
        </w:rPr>
        <w:t>Angels, Daimons &amp; Heroes</w:t>
      </w:r>
    </w:p>
    <w:p w14:paraId="7305CBC7" w14:textId="3EF8948D"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In concord with the Iynges, Connectors and Teletarchs contained in The </w:t>
      </w:r>
      <w:r>
        <w:rPr>
          <w:rFonts w:ascii="Helvetica Neue" w:hAnsi="Helvetica Neue" w:cs="Helvetica Neue"/>
          <w:i/>
          <w:iCs/>
          <w:color w:val="000000"/>
          <w:sz w:val="24"/>
          <w:szCs w:val="24"/>
        </w:rPr>
        <w:t>Oracles</w:t>
      </w:r>
      <w:r>
        <w:rPr>
          <w:rFonts w:ascii="Helvetica Neue" w:hAnsi="Helvetica Neue" w:cs="Helvetica Neue"/>
          <w:color w:val="000000"/>
          <w:sz w:val="24"/>
          <w:szCs w:val="24"/>
        </w:rPr>
        <w:t>, the thuergical hierarchy also consists of other entities to serve specific functions in the cosmic order. The composition of these divine beings, from the hyper cosmic to the encosmic are as follows: 1. Archangels; 2. Angels; 3. Daimons; 4. Heroes; 5. Archons (sublunary); 6. Archons (material); 7. Human souls. Archangels and angels are gods. Heroes are produced according to the principles of life among the gods and have leadership over souls. Daimons have a different essence to Heroes. Daimons act to complete deeds or processes in the mundane world, whereas Heroes are focused on the strategic order of souls. Both play a compatible part in upholding divine will.</w:t>
      </w:r>
      <w:r w:rsidR="004C79F8">
        <w:rPr>
          <w:rStyle w:val="FootnoteReference"/>
          <w:rFonts w:ascii="Helvetica Neue" w:hAnsi="Helvetica Neue" w:cs="Helvetica Neue"/>
          <w:color w:val="000000"/>
          <w:sz w:val="24"/>
          <w:szCs w:val="24"/>
        </w:rPr>
        <w:footnoteReference w:id="46"/>
      </w:r>
      <w:r>
        <w:rPr>
          <w:rFonts w:ascii="Helvetica Neue" w:hAnsi="Helvetica Neue" w:cs="Helvetica Neue"/>
          <w:color w:val="000000"/>
          <w:sz w:val="24"/>
          <w:szCs w:val="24"/>
        </w:rPr>
        <w:t xml:space="preserve"> Theurgy prescribes that each soul also has its own personal daimon that oversees the life of the soul, that influences what we think due to the principles he has implanted in us. This daimon makes suggestions to our mind that have a subsequent </w:t>
      </w:r>
      <w:r w:rsidR="00B94481">
        <w:rPr>
          <w:rFonts w:ascii="Helvetica Neue" w:hAnsi="Helvetica Neue" w:cs="Helvetica Neue"/>
          <w:color w:val="000000"/>
          <w:sz w:val="24"/>
          <w:szCs w:val="24"/>
        </w:rPr>
        <w:t>effect</w:t>
      </w:r>
      <w:r>
        <w:rPr>
          <w:rFonts w:ascii="Helvetica Neue" w:hAnsi="Helvetica Neue" w:cs="Helvetica Neue"/>
          <w:color w:val="000000"/>
          <w:sz w:val="24"/>
          <w:szCs w:val="24"/>
        </w:rPr>
        <w:t xml:space="preserve"> on our actions, and it continues to govern the soul until, through theurgical practice, the time comes that the soul is entrusted with </w:t>
      </w:r>
      <w:r w:rsidR="00B94481">
        <w:rPr>
          <w:rFonts w:ascii="Helvetica Neue" w:hAnsi="Helvetica Neue" w:cs="Helvetica Neue"/>
          <w:color w:val="000000"/>
          <w:sz w:val="24"/>
          <w:szCs w:val="24"/>
        </w:rPr>
        <w:t>God</w:t>
      </w:r>
      <w:r>
        <w:rPr>
          <w:rFonts w:ascii="Helvetica Neue" w:hAnsi="Helvetica Neue" w:cs="Helvetica Neue"/>
          <w:color w:val="000000"/>
          <w:sz w:val="24"/>
          <w:szCs w:val="24"/>
        </w:rPr>
        <w:t xml:space="preserve"> as guardian and leader of the soul.</w:t>
      </w:r>
    </w:p>
    <w:p w14:paraId="40679385"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60932377" w14:textId="77777777" w:rsidR="007E3BB3" w:rsidRDefault="007E3BB3" w:rsidP="00B94481">
      <w:pPr>
        <w:pStyle w:val="Heading2"/>
        <w:rPr>
          <w:b w:val="0"/>
        </w:rPr>
      </w:pPr>
      <w:r>
        <w:rPr>
          <w:b w:val="0"/>
        </w:rPr>
        <w:t>Astrology &amp; The Planets</w:t>
      </w:r>
    </w:p>
    <w:p w14:paraId="07C47762"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0FF12C32" w14:textId="6427486A" w:rsidR="007E3BB3" w:rsidRDefault="007E3BB3" w:rsidP="000A7E71">
      <w:pPr>
        <w:autoSpaceDE w:val="0"/>
        <w:autoSpaceDN w:val="0"/>
        <w:adjustRightInd w:val="0"/>
        <w:spacing w:after="160" w:line="288" w:lineRule="auto"/>
        <w:rPr>
          <w:rFonts w:ascii="Helvetica Neue" w:hAnsi="Helvetica Neue" w:cs="Helvetica Neue"/>
          <w:color w:val="000000"/>
          <w:sz w:val="24"/>
          <w:szCs w:val="24"/>
        </w:rPr>
      </w:pPr>
      <w:r>
        <w:rPr>
          <w:rFonts w:ascii="Helvetica Neue" w:hAnsi="Helvetica Neue" w:cs="Helvetica Neue"/>
          <w:color w:val="000000"/>
          <w:sz w:val="24"/>
          <w:szCs w:val="24"/>
        </w:rPr>
        <w:t>The theurgic worldview holds the principle that the movements and patterns of the heavenly bodies intimate the structure and dynamics of society as it should be as a microcosm of the divine realm, and therefore it is the primary responsibility of a theurgist priest to establish affinity between these two realms.</w:t>
      </w:r>
      <w:r w:rsidR="003A421A">
        <w:rPr>
          <w:rStyle w:val="FootnoteReference"/>
          <w:rFonts w:ascii="Helvetica Neue" w:hAnsi="Helvetica Neue" w:cs="Helvetica Neue"/>
          <w:color w:val="000000"/>
          <w:sz w:val="24"/>
          <w:szCs w:val="24"/>
        </w:rPr>
        <w:footnoteReference w:id="47"/>
      </w:r>
      <w:r>
        <w:rPr>
          <w:rFonts w:ascii="Helvetica Neue" w:hAnsi="Helvetica Neue" w:cs="Helvetica Neue"/>
          <w:color w:val="000000"/>
          <w:sz w:val="24"/>
          <w:szCs w:val="24"/>
        </w:rPr>
        <w:t xml:space="preserve"> The heavenly spheres are the energeiai of the gods, with their revolutions constituting the divine acts (theia erga) of the gods to maintain the celestial order.</w:t>
      </w:r>
      <w:r w:rsidR="003A421A">
        <w:rPr>
          <w:rStyle w:val="FootnoteReference"/>
          <w:rFonts w:ascii="Helvetica Neue" w:hAnsi="Helvetica Neue" w:cs="Helvetica Neue"/>
          <w:color w:val="000000"/>
          <w:sz w:val="24"/>
          <w:szCs w:val="24"/>
        </w:rPr>
        <w:footnoteReference w:id="48"/>
      </w:r>
      <w:r>
        <w:rPr>
          <w:rFonts w:ascii="Helvetica Neue" w:hAnsi="Helvetica Neue" w:cs="Helvetica Neue"/>
          <w:color w:val="000000"/>
          <w:sz w:val="24"/>
          <w:szCs w:val="24"/>
        </w:rPr>
        <w:t xml:space="preserve"> Rather than a case of divine beings in a planetary body, which would make them corporeal beings in conflict with the view that all gods are incorporeal, it is Iamblichus’ view that they are gods enveloping bodies and as such, the bodies (as inferior corporeal beings) </w:t>
      </w:r>
      <w:r>
        <w:rPr>
          <w:rFonts w:ascii="Helvetica Neue" w:hAnsi="Helvetica Neue" w:cs="Helvetica Neue"/>
          <w:color w:val="000000"/>
          <w:sz w:val="24"/>
          <w:szCs w:val="24"/>
        </w:rPr>
        <w:lastRenderedPageBreak/>
        <w:t>direct themselves in service towards their divine causal principle.</w:t>
      </w:r>
      <w:r w:rsidR="003A421A">
        <w:rPr>
          <w:rStyle w:val="FootnoteReference"/>
          <w:rFonts w:ascii="Helvetica Neue" w:hAnsi="Helvetica Neue" w:cs="Helvetica Neue"/>
          <w:color w:val="000000"/>
          <w:sz w:val="24"/>
          <w:szCs w:val="24"/>
        </w:rPr>
        <w:footnoteReference w:id="49"/>
      </w:r>
      <w:r w:rsidR="000A7E71">
        <w:rPr>
          <w:rFonts w:ascii="Helvetica Neue" w:hAnsi="Helvetica Neue" w:cs="Helvetica Neue"/>
          <w:color w:val="000000"/>
          <w:sz w:val="24"/>
          <w:szCs w:val="24"/>
        </w:rPr>
        <w:t xml:space="preserve"> </w:t>
      </w:r>
      <w:r>
        <w:rPr>
          <w:rFonts w:ascii="Helvetica Neue" w:hAnsi="Helvetica Neue" w:cs="Helvetica Neue"/>
          <w:color w:val="000000"/>
          <w:sz w:val="24"/>
          <w:szCs w:val="24"/>
        </w:rPr>
        <w:t>Iamblichus explains that the universe is divided under the rule of planets, signs, and decans, and in line with the Egyptians, ascribes two souls to man, one of which obeys the revolutions of the stars, while the other is intellectual and free.</w:t>
      </w:r>
      <w:r w:rsidR="003A421A">
        <w:rPr>
          <w:rStyle w:val="FootnoteReference"/>
          <w:rFonts w:ascii="Helvetica Neue" w:hAnsi="Helvetica Neue" w:cs="Helvetica Neue"/>
          <w:color w:val="000000"/>
          <w:sz w:val="24"/>
          <w:szCs w:val="24"/>
        </w:rPr>
        <w:footnoteReference w:id="50"/>
      </w:r>
      <w:r>
        <w:rPr>
          <w:rFonts w:ascii="Helvetica Neue" w:hAnsi="Helvetica Neue" w:cs="Helvetica Neue"/>
          <w:color w:val="000000"/>
          <w:sz w:val="24"/>
          <w:szCs w:val="24"/>
        </w:rPr>
        <w:t xml:space="preserve"> He suggests the true art of astrology is based on divine revelation and the observations of the Chaldeans.</w:t>
      </w:r>
      <w:r w:rsidR="003A421A">
        <w:rPr>
          <w:rStyle w:val="FootnoteReference"/>
          <w:rFonts w:ascii="Helvetica Neue" w:hAnsi="Helvetica Neue" w:cs="Helvetica Neue"/>
          <w:color w:val="000000"/>
          <w:sz w:val="24"/>
          <w:szCs w:val="24"/>
        </w:rPr>
        <w:footnoteReference w:id="51"/>
      </w:r>
      <w:r w:rsidR="000A7E71">
        <w:rPr>
          <w:rFonts w:ascii="Helvetica Neue" w:hAnsi="Helvetica Neue" w:cs="Helvetica Neue"/>
          <w:color w:val="000000"/>
          <w:sz w:val="24"/>
          <w:szCs w:val="24"/>
        </w:rPr>
        <w:t xml:space="preserve"> </w:t>
      </w:r>
      <w:r>
        <w:rPr>
          <w:rFonts w:ascii="Helvetica Neue" w:hAnsi="Helvetica Neue" w:cs="Helvetica Neue"/>
          <w:color w:val="000000"/>
          <w:sz w:val="24"/>
          <w:szCs w:val="24"/>
        </w:rPr>
        <w:t>The view that human beings are made up of a portion of each of the planets that it ‘collects’ during its descent through the planetary realms is upheld by theurgists.</w:t>
      </w:r>
      <w:r w:rsidR="003A421A">
        <w:rPr>
          <w:rStyle w:val="FootnoteReference"/>
          <w:rFonts w:ascii="Helvetica Neue" w:hAnsi="Helvetica Neue" w:cs="Helvetica Neue"/>
          <w:color w:val="000000"/>
          <w:sz w:val="24"/>
          <w:szCs w:val="24"/>
        </w:rPr>
        <w:footnoteReference w:id="52"/>
      </w:r>
      <w:r>
        <w:rPr>
          <w:rFonts w:ascii="Helvetica Neue" w:hAnsi="Helvetica Neue" w:cs="Helvetica Neue"/>
          <w:color w:val="000000"/>
          <w:sz w:val="24"/>
          <w:szCs w:val="24"/>
        </w:rPr>
        <w:t xml:space="preserve"> The ‘parts’ given to each soul from the totality of the cosmos make up its astrological portrait. It is this confluence of elements at a particular juncture in time and space that make up the soul’s localised self, the testing ground that measures the soul’s ability to integrate corporeal existence into a divine pattern.</w:t>
      </w:r>
      <w:r w:rsidR="003A421A">
        <w:rPr>
          <w:rStyle w:val="FootnoteReference"/>
          <w:rFonts w:ascii="Helvetica Neue" w:hAnsi="Helvetica Neue" w:cs="Helvetica Neue"/>
          <w:color w:val="000000"/>
          <w:sz w:val="24"/>
          <w:szCs w:val="24"/>
        </w:rPr>
        <w:footnoteReference w:id="53"/>
      </w:r>
      <w:r w:rsidR="000A7E71">
        <w:rPr>
          <w:rFonts w:ascii="Helvetica Neue" w:hAnsi="Helvetica Neue" w:cs="Helvetica Neue"/>
          <w:color w:val="000000"/>
          <w:sz w:val="24"/>
          <w:szCs w:val="24"/>
        </w:rPr>
        <w:t xml:space="preserve"> </w:t>
      </w:r>
      <w:r>
        <w:rPr>
          <w:rFonts w:ascii="Helvetica Neue" w:hAnsi="Helvetica Neue" w:cs="Helvetica Neue"/>
          <w:color w:val="000000"/>
          <w:sz w:val="24"/>
          <w:szCs w:val="24"/>
        </w:rPr>
        <w:t>In the Enneads,</w:t>
      </w:r>
      <w:r>
        <w:rPr>
          <w:rFonts w:ascii="Helvetica Neue" w:hAnsi="Helvetica Neue" w:cs="Helvetica Neue"/>
          <w:i/>
          <w:iCs/>
          <w:color w:val="A30003"/>
          <w:sz w:val="24"/>
          <w:szCs w:val="24"/>
        </w:rPr>
        <w:t xml:space="preserve"> </w:t>
      </w:r>
      <w:r>
        <w:rPr>
          <w:rFonts w:ascii="Helvetica Neue" w:hAnsi="Helvetica Neue" w:cs="Helvetica Neue"/>
          <w:color w:val="000000"/>
          <w:sz w:val="24"/>
          <w:szCs w:val="24"/>
        </w:rPr>
        <w:t>Plotinus says that “it is abundantly evident… that the motion of the heaven affects things on earth and not only in bodies but also the dispositions of the soul.”</w:t>
      </w:r>
      <w:r w:rsidR="003A421A">
        <w:rPr>
          <w:rStyle w:val="FootnoteReference"/>
          <w:rFonts w:ascii="Helvetica Neue" w:hAnsi="Helvetica Neue" w:cs="Helvetica Neue"/>
          <w:color w:val="000000"/>
          <w:sz w:val="24"/>
          <w:szCs w:val="24"/>
        </w:rPr>
        <w:footnoteReference w:id="54"/>
      </w:r>
      <w:r>
        <w:rPr>
          <w:rFonts w:ascii="Helvetica Neue" w:hAnsi="Helvetica Neue" w:cs="Helvetica Neue"/>
          <w:color w:val="000000"/>
          <w:sz w:val="24"/>
          <w:szCs w:val="24"/>
        </w:rPr>
        <w:t xml:space="preserve"> Proclus says that each of the planetary spheres is a whole universe which embraces collectively many divine classes invisible to us, but each visible star is the leading principle of all of them. Divinities, according to the general metaphysics, have a multitude of intermediaries. These preserve the purity of the divine character and definition by mediating with less perfect levels. </w:t>
      </w:r>
      <w:r w:rsidR="00B94481">
        <w:rPr>
          <w:rFonts w:ascii="Helvetica Neue" w:hAnsi="Helvetica Neue" w:cs="Helvetica Neue"/>
          <w:color w:val="000000"/>
          <w:sz w:val="24"/>
          <w:szCs w:val="24"/>
        </w:rPr>
        <w:t>So,</w:t>
      </w:r>
      <w:r>
        <w:rPr>
          <w:rFonts w:ascii="Helvetica Neue" w:hAnsi="Helvetica Neue" w:cs="Helvetica Neue"/>
          <w:color w:val="000000"/>
          <w:sz w:val="24"/>
          <w:szCs w:val="24"/>
        </w:rPr>
        <w:t xml:space="preserve"> each planet, as an individual self-substantiated entity, has a multitude associated with it. These intermediate orders are normally called daimones, the guardian powers assigned to specific aspects of the divinity. </w:t>
      </w:r>
      <w:r w:rsidR="00B94481">
        <w:rPr>
          <w:rFonts w:ascii="Helvetica Neue" w:hAnsi="Helvetica Neue" w:cs="Helvetica Neue"/>
          <w:color w:val="000000"/>
          <w:sz w:val="24"/>
          <w:szCs w:val="24"/>
        </w:rPr>
        <w:t>So,</w:t>
      </w:r>
      <w:r>
        <w:rPr>
          <w:rFonts w:ascii="Helvetica Neue" w:hAnsi="Helvetica Neue" w:cs="Helvetica Neue"/>
          <w:color w:val="000000"/>
          <w:sz w:val="24"/>
          <w:szCs w:val="24"/>
        </w:rPr>
        <w:t xml:space="preserve"> the Neo-Platonic spirits constitute the 'chorus' of satellites, which revolve around each planet.</w:t>
      </w:r>
      <w:r w:rsidR="003A421A">
        <w:rPr>
          <w:rStyle w:val="FootnoteReference"/>
          <w:rFonts w:ascii="Helvetica Neue" w:hAnsi="Helvetica Neue" w:cs="Helvetica Neue"/>
          <w:color w:val="000000"/>
          <w:sz w:val="24"/>
          <w:szCs w:val="24"/>
        </w:rPr>
        <w:footnoteReference w:id="55"/>
      </w:r>
      <w:r w:rsidR="000A7E71">
        <w:rPr>
          <w:rFonts w:ascii="Helvetica Neue" w:hAnsi="Helvetica Neue" w:cs="Helvetica Neue"/>
          <w:color w:val="000000"/>
          <w:sz w:val="24"/>
          <w:szCs w:val="24"/>
        </w:rPr>
        <w:t xml:space="preserve"> </w:t>
      </w:r>
      <w:r>
        <w:rPr>
          <w:rFonts w:ascii="Helvetica Neue" w:hAnsi="Helvetica Neue" w:cs="Helvetica Neue"/>
          <w:color w:val="000000"/>
          <w:sz w:val="24"/>
          <w:szCs w:val="24"/>
        </w:rPr>
        <w:t>While seemingly rejecting the need for astrological tables or for divination derived from astrology, Iamblichus does acknowledge the ‘scientific truth’ of astrology observed in the calculations of forthcoming eclipses and the conjunction of the moon with the fixed stars, and the observations that appear to confirm the prognostications.</w:t>
      </w:r>
      <w:r w:rsidR="003A421A">
        <w:rPr>
          <w:rStyle w:val="FootnoteReference"/>
          <w:rFonts w:ascii="Helvetica Neue" w:hAnsi="Helvetica Neue" w:cs="Helvetica Neue"/>
          <w:color w:val="000000"/>
          <w:sz w:val="24"/>
          <w:szCs w:val="24"/>
        </w:rPr>
        <w:footnoteReference w:id="56"/>
      </w:r>
      <w:r w:rsidR="000A7E71">
        <w:rPr>
          <w:rFonts w:ascii="Helvetica Neue" w:hAnsi="Helvetica Neue" w:cs="Helvetica Neue"/>
          <w:color w:val="000000"/>
          <w:sz w:val="24"/>
          <w:szCs w:val="24"/>
        </w:rPr>
        <w:t xml:space="preserve"> </w:t>
      </w:r>
      <w:r>
        <w:rPr>
          <w:rFonts w:ascii="Helvetica Neue" w:hAnsi="Helvetica Neue" w:cs="Helvetica Neue"/>
          <w:color w:val="000000"/>
          <w:sz w:val="24"/>
          <w:szCs w:val="24"/>
        </w:rPr>
        <w:t>Theurgists generally criticised astrologers for their fatalistic, overly predictive techniques and appeared to emphasise or give greater regard to katarchic astrology, which enables identification of the ‘right time’ for theurgic activity in line with the beneficial condition of the planets to support optimum efficacy.</w:t>
      </w:r>
    </w:p>
    <w:p w14:paraId="32394099"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96FFD87"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385E1CFA" w14:textId="77777777" w:rsidR="007E3BB3" w:rsidRDefault="007E3BB3" w:rsidP="00BE7DB8">
      <w:pPr>
        <w:pStyle w:val="Heading1"/>
      </w:pPr>
      <w:r>
        <w:t>What is the practice of Theurgy?</w:t>
      </w:r>
    </w:p>
    <w:p w14:paraId="15D465F2"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1057C52A" w14:textId="25631A9B"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Theurgy is a life-long pursuit which synthesises philosophical contemplation and ritualistic practice using divine symbols </w:t>
      </w:r>
      <w:r w:rsidR="00B94481">
        <w:rPr>
          <w:rFonts w:ascii="Helvetica Neue" w:hAnsi="Helvetica Neue" w:cs="Helvetica Neue"/>
          <w:color w:val="000000"/>
          <w:sz w:val="24"/>
          <w:szCs w:val="24"/>
        </w:rPr>
        <w:t>based on</w:t>
      </w:r>
      <w:r>
        <w:rPr>
          <w:rFonts w:ascii="Helvetica Neue" w:hAnsi="Helvetica Neue" w:cs="Helvetica Neue"/>
          <w:color w:val="000000"/>
          <w:sz w:val="24"/>
          <w:szCs w:val="24"/>
        </w:rPr>
        <w:t xml:space="preserve"> cosmic sympathy to reawaken the soul’s knowledge of the gods, both philosophically and ontologically.</w:t>
      </w:r>
      <w:r w:rsidR="003A421A">
        <w:rPr>
          <w:rStyle w:val="FootnoteReference"/>
          <w:rFonts w:ascii="Helvetica Neue" w:hAnsi="Helvetica Neue" w:cs="Helvetica Neue"/>
          <w:color w:val="000000"/>
          <w:sz w:val="24"/>
          <w:szCs w:val="24"/>
        </w:rPr>
        <w:footnoteReference w:id="57"/>
      </w:r>
      <w:r>
        <w:rPr>
          <w:rFonts w:ascii="Helvetica Neue" w:hAnsi="Helvetica Neue" w:cs="Helvetica Neue"/>
          <w:color w:val="000000"/>
          <w:sz w:val="24"/>
          <w:szCs w:val="24"/>
        </w:rPr>
        <w:t xml:space="preserve"> Theurgy is regarded as separate from theology due to the active role of ritual. Theurgy, or the ‘art of divine works’ operate by means of ‘arcane signatures’ and ‘the power of inexplicable </w:t>
      </w:r>
      <w:r w:rsidR="00B94481">
        <w:rPr>
          <w:rFonts w:ascii="Helvetica Neue" w:hAnsi="Helvetica Neue" w:cs="Helvetica Neue"/>
          <w:color w:val="000000"/>
          <w:sz w:val="24"/>
          <w:szCs w:val="24"/>
        </w:rPr>
        <w:t>symbols</w:t>
      </w:r>
      <w:r>
        <w:rPr>
          <w:rFonts w:ascii="Helvetica Neue" w:hAnsi="Helvetica Neue" w:cs="Helvetica Neue"/>
          <w:color w:val="000000"/>
          <w:sz w:val="24"/>
          <w:szCs w:val="24"/>
        </w:rPr>
        <w:t>.</w:t>
      </w:r>
      <w:r w:rsidR="003A421A">
        <w:rPr>
          <w:rStyle w:val="FootnoteReference"/>
          <w:rFonts w:ascii="Helvetica Neue" w:hAnsi="Helvetica Neue" w:cs="Helvetica Neue"/>
          <w:color w:val="000000"/>
          <w:sz w:val="24"/>
          <w:szCs w:val="24"/>
        </w:rPr>
        <w:footnoteReference w:id="58"/>
      </w:r>
      <w:r>
        <w:rPr>
          <w:rFonts w:ascii="Helvetica Neue" w:hAnsi="Helvetica Neue" w:cs="Helvetica Neue"/>
          <w:color w:val="000000"/>
          <w:sz w:val="24"/>
          <w:szCs w:val="24"/>
        </w:rPr>
        <w:t xml:space="preserve"> By employing such potent symbols, man takes on a sacred character and </w:t>
      </w:r>
      <w:r w:rsidR="00B94481">
        <w:rPr>
          <w:rFonts w:ascii="Helvetica Neue" w:hAnsi="Helvetica Neue" w:cs="Helvetica Neue"/>
          <w:color w:val="000000"/>
          <w:sz w:val="24"/>
          <w:szCs w:val="24"/>
        </w:rPr>
        <w:t>can</w:t>
      </w:r>
      <w:r>
        <w:rPr>
          <w:rFonts w:ascii="Helvetica Neue" w:hAnsi="Helvetica Neue" w:cs="Helvetica Neue"/>
          <w:color w:val="000000"/>
          <w:sz w:val="24"/>
          <w:szCs w:val="24"/>
        </w:rPr>
        <w:t xml:space="preserve"> bid spiritual powers. Divine work through theurgical practices is not performed by the gods or superior beings descending to the level of the work to accomplish the deed, but instead relies on the various rites and invocations applied to ascend the work to their level through the appropriation of sympathetic correspondences that encourage the gods to respond accordingly.</w:t>
      </w:r>
      <w:r w:rsidR="003A421A">
        <w:rPr>
          <w:rStyle w:val="FootnoteReference"/>
          <w:rFonts w:ascii="Helvetica Neue" w:hAnsi="Helvetica Neue" w:cs="Helvetica Neue"/>
          <w:color w:val="000000"/>
          <w:sz w:val="24"/>
          <w:szCs w:val="24"/>
        </w:rPr>
        <w:footnoteReference w:id="59"/>
      </w:r>
      <w:r>
        <w:rPr>
          <w:rFonts w:ascii="Helvetica Neue" w:hAnsi="Helvetica Neue" w:cs="Helvetica Neue"/>
          <w:color w:val="000000"/>
          <w:sz w:val="24"/>
          <w:szCs w:val="24"/>
        </w:rPr>
        <w:t xml:space="preserve"> Theurgical rituals were believed to purify the soul and evoke divine powers leading practitioners towards mystical insight and spiritual liberation. Theurgy’s ultimate aim is to achieve direct communion between humans and the divine.</w:t>
      </w:r>
    </w:p>
    <w:p w14:paraId="1233A458"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62346D67" w14:textId="77777777" w:rsidR="007E3BB3" w:rsidRDefault="007E3BB3" w:rsidP="00B94481">
      <w:pPr>
        <w:pStyle w:val="Heading2"/>
        <w:rPr>
          <w:b w:val="0"/>
        </w:rPr>
      </w:pPr>
      <w:r>
        <w:rPr>
          <w:b w:val="0"/>
        </w:rPr>
        <w:t>Cosmic Sympathy (Sunthemata)</w:t>
      </w:r>
    </w:p>
    <w:p w14:paraId="1055F36B"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4C681208" w14:textId="75B89C2E"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The idea of a living cosmos forms the foundation of cosmic sympathy (sumpatheia) and its heavenly cause, divine love (theia philia). This concept brings unity to both the universe (macrocosm) and the individual soul (microcosm). Through the sympathetic connection between the soul, the universe, and the gods, practitioners of theurgy can use natural elements like stones, plants, and incense, along with divine names, mental images, </w:t>
      </w:r>
      <w:r w:rsidR="00B94481">
        <w:rPr>
          <w:rFonts w:ascii="Helvetica Neue" w:hAnsi="Helvetica Neue" w:cs="Helvetica Neue"/>
          <w:color w:val="000000"/>
          <w:sz w:val="24"/>
          <w:szCs w:val="24"/>
        </w:rPr>
        <w:t>melodies,</w:t>
      </w:r>
      <w:r>
        <w:rPr>
          <w:rFonts w:ascii="Helvetica Neue" w:hAnsi="Helvetica Neue" w:cs="Helvetica Neue"/>
          <w:color w:val="000000"/>
          <w:sz w:val="24"/>
          <w:szCs w:val="24"/>
        </w:rPr>
        <w:t xml:space="preserve"> and rhythms to accomplish their objectives.</w:t>
      </w:r>
      <w:r w:rsidR="003A421A">
        <w:rPr>
          <w:rStyle w:val="FootnoteReference"/>
          <w:rFonts w:ascii="Helvetica Neue" w:hAnsi="Helvetica Neue" w:cs="Helvetica Neue"/>
          <w:color w:val="000000"/>
          <w:sz w:val="24"/>
          <w:szCs w:val="24"/>
        </w:rPr>
        <w:footnoteReference w:id="60"/>
      </w:r>
      <w:r>
        <w:rPr>
          <w:rFonts w:ascii="Helvetica Neue" w:hAnsi="Helvetica Neue" w:cs="Helvetica Neue"/>
          <w:color w:val="000000"/>
          <w:sz w:val="24"/>
          <w:szCs w:val="24"/>
        </w:rPr>
        <w:t xml:space="preserve"> While the use of symbols is a necessary means to establish concord with the gods, it is through the mechanism of divine love that enables this phenomenon to be activated. All superior beings rejoice in the efforts of their inferiors to imitate them, and therefore wish to fill them with good things, insofar as it is possible through imitation.</w:t>
      </w:r>
      <w:r w:rsidR="003A421A">
        <w:rPr>
          <w:rStyle w:val="FootnoteReference"/>
          <w:rFonts w:ascii="Helvetica Neue" w:hAnsi="Helvetica Neue" w:cs="Helvetica Neue"/>
          <w:color w:val="000000"/>
          <w:sz w:val="24"/>
          <w:szCs w:val="24"/>
        </w:rPr>
        <w:footnoteReference w:id="61"/>
      </w:r>
      <w:r>
        <w:rPr>
          <w:rFonts w:ascii="Helvetica Neue" w:hAnsi="Helvetica Neue" w:cs="Helvetica Neue"/>
          <w:color w:val="000000"/>
          <w:sz w:val="24"/>
          <w:szCs w:val="24"/>
        </w:rPr>
        <w:t xml:space="preserve"> Prayer establishes friendship between man and the gods, rendering those who employ prayers, the familiar consorts of the gods. Three </w:t>
      </w:r>
      <w:r>
        <w:rPr>
          <w:rFonts w:ascii="Helvetica Neue" w:hAnsi="Helvetica Neue" w:cs="Helvetica Neue"/>
          <w:color w:val="000000"/>
          <w:sz w:val="24"/>
          <w:szCs w:val="24"/>
        </w:rPr>
        <w:lastRenderedPageBreak/>
        <w:t>levels denote the degree of interaction/participation between the theurgist and the gods. The first level establishes a line of communication, the second enables participation in desired activity, and the third fulfils the ultimate objective of mystical union.</w:t>
      </w:r>
      <w:r w:rsidR="003A421A">
        <w:rPr>
          <w:rStyle w:val="FootnoteReference"/>
          <w:rFonts w:ascii="Helvetica Neue" w:hAnsi="Helvetica Neue" w:cs="Helvetica Neue"/>
          <w:color w:val="000000"/>
          <w:sz w:val="24"/>
          <w:szCs w:val="24"/>
        </w:rPr>
        <w:footnoteReference w:id="62"/>
      </w:r>
      <w:r>
        <w:rPr>
          <w:rFonts w:ascii="Helvetica Neue" w:hAnsi="Helvetica Neue" w:cs="Helvetica Neue"/>
          <w:color w:val="000000"/>
          <w:sz w:val="24"/>
          <w:szCs w:val="24"/>
        </w:rPr>
        <w:t xml:space="preserve"> </w:t>
      </w:r>
      <w:r>
        <w:rPr>
          <w:rFonts w:ascii="Helvetica Neue" w:hAnsi="Helvetica Neue" w:cs="Helvetica Neue"/>
          <w:i/>
          <w:iCs/>
          <w:color w:val="000000"/>
          <w:sz w:val="24"/>
          <w:szCs w:val="24"/>
        </w:rPr>
        <w:t>Anagoge</w:t>
      </w:r>
      <w:r>
        <w:rPr>
          <w:rFonts w:ascii="Helvetica Neue" w:hAnsi="Helvetica Neue" w:cs="Helvetica Neue"/>
          <w:color w:val="000000"/>
          <w:sz w:val="24"/>
          <w:szCs w:val="24"/>
        </w:rPr>
        <w:t xml:space="preserve"> (ἀναγωγή) describes the ascent of the soul to the divine source which ultimately shifts the soul’s perspective from the mortal to the divine. The central purpose of the theurgist is to co-create with the demiurge and to bring divine wisdom to all souls and to the entire cosmos.</w:t>
      </w:r>
      <w:r w:rsidR="003A421A">
        <w:rPr>
          <w:rStyle w:val="FootnoteReference"/>
          <w:rFonts w:ascii="Helvetica Neue" w:hAnsi="Helvetica Neue" w:cs="Helvetica Neue"/>
          <w:color w:val="000000"/>
          <w:sz w:val="24"/>
          <w:szCs w:val="24"/>
        </w:rPr>
        <w:footnoteReference w:id="63"/>
      </w:r>
    </w:p>
    <w:p w14:paraId="4F88A5A8"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4847F553"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0B9B3C16" w14:textId="77777777" w:rsidR="007E3BB3" w:rsidRDefault="007E3BB3" w:rsidP="00BE7DB8">
      <w:pPr>
        <w:pStyle w:val="Heading1"/>
      </w:pPr>
      <w:r>
        <w:t>The Role and Practice of Divination in Theurgy</w:t>
      </w:r>
    </w:p>
    <w:p w14:paraId="49E5A410"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09D3CA37" w14:textId="2866E0D3"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Divination is a central element of Theurgy, which generally involves the invocation of a deity. Iamblichus holds that divination is neither a human art nor the work of nature but of divine origin.</w:t>
      </w:r>
      <w:r w:rsidR="003A421A">
        <w:rPr>
          <w:rStyle w:val="FootnoteReference"/>
          <w:rFonts w:ascii="Helvetica Neue" w:hAnsi="Helvetica Neue" w:cs="Helvetica Neue"/>
          <w:color w:val="000000"/>
          <w:sz w:val="24"/>
          <w:szCs w:val="24"/>
        </w:rPr>
        <w:footnoteReference w:id="64"/>
      </w:r>
      <w:r>
        <w:rPr>
          <w:rFonts w:ascii="Helvetica Neue" w:hAnsi="Helvetica Neue" w:cs="Helvetica Neue"/>
          <w:color w:val="000000"/>
          <w:sz w:val="24"/>
          <w:szCs w:val="24"/>
        </w:rPr>
        <w:t xml:space="preserve"> Theurgists drew a distinction between the two modes of divination: the technical or inductive form which includes astrology; and the inspired form, which generally involves divine possession.</w:t>
      </w:r>
      <w:r w:rsidR="003A421A">
        <w:rPr>
          <w:rStyle w:val="FootnoteReference"/>
          <w:rFonts w:ascii="Helvetica Neue" w:hAnsi="Helvetica Neue" w:cs="Helvetica Neue"/>
          <w:color w:val="000000"/>
          <w:sz w:val="24"/>
          <w:szCs w:val="24"/>
        </w:rPr>
        <w:footnoteReference w:id="65"/>
      </w:r>
      <w:r>
        <w:rPr>
          <w:rFonts w:ascii="Helvetica Neue" w:hAnsi="Helvetica Neue" w:cs="Helvetica Neue"/>
          <w:color w:val="000000"/>
          <w:sz w:val="24"/>
          <w:szCs w:val="24"/>
        </w:rPr>
        <w:t xml:space="preserve"> Inductive divination </w:t>
      </w:r>
      <w:r w:rsidR="00B94481">
        <w:rPr>
          <w:rFonts w:ascii="Helvetica Neue" w:hAnsi="Helvetica Neue" w:cs="Helvetica Neue"/>
          <w:color w:val="000000"/>
          <w:sz w:val="24"/>
          <w:szCs w:val="24"/>
        </w:rPr>
        <w:t>is</w:t>
      </w:r>
      <w:r>
        <w:rPr>
          <w:rFonts w:ascii="Helvetica Neue" w:hAnsi="Helvetica Neue" w:cs="Helvetica Neue"/>
          <w:color w:val="000000"/>
          <w:sz w:val="24"/>
          <w:szCs w:val="24"/>
        </w:rPr>
        <w:t xml:space="preserve"> a largely human endeavour and as such is far less superior to the inspired form, due to potential for error to be made from ‘guessing and supposition’.</w:t>
      </w:r>
      <w:r w:rsidR="003A421A">
        <w:rPr>
          <w:rStyle w:val="FootnoteReference"/>
          <w:rFonts w:ascii="Helvetica Neue" w:hAnsi="Helvetica Neue" w:cs="Helvetica Neue"/>
          <w:color w:val="000000"/>
          <w:sz w:val="24"/>
          <w:szCs w:val="24"/>
        </w:rPr>
        <w:footnoteReference w:id="66"/>
      </w:r>
      <w:r>
        <w:rPr>
          <w:rFonts w:ascii="Helvetica Neue" w:hAnsi="Helvetica Neue" w:cs="Helvetica Neue"/>
          <w:color w:val="000000"/>
          <w:sz w:val="24"/>
          <w:szCs w:val="24"/>
        </w:rPr>
        <w:t xml:space="preserve"> While the divine signs themselves are perfect, the role of human interpretation reduces proximity to the gods, bringing the divination down to the level of human consciousness in the physical realm creating a so-called artificial form of divination in respect of the naturally inspired form.</w:t>
      </w:r>
    </w:p>
    <w:p w14:paraId="1D014FA3"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658E7C5"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In </w:t>
      </w:r>
      <w:r w:rsidRPr="000A7E71">
        <w:rPr>
          <w:rFonts w:ascii="Helvetica Neue" w:hAnsi="Helvetica Neue" w:cs="Helvetica Neue"/>
          <w:i/>
          <w:iCs/>
          <w:color w:val="000000"/>
          <w:sz w:val="24"/>
          <w:szCs w:val="24"/>
        </w:rPr>
        <w:t>De Mysteriis</w:t>
      </w:r>
      <w:r>
        <w:rPr>
          <w:rFonts w:ascii="Helvetica Neue" w:hAnsi="Helvetica Neue" w:cs="Helvetica Neue"/>
          <w:color w:val="000000"/>
          <w:sz w:val="24"/>
          <w:szCs w:val="24"/>
        </w:rPr>
        <w:t>, Iamblichus states that,</w:t>
      </w:r>
    </w:p>
    <w:p w14:paraId="2BC05C51"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0DA24A8C" w14:textId="077E68EB" w:rsidR="007E3BB3" w:rsidRDefault="007E3BB3" w:rsidP="000A7E71">
      <w:pPr>
        <w:autoSpaceDE w:val="0"/>
        <w:autoSpaceDN w:val="0"/>
        <w:adjustRightInd w:val="0"/>
        <w:spacing w:after="0" w:line="288" w:lineRule="auto"/>
        <w:ind w:left="720"/>
        <w:rPr>
          <w:rFonts w:ascii="Helvetica Neue" w:hAnsi="Helvetica Neue" w:cs="Helvetica Neue"/>
          <w:color w:val="000000"/>
          <w:sz w:val="24"/>
          <w:szCs w:val="24"/>
        </w:rPr>
      </w:pPr>
      <w:r>
        <w:rPr>
          <w:rFonts w:ascii="Helvetica Neue" w:hAnsi="Helvetica Neue" w:cs="Helvetica Neue"/>
          <w:color w:val="000000"/>
          <w:sz w:val="24"/>
          <w:szCs w:val="24"/>
        </w:rPr>
        <w:t>Never derive divination of the future from those things that have no foreknowledge as such, but to derive it from the gods who in themselves possess the limits of all knowledge of all existing things, from whom the mantic power is distributed throughout the whole cosmos, and among all the differences in nature found there.</w:t>
      </w:r>
      <w:r w:rsidR="003A421A">
        <w:rPr>
          <w:rStyle w:val="FootnoteReference"/>
          <w:rFonts w:ascii="Helvetica Neue" w:hAnsi="Helvetica Neue" w:cs="Helvetica Neue"/>
          <w:color w:val="000000"/>
          <w:sz w:val="24"/>
          <w:szCs w:val="24"/>
        </w:rPr>
        <w:footnoteReference w:id="67"/>
      </w:r>
    </w:p>
    <w:p w14:paraId="26129C67"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4CACE3AA" w14:textId="77777777" w:rsidR="000A7E71"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lastRenderedPageBreak/>
        <w:t>However, it must also be noted that Iamblichus acknowledged a benefit from undertaking inductive divination through its ability to help engender receptivity through awakening overall understanding. Humans, then becoming more acutely aware of such symbolic communication can increase their interpretations and deepen their prophetic success. The most common utilisation of astrology in theurgic ritual is to indicate the appropriate timing for invoking and worshipping specific deities.</w:t>
      </w:r>
      <w:r w:rsidR="003A421A">
        <w:rPr>
          <w:rStyle w:val="FootnoteReference"/>
          <w:rFonts w:ascii="Helvetica Neue" w:hAnsi="Helvetica Neue" w:cs="Helvetica Neue"/>
          <w:color w:val="000000"/>
          <w:sz w:val="24"/>
          <w:szCs w:val="24"/>
        </w:rPr>
        <w:footnoteReference w:id="68"/>
      </w:r>
      <w:r w:rsidR="000A7E71">
        <w:rPr>
          <w:rFonts w:ascii="Helvetica Neue" w:hAnsi="Helvetica Neue" w:cs="Helvetica Neue"/>
          <w:color w:val="000000"/>
          <w:sz w:val="24"/>
          <w:szCs w:val="24"/>
        </w:rPr>
        <w:t xml:space="preserve"> </w:t>
      </w:r>
    </w:p>
    <w:p w14:paraId="5F80012E" w14:textId="77777777" w:rsidR="000A7E71" w:rsidRDefault="000A7E71" w:rsidP="007E3BB3">
      <w:pPr>
        <w:autoSpaceDE w:val="0"/>
        <w:autoSpaceDN w:val="0"/>
        <w:adjustRightInd w:val="0"/>
        <w:spacing w:after="0" w:line="288" w:lineRule="auto"/>
        <w:rPr>
          <w:rFonts w:ascii="Helvetica Neue" w:hAnsi="Helvetica Neue" w:cs="Helvetica Neue"/>
          <w:color w:val="000000"/>
          <w:sz w:val="24"/>
          <w:szCs w:val="24"/>
        </w:rPr>
      </w:pPr>
    </w:p>
    <w:p w14:paraId="272DADED" w14:textId="1FA6DD2E"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With this position established, theurgy therefore values ‘inspired’ modes of divination as the focus within theurgy. Iamblichus believed that divine possession did not take place via the sensory faculties but through temporary inhabitation and domination of the body as a vehicle (ochima) or organ (organon). This view is in accordance with the Platonic and wider Greek philosophical stance prevalent at that time. While no major distinction is drawn between the notions of ‘inspiration’ and ‘divine possession’ states, it was believed that different types of deity influenced or produced different types of appearances. True possession, as far as Iamblichus was concerned, meant that consciousness and sense perception was affected or overridden leading to examples of being able to withstand injury or excessive heat due in this acquired state of being subsumed by the gods.</w:t>
      </w:r>
      <w:r w:rsidR="003A421A">
        <w:rPr>
          <w:rStyle w:val="FootnoteReference"/>
          <w:rFonts w:ascii="Helvetica Neue" w:hAnsi="Helvetica Neue" w:cs="Helvetica Neue"/>
          <w:color w:val="000000"/>
          <w:sz w:val="24"/>
          <w:szCs w:val="24"/>
        </w:rPr>
        <w:footnoteReference w:id="69"/>
      </w:r>
    </w:p>
    <w:p w14:paraId="1E763152" w14:textId="77777777" w:rsidR="007E3BB3" w:rsidRDefault="007E3BB3" w:rsidP="007E3BB3">
      <w:pPr>
        <w:autoSpaceDE w:val="0"/>
        <w:autoSpaceDN w:val="0"/>
        <w:adjustRightInd w:val="0"/>
        <w:spacing w:after="160" w:line="288" w:lineRule="auto"/>
        <w:rPr>
          <w:rFonts w:ascii="Helvetica Neue" w:hAnsi="Helvetica Neue" w:cs="Helvetica Neue"/>
          <w:color w:val="000000"/>
          <w:sz w:val="24"/>
          <w:szCs w:val="24"/>
        </w:rPr>
      </w:pPr>
    </w:p>
    <w:p w14:paraId="374ED08F" w14:textId="2C968415" w:rsidR="007E3BB3" w:rsidRDefault="007E3BB3" w:rsidP="007E3BB3">
      <w:pPr>
        <w:autoSpaceDE w:val="0"/>
        <w:autoSpaceDN w:val="0"/>
        <w:adjustRightInd w:val="0"/>
        <w:spacing w:after="160" w:line="288" w:lineRule="auto"/>
        <w:rPr>
          <w:rFonts w:ascii="Helvetica Neue" w:hAnsi="Helvetica Neue" w:cs="Helvetica Neue"/>
          <w:color w:val="000000"/>
          <w:sz w:val="24"/>
          <w:szCs w:val="24"/>
        </w:rPr>
      </w:pPr>
      <w:r>
        <w:rPr>
          <w:rFonts w:ascii="Helvetica Neue" w:hAnsi="Helvetica Neue" w:cs="Helvetica Neue"/>
          <w:color w:val="000000"/>
          <w:sz w:val="24"/>
          <w:szCs w:val="24"/>
        </w:rPr>
        <w:t>Phôtagôgia (φωταγωγία) is the presence of the divine light during theurgic divination. Such phenomena was regarded by Iamblichus as desirable to indicate the presence of the gods and it was considered that only during the presence of such light could any</w:t>
      </w:r>
      <w:r>
        <w:rPr>
          <w:rFonts w:ascii="Helvetica Neue" w:hAnsi="Helvetica Neue" w:cs="Helvetica Neue"/>
          <w:b/>
          <w:bCs/>
          <w:color w:val="000000"/>
          <w:sz w:val="24"/>
          <w:szCs w:val="24"/>
        </w:rPr>
        <w:t xml:space="preserve"> </w:t>
      </w:r>
      <w:r>
        <w:rPr>
          <w:rFonts w:ascii="Helvetica Neue" w:hAnsi="Helvetica Neue" w:cs="Helvetica Neue"/>
          <w:color w:val="000000"/>
          <w:sz w:val="24"/>
          <w:szCs w:val="24"/>
        </w:rPr>
        <w:t>divine messages be trusted. This sort of repeated experience</w:t>
      </w:r>
      <w:r>
        <w:rPr>
          <w:rFonts w:ascii="Helvetica Neue" w:hAnsi="Helvetica Neue" w:cs="Helvetica Neue"/>
          <w:b/>
          <w:bCs/>
          <w:color w:val="000000"/>
          <w:sz w:val="24"/>
          <w:szCs w:val="24"/>
        </w:rPr>
        <w:t xml:space="preserve"> </w:t>
      </w:r>
      <w:r>
        <w:rPr>
          <w:rFonts w:ascii="Helvetica Neue" w:hAnsi="Helvetica Neue" w:cs="Helvetica Neue"/>
          <w:color w:val="000000"/>
          <w:sz w:val="24"/>
          <w:szCs w:val="24"/>
        </w:rPr>
        <w:t xml:space="preserve">was also felt beneficial to </w:t>
      </w:r>
      <w:r w:rsidR="00B94481">
        <w:rPr>
          <w:rFonts w:ascii="Helvetica Neue" w:hAnsi="Helvetica Neue" w:cs="Helvetica Neue"/>
          <w:color w:val="000000"/>
          <w:sz w:val="24"/>
          <w:szCs w:val="24"/>
        </w:rPr>
        <w:t>support</w:t>
      </w:r>
      <w:r>
        <w:rPr>
          <w:rFonts w:ascii="Helvetica Neue" w:hAnsi="Helvetica Neue" w:cs="Helvetica Neue"/>
          <w:color w:val="000000"/>
          <w:sz w:val="24"/>
          <w:szCs w:val="24"/>
        </w:rPr>
        <w:t xml:space="preserve"> the ascent of the soul </w:t>
      </w:r>
      <w:r w:rsidR="00B94481">
        <w:rPr>
          <w:rFonts w:ascii="Helvetica Neue" w:hAnsi="Helvetica Neue" w:cs="Helvetica Neue"/>
          <w:color w:val="000000"/>
          <w:sz w:val="24"/>
          <w:szCs w:val="24"/>
        </w:rPr>
        <w:t>later</w:t>
      </w:r>
      <w:r>
        <w:rPr>
          <w:rFonts w:ascii="Helvetica Neue" w:hAnsi="Helvetica Neue" w:cs="Helvetica Neue"/>
          <w:color w:val="000000"/>
          <w:sz w:val="24"/>
          <w:szCs w:val="24"/>
        </w:rPr>
        <w:t>.</w:t>
      </w:r>
      <w:r w:rsidR="003A421A">
        <w:rPr>
          <w:rStyle w:val="FootnoteReference"/>
          <w:rFonts w:ascii="Helvetica Neue" w:hAnsi="Helvetica Neue" w:cs="Helvetica Neue"/>
          <w:color w:val="000000"/>
          <w:sz w:val="24"/>
          <w:szCs w:val="24"/>
        </w:rPr>
        <w:footnoteReference w:id="70"/>
      </w:r>
      <w:r>
        <w:rPr>
          <w:rFonts w:ascii="Helvetica Neue" w:hAnsi="Helvetica Neue" w:cs="Helvetica Neue"/>
          <w:color w:val="000000"/>
          <w:sz w:val="24"/>
          <w:szCs w:val="24"/>
        </w:rPr>
        <w:t xml:space="preserve"> Such a requirement for the presence of this light meant that many other divinatory practices, such as haruspicy, were not endorsed by the </w:t>
      </w:r>
      <w:r>
        <w:rPr>
          <w:rFonts w:ascii="Helvetica Neue" w:hAnsi="Helvetica Neue" w:cs="Helvetica Neue"/>
          <w:i/>
          <w:iCs/>
          <w:color w:val="000000"/>
          <w:sz w:val="24"/>
          <w:szCs w:val="24"/>
        </w:rPr>
        <w:t>Oracles</w:t>
      </w:r>
      <w:r>
        <w:rPr>
          <w:rFonts w:ascii="Helvetica Neue" w:hAnsi="Helvetica Neue" w:cs="Helvetica Neue"/>
          <w:color w:val="000000"/>
          <w:sz w:val="24"/>
          <w:szCs w:val="24"/>
        </w:rPr>
        <w:t xml:space="preserve"> as being in the absence of the gods and due to the perceived ability for this to be adversely manipulated by daemons.</w:t>
      </w:r>
    </w:p>
    <w:p w14:paraId="59DC4F14" w14:textId="4CBA28E3" w:rsidR="007E3BB3" w:rsidRDefault="007E3BB3" w:rsidP="000A7E71">
      <w:pPr>
        <w:autoSpaceDE w:val="0"/>
        <w:autoSpaceDN w:val="0"/>
        <w:adjustRightInd w:val="0"/>
        <w:spacing w:after="0" w:line="288" w:lineRule="auto"/>
        <w:rPr>
          <w:rFonts w:ascii="Helvetica Neue" w:hAnsi="Helvetica Neue" w:cs="Helvetica Neue"/>
          <w:b/>
          <w:bCs/>
          <w:color w:val="000000"/>
          <w:sz w:val="24"/>
          <w:szCs w:val="24"/>
        </w:rPr>
      </w:pPr>
      <w:r>
        <w:rPr>
          <w:rFonts w:ascii="Helvetica Neue" w:hAnsi="Helvetica Neue" w:cs="Helvetica Neue"/>
          <w:color w:val="000000"/>
          <w:sz w:val="24"/>
          <w:szCs w:val="24"/>
        </w:rPr>
        <w:t xml:space="preserve">Pneuma is another </w:t>
      </w:r>
      <w:r w:rsidR="00B94481">
        <w:rPr>
          <w:rFonts w:ascii="Helvetica Neue" w:hAnsi="Helvetica Neue" w:cs="Helvetica Neue"/>
          <w:color w:val="000000"/>
          <w:sz w:val="24"/>
          <w:szCs w:val="24"/>
        </w:rPr>
        <w:t>phenomenon</w:t>
      </w:r>
      <w:r>
        <w:rPr>
          <w:rFonts w:ascii="Helvetica Neue" w:hAnsi="Helvetica Neue" w:cs="Helvetica Neue"/>
          <w:color w:val="000000"/>
          <w:sz w:val="24"/>
          <w:szCs w:val="24"/>
        </w:rPr>
        <w:t xml:space="preserve"> that is referred to in theurgical cosmology and describes the substance that surrounds the human soul creating a layer between that and the physical body, which becomes activated by the divine light during divination and needed to be prepared in advance to receive this.</w:t>
      </w:r>
      <w:r w:rsidR="003A421A">
        <w:rPr>
          <w:rStyle w:val="FootnoteReference"/>
          <w:rFonts w:ascii="Helvetica Neue" w:hAnsi="Helvetica Neue" w:cs="Helvetica Neue"/>
          <w:color w:val="000000"/>
          <w:sz w:val="24"/>
          <w:szCs w:val="24"/>
        </w:rPr>
        <w:footnoteReference w:id="71"/>
      </w:r>
      <w:r>
        <w:rPr>
          <w:rFonts w:ascii="Helvetica Neue" w:hAnsi="Helvetica Neue" w:cs="Helvetica Neue"/>
          <w:color w:val="000000"/>
          <w:sz w:val="24"/>
          <w:szCs w:val="24"/>
        </w:rPr>
        <w:t xml:space="preserve"> Preparations for a medium or ‘receiver’ being used to commune with a god would include drinking spring water, ritual bathing, fasting, withdrawal into solitude, and meditation to </w:t>
      </w:r>
      <w:r>
        <w:rPr>
          <w:rFonts w:ascii="Helvetica Neue" w:hAnsi="Helvetica Neue" w:cs="Helvetica Neue"/>
          <w:color w:val="000000"/>
          <w:sz w:val="24"/>
          <w:szCs w:val="24"/>
        </w:rPr>
        <w:lastRenderedPageBreak/>
        <w:t>purify the medium as much as possible from corporeal pollution.</w:t>
      </w:r>
      <w:r w:rsidR="003A421A">
        <w:rPr>
          <w:rStyle w:val="FootnoteReference"/>
          <w:rFonts w:ascii="Helvetica Neue" w:hAnsi="Helvetica Neue" w:cs="Helvetica Neue"/>
          <w:color w:val="000000"/>
          <w:sz w:val="24"/>
          <w:szCs w:val="24"/>
        </w:rPr>
        <w:footnoteReference w:id="72"/>
      </w:r>
      <w:r>
        <w:rPr>
          <w:rFonts w:ascii="Helvetica Neue" w:hAnsi="Helvetica Neue" w:cs="Helvetica Neue"/>
          <w:color w:val="000000"/>
          <w:sz w:val="24"/>
          <w:szCs w:val="24"/>
        </w:rPr>
        <w:t xml:space="preserve"> It was considered necessary for the medium to acknowledge the spirit descend and enter the body, creating a level of mystical obedience and servitude in the medium towards the spirit.</w:t>
      </w:r>
      <w:r w:rsidR="003A421A">
        <w:rPr>
          <w:rStyle w:val="FootnoteReference"/>
          <w:rFonts w:ascii="Helvetica Neue" w:hAnsi="Helvetica Neue" w:cs="Helvetica Neue"/>
          <w:color w:val="000000"/>
          <w:sz w:val="24"/>
          <w:szCs w:val="24"/>
        </w:rPr>
        <w:footnoteReference w:id="73"/>
      </w:r>
      <w:r>
        <w:rPr>
          <w:rFonts w:ascii="Helvetica Neue" w:hAnsi="Helvetica Neue" w:cs="Helvetica Neue"/>
          <w:color w:val="000000"/>
          <w:sz w:val="24"/>
          <w:szCs w:val="24"/>
        </w:rPr>
        <w:t xml:space="preserve"> The hypnagogic state between falling asleep and waking up is regarded as divine and fit for the reception of the gods to produce divine epiphanies.</w:t>
      </w:r>
      <w:r w:rsidR="003A421A">
        <w:rPr>
          <w:rStyle w:val="FootnoteReference"/>
          <w:rFonts w:ascii="Helvetica Neue" w:hAnsi="Helvetica Neue" w:cs="Helvetica Neue"/>
          <w:color w:val="000000"/>
          <w:sz w:val="24"/>
          <w:szCs w:val="24"/>
        </w:rPr>
        <w:footnoteReference w:id="74"/>
      </w:r>
    </w:p>
    <w:p w14:paraId="7673E81E" w14:textId="77777777" w:rsidR="000A7E71" w:rsidRPr="000A7E71" w:rsidRDefault="000A7E71" w:rsidP="000A7E71">
      <w:pPr>
        <w:autoSpaceDE w:val="0"/>
        <w:autoSpaceDN w:val="0"/>
        <w:adjustRightInd w:val="0"/>
        <w:spacing w:after="0" w:line="288" w:lineRule="auto"/>
        <w:rPr>
          <w:rFonts w:ascii="Helvetica Neue" w:hAnsi="Helvetica Neue" w:cs="Helvetica Neue"/>
          <w:b/>
          <w:bCs/>
          <w:color w:val="000000"/>
          <w:sz w:val="24"/>
          <w:szCs w:val="24"/>
        </w:rPr>
      </w:pPr>
    </w:p>
    <w:p w14:paraId="73D29FF5" w14:textId="10CA1B91" w:rsidR="007E3BB3" w:rsidRDefault="007E3BB3" w:rsidP="007E3BB3">
      <w:pPr>
        <w:autoSpaceDE w:val="0"/>
        <w:autoSpaceDN w:val="0"/>
        <w:adjustRightInd w:val="0"/>
        <w:spacing w:after="0" w:line="288" w:lineRule="auto"/>
        <w:rPr>
          <w:rFonts w:ascii="Helvetica Neue" w:hAnsi="Helvetica Neue" w:cs="Helvetica Neue"/>
          <w:i/>
          <w:iCs/>
          <w:color w:val="A30003"/>
          <w:sz w:val="24"/>
          <w:szCs w:val="24"/>
        </w:rPr>
      </w:pPr>
      <w:r>
        <w:rPr>
          <w:rFonts w:ascii="Helvetica Neue" w:hAnsi="Helvetica Neue" w:cs="Helvetica Neue"/>
          <w:color w:val="000000"/>
          <w:sz w:val="24"/>
          <w:szCs w:val="24"/>
        </w:rPr>
        <w:t xml:space="preserve">There is </w:t>
      </w:r>
      <w:r w:rsidR="000A7E71">
        <w:rPr>
          <w:rFonts w:ascii="Helvetica Neue" w:hAnsi="Helvetica Neue" w:cs="Helvetica Neue"/>
          <w:color w:val="000000"/>
          <w:sz w:val="24"/>
          <w:szCs w:val="24"/>
        </w:rPr>
        <w:t xml:space="preserve">also </w:t>
      </w:r>
      <w:r>
        <w:rPr>
          <w:rFonts w:ascii="Helvetica Neue" w:hAnsi="Helvetica Neue" w:cs="Helvetica Neue"/>
          <w:color w:val="000000"/>
          <w:sz w:val="24"/>
          <w:szCs w:val="24"/>
        </w:rPr>
        <w:t xml:space="preserve">an acknowledged difference </w:t>
      </w:r>
      <w:r w:rsidR="000A7E71">
        <w:rPr>
          <w:rFonts w:ascii="Helvetica Neue" w:hAnsi="Helvetica Neue" w:cs="Helvetica Neue"/>
          <w:color w:val="000000"/>
          <w:sz w:val="24"/>
          <w:szCs w:val="24"/>
        </w:rPr>
        <w:t xml:space="preserve">in Theurgy </w:t>
      </w:r>
      <w:r>
        <w:rPr>
          <w:rFonts w:ascii="Helvetica Neue" w:hAnsi="Helvetica Neue" w:cs="Helvetica Neue"/>
          <w:color w:val="000000"/>
          <w:sz w:val="24"/>
          <w:szCs w:val="24"/>
        </w:rPr>
        <w:t xml:space="preserve">between true oracular knowledge and that which </w:t>
      </w:r>
      <w:r w:rsidR="000A7E71">
        <w:rPr>
          <w:rFonts w:ascii="Helvetica Neue" w:hAnsi="Helvetica Neue" w:cs="Helvetica Neue"/>
          <w:color w:val="000000"/>
          <w:sz w:val="24"/>
          <w:szCs w:val="24"/>
        </w:rPr>
        <w:t>is</w:t>
      </w:r>
      <w:r>
        <w:rPr>
          <w:rFonts w:ascii="Helvetica Neue" w:hAnsi="Helvetica Neue" w:cs="Helvetica Neue"/>
          <w:color w:val="000000"/>
          <w:sz w:val="24"/>
          <w:szCs w:val="24"/>
        </w:rPr>
        <w:t xml:space="preserve"> consider</w:t>
      </w:r>
      <w:r w:rsidR="000A7E71">
        <w:rPr>
          <w:rFonts w:ascii="Helvetica Neue" w:hAnsi="Helvetica Neue" w:cs="Helvetica Neue"/>
          <w:color w:val="000000"/>
          <w:sz w:val="24"/>
          <w:szCs w:val="24"/>
        </w:rPr>
        <w:t>ed</w:t>
      </w:r>
      <w:r>
        <w:rPr>
          <w:rFonts w:ascii="Helvetica Neue" w:hAnsi="Helvetica Neue" w:cs="Helvetica Neue"/>
          <w:color w:val="000000"/>
          <w:sz w:val="24"/>
          <w:szCs w:val="24"/>
        </w:rPr>
        <w:t xml:space="preserve"> as intuition</w:t>
      </w:r>
      <w:r w:rsidR="000A7E71">
        <w:rPr>
          <w:rFonts w:ascii="Helvetica Neue" w:hAnsi="Helvetica Neue" w:cs="Helvetica Neue"/>
          <w:color w:val="000000"/>
          <w:sz w:val="24"/>
          <w:szCs w:val="24"/>
        </w:rPr>
        <w:t>,</w:t>
      </w:r>
      <w:r>
        <w:rPr>
          <w:rFonts w:ascii="Helvetica Neue" w:hAnsi="Helvetica Neue" w:cs="Helvetica Neue"/>
          <w:color w:val="000000"/>
          <w:sz w:val="24"/>
          <w:szCs w:val="24"/>
        </w:rPr>
        <w:t xml:space="preserve"> as intuition is not always certain or true. Therefore, when a </w:t>
      </w:r>
      <w:r w:rsidR="00B94481">
        <w:rPr>
          <w:rFonts w:ascii="Helvetica Neue" w:hAnsi="Helvetica Neue" w:cs="Helvetica Neue"/>
          <w:color w:val="000000"/>
          <w:sz w:val="24"/>
          <w:szCs w:val="24"/>
        </w:rPr>
        <w:t>ship’s</w:t>
      </w:r>
      <w:r>
        <w:rPr>
          <w:rFonts w:ascii="Helvetica Neue" w:hAnsi="Helvetica Neue" w:cs="Helvetica Neue"/>
          <w:color w:val="000000"/>
          <w:sz w:val="24"/>
          <w:szCs w:val="24"/>
        </w:rPr>
        <w:t xml:space="preserve"> captain intuits that a storm is coming, or a doctor intuits that a patient has a certain sickness, this is not acquired through divine foreknowledge, but a probable calculation from the knowledge of certain signs.</w:t>
      </w:r>
      <w:r w:rsidR="003A421A">
        <w:rPr>
          <w:rStyle w:val="FootnoteReference"/>
          <w:rFonts w:ascii="Helvetica Neue" w:hAnsi="Helvetica Neue" w:cs="Helvetica Neue"/>
          <w:color w:val="000000"/>
          <w:sz w:val="24"/>
          <w:szCs w:val="24"/>
        </w:rPr>
        <w:footnoteReference w:id="75"/>
      </w:r>
    </w:p>
    <w:p w14:paraId="724F7735"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6D9D1A2C" w14:textId="77777777" w:rsidR="007E3BB3" w:rsidRDefault="007E3BB3" w:rsidP="00B94481">
      <w:pPr>
        <w:pStyle w:val="Heading2"/>
        <w:rPr>
          <w:b w:val="0"/>
        </w:rPr>
      </w:pPr>
      <w:r>
        <w:rPr>
          <w:b w:val="0"/>
        </w:rPr>
        <w:t>Ritual</w:t>
      </w:r>
    </w:p>
    <w:p w14:paraId="3F01F5CE"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3BEE2147" w14:textId="6FA4C839" w:rsidR="007E3BB3" w:rsidRDefault="007E3BB3" w:rsidP="000A7E71">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Theurgic rites are regarded by Iamblichus as ‘part of the continuum’ of theurgy, rather than a mutually exclusive alternative.</w:t>
      </w:r>
      <w:r w:rsidR="003A421A">
        <w:rPr>
          <w:rStyle w:val="FootnoteReference"/>
          <w:rFonts w:ascii="Helvetica Neue" w:hAnsi="Helvetica Neue" w:cs="Helvetica Neue"/>
          <w:color w:val="000000"/>
          <w:sz w:val="24"/>
          <w:szCs w:val="24"/>
        </w:rPr>
        <w:footnoteReference w:id="76"/>
      </w:r>
      <w:r>
        <w:rPr>
          <w:rFonts w:ascii="Helvetica Neue" w:hAnsi="Helvetica Neue" w:cs="Helvetica Neue"/>
          <w:color w:val="000000"/>
          <w:sz w:val="24"/>
          <w:szCs w:val="24"/>
        </w:rPr>
        <w:t xml:space="preserve"> By means of appropriate rites, the theurgist directs the powers of his </w:t>
      </w:r>
      <w:r w:rsidR="00B94481">
        <w:rPr>
          <w:rFonts w:ascii="Helvetica Neue" w:hAnsi="Helvetica Neue" w:cs="Helvetica Neue"/>
          <w:color w:val="000000"/>
          <w:sz w:val="24"/>
          <w:szCs w:val="24"/>
        </w:rPr>
        <w:t>soul</w:t>
      </w:r>
      <w:r>
        <w:rPr>
          <w:rFonts w:ascii="Helvetica Neue" w:hAnsi="Helvetica Neue" w:cs="Helvetica Neue"/>
          <w:color w:val="000000"/>
          <w:sz w:val="24"/>
          <w:szCs w:val="24"/>
        </w:rPr>
        <w:t xml:space="preserve"> (micros cosmos) into alignment with the powers of the world soul.</w:t>
      </w:r>
      <w:r w:rsidR="003A421A">
        <w:rPr>
          <w:rStyle w:val="FootnoteReference"/>
          <w:rFonts w:ascii="Helvetica Neue" w:hAnsi="Helvetica Neue" w:cs="Helvetica Neue"/>
          <w:color w:val="000000"/>
          <w:sz w:val="24"/>
          <w:szCs w:val="24"/>
        </w:rPr>
        <w:footnoteReference w:id="77"/>
      </w:r>
      <w:r>
        <w:rPr>
          <w:rFonts w:ascii="Helvetica Neue" w:hAnsi="Helvetica Neue" w:cs="Helvetica Neue"/>
          <w:color w:val="000000"/>
          <w:sz w:val="24"/>
          <w:szCs w:val="24"/>
        </w:rPr>
        <w:t xml:space="preserve"> Iamblichus maintained that the divine principles invoked in theurgical rites were derived from the teachings of Pythagoras, </w:t>
      </w:r>
      <w:r w:rsidR="00B94481">
        <w:rPr>
          <w:rFonts w:ascii="Helvetica Neue" w:hAnsi="Helvetica Neue" w:cs="Helvetica Neue"/>
          <w:color w:val="000000"/>
          <w:sz w:val="24"/>
          <w:szCs w:val="24"/>
        </w:rPr>
        <w:t>Plato,</w:t>
      </w:r>
      <w:r>
        <w:rPr>
          <w:rFonts w:ascii="Helvetica Neue" w:hAnsi="Helvetica Neue" w:cs="Helvetica Neue"/>
          <w:color w:val="000000"/>
          <w:sz w:val="24"/>
          <w:szCs w:val="24"/>
        </w:rPr>
        <w:t xml:space="preserve"> and Aristotle.</w:t>
      </w:r>
      <w:r w:rsidR="003A421A">
        <w:rPr>
          <w:rStyle w:val="FootnoteReference"/>
          <w:rFonts w:ascii="Helvetica Neue" w:hAnsi="Helvetica Neue" w:cs="Helvetica Neue"/>
          <w:color w:val="000000"/>
          <w:sz w:val="24"/>
          <w:szCs w:val="24"/>
        </w:rPr>
        <w:footnoteReference w:id="78"/>
      </w:r>
      <w:r>
        <w:rPr>
          <w:rFonts w:ascii="Helvetica Neue" w:hAnsi="Helvetica Neue" w:cs="Helvetica Neue"/>
          <w:color w:val="000000"/>
          <w:sz w:val="24"/>
          <w:szCs w:val="24"/>
        </w:rPr>
        <w:t xml:space="preserve"> The use of symbols in theurgical rites utilise the unbroken thread of kinship or sympathy to utilise the presence of divine energy in such threads to reawaken the soul and commune with the gods.</w:t>
      </w:r>
      <w:r w:rsidR="003A421A">
        <w:rPr>
          <w:rStyle w:val="FootnoteReference"/>
          <w:rFonts w:ascii="Helvetica Neue" w:hAnsi="Helvetica Neue" w:cs="Helvetica Neue"/>
          <w:color w:val="000000"/>
          <w:sz w:val="24"/>
          <w:szCs w:val="24"/>
        </w:rPr>
        <w:footnoteReference w:id="79"/>
      </w:r>
      <w:r w:rsidR="000A7E71">
        <w:rPr>
          <w:rFonts w:ascii="Helvetica Neue" w:hAnsi="Helvetica Neue" w:cs="Helvetica Neue"/>
          <w:color w:val="000000"/>
          <w:sz w:val="24"/>
          <w:szCs w:val="24"/>
        </w:rPr>
        <w:t xml:space="preserve"> </w:t>
      </w:r>
      <w:r>
        <w:rPr>
          <w:rFonts w:ascii="Helvetica Neue" w:hAnsi="Helvetica Neue" w:cs="Helvetica Neue"/>
          <w:color w:val="000000"/>
          <w:sz w:val="24"/>
          <w:szCs w:val="24"/>
        </w:rPr>
        <w:t xml:space="preserve">The principal means of effecting contact with the gods is through </w:t>
      </w:r>
      <w:r w:rsidR="000A7E71">
        <w:rPr>
          <w:rFonts w:ascii="Helvetica Neue" w:hAnsi="Helvetica Neue" w:cs="Helvetica Neue"/>
          <w:color w:val="000000"/>
          <w:sz w:val="24"/>
          <w:szCs w:val="24"/>
        </w:rPr>
        <w:t xml:space="preserve">the use of appropriate substances and through the </w:t>
      </w:r>
      <w:r>
        <w:rPr>
          <w:rFonts w:ascii="Helvetica Neue" w:hAnsi="Helvetica Neue" w:cs="Helvetica Neue"/>
          <w:color w:val="000000"/>
          <w:sz w:val="24"/>
          <w:szCs w:val="24"/>
        </w:rPr>
        <w:t xml:space="preserve">utterance of divine vowels or sounds, known as Voces Mysticae or </w:t>
      </w:r>
      <w:r w:rsidR="000A7E71">
        <w:rPr>
          <w:rFonts w:ascii="Helvetica Neue" w:hAnsi="Helvetica Neue" w:cs="Helvetica Neue"/>
          <w:color w:val="000000"/>
          <w:sz w:val="24"/>
          <w:szCs w:val="24"/>
        </w:rPr>
        <w:t>N</w:t>
      </w:r>
      <w:r>
        <w:rPr>
          <w:rFonts w:ascii="Helvetica Neue" w:hAnsi="Helvetica Neue" w:cs="Helvetica Neue"/>
          <w:color w:val="000000"/>
          <w:sz w:val="24"/>
          <w:szCs w:val="24"/>
        </w:rPr>
        <w:t>omina Barbara. Equivalent to sunthemata or symbol, these characters are also found in the Magical Papyri and Gnostic and Hermetic texts.</w:t>
      </w:r>
      <w:r w:rsidR="003A421A">
        <w:rPr>
          <w:rStyle w:val="FootnoteReference"/>
          <w:rFonts w:ascii="Helvetica Neue" w:hAnsi="Helvetica Neue" w:cs="Helvetica Neue"/>
          <w:color w:val="000000"/>
          <w:sz w:val="24"/>
          <w:szCs w:val="24"/>
        </w:rPr>
        <w:footnoteReference w:id="80"/>
      </w:r>
    </w:p>
    <w:p w14:paraId="397F6BB9"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68546442"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08971FD5"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There is very little evidence to provide information of the exact techniques that were used in theurgic rites.</w:t>
      </w:r>
    </w:p>
    <w:p w14:paraId="28ACD86A"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09F73087"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r>
        <w:rPr>
          <w:rFonts w:ascii="Helvetica Neue" w:hAnsi="Helvetica Neue" w:cs="Helvetica Neue"/>
          <w:b/>
          <w:bCs/>
          <w:color w:val="000000"/>
          <w:sz w:val="24"/>
          <w:szCs w:val="24"/>
        </w:rPr>
        <w:t>Hypodochê</w:t>
      </w:r>
    </w:p>
    <w:p w14:paraId="6B0D7299" w14:textId="53697069"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Creation of a telestic statue is often used to encourage inhabitation by a deity and enable the transmission of divine oracles, as well as divine possession of the theurgist, or medium, to receive the word of the gods.</w:t>
      </w:r>
      <w:r w:rsidR="003A421A">
        <w:rPr>
          <w:rStyle w:val="FootnoteReference"/>
          <w:rFonts w:ascii="Helvetica Neue" w:hAnsi="Helvetica Neue" w:cs="Helvetica Neue"/>
          <w:color w:val="000000"/>
          <w:sz w:val="24"/>
          <w:szCs w:val="24"/>
        </w:rPr>
        <w:footnoteReference w:id="81"/>
      </w:r>
      <w:r>
        <w:rPr>
          <w:rFonts w:ascii="Helvetica Neue" w:hAnsi="Helvetica Neue" w:cs="Helvetica Neue"/>
          <w:color w:val="000000"/>
          <w:sz w:val="24"/>
          <w:szCs w:val="24"/>
        </w:rPr>
        <w:t xml:space="preserve"> The creation of statues made from sympathetic substances to be as </w:t>
      </w:r>
      <w:r w:rsidR="00B94481">
        <w:rPr>
          <w:rFonts w:ascii="Helvetica Neue" w:hAnsi="Helvetica Neue" w:cs="Helvetica Neue"/>
          <w:color w:val="000000"/>
          <w:sz w:val="24"/>
          <w:szCs w:val="24"/>
        </w:rPr>
        <w:t>perfectly fitting</w:t>
      </w:r>
      <w:r>
        <w:rPr>
          <w:rFonts w:ascii="Helvetica Neue" w:hAnsi="Helvetica Neue" w:cs="Helvetica Neue"/>
          <w:color w:val="000000"/>
          <w:sz w:val="24"/>
          <w:szCs w:val="24"/>
        </w:rPr>
        <w:t xml:space="preserve"> as possible to encourage the god to ascend into it.</w:t>
      </w:r>
    </w:p>
    <w:p w14:paraId="7DF24353"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20DCF25" w14:textId="77777777" w:rsidR="007E3BB3" w:rsidRDefault="007E3BB3" w:rsidP="007E3BB3">
      <w:pPr>
        <w:autoSpaceDE w:val="0"/>
        <w:autoSpaceDN w:val="0"/>
        <w:adjustRightInd w:val="0"/>
        <w:spacing w:after="0" w:line="288" w:lineRule="auto"/>
        <w:rPr>
          <w:rFonts w:ascii="Helvetica Neue" w:hAnsi="Helvetica Neue" w:cs="Helvetica Neue"/>
          <w:b/>
          <w:bCs/>
          <w:color w:val="000000"/>
          <w:sz w:val="24"/>
          <w:szCs w:val="24"/>
        </w:rPr>
      </w:pPr>
    </w:p>
    <w:p w14:paraId="76D0B25A"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3F5726D3" w14:textId="77777777" w:rsidR="007E3BB3" w:rsidRDefault="007E3BB3" w:rsidP="00B94481">
      <w:pPr>
        <w:pStyle w:val="Heading2"/>
      </w:pPr>
      <w:r>
        <w:rPr>
          <w:b w:val="0"/>
        </w:rPr>
        <w:t>It is not Magic</w:t>
      </w:r>
      <w:r>
        <w:t xml:space="preserve"> </w:t>
      </w:r>
    </w:p>
    <w:p w14:paraId="0D793782" w14:textId="12498D5E" w:rsidR="007E3BB3" w:rsidRDefault="000A7E71"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Some scholarly debate has centred around discussion of </w:t>
      </w:r>
      <w:proofErr w:type="spellStart"/>
      <w:r>
        <w:rPr>
          <w:rFonts w:ascii="Helvetica Neue" w:hAnsi="Helvetica Neue" w:cs="Helvetica Neue"/>
          <w:color w:val="000000"/>
          <w:sz w:val="24"/>
          <w:szCs w:val="24"/>
        </w:rPr>
        <w:t>Thrugy</w:t>
      </w:r>
      <w:proofErr w:type="spellEnd"/>
      <w:r>
        <w:rPr>
          <w:rFonts w:ascii="Helvetica Neue" w:hAnsi="Helvetica Neue" w:cs="Helvetica Neue"/>
          <w:color w:val="000000"/>
          <w:sz w:val="24"/>
          <w:szCs w:val="24"/>
        </w:rPr>
        <w:t xml:space="preserve"> as a magical practice due to the nature of the rituals employed. </w:t>
      </w:r>
      <w:r w:rsidR="007E3BB3">
        <w:rPr>
          <w:rFonts w:ascii="Helvetica Neue" w:hAnsi="Helvetica Neue" w:cs="Helvetica Neue"/>
          <w:color w:val="000000"/>
          <w:sz w:val="24"/>
          <w:szCs w:val="24"/>
        </w:rPr>
        <w:t xml:space="preserve">Crystal Addey concedes that it is still difficult for scholars to define not just the relationship of theurgy to magic, but even the relationship of magic to religion, rendering a certain amount of ambiguity regarding dichotomy. </w:t>
      </w:r>
      <w:r w:rsidR="00B94481">
        <w:rPr>
          <w:rFonts w:ascii="Helvetica Neue" w:hAnsi="Helvetica Neue" w:cs="Helvetica Neue"/>
          <w:color w:val="000000"/>
          <w:sz w:val="24"/>
          <w:szCs w:val="24"/>
        </w:rPr>
        <w:t>However,</w:t>
      </w:r>
      <w:r w:rsidR="007E3BB3">
        <w:rPr>
          <w:rFonts w:ascii="Helvetica Neue" w:hAnsi="Helvetica Neue" w:cs="Helvetica Neue"/>
          <w:color w:val="000000"/>
          <w:sz w:val="24"/>
          <w:szCs w:val="24"/>
        </w:rPr>
        <w:t xml:space="preserve"> the ritual practices of theurgy are clear in their intention to support divine union, rather than achieve material ends, which appears to lean more towards a religious practice than a magical one, even if some elements, such as the incantation of ineffable names, are evidently used as a magical technique. Iamblichus was of the view that magicians are inferior to theurgists as the magician overlooks the entire notion of the need for preparedness and contemplation to enhance receptivity, ultimately compromising both the sanctity and efficacy of their rituals.</w:t>
      </w:r>
    </w:p>
    <w:p w14:paraId="7E533B4F"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2C6CE442" w14:textId="0F352D1A" w:rsidR="007E3BB3" w:rsidRDefault="007E3BB3" w:rsidP="000A7E71">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Although theurgic ritual may seem imperceptible to magic to the onlooker, it is distinct from ancient magical practice in that the theurgist is not seeking to coerce or manipulate the gods for their own wordily ends, which forms the basis of most Goetic magic.</w:t>
      </w:r>
      <w:r w:rsidR="000A7E71">
        <w:rPr>
          <w:rFonts w:ascii="Helvetica Neue" w:hAnsi="Helvetica Neue" w:cs="Helvetica Neue"/>
          <w:color w:val="000000"/>
          <w:sz w:val="24"/>
          <w:szCs w:val="24"/>
        </w:rPr>
        <w:t xml:space="preserve"> </w:t>
      </w:r>
      <w:r w:rsidR="000A7E71">
        <w:rPr>
          <w:rFonts w:ascii="Helvetica Neue" w:hAnsi="Helvetica Neue" w:cs="Helvetica Neue"/>
          <w:color w:val="000000"/>
          <w:sz w:val="24"/>
          <w:szCs w:val="24"/>
        </w:rPr>
        <w:t xml:space="preserve">The notion of divine love is another </w:t>
      </w:r>
      <w:r w:rsidR="000A7E71">
        <w:rPr>
          <w:rFonts w:ascii="Helvetica Neue" w:hAnsi="Helvetica Neue" w:cs="Helvetica Neue"/>
          <w:color w:val="000000"/>
          <w:sz w:val="24"/>
          <w:szCs w:val="24"/>
        </w:rPr>
        <w:t xml:space="preserve">significant </w:t>
      </w:r>
      <w:r w:rsidR="000A7E71">
        <w:rPr>
          <w:rFonts w:ascii="Helvetica Neue" w:hAnsi="Helvetica Neue" w:cs="Helvetica Neue"/>
          <w:color w:val="000000"/>
          <w:sz w:val="24"/>
          <w:szCs w:val="24"/>
        </w:rPr>
        <w:t xml:space="preserve">factor in the differentiation between theurgy and magic (or goeteia) as such a pure essence would not align </w:t>
      </w:r>
      <w:r w:rsidR="000A7E71">
        <w:rPr>
          <w:rFonts w:ascii="Helvetica Neue" w:hAnsi="Helvetica Neue" w:cs="Helvetica Neue"/>
          <w:color w:val="000000"/>
          <w:sz w:val="24"/>
          <w:szCs w:val="24"/>
        </w:rPr>
        <w:t xml:space="preserve">with </w:t>
      </w:r>
      <w:r w:rsidR="000A7E71">
        <w:rPr>
          <w:rFonts w:ascii="Helvetica Neue" w:hAnsi="Helvetica Neue" w:cs="Helvetica Neue"/>
          <w:color w:val="000000"/>
          <w:sz w:val="24"/>
          <w:szCs w:val="24"/>
        </w:rPr>
        <w:t>the objectives of material gain or harmful desire, which is often the purpose of more rudimentary magic.</w:t>
      </w:r>
    </w:p>
    <w:p w14:paraId="687D7BDC" w14:textId="092415E2" w:rsidR="007E3BB3" w:rsidRDefault="000A7E71" w:rsidP="007E3BB3">
      <w:pPr>
        <w:autoSpaceDE w:val="0"/>
        <w:autoSpaceDN w:val="0"/>
        <w:adjustRightInd w:val="0"/>
        <w:spacing w:after="160" w:line="288" w:lineRule="auto"/>
        <w:rPr>
          <w:rFonts w:ascii="Helvetica Neue" w:hAnsi="Helvetica Neue" w:cs="Helvetica Neue"/>
          <w:color w:val="000000"/>
          <w:sz w:val="24"/>
          <w:szCs w:val="24"/>
        </w:rPr>
      </w:pPr>
      <w:r>
        <w:rPr>
          <w:rFonts w:ascii="Helvetica Neue" w:hAnsi="Helvetica Neue" w:cs="Helvetica Neue"/>
          <w:color w:val="000000"/>
          <w:sz w:val="24"/>
          <w:szCs w:val="24"/>
        </w:rPr>
        <w:lastRenderedPageBreak/>
        <w:t>Along with magic, p</w:t>
      </w:r>
      <w:r w:rsidR="00B94481">
        <w:rPr>
          <w:rFonts w:ascii="Helvetica Neue" w:hAnsi="Helvetica Neue" w:cs="Helvetica Neue"/>
          <w:color w:val="000000"/>
          <w:sz w:val="24"/>
          <w:szCs w:val="24"/>
        </w:rPr>
        <w:t>arallels</w:t>
      </w:r>
      <w:r w:rsidR="007E3BB3">
        <w:rPr>
          <w:rFonts w:ascii="Helvetica Neue" w:hAnsi="Helvetica Neue" w:cs="Helvetica Neue"/>
          <w:color w:val="000000"/>
          <w:sz w:val="24"/>
          <w:szCs w:val="24"/>
        </w:rPr>
        <w:t xml:space="preserve"> have also been drawn with Christian sacrament, with it now even being questioned whether Christianity fulfilled/imitated the role of theurgist through its rites.</w:t>
      </w:r>
      <w:r w:rsidR="003A421A">
        <w:rPr>
          <w:rStyle w:val="FootnoteReference"/>
          <w:rFonts w:ascii="Helvetica Neue" w:hAnsi="Helvetica Neue" w:cs="Helvetica Neue"/>
          <w:color w:val="000000"/>
          <w:sz w:val="24"/>
          <w:szCs w:val="24"/>
        </w:rPr>
        <w:footnoteReference w:id="82"/>
      </w:r>
    </w:p>
    <w:p w14:paraId="3105967E"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55652866"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24CBB815" w14:textId="77777777" w:rsidR="007E3BB3" w:rsidRDefault="007E3BB3" w:rsidP="00BE7DB8">
      <w:pPr>
        <w:pStyle w:val="Heading1"/>
      </w:pPr>
      <w:r>
        <w:t>Conclusion</w:t>
      </w:r>
    </w:p>
    <w:p w14:paraId="125D568C" w14:textId="77777777" w:rsidR="007E3BB3" w:rsidRDefault="007E3BB3" w:rsidP="007E3BB3">
      <w:pPr>
        <w:autoSpaceDE w:val="0"/>
        <w:autoSpaceDN w:val="0"/>
        <w:adjustRightInd w:val="0"/>
        <w:spacing w:after="0" w:line="288" w:lineRule="auto"/>
        <w:rPr>
          <w:rFonts w:ascii="Helvetica Neue" w:hAnsi="Helvetica Neue" w:cs="Helvetica Neue"/>
          <w:i/>
          <w:iCs/>
          <w:color w:val="000000"/>
          <w:sz w:val="24"/>
          <w:szCs w:val="24"/>
        </w:rPr>
      </w:pPr>
    </w:p>
    <w:p w14:paraId="21CDE3F2" w14:textId="77777777" w:rsidR="007E3BB3" w:rsidRDefault="007E3BB3" w:rsidP="007E3BB3">
      <w:pPr>
        <w:autoSpaceDE w:val="0"/>
        <w:autoSpaceDN w:val="0"/>
        <w:adjustRightInd w:val="0"/>
        <w:spacing w:after="0" w:line="288" w:lineRule="auto"/>
        <w:rPr>
          <w:rFonts w:ascii="Helvetica Neue" w:hAnsi="Helvetica Neue" w:cs="Helvetica Neue"/>
          <w:i/>
          <w:iCs/>
          <w:color w:val="000000"/>
          <w:sz w:val="24"/>
          <w:szCs w:val="24"/>
        </w:rPr>
      </w:pPr>
      <w:r>
        <w:rPr>
          <w:rFonts w:ascii="Helvetica Neue" w:hAnsi="Helvetica Neue" w:cs="Helvetica Neue"/>
          <w:i/>
          <w:iCs/>
          <w:color w:val="000000"/>
          <w:sz w:val="24"/>
          <w:szCs w:val="24"/>
        </w:rPr>
        <w:t>Suggestions for future research on Theurgy, cosmology, and divination within the context of late antique Neoplatonism</w:t>
      </w:r>
    </w:p>
    <w:p w14:paraId="72AE7F65" w14:textId="77777777" w:rsidR="007E3BB3" w:rsidRDefault="007E3BB3" w:rsidP="007E3BB3">
      <w:pPr>
        <w:autoSpaceDE w:val="0"/>
        <w:autoSpaceDN w:val="0"/>
        <w:adjustRightInd w:val="0"/>
        <w:spacing w:after="0" w:line="288" w:lineRule="auto"/>
        <w:rPr>
          <w:rFonts w:ascii="Helvetica Neue" w:hAnsi="Helvetica Neue" w:cs="Helvetica Neue"/>
          <w:i/>
          <w:iCs/>
          <w:color w:val="000000"/>
          <w:sz w:val="24"/>
          <w:szCs w:val="24"/>
        </w:rPr>
      </w:pPr>
    </w:p>
    <w:p w14:paraId="2B5A46A5" w14:textId="3E8FB69F"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 xml:space="preserve">In the </w:t>
      </w:r>
      <w:r w:rsidR="000A7E71">
        <w:rPr>
          <w:rFonts w:ascii="Helvetica Neue" w:hAnsi="Helvetica Neue" w:cs="Helvetica Neue"/>
          <w:color w:val="000000"/>
          <w:sz w:val="24"/>
          <w:szCs w:val="24"/>
        </w:rPr>
        <w:t>practice</w:t>
      </w:r>
      <w:r>
        <w:rPr>
          <w:rFonts w:ascii="Helvetica Neue" w:hAnsi="Helvetica Neue" w:cs="Helvetica Neue"/>
          <w:color w:val="000000"/>
          <w:sz w:val="24"/>
          <w:szCs w:val="24"/>
        </w:rPr>
        <w:t xml:space="preserve"> of Theurgy, cosmology and divination are intertwined in</w:t>
      </w:r>
      <w:r w:rsidR="000A7E71">
        <w:rPr>
          <w:rFonts w:ascii="Helvetica Neue" w:hAnsi="Helvetica Neue" w:cs="Helvetica Neue"/>
          <w:color w:val="000000"/>
          <w:sz w:val="24"/>
          <w:szCs w:val="24"/>
        </w:rPr>
        <w:t xml:space="preserve"> </w:t>
      </w:r>
      <w:r>
        <w:rPr>
          <w:rFonts w:ascii="Helvetica Neue" w:hAnsi="Helvetica Neue" w:cs="Helvetica Neue"/>
          <w:color w:val="000000"/>
          <w:sz w:val="24"/>
          <w:szCs w:val="24"/>
        </w:rPr>
        <w:t xml:space="preserve">understanding the cosmos and its influence on human life. </w:t>
      </w:r>
    </w:p>
    <w:p w14:paraId="4154F2A5"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72ED8173" w14:textId="184914AF" w:rsidR="007E3BB3" w:rsidRDefault="000A7E71" w:rsidP="007E3BB3">
      <w:pPr>
        <w:autoSpaceDE w:val="0"/>
        <w:autoSpaceDN w:val="0"/>
        <w:adjustRightInd w:val="0"/>
        <w:spacing w:after="0" w:line="288" w:lineRule="auto"/>
        <w:rPr>
          <w:rFonts w:ascii="Helvetica Neue" w:hAnsi="Helvetica Neue" w:cs="Helvetica Neue"/>
          <w:color w:val="000000"/>
          <w:sz w:val="24"/>
          <w:szCs w:val="24"/>
        </w:rPr>
      </w:pPr>
      <w:r>
        <w:rPr>
          <w:rFonts w:ascii="Helvetica Neue" w:hAnsi="Helvetica Neue" w:cs="Helvetica Neue"/>
          <w:color w:val="000000"/>
          <w:sz w:val="24"/>
          <w:szCs w:val="24"/>
        </w:rPr>
        <w:t>Theurgic</w:t>
      </w:r>
      <w:r w:rsidR="007E3BB3">
        <w:rPr>
          <w:rFonts w:ascii="Helvetica Neue" w:hAnsi="Helvetica Neue" w:cs="Helvetica Neue"/>
          <w:color w:val="000000"/>
          <w:sz w:val="24"/>
          <w:szCs w:val="24"/>
        </w:rPr>
        <w:t xml:space="preserve"> cosmology provides the theoretical basis for understanding the divine hierarchy</w:t>
      </w:r>
      <w:r w:rsidR="00DC1788">
        <w:rPr>
          <w:rFonts w:ascii="Helvetica Neue" w:hAnsi="Helvetica Neue" w:cs="Helvetica Neue"/>
          <w:color w:val="000000"/>
          <w:sz w:val="24"/>
          <w:szCs w:val="24"/>
        </w:rPr>
        <w:t xml:space="preserve"> </w:t>
      </w:r>
      <w:proofErr w:type="spellStart"/>
      <w:r w:rsidR="00DC1788">
        <w:rPr>
          <w:rFonts w:ascii="Helvetica Neue" w:hAnsi="Helvetica Neue" w:cs="Helvetica Neue"/>
          <w:color w:val="000000"/>
          <w:sz w:val="24"/>
          <w:szCs w:val="24"/>
        </w:rPr>
        <w:t>and</w:t>
      </w:r>
      <w:proofErr w:type="spellEnd"/>
      <w:r w:rsidR="007E3BB3">
        <w:rPr>
          <w:rFonts w:ascii="Helvetica Neue" w:hAnsi="Helvetica Neue" w:cs="Helvetica Neue"/>
          <w:color w:val="000000"/>
          <w:sz w:val="24"/>
          <w:szCs w:val="24"/>
        </w:rPr>
        <w:t xml:space="preserve"> </w:t>
      </w:r>
      <w:r w:rsidR="00DC1788">
        <w:rPr>
          <w:rFonts w:ascii="Helvetica Neue" w:hAnsi="Helvetica Neue" w:cs="Helvetica Neue"/>
          <w:color w:val="000000"/>
          <w:sz w:val="24"/>
          <w:szCs w:val="24"/>
        </w:rPr>
        <w:t>explores the relationship between the material and spiritual realms</w:t>
      </w:r>
      <w:r w:rsidR="00DC1788">
        <w:rPr>
          <w:rFonts w:ascii="Helvetica Neue" w:hAnsi="Helvetica Neue" w:cs="Helvetica Neue"/>
          <w:color w:val="000000"/>
          <w:sz w:val="24"/>
          <w:szCs w:val="24"/>
        </w:rPr>
        <w:t xml:space="preserve">, including how </w:t>
      </w:r>
      <w:r w:rsidR="00DC1788">
        <w:rPr>
          <w:rFonts w:ascii="Helvetica Neue" w:hAnsi="Helvetica Neue" w:cs="Helvetica Neue"/>
          <w:color w:val="000000"/>
          <w:sz w:val="24"/>
          <w:szCs w:val="24"/>
        </w:rPr>
        <w:t xml:space="preserve">cosmic energies influence human consciousness and destiny. </w:t>
      </w:r>
      <w:r w:rsidR="00DC1788">
        <w:rPr>
          <w:rFonts w:ascii="Helvetica Neue" w:hAnsi="Helvetica Neue" w:cs="Helvetica Neue"/>
          <w:color w:val="000000"/>
          <w:sz w:val="24"/>
          <w:szCs w:val="24"/>
        </w:rPr>
        <w:t>T</w:t>
      </w:r>
      <w:r w:rsidR="007E3BB3">
        <w:rPr>
          <w:rFonts w:ascii="Helvetica Neue" w:hAnsi="Helvetica Neue" w:cs="Helvetica Neue"/>
          <w:color w:val="000000"/>
          <w:sz w:val="24"/>
          <w:szCs w:val="24"/>
        </w:rPr>
        <w:t xml:space="preserve">he </w:t>
      </w:r>
      <w:r>
        <w:rPr>
          <w:rFonts w:ascii="Helvetica Neue" w:hAnsi="Helvetica Neue" w:cs="Helvetica Neue"/>
          <w:color w:val="000000"/>
          <w:sz w:val="24"/>
          <w:szCs w:val="24"/>
        </w:rPr>
        <w:t xml:space="preserve">notion of cosmic sympathy underpins the </w:t>
      </w:r>
      <w:r w:rsidR="007E3BB3">
        <w:rPr>
          <w:rFonts w:ascii="Helvetica Neue" w:hAnsi="Helvetica Neue" w:cs="Helvetica Neue"/>
          <w:color w:val="000000"/>
          <w:sz w:val="24"/>
          <w:szCs w:val="24"/>
        </w:rPr>
        <w:t>interconnectedness of all things</w:t>
      </w:r>
      <w:r w:rsidR="00DC1788">
        <w:rPr>
          <w:rFonts w:ascii="Helvetica Neue" w:hAnsi="Helvetica Neue" w:cs="Helvetica Neue"/>
          <w:color w:val="000000"/>
          <w:sz w:val="24"/>
          <w:szCs w:val="24"/>
        </w:rPr>
        <w:t xml:space="preserve"> and describes the mechanism by which ascent of the soul can be attained, with the practice of d</w:t>
      </w:r>
      <w:r w:rsidR="007E3BB3">
        <w:rPr>
          <w:rFonts w:ascii="Helvetica Neue" w:hAnsi="Helvetica Neue" w:cs="Helvetica Neue"/>
          <w:color w:val="000000"/>
          <w:sz w:val="24"/>
          <w:szCs w:val="24"/>
        </w:rPr>
        <w:t>ivination serv</w:t>
      </w:r>
      <w:r w:rsidR="00DC1788">
        <w:rPr>
          <w:rFonts w:ascii="Helvetica Neue" w:hAnsi="Helvetica Neue" w:cs="Helvetica Neue"/>
          <w:color w:val="000000"/>
          <w:sz w:val="24"/>
          <w:szCs w:val="24"/>
        </w:rPr>
        <w:t>ing as a progressive act</w:t>
      </w:r>
      <w:r w:rsidR="007E3BB3">
        <w:rPr>
          <w:rFonts w:ascii="Helvetica Neue" w:hAnsi="Helvetica Neue" w:cs="Helvetica Neue"/>
          <w:color w:val="000000"/>
          <w:sz w:val="24"/>
          <w:szCs w:val="24"/>
        </w:rPr>
        <w:t xml:space="preserve"> for participating, </w:t>
      </w:r>
      <w:r w:rsidR="00B94481">
        <w:rPr>
          <w:rFonts w:ascii="Helvetica Neue" w:hAnsi="Helvetica Neue" w:cs="Helvetica Neue"/>
          <w:color w:val="000000"/>
          <w:sz w:val="24"/>
          <w:szCs w:val="24"/>
        </w:rPr>
        <w:t>communing,</w:t>
      </w:r>
      <w:r w:rsidR="007E3BB3">
        <w:rPr>
          <w:rFonts w:ascii="Helvetica Neue" w:hAnsi="Helvetica Neue" w:cs="Helvetica Neue"/>
          <w:color w:val="000000"/>
          <w:sz w:val="24"/>
          <w:szCs w:val="24"/>
        </w:rPr>
        <w:t xml:space="preserve"> and ultimately achieving union with the divine.</w:t>
      </w:r>
    </w:p>
    <w:p w14:paraId="1C8C0CFE" w14:textId="77777777" w:rsidR="007E3BB3" w:rsidRDefault="007E3BB3" w:rsidP="007E3BB3">
      <w:pPr>
        <w:autoSpaceDE w:val="0"/>
        <w:autoSpaceDN w:val="0"/>
        <w:adjustRightInd w:val="0"/>
        <w:spacing w:after="0" w:line="288" w:lineRule="auto"/>
        <w:rPr>
          <w:rFonts w:ascii="Helvetica Neue" w:hAnsi="Helvetica Neue" w:cs="Helvetica Neue"/>
          <w:color w:val="000000"/>
          <w:sz w:val="24"/>
          <w:szCs w:val="24"/>
        </w:rPr>
      </w:pPr>
    </w:p>
    <w:p w14:paraId="4C26CAA5" w14:textId="134090DC" w:rsidR="00F33926" w:rsidRDefault="007E3BB3" w:rsidP="007E3BB3">
      <w:r>
        <w:rPr>
          <w:rFonts w:ascii="Helvetica Neue" w:hAnsi="Helvetica Neue" w:cs="Helvetica Neue"/>
          <w:color w:val="000000"/>
          <w:sz w:val="24"/>
          <w:szCs w:val="24"/>
        </w:rPr>
        <w:t xml:space="preserve">Together, </w:t>
      </w:r>
      <w:r w:rsidR="00DC1788">
        <w:rPr>
          <w:rFonts w:ascii="Helvetica Neue" w:hAnsi="Helvetica Neue" w:cs="Helvetica Neue"/>
          <w:color w:val="000000"/>
          <w:sz w:val="24"/>
          <w:szCs w:val="24"/>
        </w:rPr>
        <w:t xml:space="preserve">the </w:t>
      </w:r>
      <w:r>
        <w:rPr>
          <w:rFonts w:ascii="Helvetica Neue" w:hAnsi="Helvetica Neue" w:cs="Helvetica Neue"/>
          <w:color w:val="000000"/>
          <w:sz w:val="24"/>
          <w:szCs w:val="24"/>
        </w:rPr>
        <w:t xml:space="preserve">cosmology and divination </w:t>
      </w:r>
      <w:r w:rsidR="00DC1788">
        <w:rPr>
          <w:rFonts w:ascii="Helvetica Neue" w:hAnsi="Helvetica Neue" w:cs="Helvetica Neue"/>
          <w:color w:val="000000"/>
          <w:sz w:val="24"/>
          <w:szCs w:val="24"/>
        </w:rPr>
        <w:t xml:space="preserve">of Theurgy </w:t>
      </w:r>
      <w:r>
        <w:rPr>
          <w:rFonts w:ascii="Helvetica Neue" w:hAnsi="Helvetica Neue" w:cs="Helvetica Neue"/>
          <w:color w:val="000000"/>
          <w:sz w:val="24"/>
          <w:szCs w:val="24"/>
        </w:rPr>
        <w:t xml:space="preserve">form a symbiotic relationship, where the understanding of cosmic principles informs divinatory practices, and divination serves </w:t>
      </w:r>
      <w:r w:rsidR="00B94481">
        <w:rPr>
          <w:rFonts w:ascii="Helvetica Neue" w:hAnsi="Helvetica Neue" w:cs="Helvetica Neue"/>
          <w:color w:val="000000"/>
          <w:sz w:val="24"/>
          <w:szCs w:val="24"/>
        </w:rPr>
        <w:t>to</w:t>
      </w:r>
      <w:r>
        <w:rPr>
          <w:rFonts w:ascii="Helvetica Neue" w:hAnsi="Helvetica Neue" w:cs="Helvetica Neue"/>
          <w:color w:val="000000"/>
          <w:sz w:val="24"/>
          <w:szCs w:val="24"/>
        </w:rPr>
        <w:t xml:space="preserve"> access and align with the cosmic order.</w:t>
      </w:r>
    </w:p>
    <w:sectPr w:rsidR="00F339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FD5B8" w14:textId="77777777" w:rsidR="00B83A70" w:rsidRDefault="00B83A70" w:rsidP="00BE7DB8">
      <w:pPr>
        <w:spacing w:after="0" w:line="240" w:lineRule="auto"/>
      </w:pPr>
      <w:r>
        <w:separator/>
      </w:r>
    </w:p>
  </w:endnote>
  <w:endnote w:type="continuationSeparator" w:id="0">
    <w:p w14:paraId="290421CA" w14:textId="77777777" w:rsidR="00B83A70" w:rsidRDefault="00B83A70" w:rsidP="00BE7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ontserrat">
    <w:panose1 w:val="020B0604020202020204"/>
    <w:charset w:val="00"/>
    <w:family w:val="auto"/>
    <w:pitch w:val="variable"/>
    <w:sig w:usb0="2000020F" w:usb1="00000003" w:usb2="00000000" w:usb3="00000000" w:csb0="00000197"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3BF4F" w14:textId="77777777" w:rsidR="00B83A70" w:rsidRDefault="00B83A70" w:rsidP="00BE7DB8">
      <w:pPr>
        <w:spacing w:after="0" w:line="240" w:lineRule="auto"/>
      </w:pPr>
      <w:r>
        <w:separator/>
      </w:r>
    </w:p>
  </w:footnote>
  <w:footnote w:type="continuationSeparator" w:id="0">
    <w:p w14:paraId="5306B475" w14:textId="77777777" w:rsidR="00B83A70" w:rsidRDefault="00B83A70" w:rsidP="00BE7DB8">
      <w:pPr>
        <w:spacing w:after="0" w:line="240" w:lineRule="auto"/>
      </w:pPr>
      <w:r>
        <w:continuationSeparator/>
      </w:r>
    </w:p>
  </w:footnote>
  <w:footnote w:id="1">
    <w:p w14:paraId="55DE9593" w14:textId="0C0FFE45"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p.10</w:t>
      </w:r>
    </w:p>
  </w:footnote>
  <w:footnote w:id="2">
    <w:p w14:paraId="481B542B" w14:textId="2659BB4E"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 xml:space="preserve">Ruth </w:t>
      </w:r>
      <w:proofErr w:type="spellStart"/>
      <w:r>
        <w:rPr>
          <w:rFonts w:ascii="Helvetica Neue" w:hAnsi="Helvetica Neue" w:cs="Helvetica Neue"/>
          <w:color w:val="000000"/>
          <w:sz w:val="18"/>
          <w:szCs w:val="18"/>
        </w:rPr>
        <w:t>Majercik</w:t>
      </w:r>
      <w:proofErr w:type="spellEnd"/>
      <w:r>
        <w:rPr>
          <w:rFonts w:ascii="Helvetica Neue" w:hAnsi="Helvetica Neue" w:cs="Helvetica Neue"/>
          <w:color w:val="000000"/>
          <w:sz w:val="18"/>
          <w:szCs w:val="18"/>
        </w:rPr>
        <w:t>, The Chaldean Oracles, The Prometheus Trust, Second Edition, 2013, p.2</w:t>
      </w:r>
    </w:p>
  </w:footnote>
  <w:footnote w:id="3">
    <w:p w14:paraId="74EDFD62" w14:textId="533BFC3C"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Ibid. p.3</w:t>
      </w:r>
    </w:p>
  </w:footnote>
  <w:footnote w:id="4">
    <w:p w14:paraId="63A1AFA7" w14:textId="27566C33"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p.147</w:t>
      </w:r>
    </w:p>
  </w:footnote>
  <w:footnote w:id="5">
    <w:p w14:paraId="07205852" w14:textId="3E7C3738"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p.3</w:t>
      </w:r>
    </w:p>
  </w:footnote>
  <w:footnote w:id="6">
    <w:p w14:paraId="0290455B" w14:textId="64AE300A"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p.7</w:t>
      </w:r>
    </w:p>
  </w:footnote>
  <w:footnote w:id="7">
    <w:p w14:paraId="79738731" w14:textId="4C271D49"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 xml:space="preserve">Gerson, Lloyd, "Plotinus", The Stanford </w:t>
      </w:r>
      <w:proofErr w:type="spellStart"/>
      <w:r>
        <w:rPr>
          <w:rFonts w:ascii="Helvetica Neue" w:hAnsi="Helvetica Neue" w:cs="Helvetica Neue"/>
          <w:color w:val="000000"/>
          <w:sz w:val="18"/>
          <w:szCs w:val="18"/>
        </w:rPr>
        <w:t>Encyclopedia</w:t>
      </w:r>
      <w:proofErr w:type="spellEnd"/>
      <w:r>
        <w:rPr>
          <w:rFonts w:ascii="Helvetica Neue" w:hAnsi="Helvetica Neue" w:cs="Helvetica Neue"/>
          <w:color w:val="000000"/>
          <w:sz w:val="18"/>
          <w:szCs w:val="18"/>
        </w:rPr>
        <w:t xml:space="preserve"> of Philosophy (Fall 2018 Edition), Edward N. </w:t>
      </w:r>
      <w:proofErr w:type="spellStart"/>
      <w:r>
        <w:rPr>
          <w:rFonts w:ascii="Helvetica Neue" w:hAnsi="Helvetica Neue" w:cs="Helvetica Neue"/>
          <w:color w:val="000000"/>
          <w:sz w:val="18"/>
          <w:szCs w:val="18"/>
        </w:rPr>
        <w:t>Zalta</w:t>
      </w:r>
      <w:proofErr w:type="spellEnd"/>
      <w:r>
        <w:rPr>
          <w:rFonts w:ascii="Helvetica Neue" w:hAnsi="Helvetica Neue" w:cs="Helvetica Neue"/>
          <w:color w:val="000000"/>
          <w:sz w:val="18"/>
          <w:szCs w:val="18"/>
        </w:rPr>
        <w:t> (ed.), https://plato.stanford.edu/archives/fall2018/entries/plotinus/</w:t>
      </w:r>
    </w:p>
  </w:footnote>
  <w:footnote w:id="8">
    <w:p w14:paraId="217A557D" w14:textId="2C7EF384"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p.174</w:t>
      </w:r>
    </w:p>
  </w:footnote>
  <w:footnote w:id="9">
    <w:p w14:paraId="0F7911B5" w14:textId="0A668897" w:rsidR="00BE7DB8" w:rsidRDefault="00BE7DB8">
      <w:pPr>
        <w:pStyle w:val="FootnoteText"/>
      </w:pPr>
      <w:r>
        <w:rPr>
          <w:rStyle w:val="FootnoteReference"/>
        </w:rPr>
        <w:footnoteRef/>
      </w:r>
      <w:r>
        <w:t xml:space="preserve"> </w:t>
      </w:r>
      <w:proofErr w:type="spellStart"/>
      <w:r>
        <w:rPr>
          <w:rFonts w:ascii="Helvetica Neue" w:hAnsi="Helvetica Neue" w:cs="Helvetica Neue"/>
          <w:color w:val="000000"/>
          <w:sz w:val="18"/>
          <w:szCs w:val="18"/>
        </w:rPr>
        <w:t>Chiaradonna</w:t>
      </w:r>
      <w:proofErr w:type="spellEnd"/>
      <w:r>
        <w:rPr>
          <w:rFonts w:ascii="Helvetica Neue" w:hAnsi="Helvetica Neue" w:cs="Helvetica Neue"/>
          <w:color w:val="000000"/>
          <w:sz w:val="18"/>
          <w:szCs w:val="18"/>
        </w:rPr>
        <w:t xml:space="preserve">, Riccardo and Adrien </w:t>
      </w:r>
      <w:proofErr w:type="spellStart"/>
      <w:r>
        <w:rPr>
          <w:rFonts w:ascii="Helvetica Neue" w:hAnsi="Helvetica Neue" w:cs="Helvetica Neue"/>
          <w:color w:val="000000"/>
          <w:sz w:val="18"/>
          <w:szCs w:val="18"/>
        </w:rPr>
        <w:t>Lecerf</w:t>
      </w:r>
      <w:proofErr w:type="spellEnd"/>
      <w:r>
        <w:rPr>
          <w:rFonts w:ascii="Helvetica Neue" w:hAnsi="Helvetica Neue" w:cs="Helvetica Neue"/>
          <w:color w:val="000000"/>
          <w:sz w:val="18"/>
          <w:szCs w:val="18"/>
        </w:rPr>
        <w:t xml:space="preserve">, "Iamblichus", The Stanford </w:t>
      </w:r>
      <w:proofErr w:type="spellStart"/>
      <w:r>
        <w:rPr>
          <w:rFonts w:ascii="Helvetica Neue" w:hAnsi="Helvetica Neue" w:cs="Helvetica Neue"/>
          <w:color w:val="000000"/>
          <w:sz w:val="18"/>
          <w:szCs w:val="18"/>
        </w:rPr>
        <w:t>Encyclopedia</w:t>
      </w:r>
      <w:proofErr w:type="spellEnd"/>
      <w:r>
        <w:rPr>
          <w:rFonts w:ascii="Helvetica Neue" w:hAnsi="Helvetica Neue" w:cs="Helvetica Neue"/>
          <w:color w:val="000000"/>
          <w:sz w:val="18"/>
          <w:szCs w:val="18"/>
        </w:rPr>
        <w:t xml:space="preserve"> of Philosophy (Winter 2023 Edition), Edward N. </w:t>
      </w:r>
      <w:proofErr w:type="spellStart"/>
      <w:r>
        <w:rPr>
          <w:rFonts w:ascii="Helvetica Neue" w:hAnsi="Helvetica Neue" w:cs="Helvetica Neue"/>
          <w:color w:val="000000"/>
          <w:sz w:val="18"/>
          <w:szCs w:val="18"/>
        </w:rPr>
        <w:t>Zalta</w:t>
      </w:r>
      <w:proofErr w:type="spellEnd"/>
      <w:r>
        <w:rPr>
          <w:rFonts w:ascii="Helvetica Neue" w:hAnsi="Helvetica Neue" w:cs="Helvetica Neue"/>
          <w:color w:val="000000"/>
          <w:sz w:val="18"/>
          <w:szCs w:val="18"/>
        </w:rPr>
        <w:t xml:space="preserve"> &amp; Uri </w:t>
      </w:r>
      <w:proofErr w:type="spellStart"/>
      <w:r>
        <w:rPr>
          <w:rFonts w:ascii="Helvetica Neue" w:hAnsi="Helvetica Neue" w:cs="Helvetica Neue"/>
          <w:color w:val="000000"/>
          <w:sz w:val="18"/>
          <w:szCs w:val="18"/>
        </w:rPr>
        <w:t>Nodelman</w:t>
      </w:r>
      <w:proofErr w:type="spellEnd"/>
      <w:r>
        <w:rPr>
          <w:rFonts w:ascii="Helvetica Neue" w:hAnsi="Helvetica Neue" w:cs="Helvetica Neue"/>
          <w:color w:val="000000"/>
          <w:sz w:val="18"/>
          <w:szCs w:val="18"/>
        </w:rPr>
        <w:t> (eds.), https://plato.stanford.edu/archives/win2023/entries/iamblichus/.</w:t>
      </w:r>
    </w:p>
  </w:footnote>
  <w:footnote w:id="10">
    <w:p w14:paraId="21B2DFDD" w14:textId="34007DD8" w:rsidR="00BE7DB8" w:rsidRDefault="00BE7DB8">
      <w:pPr>
        <w:pStyle w:val="FootnoteText"/>
      </w:pPr>
      <w:r>
        <w:rPr>
          <w:rStyle w:val="FootnoteReference"/>
        </w:rPr>
        <w:footnoteRef/>
      </w:r>
      <w:r>
        <w:t xml:space="preserve"> </w:t>
      </w:r>
      <w:proofErr w:type="spellStart"/>
      <w:r>
        <w:rPr>
          <w:rFonts w:ascii="Helvetica Neue" w:hAnsi="Helvetica Neue" w:cs="Helvetica Neue"/>
          <w:color w:val="000000"/>
          <w:sz w:val="18"/>
          <w:szCs w:val="18"/>
        </w:rPr>
        <w:t>Emilsson</w:t>
      </w:r>
      <w:proofErr w:type="spellEnd"/>
      <w:r>
        <w:rPr>
          <w:rFonts w:ascii="Helvetica Neue" w:hAnsi="Helvetica Neue" w:cs="Helvetica Neue"/>
          <w:color w:val="000000"/>
          <w:sz w:val="18"/>
          <w:szCs w:val="18"/>
        </w:rPr>
        <w:t xml:space="preserve">, </w:t>
      </w:r>
      <w:proofErr w:type="spellStart"/>
      <w:r>
        <w:rPr>
          <w:rFonts w:ascii="Helvetica Neue" w:hAnsi="Helvetica Neue" w:cs="Helvetica Neue"/>
          <w:color w:val="000000"/>
          <w:sz w:val="18"/>
          <w:szCs w:val="18"/>
        </w:rPr>
        <w:t>Eyjólfur</w:t>
      </w:r>
      <w:proofErr w:type="spellEnd"/>
      <w:r>
        <w:rPr>
          <w:rFonts w:ascii="Helvetica Neue" w:hAnsi="Helvetica Neue" w:cs="Helvetica Neue"/>
          <w:color w:val="000000"/>
          <w:sz w:val="18"/>
          <w:szCs w:val="18"/>
        </w:rPr>
        <w:t xml:space="preserve">, "Porphyry", The Stanford </w:t>
      </w:r>
      <w:proofErr w:type="spellStart"/>
      <w:r>
        <w:rPr>
          <w:rFonts w:ascii="Helvetica Neue" w:hAnsi="Helvetica Neue" w:cs="Helvetica Neue"/>
          <w:color w:val="000000"/>
          <w:sz w:val="18"/>
          <w:szCs w:val="18"/>
        </w:rPr>
        <w:t>Encyclopedia</w:t>
      </w:r>
      <w:proofErr w:type="spellEnd"/>
      <w:r>
        <w:rPr>
          <w:rFonts w:ascii="Helvetica Neue" w:hAnsi="Helvetica Neue" w:cs="Helvetica Neue"/>
          <w:color w:val="000000"/>
          <w:sz w:val="18"/>
          <w:szCs w:val="18"/>
        </w:rPr>
        <w:t xml:space="preserve"> of Philosophy (Summer 2024 Edition), Edward N. </w:t>
      </w:r>
      <w:proofErr w:type="spellStart"/>
      <w:r>
        <w:rPr>
          <w:rFonts w:ascii="Helvetica Neue" w:hAnsi="Helvetica Neue" w:cs="Helvetica Neue"/>
          <w:color w:val="000000"/>
          <w:sz w:val="18"/>
          <w:szCs w:val="18"/>
        </w:rPr>
        <w:t>Zalta</w:t>
      </w:r>
      <w:proofErr w:type="spellEnd"/>
      <w:r>
        <w:rPr>
          <w:rFonts w:ascii="Helvetica Neue" w:hAnsi="Helvetica Neue" w:cs="Helvetica Neue"/>
          <w:color w:val="000000"/>
          <w:sz w:val="18"/>
          <w:szCs w:val="18"/>
        </w:rPr>
        <w:t xml:space="preserve"> &amp; Uri </w:t>
      </w:r>
      <w:proofErr w:type="spellStart"/>
      <w:r>
        <w:rPr>
          <w:rFonts w:ascii="Helvetica Neue" w:hAnsi="Helvetica Neue" w:cs="Helvetica Neue"/>
          <w:color w:val="000000"/>
          <w:sz w:val="18"/>
          <w:szCs w:val="18"/>
        </w:rPr>
        <w:t>Nodelman</w:t>
      </w:r>
      <w:proofErr w:type="spellEnd"/>
      <w:r>
        <w:rPr>
          <w:rFonts w:ascii="Helvetica Neue" w:hAnsi="Helvetica Neue" w:cs="Helvetica Neue"/>
          <w:color w:val="000000"/>
          <w:sz w:val="18"/>
          <w:szCs w:val="18"/>
        </w:rPr>
        <w:t> (eds.), forthcoming https://plato.stanford.edu/archives/sum2024/entries/porphyry/</w:t>
      </w:r>
    </w:p>
  </w:footnote>
  <w:footnote w:id="11">
    <w:p w14:paraId="7E4FE97A" w14:textId="79E1163B"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p.181</w:t>
      </w:r>
    </w:p>
  </w:footnote>
  <w:footnote w:id="12">
    <w:p w14:paraId="35E436EA" w14:textId="11967F3C" w:rsidR="00BE7DB8" w:rsidRDefault="00BE7DB8">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p.17</w:t>
      </w:r>
    </w:p>
  </w:footnote>
  <w:footnote w:id="13">
    <w:p w14:paraId="62BE576F" w14:textId="5B3FD92B" w:rsidR="00BE7DB8" w:rsidRDefault="00BE7DB8">
      <w:pPr>
        <w:pStyle w:val="FootnoteText"/>
      </w:pPr>
      <w:r>
        <w:rPr>
          <w:rStyle w:val="FootnoteReference"/>
        </w:rPr>
        <w:footnoteRef/>
      </w:r>
      <w:r>
        <w:t xml:space="preserve"> I</w:t>
      </w:r>
      <w:r>
        <w:rPr>
          <w:rFonts w:ascii="Helvetica Neue" w:hAnsi="Helvetica Neue" w:cs="Helvetica Neue"/>
          <w:color w:val="000000"/>
          <w:sz w:val="18"/>
          <w:szCs w:val="18"/>
        </w:rPr>
        <w:t>bid.</w:t>
      </w:r>
      <w:r>
        <w:rPr>
          <w:rFonts w:ascii="Helvetica Neue" w:hAnsi="Helvetica Neue" w:cs="Helvetica Neue"/>
          <w:color w:val="000000"/>
          <w:sz w:val="18"/>
          <w:szCs w:val="18"/>
        </w:rPr>
        <w:t xml:space="preserve"> p.17</w:t>
      </w:r>
    </w:p>
  </w:footnote>
  <w:footnote w:id="14">
    <w:p w14:paraId="13015C98" w14:textId="47D8FE92"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p.38</w:t>
      </w:r>
    </w:p>
  </w:footnote>
  <w:footnote w:id="15">
    <w:p w14:paraId="2BF8362C" w14:textId="73A096FC"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John Dillon, Iamblichus of Chalcis, vol. 2, 16.2 (New York: de Gruyter, 1987, in Gregory Shaw, Theurgy &amp; the Soul: The Neoplatonism of Iamblichus, Angelico Press/Sophia Perennis, 2nd Edition, 2014, p.vi</w:t>
      </w:r>
    </w:p>
  </w:footnote>
  <w:footnote w:id="16">
    <w:p w14:paraId="78A0D499" w14:textId="4FC7DCA5"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p.5</w:t>
      </w:r>
    </w:p>
  </w:footnote>
  <w:footnote w:id="17">
    <w:p w14:paraId="56B1A052" w14:textId="5F40229C"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Garth </w:t>
      </w:r>
      <w:proofErr w:type="spellStart"/>
      <w:r>
        <w:rPr>
          <w:rFonts w:ascii="Helvetica Neue" w:hAnsi="Helvetica Neue" w:cs="Helvetica Neue"/>
          <w:color w:val="000000"/>
          <w:sz w:val="18"/>
          <w:szCs w:val="18"/>
        </w:rPr>
        <w:t>Fowden</w:t>
      </w:r>
      <w:proofErr w:type="spellEnd"/>
      <w:r>
        <w:rPr>
          <w:rFonts w:ascii="Helvetica Neue" w:hAnsi="Helvetica Neue" w:cs="Helvetica Neue"/>
          <w:color w:val="000000"/>
          <w:sz w:val="18"/>
          <w:szCs w:val="18"/>
        </w:rPr>
        <w:t>, The Pagan Holy Man in Late Antique Society, The Journal of Hellenic Studies, 1982, Vol. 102 (1982), pp.33-59.</w:t>
      </w:r>
    </w:p>
  </w:footnote>
  <w:footnote w:id="18">
    <w:p w14:paraId="39751F78" w14:textId="47C11301" w:rsidR="004C79F8" w:rsidRDefault="004C79F8">
      <w:pPr>
        <w:pStyle w:val="FootnoteText"/>
      </w:pPr>
      <w:r>
        <w:rPr>
          <w:rStyle w:val="FootnoteReference"/>
        </w:rPr>
        <w:footnoteRef/>
      </w:r>
      <w:r>
        <w:t xml:space="preserve"> </w:t>
      </w:r>
      <w:proofErr w:type="spellStart"/>
      <w:r>
        <w:rPr>
          <w:rFonts w:ascii="Helvetica Neue" w:hAnsi="Helvetica Neue" w:cs="Helvetica Neue"/>
          <w:color w:val="000000"/>
          <w:sz w:val="18"/>
          <w:szCs w:val="18"/>
        </w:rPr>
        <w:t>Helmig</w:t>
      </w:r>
      <w:proofErr w:type="spellEnd"/>
      <w:r>
        <w:rPr>
          <w:rFonts w:ascii="Helvetica Neue" w:hAnsi="Helvetica Neue" w:cs="Helvetica Neue"/>
          <w:color w:val="000000"/>
          <w:sz w:val="18"/>
          <w:szCs w:val="18"/>
        </w:rPr>
        <w:t xml:space="preserve">, Christoph and Carlos Steel, "Proclus", The Stanford </w:t>
      </w:r>
      <w:proofErr w:type="spellStart"/>
      <w:r>
        <w:rPr>
          <w:rFonts w:ascii="Helvetica Neue" w:hAnsi="Helvetica Neue" w:cs="Helvetica Neue"/>
          <w:color w:val="000000"/>
          <w:sz w:val="18"/>
          <w:szCs w:val="18"/>
        </w:rPr>
        <w:t>Encyclopedia</w:t>
      </w:r>
      <w:proofErr w:type="spellEnd"/>
      <w:r>
        <w:rPr>
          <w:rFonts w:ascii="Helvetica Neue" w:hAnsi="Helvetica Neue" w:cs="Helvetica Neue"/>
          <w:color w:val="000000"/>
          <w:sz w:val="18"/>
          <w:szCs w:val="18"/>
        </w:rPr>
        <w:t xml:space="preserve"> of Philosophy (Fall 2021 Edition), Edward N. </w:t>
      </w:r>
      <w:proofErr w:type="spellStart"/>
      <w:r>
        <w:rPr>
          <w:rFonts w:ascii="Helvetica Neue" w:hAnsi="Helvetica Neue" w:cs="Helvetica Neue"/>
          <w:color w:val="000000"/>
          <w:sz w:val="18"/>
          <w:szCs w:val="18"/>
        </w:rPr>
        <w:t>Zalta</w:t>
      </w:r>
      <w:proofErr w:type="spellEnd"/>
      <w:r>
        <w:rPr>
          <w:rFonts w:ascii="Helvetica Neue" w:hAnsi="Helvetica Neue" w:cs="Helvetica Neue"/>
          <w:color w:val="000000"/>
          <w:sz w:val="18"/>
          <w:szCs w:val="18"/>
        </w:rPr>
        <w:t> (ed.), https://plato.stanford.edu/archives/fall2021/entries/proclus/</w:t>
      </w:r>
    </w:p>
  </w:footnote>
  <w:footnote w:id="19">
    <w:p w14:paraId="1D9045AA" w14:textId="1EAFBA84"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Lynn Thorndike, The History of Magic, Ch. XI, p.307-8.</w:t>
      </w:r>
    </w:p>
  </w:footnote>
  <w:footnote w:id="20">
    <w:p w14:paraId="5CFB3141" w14:textId="563AC835"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p.127</w:t>
      </w:r>
    </w:p>
  </w:footnote>
  <w:footnote w:id="21">
    <w:p w14:paraId="62423E50" w14:textId="6E03D537"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p.5</w:t>
      </w:r>
    </w:p>
  </w:footnote>
  <w:footnote w:id="22">
    <w:p w14:paraId="1589AA45" w14:textId="42BE8A30"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1.1</w:t>
      </w:r>
    </w:p>
  </w:footnote>
  <w:footnote w:id="23">
    <w:p w14:paraId="204F781C" w14:textId="7B30266C"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p.129</w:t>
      </w:r>
    </w:p>
  </w:footnote>
  <w:footnote w:id="24">
    <w:p w14:paraId="591E036F" w14:textId="3BE88895"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p.49</w:t>
      </w:r>
    </w:p>
  </w:footnote>
  <w:footnote w:id="25">
    <w:p w14:paraId="50D16155" w14:textId="108CFDD4"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p.136</w:t>
      </w:r>
    </w:p>
  </w:footnote>
  <w:footnote w:id="26">
    <w:p w14:paraId="409FB394" w14:textId="7E54F9CE"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p.48</w:t>
      </w:r>
    </w:p>
  </w:footnote>
  <w:footnote w:id="27">
    <w:p w14:paraId="311B1D20" w14:textId="5070863F"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4.12 p.221</w:t>
      </w:r>
    </w:p>
  </w:footnote>
  <w:footnote w:id="28">
    <w:p w14:paraId="5CDD4886" w14:textId="04F32FC7"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Nader El-</w:t>
      </w:r>
      <w:proofErr w:type="spellStart"/>
      <w:r>
        <w:rPr>
          <w:rFonts w:ascii="Helvetica Neue" w:hAnsi="Helvetica Neue" w:cs="Helvetica Neue"/>
          <w:color w:val="000000"/>
          <w:sz w:val="18"/>
          <w:szCs w:val="18"/>
        </w:rPr>
        <w:t>Bizri</w:t>
      </w:r>
      <w:proofErr w:type="spellEnd"/>
      <w:r>
        <w:rPr>
          <w:rFonts w:ascii="Helvetica Neue" w:hAnsi="Helvetica Neue" w:cs="Helvetica Neue"/>
          <w:color w:val="000000"/>
          <w:sz w:val="18"/>
          <w:szCs w:val="18"/>
        </w:rPr>
        <w:t>, Plato, Platonism, and Neo-Platonism, Medieval Islamic Civilisation: An Encyclopaedia, The Institute of Ismaili Studies, 2006</w:t>
      </w:r>
    </w:p>
  </w:footnote>
  <w:footnote w:id="29">
    <w:p w14:paraId="50FCFA52" w14:textId="05958E2F"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5.10 p.245</w:t>
      </w:r>
    </w:p>
  </w:footnote>
  <w:footnote w:id="30">
    <w:p w14:paraId="5F8DB200" w14:textId="3D8B3446"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1.5 p.21</w:t>
      </w:r>
    </w:p>
  </w:footnote>
  <w:footnote w:id="31">
    <w:p w14:paraId="173EBC99" w14:textId="6ADC65E3"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p.27</w:t>
      </w:r>
    </w:p>
  </w:footnote>
  <w:footnote w:id="32">
    <w:p w14:paraId="2C7B4EC6" w14:textId="04515B10"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Nader El-</w:t>
      </w:r>
      <w:proofErr w:type="spellStart"/>
      <w:r>
        <w:rPr>
          <w:rFonts w:ascii="Helvetica Neue" w:hAnsi="Helvetica Neue" w:cs="Helvetica Neue"/>
          <w:color w:val="000000"/>
          <w:sz w:val="18"/>
          <w:szCs w:val="18"/>
        </w:rPr>
        <w:t>Bizri</w:t>
      </w:r>
      <w:proofErr w:type="spellEnd"/>
      <w:r>
        <w:rPr>
          <w:rFonts w:ascii="Helvetica Neue" w:hAnsi="Helvetica Neue" w:cs="Helvetica Neue"/>
          <w:color w:val="000000"/>
          <w:sz w:val="18"/>
          <w:szCs w:val="18"/>
        </w:rPr>
        <w:t>, Plato, Platonism, and Neo-Platonism, Medieval Islamic Civilisation: An Encyclopaedia, The Institute of Ismaili Studies, 2006</w:t>
      </w:r>
    </w:p>
  </w:footnote>
  <w:footnote w:id="33">
    <w:p w14:paraId="67ADF53B" w14:textId="77777777" w:rsidR="004C79F8" w:rsidRDefault="004C79F8" w:rsidP="004C79F8">
      <w:pPr>
        <w:autoSpaceDE w:val="0"/>
        <w:autoSpaceDN w:val="0"/>
        <w:adjustRightInd w:val="0"/>
        <w:spacing w:after="0" w:line="288" w:lineRule="auto"/>
        <w:rPr>
          <w:rFonts w:ascii="Helvetica Neue" w:hAnsi="Helvetica Neue" w:cs="Helvetica Neue"/>
          <w:color w:val="000000"/>
          <w:sz w:val="24"/>
          <w:szCs w:val="24"/>
        </w:rPr>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p.147</w:t>
      </w:r>
    </w:p>
    <w:p w14:paraId="7B2DB1BC" w14:textId="17A5C41C" w:rsidR="004C79F8" w:rsidRDefault="004C79F8">
      <w:pPr>
        <w:pStyle w:val="FootnoteText"/>
      </w:pPr>
    </w:p>
  </w:footnote>
  <w:footnote w:id="34">
    <w:p w14:paraId="3E9D3DAB" w14:textId="0E1E2ADA"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p.9</w:t>
      </w:r>
    </w:p>
  </w:footnote>
  <w:footnote w:id="35">
    <w:p w14:paraId="10C62363" w14:textId="04F491FA"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Ibid. p.17</w:t>
      </w:r>
    </w:p>
  </w:footnote>
  <w:footnote w:id="36">
    <w:p w14:paraId="60ECDD0F" w14:textId="45A16206"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Ibid. p.162-3</w:t>
      </w:r>
    </w:p>
  </w:footnote>
  <w:footnote w:id="37">
    <w:p w14:paraId="0474DBF8" w14:textId="1410AE83"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Ibid. p.163</w:t>
      </w:r>
    </w:p>
  </w:footnote>
  <w:footnote w:id="38">
    <w:p w14:paraId="09E6A5D9" w14:textId="004C548B"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Ibid. p.163</w:t>
      </w:r>
    </w:p>
  </w:footnote>
  <w:footnote w:id="39">
    <w:p w14:paraId="4E9E7692" w14:textId="53DA55CC"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p.35</w:t>
      </w:r>
    </w:p>
  </w:footnote>
  <w:footnote w:id="40">
    <w:p w14:paraId="0293E2B1" w14:textId="1101FAC9"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p.26</w:t>
      </w:r>
    </w:p>
  </w:footnote>
  <w:footnote w:id="41">
    <w:p w14:paraId="0D4BEA50" w14:textId="5C51A0AA"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1.5 p.21</w:t>
      </w:r>
    </w:p>
  </w:footnote>
  <w:footnote w:id="42">
    <w:p w14:paraId="5B636757" w14:textId="60976280"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p.82</w:t>
      </w:r>
    </w:p>
  </w:footnote>
  <w:footnote w:id="43">
    <w:p w14:paraId="4C26A4B0" w14:textId="0B0FC0EF"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4.8-9, p.216-7</w:t>
      </w:r>
    </w:p>
  </w:footnote>
  <w:footnote w:id="44">
    <w:p w14:paraId="6DED62B9" w14:textId="7B9A00C0"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1.3</w:t>
      </w:r>
    </w:p>
  </w:footnote>
  <w:footnote w:id="45">
    <w:p w14:paraId="34E43D67" w14:textId="65B0DBF5"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Ibid. 1.3-4</w:t>
      </w:r>
    </w:p>
  </w:footnote>
  <w:footnote w:id="46">
    <w:p w14:paraId="6167CDE5" w14:textId="6E4D4DD2" w:rsidR="004C79F8" w:rsidRDefault="004C79F8">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p.151</w:t>
      </w:r>
    </w:p>
  </w:footnote>
  <w:footnote w:id="47">
    <w:p w14:paraId="15450BF9" w14:textId="73529B5A"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p.28</w:t>
      </w:r>
    </w:p>
  </w:footnote>
  <w:footnote w:id="48">
    <w:p w14:paraId="071C91CC" w14:textId="4CB934FD"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p.153</w:t>
      </w:r>
    </w:p>
  </w:footnote>
  <w:footnote w:id="49">
    <w:p w14:paraId="5C4DDEC6" w14:textId="581B7B3D"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1.17, p.65</w:t>
      </w:r>
    </w:p>
  </w:footnote>
  <w:footnote w:id="50">
    <w:p w14:paraId="3AC81B21" w14:textId="0DAD4218"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Emma C - 8.6</w:t>
      </w:r>
    </w:p>
  </w:footnote>
  <w:footnote w:id="51">
    <w:p w14:paraId="3BD5E012" w14:textId="04EDF75C"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Emma C - 9.3-4</w:t>
      </w:r>
    </w:p>
  </w:footnote>
  <w:footnote w:id="52">
    <w:p w14:paraId="657ABA35" w14:textId="36B2BE82"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p.208</w:t>
      </w:r>
    </w:p>
  </w:footnote>
  <w:footnote w:id="53">
    <w:p w14:paraId="21B466C4" w14:textId="3CBEA789"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p.49</w:t>
      </w:r>
    </w:p>
  </w:footnote>
  <w:footnote w:id="54">
    <w:p w14:paraId="1C3A5E7A" w14:textId="26759F6D"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Plotinus, Ennead IV, iv, 31</w:t>
      </w:r>
    </w:p>
  </w:footnote>
  <w:footnote w:id="55">
    <w:p w14:paraId="1DE9E883" w14:textId="5B3CFCF5"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Proclus: Neo-platonic Philosophy and S</w:t>
      </w:r>
      <w:r>
        <w:rPr>
          <w:rFonts w:ascii="Helvetica Neue" w:hAnsi="Helvetica Neue" w:cs="Helvetica Neue"/>
          <w:color w:val="000000"/>
          <w:sz w:val="18"/>
          <w:szCs w:val="18"/>
        </w:rPr>
        <w:t>c</w:t>
      </w:r>
      <w:r>
        <w:rPr>
          <w:rFonts w:ascii="Helvetica Neue" w:hAnsi="Helvetica Neue" w:cs="Helvetica Neue"/>
          <w:color w:val="000000"/>
          <w:sz w:val="18"/>
          <w:szCs w:val="18"/>
        </w:rPr>
        <w:t>ience, 1996, pp.262-316</w:t>
      </w:r>
    </w:p>
  </w:footnote>
  <w:footnote w:id="56">
    <w:p w14:paraId="04C9F8A7" w14:textId="3FEB5799"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9.4 p.333</w:t>
      </w:r>
    </w:p>
  </w:footnote>
  <w:footnote w:id="57">
    <w:p w14:paraId="1B41E9B9" w14:textId="6899F892"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Ibid. p.25</w:t>
      </w:r>
    </w:p>
  </w:footnote>
  <w:footnote w:id="58">
    <w:p w14:paraId="324F0604" w14:textId="086D32BB"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Lynn Thorndike, The History, Ch. XI, p.310</w:t>
      </w:r>
    </w:p>
  </w:footnote>
  <w:footnote w:id="59">
    <w:p w14:paraId="66008279" w14:textId="3FB1E4A4"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3.18, p.167</w:t>
      </w:r>
    </w:p>
  </w:footnote>
  <w:footnote w:id="60">
    <w:p w14:paraId="1F95D6B6" w14:textId="0DEDE518"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p.29</w:t>
      </w:r>
    </w:p>
  </w:footnote>
  <w:footnote w:id="61">
    <w:p w14:paraId="5A09034A" w14:textId="5D9B249C"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7.1, p.291</w:t>
      </w:r>
    </w:p>
  </w:footnote>
  <w:footnote w:id="62">
    <w:p w14:paraId="2A857070" w14:textId="19889777"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5.26, p.275-277</w:t>
      </w:r>
    </w:p>
  </w:footnote>
  <w:footnote w:id="63">
    <w:p w14:paraId="464C7903" w14:textId="12FE24C6"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p.143</w:t>
      </w:r>
    </w:p>
  </w:footnote>
  <w:footnote w:id="64">
    <w:p w14:paraId="2ADB83E5" w14:textId="22975465"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Lynn Thorndike, Ch. XI, p.314</w:t>
      </w:r>
    </w:p>
  </w:footnote>
  <w:footnote w:id="65">
    <w:p w14:paraId="7408500B" w14:textId="12A5BEAD"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p.210</w:t>
      </w:r>
    </w:p>
  </w:footnote>
  <w:footnote w:id="66">
    <w:p w14:paraId="0DCBC756" w14:textId="18BA1812"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p.241</w:t>
      </w:r>
    </w:p>
  </w:footnote>
  <w:footnote w:id="67">
    <w:p w14:paraId="178E0788" w14:textId="2FC3D1E4"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3.1 p.121</w:t>
      </w:r>
    </w:p>
  </w:footnote>
  <w:footnote w:id="68">
    <w:p w14:paraId="15F15150" w14:textId="379C065C"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p.120</w:t>
      </w:r>
    </w:p>
  </w:footnote>
  <w:footnote w:id="69">
    <w:p w14:paraId="51BD12A5" w14:textId="0DC5E9A7"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p.218</w:t>
      </w:r>
    </w:p>
  </w:footnote>
  <w:footnote w:id="70">
    <w:p w14:paraId="2555D905" w14:textId="77AC6268"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Sarah Iles Johnston, Magic &amp; Theurgy, Brill, p.709</w:t>
      </w:r>
    </w:p>
  </w:footnote>
  <w:footnote w:id="71">
    <w:p w14:paraId="78044E8D" w14:textId="6526166E" w:rsidR="003A421A" w:rsidRDefault="003A421A">
      <w:pPr>
        <w:pStyle w:val="FootnoteText"/>
      </w:pPr>
      <w:r>
        <w:rPr>
          <w:rStyle w:val="FootnoteReference"/>
        </w:rPr>
        <w:footnoteRef/>
      </w:r>
      <w:r>
        <w:t xml:space="preserve"> S</w:t>
      </w:r>
      <w:r>
        <w:rPr>
          <w:rFonts w:ascii="Helvetica Neue" w:hAnsi="Helvetica Neue" w:cs="Helvetica Neue"/>
          <w:color w:val="000000"/>
          <w:sz w:val="18"/>
          <w:szCs w:val="18"/>
        </w:rPr>
        <w:t>arah Iles Johnston, Magic &amp; Theurgy, Brill, p.709</w:t>
      </w:r>
    </w:p>
  </w:footnote>
  <w:footnote w:id="72">
    <w:p w14:paraId="47483B16" w14:textId="40839DF4"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p.226-7</w:t>
      </w:r>
    </w:p>
  </w:footnote>
  <w:footnote w:id="73">
    <w:p w14:paraId="54BDAE20" w14:textId="2B590130"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3.6 p.133</w:t>
      </w:r>
    </w:p>
  </w:footnote>
  <w:footnote w:id="74">
    <w:p w14:paraId="0B0B2F26" w14:textId="0BB49EB0"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3.2 p.123</w:t>
      </w:r>
    </w:p>
  </w:footnote>
  <w:footnote w:id="75">
    <w:p w14:paraId="3D1DE90C" w14:textId="298C71B8"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 xml:space="preserve">Emma C. Clarke, John M. Dillon, and Jackson P. </w:t>
      </w:r>
      <w:proofErr w:type="spellStart"/>
      <w:r>
        <w:rPr>
          <w:rFonts w:ascii="Helvetica Neue" w:hAnsi="Helvetica Neue" w:cs="Helvetica Neue"/>
          <w:color w:val="000000"/>
          <w:sz w:val="18"/>
          <w:szCs w:val="18"/>
        </w:rPr>
        <w:t>Hershbell</w:t>
      </w:r>
      <w:proofErr w:type="spellEnd"/>
      <w:r>
        <w:rPr>
          <w:rFonts w:ascii="Helvetica Neue" w:hAnsi="Helvetica Neue" w:cs="Helvetica Neue"/>
          <w:color w:val="000000"/>
          <w:sz w:val="18"/>
          <w:szCs w:val="18"/>
        </w:rPr>
        <w:t>, Iamblichus: On the Mysteries, Society of Biblical Literature, 2003, 3.26 p.185</w:t>
      </w:r>
    </w:p>
  </w:footnote>
  <w:footnote w:id="76">
    <w:p w14:paraId="28D81322" w14:textId="025E025F"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p.190</w:t>
      </w:r>
    </w:p>
  </w:footnote>
  <w:footnote w:id="77">
    <w:p w14:paraId="58462949" w14:textId="62E08EE2"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p.6</w:t>
      </w:r>
    </w:p>
  </w:footnote>
  <w:footnote w:id="78">
    <w:p w14:paraId="2E03917E" w14:textId="77DE69CC"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p.6</w:t>
      </w:r>
    </w:p>
  </w:footnote>
  <w:footnote w:id="79">
    <w:p w14:paraId="12546906" w14:textId="6511E995"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Gregory Shaw, Theurgy &amp; the Soul: The Neoplatonism of Iamblichus, Angelico Press/Sophia Perennis, 2nd Edition, 2014, p.152</w:t>
      </w:r>
    </w:p>
  </w:footnote>
  <w:footnote w:id="80">
    <w:p w14:paraId="47C5DA42" w14:textId="0903FD44" w:rsidR="003A421A" w:rsidRDefault="003A421A">
      <w:pPr>
        <w:pStyle w:val="FootnoteText"/>
      </w:pPr>
      <w:r>
        <w:rPr>
          <w:rStyle w:val="FootnoteReference"/>
        </w:rPr>
        <w:footnoteRef/>
      </w:r>
      <w:r>
        <w:t xml:space="preserve"> </w:t>
      </w:r>
      <w:r>
        <w:rPr>
          <w:rFonts w:ascii="Helvetica Neue" w:hAnsi="Helvetica Neue" w:cs="Helvetica Neue"/>
          <w:color w:val="000000"/>
        </w:rPr>
        <w:t>p.25</w:t>
      </w:r>
    </w:p>
  </w:footnote>
  <w:footnote w:id="81">
    <w:p w14:paraId="0F0A4191" w14:textId="604E32BC" w:rsidR="003A421A" w:rsidRDefault="003A421A">
      <w:pPr>
        <w:pStyle w:val="FootnoteText"/>
      </w:pPr>
      <w:r>
        <w:rPr>
          <w:rStyle w:val="FootnoteReference"/>
        </w:rPr>
        <w:footnoteRef/>
      </w:r>
      <w:r>
        <w:t xml:space="preserve"> </w:t>
      </w:r>
      <w:r>
        <w:rPr>
          <w:rFonts w:ascii="Helvetica Neue" w:hAnsi="Helvetica Neue" w:cs="Helvetica Neue"/>
          <w:color w:val="000000"/>
          <w:sz w:val="18"/>
          <w:szCs w:val="18"/>
        </w:rPr>
        <w:t>Crystal Addey, Divination and Theurgy in Neoplatonism: oracles of the, Ashgate, 2014, p.26</w:t>
      </w:r>
    </w:p>
  </w:footnote>
  <w:footnote w:id="82">
    <w:p w14:paraId="50614935" w14:textId="5E0B3A5B" w:rsidR="003A421A" w:rsidRDefault="003A421A">
      <w:pPr>
        <w:pStyle w:val="FootnoteText"/>
      </w:pPr>
      <w:r>
        <w:rPr>
          <w:rStyle w:val="FootnoteReference"/>
        </w:rPr>
        <w:footnoteRef/>
      </w:r>
      <w:r>
        <w:t xml:space="preserve"> </w:t>
      </w:r>
      <w:r>
        <w:rPr>
          <w:rFonts w:ascii="Helvetica Neue" w:hAnsi="Helvetica Neue" w:cs="Helvetica Neue"/>
          <w:color w:val="000000"/>
        </w:rPr>
        <w:t>p.23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BB3"/>
    <w:rsid w:val="000A7E71"/>
    <w:rsid w:val="003A421A"/>
    <w:rsid w:val="004414EE"/>
    <w:rsid w:val="004C79F8"/>
    <w:rsid w:val="007E3BB3"/>
    <w:rsid w:val="008F6101"/>
    <w:rsid w:val="00B51B1D"/>
    <w:rsid w:val="00B83A70"/>
    <w:rsid w:val="00B94481"/>
    <w:rsid w:val="00BB57D5"/>
    <w:rsid w:val="00BE7DB8"/>
    <w:rsid w:val="00DC1788"/>
    <w:rsid w:val="00F33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1D2F6"/>
  <w15:chartTrackingRefBased/>
  <w15:docId w15:val="{CB9BCB3A-18CA-FC4C-99FD-942A3BB8E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7D5"/>
    <w:pPr>
      <w:spacing w:after="180" w:line="274" w:lineRule="auto"/>
    </w:pPr>
    <w:rPr>
      <w:rFonts w:ascii="Open Sans" w:hAnsi="Open Sans"/>
      <w:sz w:val="22"/>
      <w:szCs w:val="22"/>
    </w:rPr>
  </w:style>
  <w:style w:type="paragraph" w:styleId="Heading1">
    <w:name w:val="heading 1"/>
    <w:basedOn w:val="Normal"/>
    <w:next w:val="Normal"/>
    <w:link w:val="Heading1Char"/>
    <w:autoRedefine/>
    <w:uiPriority w:val="9"/>
    <w:qFormat/>
    <w:rsid w:val="00BE7DB8"/>
    <w:pPr>
      <w:keepNext/>
      <w:keepLines/>
      <w:spacing w:before="360" w:after="0" w:line="240" w:lineRule="auto"/>
      <w:outlineLvl w:val="0"/>
    </w:pPr>
    <w:rPr>
      <w:rFonts w:ascii="Montserrat" w:eastAsiaTheme="majorEastAsia" w:hAnsi="Montserrat" w:cstheme="majorBidi"/>
      <w:bCs/>
      <w:sz w:val="32"/>
      <w:szCs w:val="28"/>
    </w:rPr>
  </w:style>
  <w:style w:type="paragraph" w:styleId="Heading2">
    <w:name w:val="heading 2"/>
    <w:basedOn w:val="Normal"/>
    <w:next w:val="Normal"/>
    <w:link w:val="Heading2Char"/>
    <w:autoRedefine/>
    <w:uiPriority w:val="9"/>
    <w:unhideWhenUsed/>
    <w:qFormat/>
    <w:rsid w:val="00BE7DB8"/>
    <w:pPr>
      <w:keepNext/>
      <w:keepLines/>
      <w:spacing w:before="160" w:after="80"/>
      <w:outlineLvl w:val="1"/>
    </w:pPr>
    <w:rPr>
      <w:rFonts w:ascii="Montserrat" w:eastAsiaTheme="majorEastAsia" w:hAnsi="Montserrat" w:cstheme="majorBidi"/>
      <w:b/>
      <w:color w:val="0F4761" w:themeColor="accent1" w:themeShade="BF"/>
      <w:sz w:val="32"/>
      <w:szCs w:val="32"/>
    </w:rPr>
  </w:style>
  <w:style w:type="paragraph" w:styleId="Heading3">
    <w:name w:val="heading 3"/>
    <w:basedOn w:val="Normal"/>
    <w:next w:val="Normal"/>
    <w:link w:val="Heading3Char"/>
    <w:autoRedefine/>
    <w:uiPriority w:val="9"/>
    <w:unhideWhenUsed/>
    <w:qFormat/>
    <w:rsid w:val="008F6101"/>
    <w:pPr>
      <w:keepNext/>
      <w:keepLines/>
      <w:spacing w:before="20" w:after="0" w:line="240" w:lineRule="auto"/>
      <w:outlineLvl w:val="2"/>
    </w:pPr>
    <w:rPr>
      <w:rFonts w:asciiTheme="minorHAnsi" w:eastAsiaTheme="majorEastAsia" w:hAnsiTheme="minorHAnsi" w:cstheme="majorBidi"/>
      <w:b/>
      <w:bCs/>
      <w:color w:val="0E2841" w:themeColor="text2"/>
      <w:sz w:val="24"/>
      <w:szCs w:val="24"/>
    </w:rPr>
  </w:style>
  <w:style w:type="paragraph" w:styleId="Heading4">
    <w:name w:val="heading 4"/>
    <w:basedOn w:val="Normal"/>
    <w:next w:val="Normal"/>
    <w:link w:val="Heading4Char"/>
    <w:uiPriority w:val="9"/>
    <w:semiHidden/>
    <w:unhideWhenUsed/>
    <w:qFormat/>
    <w:rsid w:val="007E3B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E3B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E3B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E3B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E3B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E3B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7Colourful">
    <w:name w:val="List Table 7 Colorful"/>
    <w:basedOn w:val="TableNormal"/>
    <w:uiPriority w:val="52"/>
    <w:rsid w:val="00BB57D5"/>
    <w:rPr>
      <w:color w:val="000000" w:themeColor="text1"/>
      <w:sz w:val="18"/>
      <w:szCs w:val="22"/>
    </w:rPr>
    <w:tblPr>
      <w:tblStyleRowBandSize w:val="1"/>
      <w:tblStyleColBandSize w:val="1"/>
    </w:tblPr>
    <w:tcPr>
      <w:vAlign w:val="center"/>
    </w:tc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itle">
    <w:name w:val="Title"/>
    <w:basedOn w:val="Normal"/>
    <w:next w:val="Normal"/>
    <w:link w:val="TitleChar"/>
    <w:uiPriority w:val="10"/>
    <w:qFormat/>
    <w:rsid w:val="00BE7DB8"/>
    <w:pPr>
      <w:spacing w:after="120" w:line="240" w:lineRule="auto"/>
      <w:contextualSpacing/>
    </w:pPr>
    <w:rPr>
      <w:rFonts w:ascii="Montserrat" w:eastAsiaTheme="majorEastAsia" w:hAnsi="Montserrat" w:cstheme="majorBidi"/>
      <w:b/>
      <w:color w:val="0E2841" w:themeColor="text2"/>
      <w:spacing w:val="30"/>
      <w:kern w:val="28"/>
      <w:sz w:val="36"/>
      <w:szCs w:val="52"/>
      <w14:ligatures w14:val="standard"/>
      <w14:numForm w14:val="oldStyle"/>
    </w:rPr>
  </w:style>
  <w:style w:type="character" w:customStyle="1" w:styleId="TitleChar">
    <w:name w:val="Title Char"/>
    <w:basedOn w:val="DefaultParagraphFont"/>
    <w:link w:val="Title"/>
    <w:uiPriority w:val="10"/>
    <w:rsid w:val="00BE7DB8"/>
    <w:rPr>
      <w:rFonts w:ascii="Montserrat" w:eastAsiaTheme="majorEastAsia" w:hAnsi="Montserrat" w:cstheme="majorBidi"/>
      <w:b/>
      <w:color w:val="0E2841" w:themeColor="text2"/>
      <w:spacing w:val="30"/>
      <w:kern w:val="28"/>
      <w:sz w:val="36"/>
      <w:szCs w:val="52"/>
      <w14:ligatures w14:val="standard"/>
      <w14:numForm w14:val="oldStyle"/>
    </w:rPr>
  </w:style>
  <w:style w:type="character" w:customStyle="1" w:styleId="Heading1Char">
    <w:name w:val="Heading 1 Char"/>
    <w:basedOn w:val="DefaultParagraphFont"/>
    <w:link w:val="Heading1"/>
    <w:uiPriority w:val="9"/>
    <w:rsid w:val="00BE7DB8"/>
    <w:rPr>
      <w:rFonts w:ascii="Montserrat" w:eastAsiaTheme="majorEastAsia" w:hAnsi="Montserrat" w:cstheme="majorBidi"/>
      <w:bCs/>
      <w:sz w:val="32"/>
      <w:szCs w:val="28"/>
    </w:rPr>
  </w:style>
  <w:style w:type="character" w:customStyle="1" w:styleId="Heading3Char">
    <w:name w:val="Heading 3 Char"/>
    <w:basedOn w:val="DefaultParagraphFont"/>
    <w:link w:val="Heading3"/>
    <w:uiPriority w:val="9"/>
    <w:rsid w:val="008F6101"/>
    <w:rPr>
      <w:rFonts w:eastAsiaTheme="majorEastAsia" w:cstheme="majorBidi"/>
      <w:b/>
      <w:bCs/>
      <w:color w:val="0E2841" w:themeColor="text2"/>
    </w:rPr>
  </w:style>
  <w:style w:type="character" w:customStyle="1" w:styleId="Heading2Char">
    <w:name w:val="Heading 2 Char"/>
    <w:basedOn w:val="DefaultParagraphFont"/>
    <w:link w:val="Heading2"/>
    <w:uiPriority w:val="9"/>
    <w:rsid w:val="00BE7DB8"/>
    <w:rPr>
      <w:rFonts w:ascii="Montserrat" w:eastAsiaTheme="majorEastAsia" w:hAnsi="Montserrat" w:cstheme="majorBidi"/>
      <w:b/>
      <w:color w:val="0F4761" w:themeColor="accent1" w:themeShade="BF"/>
      <w:sz w:val="32"/>
      <w:szCs w:val="32"/>
    </w:rPr>
  </w:style>
  <w:style w:type="character" w:customStyle="1" w:styleId="Heading4Char">
    <w:name w:val="Heading 4 Char"/>
    <w:basedOn w:val="DefaultParagraphFont"/>
    <w:link w:val="Heading4"/>
    <w:uiPriority w:val="9"/>
    <w:semiHidden/>
    <w:rsid w:val="007E3BB3"/>
    <w:rPr>
      <w:rFonts w:eastAsiaTheme="majorEastAsia" w:cstheme="majorBidi"/>
      <w:i/>
      <w:iCs/>
      <w:color w:val="0F4761" w:themeColor="accent1" w:themeShade="BF"/>
      <w:sz w:val="22"/>
      <w:szCs w:val="22"/>
    </w:rPr>
  </w:style>
  <w:style w:type="character" w:customStyle="1" w:styleId="Heading5Char">
    <w:name w:val="Heading 5 Char"/>
    <w:basedOn w:val="DefaultParagraphFont"/>
    <w:link w:val="Heading5"/>
    <w:uiPriority w:val="9"/>
    <w:semiHidden/>
    <w:rsid w:val="007E3BB3"/>
    <w:rPr>
      <w:rFonts w:eastAsiaTheme="majorEastAsia" w:cstheme="majorBidi"/>
      <w:color w:val="0F4761" w:themeColor="accent1" w:themeShade="BF"/>
      <w:sz w:val="22"/>
      <w:szCs w:val="22"/>
    </w:rPr>
  </w:style>
  <w:style w:type="character" w:customStyle="1" w:styleId="Heading6Char">
    <w:name w:val="Heading 6 Char"/>
    <w:basedOn w:val="DefaultParagraphFont"/>
    <w:link w:val="Heading6"/>
    <w:uiPriority w:val="9"/>
    <w:semiHidden/>
    <w:rsid w:val="007E3BB3"/>
    <w:rPr>
      <w:rFonts w:eastAsiaTheme="majorEastAsia" w:cstheme="majorBidi"/>
      <w:i/>
      <w:iCs/>
      <w:color w:val="595959" w:themeColor="text1" w:themeTint="A6"/>
      <w:sz w:val="22"/>
      <w:szCs w:val="22"/>
    </w:rPr>
  </w:style>
  <w:style w:type="character" w:customStyle="1" w:styleId="Heading7Char">
    <w:name w:val="Heading 7 Char"/>
    <w:basedOn w:val="DefaultParagraphFont"/>
    <w:link w:val="Heading7"/>
    <w:uiPriority w:val="9"/>
    <w:semiHidden/>
    <w:rsid w:val="007E3BB3"/>
    <w:rPr>
      <w:rFonts w:eastAsiaTheme="majorEastAsia" w:cstheme="majorBidi"/>
      <w:color w:val="595959" w:themeColor="text1" w:themeTint="A6"/>
      <w:sz w:val="22"/>
      <w:szCs w:val="22"/>
    </w:rPr>
  </w:style>
  <w:style w:type="character" w:customStyle="1" w:styleId="Heading8Char">
    <w:name w:val="Heading 8 Char"/>
    <w:basedOn w:val="DefaultParagraphFont"/>
    <w:link w:val="Heading8"/>
    <w:uiPriority w:val="9"/>
    <w:semiHidden/>
    <w:rsid w:val="007E3BB3"/>
    <w:rPr>
      <w:rFonts w:eastAsiaTheme="majorEastAsia" w:cstheme="majorBidi"/>
      <w:i/>
      <w:iCs/>
      <w:color w:val="272727" w:themeColor="text1" w:themeTint="D8"/>
      <w:sz w:val="22"/>
      <w:szCs w:val="22"/>
    </w:rPr>
  </w:style>
  <w:style w:type="character" w:customStyle="1" w:styleId="Heading9Char">
    <w:name w:val="Heading 9 Char"/>
    <w:basedOn w:val="DefaultParagraphFont"/>
    <w:link w:val="Heading9"/>
    <w:uiPriority w:val="9"/>
    <w:semiHidden/>
    <w:rsid w:val="007E3BB3"/>
    <w:rPr>
      <w:rFonts w:eastAsiaTheme="majorEastAsia" w:cstheme="majorBidi"/>
      <w:color w:val="272727" w:themeColor="text1" w:themeTint="D8"/>
      <w:sz w:val="22"/>
      <w:szCs w:val="22"/>
    </w:rPr>
  </w:style>
  <w:style w:type="paragraph" w:styleId="Subtitle">
    <w:name w:val="Subtitle"/>
    <w:basedOn w:val="Normal"/>
    <w:next w:val="Normal"/>
    <w:link w:val="SubtitleChar"/>
    <w:uiPriority w:val="11"/>
    <w:qFormat/>
    <w:rsid w:val="007E3BB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3B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3BB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E3BB3"/>
    <w:rPr>
      <w:rFonts w:ascii="Open Sans" w:hAnsi="Open Sans"/>
      <w:i/>
      <w:iCs/>
      <w:color w:val="404040" w:themeColor="text1" w:themeTint="BF"/>
      <w:sz w:val="22"/>
      <w:szCs w:val="22"/>
    </w:rPr>
  </w:style>
  <w:style w:type="paragraph" w:styleId="ListParagraph">
    <w:name w:val="List Paragraph"/>
    <w:basedOn w:val="Normal"/>
    <w:uiPriority w:val="34"/>
    <w:qFormat/>
    <w:rsid w:val="007E3BB3"/>
    <w:pPr>
      <w:ind w:left="720"/>
      <w:contextualSpacing/>
    </w:pPr>
  </w:style>
  <w:style w:type="character" w:styleId="IntenseEmphasis">
    <w:name w:val="Intense Emphasis"/>
    <w:basedOn w:val="DefaultParagraphFont"/>
    <w:uiPriority w:val="21"/>
    <w:qFormat/>
    <w:rsid w:val="007E3BB3"/>
    <w:rPr>
      <w:i/>
      <w:iCs/>
      <w:color w:val="0F4761" w:themeColor="accent1" w:themeShade="BF"/>
    </w:rPr>
  </w:style>
  <w:style w:type="paragraph" w:styleId="IntenseQuote">
    <w:name w:val="Intense Quote"/>
    <w:basedOn w:val="Normal"/>
    <w:next w:val="Normal"/>
    <w:link w:val="IntenseQuoteChar"/>
    <w:uiPriority w:val="30"/>
    <w:qFormat/>
    <w:rsid w:val="007E3B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3BB3"/>
    <w:rPr>
      <w:rFonts w:ascii="Open Sans" w:hAnsi="Open Sans"/>
      <w:i/>
      <w:iCs/>
      <w:color w:val="0F4761" w:themeColor="accent1" w:themeShade="BF"/>
      <w:sz w:val="22"/>
      <w:szCs w:val="22"/>
    </w:rPr>
  </w:style>
  <w:style w:type="character" w:styleId="IntenseReference">
    <w:name w:val="Intense Reference"/>
    <w:basedOn w:val="DefaultParagraphFont"/>
    <w:uiPriority w:val="32"/>
    <w:qFormat/>
    <w:rsid w:val="007E3BB3"/>
    <w:rPr>
      <w:b/>
      <w:bCs/>
      <w:smallCaps/>
      <w:color w:val="0F4761" w:themeColor="accent1" w:themeShade="BF"/>
      <w:spacing w:val="5"/>
    </w:rPr>
  </w:style>
  <w:style w:type="paragraph" w:styleId="Revision">
    <w:name w:val="Revision"/>
    <w:hidden/>
    <w:uiPriority w:val="99"/>
    <w:semiHidden/>
    <w:rsid w:val="00B94481"/>
    <w:rPr>
      <w:rFonts w:ascii="Open Sans" w:hAnsi="Open Sans"/>
      <w:sz w:val="22"/>
      <w:szCs w:val="22"/>
    </w:rPr>
  </w:style>
  <w:style w:type="paragraph" w:styleId="FootnoteText">
    <w:name w:val="footnote text"/>
    <w:basedOn w:val="Normal"/>
    <w:link w:val="FootnoteTextChar"/>
    <w:uiPriority w:val="99"/>
    <w:semiHidden/>
    <w:unhideWhenUsed/>
    <w:rsid w:val="00BE7D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7DB8"/>
    <w:rPr>
      <w:rFonts w:ascii="Open Sans" w:hAnsi="Open Sans"/>
      <w:sz w:val="20"/>
      <w:szCs w:val="20"/>
    </w:rPr>
  </w:style>
  <w:style w:type="character" w:styleId="FootnoteReference">
    <w:name w:val="footnote reference"/>
    <w:basedOn w:val="DefaultParagraphFont"/>
    <w:uiPriority w:val="99"/>
    <w:semiHidden/>
    <w:unhideWhenUsed/>
    <w:rsid w:val="00BE7DB8"/>
    <w:rPr>
      <w:vertAlign w:val="superscript"/>
    </w:rPr>
  </w:style>
  <w:style w:type="paragraph" w:styleId="Caption">
    <w:name w:val="caption"/>
    <w:basedOn w:val="Normal"/>
    <w:next w:val="Normal"/>
    <w:uiPriority w:val="35"/>
    <w:unhideWhenUsed/>
    <w:qFormat/>
    <w:rsid w:val="000A7E7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BC67B-CDF3-6846-AA29-64E56C839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16</Pages>
  <Words>4910</Words>
  <Characters>26125</Characters>
  <Application>Microsoft Office Word</Application>
  <DocSecurity>0</DocSecurity>
  <Lines>512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Thomas</dc:creator>
  <cp:keywords/>
  <dc:description/>
  <cp:lastModifiedBy>Jennie Thomas</cp:lastModifiedBy>
  <cp:revision>2</cp:revision>
  <dcterms:created xsi:type="dcterms:W3CDTF">2024-04-28T23:04:00Z</dcterms:created>
  <dcterms:modified xsi:type="dcterms:W3CDTF">2024-04-29T00:02:00Z</dcterms:modified>
</cp:coreProperties>
</file>