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9AB4F1" w14:textId="43FE0BEE" w:rsidR="00CD4676" w:rsidRDefault="00617CDB" w:rsidP="00CD2897">
      <w:pPr>
        <w:spacing w:line="360" w:lineRule="auto"/>
        <w:jc w:val="both"/>
        <w:rPr>
          <w:rFonts w:ascii="Arial" w:hAnsi="Arial" w:cs="Arial"/>
          <w:b/>
          <w:bCs/>
        </w:rPr>
      </w:pPr>
      <w:r w:rsidRPr="009E70D0">
        <w:rPr>
          <w:b/>
          <w:bCs/>
          <w:noProof/>
        </w:rPr>
        <mc:AlternateContent>
          <mc:Choice Requires="wpg">
            <w:drawing>
              <wp:anchor distT="0" distB="0" distL="114300" distR="114300" simplePos="0" relativeHeight="251659264" behindDoc="0" locked="0" layoutInCell="1" allowOverlap="1" wp14:anchorId="041C8673" wp14:editId="68FCBF47">
                <wp:simplePos x="0" y="0"/>
                <wp:positionH relativeFrom="margin">
                  <wp:align>center</wp:align>
                </wp:positionH>
                <wp:positionV relativeFrom="page">
                  <wp:posOffset>373380</wp:posOffset>
                </wp:positionV>
                <wp:extent cx="6677891" cy="1090237"/>
                <wp:effectExtent l="0" t="0" r="8890" b="0"/>
                <wp:wrapNone/>
                <wp:docPr id="149" name="Group 157"/>
                <wp:cNvGraphicFramePr/>
                <a:graphic xmlns:a="http://schemas.openxmlformats.org/drawingml/2006/main">
                  <a:graphicData uri="http://schemas.microsoft.com/office/word/2010/wordprocessingGroup">
                    <wpg:wgp>
                      <wpg:cNvGrpSpPr/>
                      <wpg:grpSpPr>
                        <a:xfrm>
                          <a:off x="0" y="0"/>
                          <a:ext cx="6677891" cy="1090237"/>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2BF5273C" id="Group 157" o:spid="_x0000_s1026" style="position:absolute;margin-left:0;margin-top:29.4pt;width:525.8pt;height:85.85pt;z-index:251659264;mso-position-horizontal:center;mso-position-horizontal-relative:margin;mso-position-vertical-relative:page"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F+xIouO&#10;BQAAfhsAAA4AAAAAAAAAAAAAAAAAOgIAAGRycy9lMm9Eb2MueG1sUEsBAi0ACgAAAAAAAAAhAJsb&#10;FBFoZAAAaGQAABQAAAAAAAAAAAAAAAAA9AcAAGRycy9tZWRpYS9pbWFnZTEucG5nUEsBAi0AFAAG&#10;AAgAAAAhAHHFO1beAAAACAEAAA8AAAAAAAAAAAAAAAAAjm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margin" anchory="page"/>
              </v:group>
            </w:pict>
          </mc:Fallback>
        </mc:AlternateContent>
      </w:r>
    </w:p>
    <w:p w14:paraId="31D4B796" w14:textId="77777777" w:rsidR="00CD4676" w:rsidRDefault="00CD4676" w:rsidP="00CD2897">
      <w:pPr>
        <w:spacing w:line="360" w:lineRule="auto"/>
        <w:jc w:val="both"/>
        <w:rPr>
          <w:rFonts w:ascii="Arial" w:hAnsi="Arial" w:cs="Arial"/>
          <w:b/>
          <w:bCs/>
        </w:rPr>
      </w:pPr>
    </w:p>
    <w:p w14:paraId="678338B3" w14:textId="77777777" w:rsidR="00CD4676" w:rsidRDefault="00CD4676" w:rsidP="00CD2897">
      <w:pPr>
        <w:spacing w:line="360" w:lineRule="auto"/>
        <w:jc w:val="both"/>
        <w:rPr>
          <w:rFonts w:ascii="Arial" w:hAnsi="Arial" w:cs="Arial"/>
          <w:b/>
          <w:bCs/>
        </w:rPr>
      </w:pPr>
    </w:p>
    <w:p w14:paraId="4BBD9BF7" w14:textId="77777777" w:rsidR="00CD4676" w:rsidRDefault="00CD4676" w:rsidP="00CD2897">
      <w:pPr>
        <w:spacing w:line="360" w:lineRule="auto"/>
        <w:jc w:val="both"/>
        <w:rPr>
          <w:rFonts w:ascii="Arial" w:hAnsi="Arial" w:cs="Arial"/>
          <w:b/>
          <w:bCs/>
        </w:rPr>
      </w:pPr>
    </w:p>
    <w:p w14:paraId="7BBA8A71" w14:textId="77777777" w:rsidR="00CD4676" w:rsidRDefault="00CD4676" w:rsidP="00CD2897">
      <w:pPr>
        <w:spacing w:line="360" w:lineRule="auto"/>
        <w:jc w:val="both"/>
        <w:rPr>
          <w:rFonts w:ascii="Arial" w:hAnsi="Arial" w:cs="Arial"/>
          <w:b/>
          <w:bCs/>
        </w:rPr>
      </w:pPr>
    </w:p>
    <w:p w14:paraId="3695814B" w14:textId="77777777" w:rsidR="00CD4676" w:rsidRDefault="00CD4676" w:rsidP="00CD2897">
      <w:pPr>
        <w:spacing w:line="360" w:lineRule="auto"/>
        <w:jc w:val="both"/>
        <w:rPr>
          <w:rFonts w:ascii="Arial" w:hAnsi="Arial" w:cs="Arial"/>
          <w:b/>
          <w:bCs/>
        </w:rPr>
      </w:pPr>
    </w:p>
    <w:p w14:paraId="00A8E3DE" w14:textId="77777777" w:rsidR="00CD4676" w:rsidRDefault="00CD4676" w:rsidP="00CD2897">
      <w:pPr>
        <w:spacing w:line="360" w:lineRule="auto"/>
        <w:jc w:val="both"/>
        <w:rPr>
          <w:rFonts w:ascii="Arial" w:hAnsi="Arial" w:cs="Arial"/>
          <w:b/>
          <w:bCs/>
        </w:rPr>
      </w:pPr>
    </w:p>
    <w:p w14:paraId="6FE8702C" w14:textId="4B638F3F" w:rsidR="00CD4676" w:rsidRDefault="00CD4676" w:rsidP="00CD2897">
      <w:pPr>
        <w:spacing w:line="360" w:lineRule="auto"/>
        <w:jc w:val="both"/>
        <w:rPr>
          <w:rFonts w:ascii="Arial" w:hAnsi="Arial" w:cs="Arial"/>
          <w:b/>
          <w:bCs/>
        </w:rPr>
      </w:pPr>
    </w:p>
    <w:p w14:paraId="617F305B" w14:textId="77777777" w:rsidR="00CD4676" w:rsidRDefault="00CD4676" w:rsidP="00CD2897">
      <w:pPr>
        <w:spacing w:line="360" w:lineRule="auto"/>
        <w:jc w:val="both"/>
        <w:rPr>
          <w:rFonts w:ascii="Arial" w:hAnsi="Arial" w:cs="Arial"/>
          <w:b/>
          <w:bCs/>
        </w:rPr>
      </w:pPr>
    </w:p>
    <w:p w14:paraId="28320652" w14:textId="77777777" w:rsidR="00CD4676" w:rsidRDefault="00CD4676" w:rsidP="00CD2897">
      <w:pPr>
        <w:spacing w:line="360" w:lineRule="auto"/>
        <w:jc w:val="both"/>
        <w:rPr>
          <w:rFonts w:ascii="Arial" w:hAnsi="Arial" w:cs="Arial"/>
          <w:b/>
          <w:bCs/>
        </w:rPr>
      </w:pPr>
    </w:p>
    <w:p w14:paraId="223C6C8E" w14:textId="3290B28C" w:rsidR="00CD4676" w:rsidRDefault="00CD4676" w:rsidP="00CD2897">
      <w:pPr>
        <w:spacing w:line="360" w:lineRule="auto"/>
        <w:jc w:val="both"/>
        <w:rPr>
          <w:rFonts w:ascii="Arial" w:hAnsi="Arial" w:cs="Arial"/>
          <w:b/>
          <w:bCs/>
        </w:rPr>
      </w:pPr>
    </w:p>
    <w:p w14:paraId="16D2A494" w14:textId="1DBBF22C" w:rsidR="00CD4676" w:rsidRDefault="00CD4676" w:rsidP="00CD2897">
      <w:pPr>
        <w:spacing w:line="360" w:lineRule="auto"/>
        <w:jc w:val="both"/>
        <w:rPr>
          <w:rFonts w:ascii="Arial" w:hAnsi="Arial" w:cs="Arial"/>
          <w:b/>
          <w:bCs/>
        </w:rPr>
      </w:pPr>
    </w:p>
    <w:p w14:paraId="6DC71DE5" w14:textId="02A0B578" w:rsidR="00CD4676" w:rsidRDefault="00CD4676" w:rsidP="00CD2897">
      <w:pPr>
        <w:spacing w:line="360" w:lineRule="auto"/>
        <w:jc w:val="both"/>
        <w:rPr>
          <w:rFonts w:ascii="Arial" w:hAnsi="Arial" w:cs="Arial"/>
          <w:b/>
          <w:bCs/>
        </w:rPr>
      </w:pPr>
    </w:p>
    <w:p w14:paraId="54F7731C" w14:textId="0F90BC9C" w:rsidR="00CD4676" w:rsidRDefault="00CD4676" w:rsidP="00CD2897">
      <w:pPr>
        <w:spacing w:line="360" w:lineRule="auto"/>
        <w:jc w:val="both"/>
        <w:rPr>
          <w:rFonts w:ascii="Arial" w:hAnsi="Arial" w:cs="Arial"/>
          <w:b/>
          <w:bCs/>
        </w:rPr>
      </w:pPr>
    </w:p>
    <w:p w14:paraId="2F391D98" w14:textId="17D23608" w:rsidR="00CD4676" w:rsidRDefault="00CD4676" w:rsidP="00CD2897">
      <w:pPr>
        <w:spacing w:line="360" w:lineRule="auto"/>
        <w:jc w:val="both"/>
        <w:rPr>
          <w:rFonts w:ascii="Arial" w:hAnsi="Arial" w:cs="Arial"/>
          <w:b/>
          <w:bCs/>
        </w:rPr>
      </w:pPr>
    </w:p>
    <w:p w14:paraId="20138B0C" w14:textId="56690CE7" w:rsidR="00CD4676" w:rsidRDefault="00CD4676" w:rsidP="00CD2897">
      <w:pPr>
        <w:spacing w:line="360" w:lineRule="auto"/>
        <w:jc w:val="both"/>
        <w:rPr>
          <w:rFonts w:ascii="Arial" w:hAnsi="Arial" w:cs="Arial"/>
          <w:b/>
          <w:bCs/>
        </w:rPr>
      </w:pPr>
    </w:p>
    <w:p w14:paraId="6D35D061" w14:textId="6ADB48CA" w:rsidR="00CD4676" w:rsidRDefault="00CD4676" w:rsidP="00CD2897">
      <w:pPr>
        <w:spacing w:line="360" w:lineRule="auto"/>
        <w:jc w:val="both"/>
        <w:rPr>
          <w:rFonts w:ascii="Arial" w:hAnsi="Arial" w:cs="Arial"/>
          <w:b/>
          <w:bCs/>
        </w:rPr>
      </w:pPr>
    </w:p>
    <w:p w14:paraId="320E8F5A" w14:textId="455027B8" w:rsidR="00CD4676" w:rsidRDefault="00CD4676" w:rsidP="00CD2897">
      <w:pPr>
        <w:spacing w:line="360" w:lineRule="auto"/>
        <w:jc w:val="both"/>
        <w:rPr>
          <w:rFonts w:ascii="Arial" w:hAnsi="Arial" w:cs="Arial"/>
          <w:b/>
          <w:bCs/>
        </w:rPr>
      </w:pPr>
    </w:p>
    <w:p w14:paraId="17AC1EA5" w14:textId="6FA1E774" w:rsidR="00CD4676" w:rsidRDefault="00CD4676" w:rsidP="00CD2897">
      <w:pPr>
        <w:spacing w:line="360" w:lineRule="auto"/>
        <w:jc w:val="both"/>
        <w:rPr>
          <w:rFonts w:ascii="Arial" w:hAnsi="Arial" w:cs="Arial"/>
          <w:b/>
          <w:bCs/>
        </w:rPr>
      </w:pPr>
    </w:p>
    <w:p w14:paraId="146B90A9" w14:textId="6D8EB174" w:rsidR="00CD4676" w:rsidRDefault="00CD4676" w:rsidP="00CD2897">
      <w:pPr>
        <w:spacing w:line="360" w:lineRule="auto"/>
        <w:jc w:val="both"/>
        <w:rPr>
          <w:rFonts w:ascii="Arial" w:hAnsi="Arial" w:cs="Arial"/>
          <w:b/>
          <w:bCs/>
        </w:rPr>
      </w:pPr>
    </w:p>
    <w:p w14:paraId="00D9E157" w14:textId="64E5D825" w:rsidR="00CD4676" w:rsidRDefault="00CD4676" w:rsidP="00CD2897">
      <w:pPr>
        <w:spacing w:line="360" w:lineRule="auto"/>
        <w:jc w:val="both"/>
        <w:rPr>
          <w:rFonts w:ascii="Arial" w:hAnsi="Arial" w:cs="Arial"/>
          <w:b/>
          <w:bCs/>
        </w:rPr>
      </w:pPr>
    </w:p>
    <w:p w14:paraId="2A4A4D71" w14:textId="1720EC69" w:rsidR="00CD4676" w:rsidRDefault="00C50B0A" w:rsidP="00CD2897">
      <w:pPr>
        <w:spacing w:line="360" w:lineRule="auto"/>
        <w:jc w:val="both"/>
        <w:rPr>
          <w:rFonts w:ascii="Arial" w:hAnsi="Arial" w:cs="Arial"/>
          <w:b/>
          <w:bCs/>
        </w:rPr>
      </w:pPr>
      <w:r>
        <w:rPr>
          <w:noProof/>
        </w:rPr>
        <mc:AlternateContent>
          <mc:Choice Requires="wps">
            <w:drawing>
              <wp:anchor distT="45720" distB="45720" distL="114300" distR="114300" simplePos="0" relativeHeight="251661312" behindDoc="0" locked="0" layoutInCell="1" allowOverlap="1" wp14:anchorId="7BA04059" wp14:editId="48313B85">
                <wp:simplePos x="0" y="0"/>
                <wp:positionH relativeFrom="margin">
                  <wp:posOffset>3208020</wp:posOffset>
                </wp:positionH>
                <wp:positionV relativeFrom="paragraph">
                  <wp:posOffset>144145</wp:posOffset>
                </wp:positionV>
                <wp:extent cx="2766060" cy="1485900"/>
                <wp:effectExtent l="0" t="0" r="1524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66060" cy="1485900"/>
                        </a:xfrm>
                        <a:prstGeom prst="rect">
                          <a:avLst/>
                        </a:prstGeom>
                        <a:solidFill>
                          <a:srgbClr val="FFFFFF"/>
                        </a:solidFill>
                        <a:ln w="9525">
                          <a:solidFill>
                            <a:srgbClr val="000000"/>
                          </a:solidFill>
                          <a:miter lim="800000"/>
                          <a:headEnd/>
                          <a:tailEnd/>
                        </a:ln>
                      </wps:spPr>
                      <wps:txbx>
                        <w:txbxContent>
                          <w:p w14:paraId="2DA65FC9" w14:textId="77777777" w:rsidR="00C50B0A" w:rsidRDefault="00C50B0A" w:rsidP="00C50B0A">
                            <w:pPr>
                              <w:rPr>
                                <w:rFonts w:ascii="Arial" w:hAnsi="Arial" w:cs="Arial"/>
                              </w:rPr>
                            </w:pPr>
                            <w:r w:rsidRPr="00D52850">
                              <w:rPr>
                                <w:rFonts w:ascii="Arial" w:hAnsi="Arial" w:cs="Arial"/>
                              </w:rPr>
                              <w:t>LCHS7002 – Case Study Analysis</w:t>
                            </w:r>
                          </w:p>
                          <w:p w14:paraId="5CDA14E7" w14:textId="206E1F35" w:rsidR="00CD2E40" w:rsidRPr="00D52850" w:rsidRDefault="00873469" w:rsidP="00C50B0A">
                            <w:pPr>
                              <w:rPr>
                                <w:rFonts w:ascii="Arial" w:hAnsi="Arial" w:cs="Arial"/>
                              </w:rPr>
                            </w:pPr>
                            <w:r>
                              <w:rPr>
                                <w:rFonts w:ascii="Arial" w:hAnsi="Arial" w:cs="Arial"/>
                              </w:rPr>
                              <w:t>Baby Morphine Overdose</w:t>
                            </w:r>
                          </w:p>
                          <w:p w14:paraId="62B567B3" w14:textId="77777777" w:rsidR="00C50B0A" w:rsidRPr="00D52850" w:rsidRDefault="00C50B0A" w:rsidP="00C50B0A">
                            <w:pPr>
                              <w:rPr>
                                <w:rFonts w:ascii="Arial" w:hAnsi="Arial" w:cs="Arial"/>
                              </w:rPr>
                            </w:pPr>
                            <w:r w:rsidRPr="00D52850">
                              <w:rPr>
                                <w:rFonts w:ascii="Arial" w:hAnsi="Arial" w:cs="Arial"/>
                              </w:rPr>
                              <w:t>Ishrat Rehman 2118374</w:t>
                            </w:r>
                          </w:p>
                          <w:p w14:paraId="64583B61" w14:textId="77777777" w:rsidR="00C50B0A" w:rsidRPr="00D52850" w:rsidRDefault="00C50B0A" w:rsidP="00C50B0A">
                            <w:pPr>
                              <w:rPr>
                                <w:rFonts w:ascii="Arial" w:hAnsi="Arial" w:cs="Arial"/>
                              </w:rPr>
                            </w:pPr>
                            <w:r>
                              <w:rPr>
                                <w:rFonts w:ascii="Arial" w:hAnsi="Arial" w:cs="Arial"/>
                              </w:rPr>
                              <w:t>Lecturer – Dr Fahad Khan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BA04059" id="_x0000_t202" coordsize="21600,21600" o:spt="202" path="m,l,21600r21600,l21600,xe">
                <v:stroke joinstyle="miter"/>
                <v:path gradientshapeok="t" o:connecttype="rect"/>
              </v:shapetype>
              <v:shape id="Text Box 2" o:spid="_x0000_s1026" type="#_x0000_t202" style="position:absolute;left:0;text-align:left;margin-left:252.6pt;margin-top:11.35pt;width:217.8pt;height:117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">
                <v:textbox>
                  <w:txbxContent>
                    <w:p w14:paraId="2DA65FC9" w14:textId="77777777" w:rsidR="00C50B0A" w:rsidRDefault="00C50B0A" w:rsidP="00C50B0A">
                      <w:pPr>
                        <w:rPr>
                          <w:rFonts w:ascii="Arial" w:hAnsi="Arial" w:cs="Arial"/>
                        </w:rPr>
                      </w:pPr>
                      <w:r w:rsidRPr="00D52850">
                        <w:rPr>
                          <w:rFonts w:ascii="Arial" w:hAnsi="Arial" w:cs="Arial"/>
                        </w:rPr>
                        <w:t>LCHS7002 – Case Study Analysis</w:t>
                      </w:r>
                    </w:p>
                    <w:p w14:paraId="5CDA14E7" w14:textId="206E1F35" w:rsidR="00CD2E40" w:rsidRPr="00D52850" w:rsidRDefault="00873469" w:rsidP="00C50B0A">
                      <w:pPr>
                        <w:rPr>
                          <w:rFonts w:ascii="Arial" w:hAnsi="Arial" w:cs="Arial"/>
                        </w:rPr>
                      </w:pPr>
                      <w:r>
                        <w:rPr>
                          <w:rFonts w:ascii="Arial" w:hAnsi="Arial" w:cs="Arial"/>
                        </w:rPr>
                        <w:t>Baby Morphine Overdose</w:t>
                      </w:r>
                    </w:p>
                    <w:p w14:paraId="62B567B3" w14:textId="77777777" w:rsidR="00C50B0A" w:rsidRPr="00D52850" w:rsidRDefault="00C50B0A" w:rsidP="00C50B0A">
                      <w:pPr>
                        <w:rPr>
                          <w:rFonts w:ascii="Arial" w:hAnsi="Arial" w:cs="Arial"/>
                        </w:rPr>
                      </w:pPr>
                      <w:r w:rsidRPr="00D52850">
                        <w:rPr>
                          <w:rFonts w:ascii="Arial" w:hAnsi="Arial" w:cs="Arial"/>
                        </w:rPr>
                        <w:t>Ishrat Rehman 2118374</w:t>
                      </w:r>
                    </w:p>
                    <w:p w14:paraId="64583B61" w14:textId="77777777" w:rsidR="00C50B0A" w:rsidRPr="00D52850" w:rsidRDefault="00C50B0A" w:rsidP="00C50B0A">
                      <w:pPr>
                        <w:rPr>
                          <w:rFonts w:ascii="Arial" w:hAnsi="Arial" w:cs="Arial"/>
                        </w:rPr>
                      </w:pPr>
                      <w:r>
                        <w:rPr>
                          <w:rFonts w:ascii="Arial" w:hAnsi="Arial" w:cs="Arial"/>
                        </w:rPr>
                        <w:t>Lecturer – Dr Fahad Khan</w:t>
                      </w:r>
                    </w:p>
                  </w:txbxContent>
                </v:textbox>
                <w10:wrap type="square" anchorx="margin"/>
              </v:shape>
            </w:pict>
          </mc:Fallback>
        </mc:AlternateContent>
      </w:r>
    </w:p>
    <w:p w14:paraId="614ACBBC" w14:textId="77777777" w:rsidR="00CD4676" w:rsidRDefault="00CD4676" w:rsidP="00CD2897">
      <w:pPr>
        <w:spacing w:line="360" w:lineRule="auto"/>
        <w:jc w:val="both"/>
        <w:rPr>
          <w:rFonts w:ascii="Arial" w:hAnsi="Arial" w:cs="Arial"/>
          <w:b/>
          <w:bCs/>
        </w:rPr>
      </w:pPr>
    </w:p>
    <w:p w14:paraId="213ED856" w14:textId="77777777" w:rsidR="00CD4676" w:rsidRDefault="00CD4676" w:rsidP="00CD2897">
      <w:pPr>
        <w:spacing w:line="360" w:lineRule="auto"/>
        <w:jc w:val="both"/>
        <w:rPr>
          <w:rFonts w:ascii="Arial" w:hAnsi="Arial" w:cs="Arial"/>
          <w:b/>
          <w:bCs/>
        </w:rPr>
      </w:pPr>
    </w:p>
    <w:p w14:paraId="5DCD8590" w14:textId="77777777" w:rsidR="00CD4676" w:rsidRDefault="00CD4676" w:rsidP="00CD2897">
      <w:pPr>
        <w:spacing w:line="360" w:lineRule="auto"/>
        <w:jc w:val="both"/>
        <w:rPr>
          <w:rFonts w:ascii="Arial" w:hAnsi="Arial" w:cs="Arial"/>
          <w:b/>
          <w:bCs/>
        </w:rPr>
      </w:pPr>
    </w:p>
    <w:p w14:paraId="4FAD296B" w14:textId="77777777" w:rsidR="00D711AD" w:rsidRDefault="00D711AD" w:rsidP="00CD2897">
      <w:pPr>
        <w:spacing w:line="360" w:lineRule="auto"/>
        <w:jc w:val="both"/>
        <w:rPr>
          <w:rFonts w:ascii="Arial" w:hAnsi="Arial" w:cs="Arial"/>
          <w:b/>
          <w:bCs/>
        </w:rPr>
      </w:pPr>
    </w:p>
    <w:p w14:paraId="42F6815B" w14:textId="5A037A5B" w:rsidR="00012245" w:rsidRPr="000C6982" w:rsidRDefault="000C6982" w:rsidP="00CD2897">
      <w:pPr>
        <w:spacing w:line="360" w:lineRule="auto"/>
        <w:jc w:val="both"/>
        <w:rPr>
          <w:rFonts w:ascii="Arial" w:hAnsi="Arial" w:cs="Arial"/>
          <w:b/>
          <w:bCs/>
          <w:sz w:val="28"/>
          <w:szCs w:val="28"/>
        </w:rPr>
      </w:pPr>
      <w:r w:rsidRPr="000C6982">
        <w:rPr>
          <w:rFonts w:ascii="Arial" w:hAnsi="Arial" w:cs="Arial"/>
          <w:b/>
          <w:bCs/>
          <w:sz w:val="28"/>
          <w:szCs w:val="28"/>
        </w:rPr>
        <w:lastRenderedPageBreak/>
        <w:t>Summary</w:t>
      </w:r>
    </w:p>
    <w:p w14:paraId="266D7A71" w14:textId="77777777" w:rsidR="000C6982" w:rsidRDefault="000C6982" w:rsidP="00CD2897">
      <w:pPr>
        <w:spacing w:line="360" w:lineRule="auto"/>
        <w:jc w:val="both"/>
        <w:rPr>
          <w:rFonts w:ascii="Arial" w:hAnsi="Arial" w:cs="Arial"/>
          <w:b/>
          <w:bCs/>
        </w:rPr>
      </w:pPr>
    </w:p>
    <w:p w14:paraId="024DEB69" w14:textId="29CE8FA0" w:rsidR="00D711AD" w:rsidRPr="000C6982" w:rsidRDefault="00012245" w:rsidP="00CD2897">
      <w:pPr>
        <w:spacing w:line="360" w:lineRule="auto"/>
        <w:jc w:val="both"/>
        <w:rPr>
          <w:rFonts w:ascii="Arial" w:hAnsi="Arial" w:cs="Arial"/>
        </w:rPr>
      </w:pPr>
      <w:r w:rsidRPr="000C6982">
        <w:rPr>
          <w:rFonts w:ascii="Arial" w:hAnsi="Arial" w:cs="Arial"/>
        </w:rPr>
        <w:t xml:space="preserve">This report critically examines the NHS England investigation into the accidental morphine overdose of a four-week-old infant using Systems Thinking, governance and leadership theory. The analysis found that the incident resulted not from a single clinical error but from </w:t>
      </w:r>
      <w:r w:rsidR="00B148EC" w:rsidRPr="00B148EC">
        <w:rPr>
          <w:rFonts w:ascii="Arial" w:hAnsi="Arial" w:cs="Arial"/>
        </w:rPr>
        <w:t>poor cross-organisational coordination</w:t>
      </w:r>
      <w:r w:rsidRPr="000C6982">
        <w:rPr>
          <w:rFonts w:ascii="Arial" w:hAnsi="Arial" w:cs="Arial"/>
        </w:rPr>
        <w:t>, reactive leadership, communication failures and a failure to implement previous patient safety learning. It concludes that safer medicines management depends less on producing additional guidance and more on consistent implementation, adaptive leadership, integrated governance and continuous organisational learning across the NHS.</w:t>
      </w:r>
    </w:p>
    <w:p w14:paraId="5A2BFE14" w14:textId="77777777" w:rsidR="00D711AD" w:rsidRPr="000C6982" w:rsidRDefault="00D711AD" w:rsidP="00CD2897">
      <w:pPr>
        <w:spacing w:line="360" w:lineRule="auto"/>
        <w:jc w:val="both"/>
        <w:rPr>
          <w:rFonts w:ascii="Arial" w:hAnsi="Arial" w:cs="Arial"/>
        </w:rPr>
      </w:pPr>
    </w:p>
    <w:p w14:paraId="1443E507" w14:textId="77777777" w:rsidR="00D711AD" w:rsidRDefault="00D711AD" w:rsidP="00CD2897">
      <w:pPr>
        <w:spacing w:line="360" w:lineRule="auto"/>
        <w:jc w:val="both"/>
        <w:rPr>
          <w:rFonts w:ascii="Arial" w:hAnsi="Arial" w:cs="Arial"/>
          <w:b/>
          <w:bCs/>
        </w:rPr>
      </w:pPr>
    </w:p>
    <w:p w14:paraId="5F958B59" w14:textId="77777777" w:rsidR="00D711AD" w:rsidRDefault="00D711AD" w:rsidP="00CD2897">
      <w:pPr>
        <w:spacing w:line="360" w:lineRule="auto"/>
        <w:jc w:val="both"/>
        <w:rPr>
          <w:rFonts w:ascii="Arial" w:hAnsi="Arial" w:cs="Arial"/>
          <w:b/>
          <w:bCs/>
        </w:rPr>
      </w:pPr>
    </w:p>
    <w:p w14:paraId="004436B6" w14:textId="77777777" w:rsidR="00D711AD" w:rsidRDefault="00D711AD" w:rsidP="00CD2897">
      <w:pPr>
        <w:spacing w:line="360" w:lineRule="auto"/>
        <w:jc w:val="both"/>
        <w:rPr>
          <w:rFonts w:ascii="Arial" w:hAnsi="Arial" w:cs="Arial"/>
          <w:b/>
          <w:bCs/>
        </w:rPr>
      </w:pPr>
    </w:p>
    <w:p w14:paraId="435070CA" w14:textId="77777777" w:rsidR="00D711AD" w:rsidRDefault="00D711AD" w:rsidP="00CD2897">
      <w:pPr>
        <w:spacing w:line="360" w:lineRule="auto"/>
        <w:jc w:val="both"/>
        <w:rPr>
          <w:rFonts w:ascii="Arial" w:hAnsi="Arial" w:cs="Arial"/>
          <w:b/>
          <w:bCs/>
        </w:rPr>
      </w:pPr>
    </w:p>
    <w:p w14:paraId="2BF55D9B" w14:textId="77777777" w:rsidR="00D711AD" w:rsidRDefault="00D711AD" w:rsidP="00CD2897">
      <w:pPr>
        <w:spacing w:line="360" w:lineRule="auto"/>
        <w:jc w:val="both"/>
        <w:rPr>
          <w:rFonts w:ascii="Arial" w:hAnsi="Arial" w:cs="Arial"/>
          <w:b/>
          <w:bCs/>
        </w:rPr>
      </w:pPr>
    </w:p>
    <w:p w14:paraId="5D55673B" w14:textId="77777777" w:rsidR="00D711AD" w:rsidRDefault="00D711AD" w:rsidP="00CD2897">
      <w:pPr>
        <w:spacing w:line="360" w:lineRule="auto"/>
        <w:jc w:val="both"/>
        <w:rPr>
          <w:rFonts w:ascii="Arial" w:hAnsi="Arial" w:cs="Arial"/>
          <w:b/>
          <w:bCs/>
        </w:rPr>
      </w:pPr>
    </w:p>
    <w:p w14:paraId="5CA189B3" w14:textId="77777777" w:rsidR="00D711AD" w:rsidRDefault="00D711AD" w:rsidP="00CD2897">
      <w:pPr>
        <w:spacing w:line="360" w:lineRule="auto"/>
        <w:jc w:val="both"/>
        <w:rPr>
          <w:rFonts w:ascii="Arial" w:hAnsi="Arial" w:cs="Arial"/>
          <w:b/>
          <w:bCs/>
        </w:rPr>
      </w:pPr>
    </w:p>
    <w:p w14:paraId="0FD4266D" w14:textId="77777777" w:rsidR="00D711AD" w:rsidRDefault="00D711AD" w:rsidP="00CD2897">
      <w:pPr>
        <w:spacing w:line="360" w:lineRule="auto"/>
        <w:jc w:val="both"/>
        <w:rPr>
          <w:rFonts w:ascii="Arial" w:hAnsi="Arial" w:cs="Arial"/>
          <w:b/>
          <w:bCs/>
        </w:rPr>
      </w:pPr>
    </w:p>
    <w:p w14:paraId="2ED36012" w14:textId="77777777" w:rsidR="00D711AD" w:rsidRDefault="00D711AD" w:rsidP="00CD2897">
      <w:pPr>
        <w:spacing w:line="360" w:lineRule="auto"/>
        <w:jc w:val="both"/>
        <w:rPr>
          <w:rFonts w:ascii="Arial" w:hAnsi="Arial" w:cs="Arial"/>
          <w:b/>
          <w:bCs/>
        </w:rPr>
      </w:pPr>
    </w:p>
    <w:p w14:paraId="2F6E21C6" w14:textId="77777777" w:rsidR="00D711AD" w:rsidRDefault="00D711AD" w:rsidP="00CD2897">
      <w:pPr>
        <w:spacing w:line="360" w:lineRule="auto"/>
        <w:jc w:val="both"/>
        <w:rPr>
          <w:rFonts w:ascii="Arial" w:hAnsi="Arial" w:cs="Arial"/>
          <w:b/>
          <w:bCs/>
        </w:rPr>
      </w:pPr>
    </w:p>
    <w:p w14:paraId="74469033" w14:textId="77777777" w:rsidR="00D711AD" w:rsidRDefault="00D711AD" w:rsidP="00CD2897">
      <w:pPr>
        <w:spacing w:line="360" w:lineRule="auto"/>
        <w:jc w:val="both"/>
        <w:rPr>
          <w:rFonts w:ascii="Arial" w:hAnsi="Arial" w:cs="Arial"/>
          <w:b/>
          <w:bCs/>
        </w:rPr>
      </w:pPr>
    </w:p>
    <w:p w14:paraId="56753325" w14:textId="77777777" w:rsidR="00D711AD" w:rsidRDefault="00D711AD" w:rsidP="00CD2897">
      <w:pPr>
        <w:spacing w:line="360" w:lineRule="auto"/>
        <w:jc w:val="both"/>
        <w:rPr>
          <w:rFonts w:ascii="Arial" w:hAnsi="Arial" w:cs="Arial"/>
          <w:b/>
          <w:bCs/>
        </w:rPr>
      </w:pPr>
    </w:p>
    <w:p w14:paraId="21E63287" w14:textId="77777777" w:rsidR="00D711AD" w:rsidRDefault="00D711AD" w:rsidP="00CD2897">
      <w:pPr>
        <w:spacing w:line="360" w:lineRule="auto"/>
        <w:jc w:val="both"/>
        <w:rPr>
          <w:rFonts w:ascii="Arial" w:hAnsi="Arial" w:cs="Arial"/>
          <w:b/>
          <w:bCs/>
        </w:rPr>
      </w:pPr>
    </w:p>
    <w:p w14:paraId="3B6DF152" w14:textId="77777777" w:rsidR="00D711AD" w:rsidRDefault="00D711AD" w:rsidP="00CD2897">
      <w:pPr>
        <w:spacing w:line="360" w:lineRule="auto"/>
        <w:jc w:val="both"/>
        <w:rPr>
          <w:rFonts w:ascii="Arial" w:hAnsi="Arial" w:cs="Arial"/>
          <w:b/>
          <w:bCs/>
        </w:rPr>
      </w:pPr>
    </w:p>
    <w:p w14:paraId="50F74AD3" w14:textId="77777777" w:rsidR="00D711AD" w:rsidRDefault="00D711AD" w:rsidP="00CD2897">
      <w:pPr>
        <w:spacing w:line="360" w:lineRule="auto"/>
        <w:jc w:val="both"/>
        <w:rPr>
          <w:rFonts w:ascii="Arial" w:hAnsi="Arial" w:cs="Arial"/>
          <w:b/>
          <w:bCs/>
        </w:rPr>
      </w:pPr>
    </w:p>
    <w:p w14:paraId="67A55FF3" w14:textId="77777777" w:rsidR="00720AB3" w:rsidRDefault="00720AB3" w:rsidP="00CD2897">
      <w:pPr>
        <w:spacing w:line="360" w:lineRule="auto"/>
        <w:jc w:val="both"/>
        <w:rPr>
          <w:rFonts w:ascii="Arial" w:hAnsi="Arial" w:cs="Arial"/>
          <w:b/>
          <w:bCs/>
        </w:rPr>
      </w:pPr>
    </w:p>
    <w:p w14:paraId="4DC90019" w14:textId="77777777" w:rsidR="0026677C" w:rsidRDefault="0026677C" w:rsidP="00CD2897">
      <w:pPr>
        <w:spacing w:line="360" w:lineRule="auto"/>
        <w:jc w:val="both"/>
        <w:rPr>
          <w:rFonts w:ascii="Arial" w:hAnsi="Arial" w:cs="Arial"/>
          <w:b/>
          <w:bCs/>
        </w:rPr>
      </w:pPr>
    </w:p>
    <w:p w14:paraId="17CBCA3C" w14:textId="5E290B5A" w:rsidR="002A76C6" w:rsidRPr="00D806CF" w:rsidRDefault="002A76C6" w:rsidP="00CD2897">
      <w:pPr>
        <w:spacing w:line="360" w:lineRule="auto"/>
        <w:jc w:val="both"/>
        <w:rPr>
          <w:rFonts w:ascii="Arial" w:hAnsi="Arial" w:cs="Arial"/>
          <w:b/>
          <w:bCs/>
        </w:rPr>
      </w:pPr>
      <w:r w:rsidRPr="00D806CF">
        <w:rPr>
          <w:rFonts w:ascii="Arial" w:hAnsi="Arial" w:cs="Arial"/>
          <w:b/>
          <w:bCs/>
        </w:rPr>
        <w:lastRenderedPageBreak/>
        <w:t>Introduction</w:t>
      </w:r>
    </w:p>
    <w:p w14:paraId="1D1AEE79" w14:textId="3022B168" w:rsidR="006F569C" w:rsidRPr="002778F9" w:rsidRDefault="006F569C" w:rsidP="002778F9">
      <w:pPr>
        <w:spacing w:line="360" w:lineRule="auto"/>
        <w:jc w:val="both"/>
        <w:rPr>
          <w:rFonts w:ascii="Arial" w:hAnsi="Arial" w:cs="Arial"/>
        </w:rPr>
      </w:pPr>
      <w:r w:rsidRPr="002778F9">
        <w:rPr>
          <w:rFonts w:ascii="Arial" w:hAnsi="Arial" w:cs="Arial"/>
        </w:rPr>
        <w:t>In July 2023, NHS England North East and Yorkshire published a patient safety investigation following the accidental overdose of a four-week-old infant who received morphine sulphate oral solution at approximately twenty times the prescribed dose (NHS England North East and Yorkshire, 2023). The overdose occurred after the prescribed morphine sulphate oral solution (100 micrograms/ml) was incorrectly substituted with a higher-strength preparation (10 mg/5 ml), resulting in the parents administering the medicine exactly as instructed on the dispensing label</w:t>
      </w:r>
      <w:r w:rsidR="00517375">
        <w:rPr>
          <w:rFonts w:ascii="Arial" w:hAnsi="Arial" w:cs="Arial"/>
        </w:rPr>
        <w:t xml:space="preserve"> </w:t>
      </w:r>
      <w:r w:rsidR="00517375" w:rsidRPr="00517375">
        <w:rPr>
          <w:rFonts w:ascii="Arial" w:hAnsi="Arial" w:cs="Arial"/>
        </w:rPr>
        <w:t>(NHS England North East and Yorkshire, 2023)</w:t>
      </w:r>
      <w:r w:rsidRPr="002778F9">
        <w:rPr>
          <w:rFonts w:ascii="Arial" w:hAnsi="Arial" w:cs="Arial"/>
        </w:rPr>
        <w:t>. Although the infant made a full recovery following emergency treatment with naloxone, the investigation concluded that the incident resulted from failures across prescribing, dispensing, communication, verification and organisational learning rather than a single clinical error</w:t>
      </w:r>
      <w:r w:rsidR="00E26C1F">
        <w:rPr>
          <w:rFonts w:ascii="Arial" w:hAnsi="Arial" w:cs="Arial"/>
        </w:rPr>
        <w:t xml:space="preserve"> </w:t>
      </w:r>
      <w:r w:rsidR="00B61D5C" w:rsidRPr="00B61D5C">
        <w:rPr>
          <w:rFonts w:ascii="Arial" w:hAnsi="Arial" w:cs="Arial"/>
        </w:rPr>
        <w:t>(NHS England North East and Yorkshire, 2023)</w:t>
      </w:r>
      <w:r w:rsidRPr="002778F9">
        <w:rPr>
          <w:rFonts w:ascii="Arial" w:hAnsi="Arial" w:cs="Arial"/>
        </w:rPr>
        <w:t>. Furthermore, NHS England confirmed that this was the fifth reported infant morphine overdose since 2018, demonstrating that the incident reflected a recurring patient safety problem despite previous national safety alerts and guidance (NHS England North East and Yorkshire, 2023; Tse et al., 2025).</w:t>
      </w:r>
    </w:p>
    <w:p w14:paraId="2D3B5F11" w14:textId="419431C5" w:rsidR="006F569C" w:rsidRPr="007E4746" w:rsidRDefault="006F569C" w:rsidP="002778F9">
      <w:pPr>
        <w:spacing w:line="360" w:lineRule="auto"/>
        <w:jc w:val="both"/>
        <w:rPr>
          <w:rFonts w:ascii="Arial" w:hAnsi="Arial" w:cs="Arial"/>
        </w:rPr>
      </w:pPr>
      <w:r w:rsidRPr="002778F9">
        <w:rPr>
          <w:rFonts w:ascii="Arial" w:hAnsi="Arial" w:cs="Arial"/>
        </w:rPr>
        <w:t xml:space="preserve">The involvement of multiple organisations and healthcare professionals </w:t>
      </w:r>
      <w:r w:rsidR="00E041B4">
        <w:rPr>
          <w:rFonts w:ascii="Arial" w:hAnsi="Arial" w:cs="Arial"/>
        </w:rPr>
        <w:t>verifies</w:t>
      </w:r>
      <w:r w:rsidRPr="002778F9">
        <w:rPr>
          <w:rFonts w:ascii="Arial" w:hAnsi="Arial" w:cs="Arial"/>
        </w:rPr>
        <w:t xml:space="preserve"> that the incident cannot be explained solely by individual error</w:t>
      </w:r>
      <w:r w:rsidR="007B1D6C">
        <w:rPr>
          <w:rFonts w:ascii="Arial" w:hAnsi="Arial" w:cs="Arial"/>
        </w:rPr>
        <w:t xml:space="preserve"> </w:t>
      </w:r>
      <w:r w:rsidR="007B1D6C" w:rsidRPr="002778F9">
        <w:rPr>
          <w:rFonts w:ascii="Arial" w:hAnsi="Arial" w:cs="Arial"/>
        </w:rPr>
        <w:t>(NHS England North East and Yorkshire, 2023</w:t>
      </w:r>
      <w:r w:rsidR="00665F62">
        <w:rPr>
          <w:rFonts w:ascii="Arial" w:hAnsi="Arial" w:cs="Arial"/>
        </w:rPr>
        <w:t>)</w:t>
      </w:r>
      <w:r w:rsidRPr="002778F9">
        <w:rPr>
          <w:rFonts w:ascii="Arial" w:hAnsi="Arial" w:cs="Arial"/>
        </w:rPr>
        <w:t xml:space="preserve">. Instead, it highlights how leadership, governance, communication and organisational systems interact to influence patient safety (Abeynayake et al., 2025). </w:t>
      </w:r>
      <w:r w:rsidR="003E159B" w:rsidRPr="003E159B">
        <w:rPr>
          <w:rFonts w:ascii="Arial" w:hAnsi="Arial" w:cs="Arial"/>
        </w:rPr>
        <w:t>Leadership promotes accountability, collaboration and continuous improvement within healthcare (Ahmed et al., 2024</w:t>
      </w:r>
      <w:r w:rsidRPr="002778F9">
        <w:rPr>
          <w:rFonts w:ascii="Arial" w:hAnsi="Arial" w:cs="Arial"/>
        </w:rPr>
        <w:t xml:space="preserve">). </w:t>
      </w:r>
      <w:r w:rsidR="007E4746" w:rsidRPr="007E4746">
        <w:rPr>
          <w:rFonts w:ascii="Arial" w:hAnsi="Arial" w:cs="Arial"/>
        </w:rPr>
        <w:t>Leadership involves influencing individuals and teams towards shared goals while promoting accountability, collaboration and continuous improvement within health and social care (Ahmed et al., 2024). In high-risk healthcare environments, leadership also determines whether governance is implemented effectively, multidisciplinary teams communicate openly</w:t>
      </w:r>
      <w:r w:rsidR="008656D4">
        <w:rPr>
          <w:rFonts w:ascii="Arial" w:hAnsi="Arial" w:cs="Arial"/>
        </w:rPr>
        <w:t>,</w:t>
      </w:r>
      <w:r w:rsidR="007E4746" w:rsidRPr="007E4746">
        <w:rPr>
          <w:rFonts w:ascii="Arial" w:hAnsi="Arial" w:cs="Arial"/>
        </w:rPr>
        <w:t xml:space="preserve"> and organisations successfully learn from previous incidents (Aksu and Hussein, 2020).</w:t>
      </w:r>
    </w:p>
    <w:p w14:paraId="59BAD11D" w14:textId="7F3DD505" w:rsidR="006F569C" w:rsidRPr="002778F9" w:rsidRDefault="006F569C" w:rsidP="002778F9">
      <w:pPr>
        <w:spacing w:line="360" w:lineRule="auto"/>
        <w:jc w:val="both"/>
        <w:rPr>
          <w:rFonts w:ascii="Arial" w:hAnsi="Arial" w:cs="Arial"/>
        </w:rPr>
      </w:pPr>
      <w:r w:rsidRPr="002778F9">
        <w:rPr>
          <w:rFonts w:ascii="Arial" w:hAnsi="Arial" w:cs="Arial"/>
        </w:rPr>
        <w:t>Within the NHS, centralisation refers to national organisations, such as NHS England, establishing legislation, professional standards and patient safety policies to promote consistency across healthcare services</w:t>
      </w:r>
      <w:r w:rsidR="007965CB">
        <w:rPr>
          <w:rFonts w:ascii="Arial" w:hAnsi="Arial" w:cs="Arial"/>
        </w:rPr>
        <w:t xml:space="preserve"> (NHS England, 2019)</w:t>
      </w:r>
      <w:r w:rsidRPr="002778F9">
        <w:rPr>
          <w:rFonts w:ascii="Arial" w:hAnsi="Arial" w:cs="Arial"/>
        </w:rPr>
        <w:t>. In contrast, decentralisation enables hospitals, GP practices and community pharmacies to implement these standards according to local patient needs, available resources and organisational priorities</w:t>
      </w:r>
      <w:r w:rsidR="008E3A46">
        <w:rPr>
          <w:rFonts w:ascii="Arial" w:hAnsi="Arial" w:cs="Arial"/>
        </w:rPr>
        <w:t xml:space="preserve"> (NHS </w:t>
      </w:r>
      <w:r w:rsidR="00493D3D">
        <w:rPr>
          <w:rFonts w:ascii="Arial" w:hAnsi="Arial" w:cs="Arial"/>
        </w:rPr>
        <w:t>Confederation</w:t>
      </w:r>
      <w:r w:rsidR="008E3A46">
        <w:rPr>
          <w:rFonts w:ascii="Arial" w:hAnsi="Arial" w:cs="Arial"/>
        </w:rPr>
        <w:t xml:space="preserve">, </w:t>
      </w:r>
      <w:r w:rsidR="00493D3D">
        <w:rPr>
          <w:rFonts w:ascii="Arial" w:hAnsi="Arial" w:cs="Arial"/>
        </w:rPr>
        <w:t>2022)</w:t>
      </w:r>
      <w:r w:rsidRPr="002778F9">
        <w:rPr>
          <w:rFonts w:ascii="Arial" w:hAnsi="Arial" w:cs="Arial"/>
        </w:rPr>
        <w:t>. Achieving safe medicines management depends upon balancing national consistency with effective local implementation</w:t>
      </w:r>
      <w:r w:rsidR="005949D1">
        <w:rPr>
          <w:rFonts w:ascii="Arial" w:hAnsi="Arial" w:cs="Arial"/>
        </w:rPr>
        <w:t xml:space="preserve"> (NHS England, 2019)</w:t>
      </w:r>
      <w:r w:rsidRPr="002778F9">
        <w:rPr>
          <w:rFonts w:ascii="Arial" w:hAnsi="Arial" w:cs="Arial"/>
        </w:rPr>
        <w:t xml:space="preserve">. Although a range of leadership approaches, including transformational, transactional and situational leadership, are widely recognised within healthcare, this report focuses on Behavioural </w:t>
      </w:r>
      <w:r w:rsidRPr="002778F9">
        <w:rPr>
          <w:rFonts w:ascii="Arial" w:hAnsi="Arial" w:cs="Arial"/>
        </w:rPr>
        <w:lastRenderedPageBreak/>
        <w:t>Leadership Theory, McGregor's Theory X and Theory Y, Ouchi's Theory Z and the Tannenbaum and Schmidt Leadership Continuum because they provide the most appropriate framework for analysing the leadership, governance and organisational failures identified within this investigation (Northouse, 2022).</w:t>
      </w:r>
    </w:p>
    <w:p w14:paraId="6EF51961" w14:textId="341B7F58" w:rsidR="006F569C" w:rsidRPr="002778F9" w:rsidRDefault="006F569C" w:rsidP="002778F9">
      <w:pPr>
        <w:spacing w:line="360" w:lineRule="auto"/>
        <w:jc w:val="both"/>
        <w:rPr>
          <w:rFonts w:ascii="Arial" w:hAnsi="Arial" w:cs="Arial"/>
        </w:rPr>
      </w:pPr>
      <w:r w:rsidRPr="002778F9">
        <w:rPr>
          <w:rFonts w:ascii="Arial" w:hAnsi="Arial" w:cs="Arial"/>
        </w:rPr>
        <w:t>Using Systems Thinking as the framework, this report examines how interactions between people, processes and organisations contributed to the overdose</w:t>
      </w:r>
      <w:r w:rsidR="00D830C5">
        <w:rPr>
          <w:rFonts w:ascii="Arial" w:hAnsi="Arial" w:cs="Arial"/>
        </w:rPr>
        <w:t xml:space="preserve"> (Braithwaite et al., 2018)</w:t>
      </w:r>
      <w:r w:rsidRPr="002778F9">
        <w:rPr>
          <w:rFonts w:ascii="Arial" w:hAnsi="Arial" w:cs="Arial"/>
        </w:rPr>
        <w:t>. A Rich Picture is used to illustrate the relationships, communication pathways and system dependencies involved before critically evaluating centralised and decentralised governance and the selected leadership theories</w:t>
      </w:r>
      <w:r w:rsidR="00FC2FF1">
        <w:rPr>
          <w:rFonts w:ascii="Arial" w:hAnsi="Arial" w:cs="Arial"/>
        </w:rPr>
        <w:t xml:space="preserve"> </w:t>
      </w:r>
      <w:r w:rsidR="00F21C1E">
        <w:rPr>
          <w:rFonts w:ascii="Arial" w:hAnsi="Arial" w:cs="Arial"/>
        </w:rPr>
        <w:t>(Checkland, 2000)</w:t>
      </w:r>
      <w:r w:rsidRPr="002778F9">
        <w:rPr>
          <w:rFonts w:ascii="Arial" w:hAnsi="Arial" w:cs="Arial"/>
        </w:rPr>
        <w:t>. Finally, evidence-based recommendations are proposed to strengthen medicines governance, leadership capability, multidisciplinary collaboration and organisational learning across the NHS.</w:t>
      </w:r>
    </w:p>
    <w:p w14:paraId="032FF743" w14:textId="27E2A0F6" w:rsidR="00F9654A" w:rsidRPr="00D806CF" w:rsidRDefault="00D42FF7" w:rsidP="002778F9">
      <w:pPr>
        <w:spacing w:line="360" w:lineRule="auto"/>
        <w:jc w:val="both"/>
        <w:rPr>
          <w:rFonts w:ascii="Arial" w:hAnsi="Arial" w:cs="Arial"/>
          <w:b/>
          <w:bCs/>
        </w:rPr>
      </w:pPr>
      <w:r w:rsidRPr="00D806CF">
        <w:rPr>
          <w:rFonts w:ascii="Arial" w:hAnsi="Arial" w:cs="Arial"/>
          <w:b/>
          <w:bCs/>
        </w:rPr>
        <w:t xml:space="preserve">2.1 Understanding </w:t>
      </w:r>
      <w:r w:rsidR="006760B6" w:rsidRPr="00D806CF">
        <w:rPr>
          <w:rFonts w:ascii="Arial" w:hAnsi="Arial" w:cs="Arial"/>
          <w:b/>
          <w:bCs/>
        </w:rPr>
        <w:t>t</w:t>
      </w:r>
      <w:r w:rsidRPr="00D806CF">
        <w:rPr>
          <w:rFonts w:ascii="Arial" w:hAnsi="Arial" w:cs="Arial"/>
          <w:b/>
          <w:bCs/>
        </w:rPr>
        <w:t>he Healthcare System</w:t>
      </w:r>
    </w:p>
    <w:p w14:paraId="0DF70139" w14:textId="02222B5D" w:rsidR="008E4208" w:rsidRPr="002778F9" w:rsidRDefault="008E4208" w:rsidP="002778F9">
      <w:pPr>
        <w:spacing w:line="360" w:lineRule="auto"/>
        <w:jc w:val="both"/>
        <w:rPr>
          <w:rFonts w:ascii="Arial" w:hAnsi="Arial" w:cs="Arial"/>
        </w:rPr>
      </w:pPr>
      <w:r w:rsidRPr="002778F9">
        <w:rPr>
          <w:rFonts w:ascii="Arial" w:hAnsi="Arial" w:cs="Arial"/>
        </w:rPr>
        <w:t>The infant morphine overdose occurred within a complex healthcare system involving secondary care, primary care, community pharmacy, regulatory bodies and the infant's family, all of whom contributed to prescribing, dispensing, supplying and administering the medicine (NHS England North East and Yorkshire, 2023</w:t>
      </w:r>
      <w:r w:rsidR="00115774">
        <w:rPr>
          <w:rFonts w:ascii="Arial" w:hAnsi="Arial" w:cs="Arial"/>
        </w:rPr>
        <w:t xml:space="preserve">; </w:t>
      </w:r>
      <w:r w:rsidR="00ED2240">
        <w:rPr>
          <w:rFonts w:ascii="Arial" w:hAnsi="Arial" w:cs="Arial"/>
        </w:rPr>
        <w:t>Carayon et al., 201</w:t>
      </w:r>
      <w:r w:rsidR="006C20A7">
        <w:rPr>
          <w:rFonts w:ascii="Arial" w:hAnsi="Arial" w:cs="Arial"/>
        </w:rPr>
        <w:t>8</w:t>
      </w:r>
      <w:r w:rsidRPr="002778F9">
        <w:rPr>
          <w:rFonts w:ascii="Arial" w:hAnsi="Arial" w:cs="Arial"/>
        </w:rPr>
        <w:t>). Safe medicines management depends not only on the competence of individual healthcare professionals but also on effective communication, coordination and shared accountability across organisational boundaries</w:t>
      </w:r>
      <w:r w:rsidR="00CB7427">
        <w:rPr>
          <w:rFonts w:ascii="Arial" w:hAnsi="Arial" w:cs="Arial"/>
        </w:rPr>
        <w:t xml:space="preserve"> (</w:t>
      </w:r>
      <w:r w:rsidR="002464C1">
        <w:rPr>
          <w:rFonts w:ascii="Arial" w:hAnsi="Arial" w:cs="Arial"/>
        </w:rPr>
        <w:t>Vincent and Amalberti, 2016</w:t>
      </w:r>
      <w:r w:rsidR="00CB7427">
        <w:rPr>
          <w:rFonts w:ascii="Arial" w:hAnsi="Arial" w:cs="Arial"/>
        </w:rPr>
        <w:t>)</w:t>
      </w:r>
      <w:r w:rsidRPr="002778F9">
        <w:rPr>
          <w:rFonts w:ascii="Arial" w:hAnsi="Arial" w:cs="Arial"/>
        </w:rPr>
        <w:t>.</w:t>
      </w:r>
    </w:p>
    <w:p w14:paraId="57F68F31" w14:textId="46D91666" w:rsidR="008E4208" w:rsidRPr="002778F9" w:rsidRDefault="008E4208" w:rsidP="002778F9">
      <w:pPr>
        <w:spacing w:line="360" w:lineRule="auto"/>
        <w:jc w:val="both"/>
        <w:rPr>
          <w:rFonts w:ascii="Arial" w:hAnsi="Arial" w:cs="Arial"/>
        </w:rPr>
      </w:pPr>
      <w:r w:rsidRPr="002778F9">
        <w:rPr>
          <w:rFonts w:ascii="Arial" w:hAnsi="Arial" w:cs="Arial"/>
        </w:rPr>
        <w:t>Medication errors remain a significant patient safety challenge worldwide</w:t>
      </w:r>
      <w:r w:rsidR="0066108A">
        <w:rPr>
          <w:rFonts w:ascii="Arial" w:hAnsi="Arial" w:cs="Arial"/>
        </w:rPr>
        <w:t xml:space="preserve"> (WHO, 2017; OECD, 2017</w:t>
      </w:r>
      <w:r w:rsidR="00D93889">
        <w:rPr>
          <w:rFonts w:ascii="Arial" w:hAnsi="Arial" w:cs="Arial"/>
        </w:rPr>
        <w:t>; Institute of Medicine, 2</w:t>
      </w:r>
      <w:r w:rsidR="00724C37">
        <w:rPr>
          <w:rFonts w:ascii="Arial" w:hAnsi="Arial" w:cs="Arial"/>
        </w:rPr>
        <w:t>000</w:t>
      </w:r>
      <w:r w:rsidR="0066108A">
        <w:rPr>
          <w:rFonts w:ascii="Arial" w:hAnsi="Arial" w:cs="Arial"/>
        </w:rPr>
        <w:t>)</w:t>
      </w:r>
      <w:r w:rsidRPr="002778F9">
        <w:rPr>
          <w:rFonts w:ascii="Arial" w:hAnsi="Arial" w:cs="Arial"/>
        </w:rPr>
        <w:t xml:space="preserve">. The World Health </w:t>
      </w:r>
      <w:r w:rsidR="00BB10F8">
        <w:rPr>
          <w:rFonts w:ascii="Arial" w:hAnsi="Arial" w:cs="Arial"/>
        </w:rPr>
        <w:t>Organisation</w:t>
      </w:r>
      <w:r w:rsidRPr="002778F9">
        <w:rPr>
          <w:rFonts w:ascii="Arial" w:hAnsi="Arial" w:cs="Arial"/>
        </w:rPr>
        <w:t xml:space="preserve"> (WHO) estimates that unsafe medication practices cost approximately US$42 billion annually and contribute to substantial levels of preventable patient harm (WHO, 2017; </w:t>
      </w:r>
      <w:r w:rsidR="001D1335">
        <w:rPr>
          <w:rFonts w:ascii="Arial" w:hAnsi="Arial" w:cs="Arial"/>
        </w:rPr>
        <w:t>IHI</w:t>
      </w:r>
      <w:r w:rsidR="008F2DAC">
        <w:rPr>
          <w:rFonts w:ascii="Arial" w:hAnsi="Arial" w:cs="Arial"/>
        </w:rPr>
        <w:t>, 2022</w:t>
      </w:r>
      <w:r w:rsidRPr="002778F9">
        <w:rPr>
          <w:rFonts w:ascii="Arial" w:hAnsi="Arial" w:cs="Arial"/>
        </w:rPr>
        <w:t xml:space="preserve">). Within England, more than 237 million medication errors occur each year across the NHS, with approximately 66 million considered clinically significant, contributing to over 1,700 deaths and almost £100 million in avoidable healthcare costs </w:t>
      </w:r>
      <w:r w:rsidR="003A234F">
        <w:rPr>
          <w:rFonts w:ascii="Arial" w:hAnsi="Arial" w:cs="Arial"/>
        </w:rPr>
        <w:t>(</w:t>
      </w:r>
      <w:r w:rsidR="00F02C03">
        <w:rPr>
          <w:rFonts w:ascii="Arial" w:hAnsi="Arial" w:cs="Arial"/>
        </w:rPr>
        <w:t>NHS England, 2019</w:t>
      </w:r>
      <w:r w:rsidRPr="002778F9">
        <w:rPr>
          <w:rFonts w:ascii="Arial" w:hAnsi="Arial" w:cs="Arial"/>
        </w:rPr>
        <w:t>). Together, these figures demonstrate that medication safety is a global healthcare challenge and that the infant morphine overdose reflects wider systemic issues rather than an isolated event</w:t>
      </w:r>
      <w:r w:rsidR="00AB06BA">
        <w:rPr>
          <w:rFonts w:ascii="Arial" w:hAnsi="Arial" w:cs="Arial"/>
        </w:rPr>
        <w:t xml:space="preserve"> (</w:t>
      </w:r>
      <w:r w:rsidR="00AB06BA" w:rsidRPr="00AB06BA">
        <w:rPr>
          <w:rFonts w:ascii="Arial" w:hAnsi="Arial" w:cs="Arial"/>
        </w:rPr>
        <w:t>NHS England North East and Yorkshire, 2023)</w:t>
      </w:r>
      <w:r w:rsidRPr="002778F9">
        <w:rPr>
          <w:rFonts w:ascii="Arial" w:hAnsi="Arial" w:cs="Arial"/>
        </w:rPr>
        <w:t>.</w:t>
      </w:r>
    </w:p>
    <w:p w14:paraId="1152247C" w14:textId="62B41F95" w:rsidR="00815280" w:rsidRDefault="008E4208" w:rsidP="002778F9">
      <w:pPr>
        <w:spacing w:line="360" w:lineRule="auto"/>
        <w:jc w:val="both"/>
        <w:rPr>
          <w:rFonts w:ascii="Arial" w:hAnsi="Arial" w:cs="Arial"/>
        </w:rPr>
      </w:pPr>
      <w:r w:rsidRPr="002778F9">
        <w:rPr>
          <w:rFonts w:ascii="Arial" w:hAnsi="Arial" w:cs="Arial"/>
        </w:rPr>
        <w:t xml:space="preserve">The investigation found that the prescribed morphine sulphate oral solution (100 micrograms/ml) was incorrectly substituted with a higher-strength preparation before being dispensed to the infant's family (NHS England North East and Yorkshire, 2023). NHS England </w:t>
      </w:r>
      <w:r w:rsidR="007A129E">
        <w:rPr>
          <w:rFonts w:ascii="Arial" w:hAnsi="Arial" w:cs="Arial"/>
        </w:rPr>
        <w:t>(20</w:t>
      </w:r>
      <w:r w:rsidR="00252093">
        <w:rPr>
          <w:rFonts w:ascii="Arial" w:hAnsi="Arial" w:cs="Arial"/>
        </w:rPr>
        <w:t>2</w:t>
      </w:r>
      <w:r w:rsidR="00363607">
        <w:rPr>
          <w:rFonts w:ascii="Arial" w:hAnsi="Arial" w:cs="Arial"/>
        </w:rPr>
        <w:t>4</w:t>
      </w:r>
      <w:r w:rsidR="007A129E">
        <w:rPr>
          <w:rFonts w:ascii="Arial" w:hAnsi="Arial" w:cs="Arial"/>
        </w:rPr>
        <w:t xml:space="preserve">) </w:t>
      </w:r>
      <w:r w:rsidRPr="002778F9">
        <w:rPr>
          <w:rFonts w:ascii="Arial" w:hAnsi="Arial" w:cs="Arial"/>
        </w:rPr>
        <w:t>also confirmed that this was the fifth reported infant morphine overdose since 2018, despite previous national safety alerts and medicines governance frameworks</w:t>
      </w:r>
      <w:r w:rsidR="00A75110">
        <w:rPr>
          <w:rFonts w:ascii="Arial" w:hAnsi="Arial" w:cs="Arial"/>
        </w:rPr>
        <w:t xml:space="preserve"> </w:t>
      </w:r>
      <w:r w:rsidR="00A75110" w:rsidRPr="00A75110">
        <w:rPr>
          <w:rFonts w:ascii="Arial" w:hAnsi="Arial" w:cs="Arial"/>
        </w:rPr>
        <w:t>(NHS England North East and Yorkshire, 2023)</w:t>
      </w:r>
      <w:r w:rsidRPr="002778F9">
        <w:rPr>
          <w:rFonts w:ascii="Arial" w:hAnsi="Arial" w:cs="Arial"/>
        </w:rPr>
        <w:t xml:space="preserve">. The incident  reflects failures at both national and local levels </w:t>
      </w:r>
      <w:r w:rsidRPr="002778F9">
        <w:rPr>
          <w:rFonts w:ascii="Arial" w:hAnsi="Arial" w:cs="Arial"/>
        </w:rPr>
        <w:lastRenderedPageBreak/>
        <w:t>of governance</w:t>
      </w:r>
      <w:r w:rsidR="005C165F">
        <w:rPr>
          <w:rFonts w:ascii="Arial" w:hAnsi="Arial" w:cs="Arial"/>
        </w:rPr>
        <w:t xml:space="preserve"> (</w:t>
      </w:r>
      <w:r w:rsidR="005C165F" w:rsidRPr="005C165F">
        <w:rPr>
          <w:rFonts w:ascii="Arial" w:hAnsi="Arial" w:cs="Arial"/>
        </w:rPr>
        <w:t>NHS England, 2019).</w:t>
      </w:r>
      <w:r w:rsidRPr="002778F9">
        <w:rPr>
          <w:rFonts w:ascii="Arial" w:hAnsi="Arial" w:cs="Arial"/>
        </w:rPr>
        <w:t xml:space="preserve"> Whilst NHS England </w:t>
      </w:r>
      <w:r w:rsidR="005C165F">
        <w:rPr>
          <w:rFonts w:ascii="Arial" w:hAnsi="Arial" w:cs="Arial"/>
        </w:rPr>
        <w:t xml:space="preserve">(2018) </w:t>
      </w:r>
      <w:r w:rsidRPr="002778F9">
        <w:rPr>
          <w:rFonts w:ascii="Arial" w:hAnsi="Arial" w:cs="Arial"/>
        </w:rPr>
        <w:t>and the MHRA</w:t>
      </w:r>
      <w:r w:rsidR="005C165F">
        <w:rPr>
          <w:rFonts w:ascii="Arial" w:hAnsi="Arial" w:cs="Arial"/>
        </w:rPr>
        <w:t xml:space="preserve"> (2020)</w:t>
      </w:r>
      <w:r w:rsidRPr="002778F9">
        <w:rPr>
          <w:rFonts w:ascii="Arial" w:hAnsi="Arial" w:cs="Arial"/>
        </w:rPr>
        <w:t xml:space="preserve"> established national medicines safety standards, hospitals, GP practices and community pharmacies were responsible for implementing them consistently in practice</w:t>
      </w:r>
      <w:r w:rsidR="00E14BB9">
        <w:rPr>
          <w:rFonts w:ascii="Arial" w:hAnsi="Arial" w:cs="Arial"/>
        </w:rPr>
        <w:t xml:space="preserve"> </w:t>
      </w:r>
      <w:r w:rsidR="00E14BB9" w:rsidRPr="00E14BB9">
        <w:rPr>
          <w:rFonts w:ascii="Arial" w:hAnsi="Arial" w:cs="Arial"/>
        </w:rPr>
        <w:t>(MHRA, 2020)</w:t>
      </w:r>
      <w:r w:rsidRPr="002778F9">
        <w:rPr>
          <w:rFonts w:ascii="Arial" w:hAnsi="Arial" w:cs="Arial"/>
        </w:rPr>
        <w:t>. Understanding these interacting organisational responsibilities provides the context for applying Systems Thinking to examine why the overdose occurred</w:t>
      </w:r>
      <w:r w:rsidR="00815280">
        <w:rPr>
          <w:rFonts w:ascii="Arial" w:hAnsi="Arial" w:cs="Arial"/>
        </w:rPr>
        <w:t xml:space="preserve"> </w:t>
      </w:r>
      <w:r w:rsidR="00815280" w:rsidRPr="00815280">
        <w:rPr>
          <w:rFonts w:ascii="Arial" w:hAnsi="Arial" w:cs="Arial"/>
        </w:rPr>
        <w:t>(Braithwaite et al., 2018)</w:t>
      </w:r>
      <w:r w:rsidRPr="002778F9">
        <w:rPr>
          <w:rFonts w:ascii="Arial" w:hAnsi="Arial" w:cs="Arial"/>
        </w:rPr>
        <w:t>.</w:t>
      </w:r>
    </w:p>
    <w:p w14:paraId="13BE9E2B" w14:textId="77777777" w:rsidR="00AF7C3F" w:rsidRDefault="00AF7C3F" w:rsidP="002778F9">
      <w:pPr>
        <w:spacing w:line="360" w:lineRule="auto"/>
        <w:jc w:val="both"/>
        <w:rPr>
          <w:rFonts w:ascii="Arial" w:hAnsi="Arial" w:cs="Arial"/>
        </w:rPr>
      </w:pPr>
    </w:p>
    <w:p w14:paraId="68990FCF" w14:textId="2A0A8782" w:rsidR="00AF7C3F" w:rsidRDefault="00AF7C3F" w:rsidP="002778F9">
      <w:pPr>
        <w:spacing w:line="360" w:lineRule="auto"/>
        <w:jc w:val="both"/>
        <w:rPr>
          <w:rFonts w:ascii="Arial" w:hAnsi="Arial" w:cs="Arial"/>
        </w:rPr>
      </w:pPr>
      <w:r w:rsidRPr="00AF7C3F">
        <w:rPr>
          <w:rFonts w:ascii="Arial" w:hAnsi="Arial" w:cs="Arial"/>
          <w:noProof/>
        </w:rPr>
        <w:drawing>
          <wp:inline distT="0" distB="0" distL="0" distR="0" wp14:anchorId="70FD5DBD" wp14:editId="430221DB">
            <wp:extent cx="5303980" cy="3368332"/>
            <wp:effectExtent l="0" t="0" r="0" b="3810"/>
            <wp:docPr id="14071237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7123700" name=""/>
                    <pic:cNvPicPr/>
                  </pic:nvPicPr>
                  <pic:blipFill>
                    <a:blip r:embed="rId7"/>
                    <a:stretch>
                      <a:fillRect/>
                    </a:stretch>
                  </pic:blipFill>
                  <pic:spPr>
                    <a:xfrm>
                      <a:off x="0" y="0"/>
                      <a:ext cx="5303980" cy="3368332"/>
                    </a:xfrm>
                    <a:prstGeom prst="rect">
                      <a:avLst/>
                    </a:prstGeom>
                  </pic:spPr>
                </pic:pic>
              </a:graphicData>
            </a:graphic>
          </wp:inline>
        </w:drawing>
      </w:r>
    </w:p>
    <w:p w14:paraId="11F58D85" w14:textId="77777777" w:rsidR="00AF7C3F" w:rsidRPr="002778F9" w:rsidRDefault="00AF7C3F" w:rsidP="002778F9">
      <w:pPr>
        <w:spacing w:line="360" w:lineRule="auto"/>
        <w:jc w:val="both"/>
        <w:rPr>
          <w:rFonts w:ascii="Arial" w:hAnsi="Arial" w:cs="Arial"/>
        </w:rPr>
      </w:pPr>
    </w:p>
    <w:p w14:paraId="36CE5A07" w14:textId="64E25637" w:rsidR="0093697C" w:rsidRPr="00D806CF" w:rsidRDefault="0093697C" w:rsidP="002778F9">
      <w:pPr>
        <w:spacing w:line="360" w:lineRule="auto"/>
        <w:jc w:val="both"/>
        <w:rPr>
          <w:rFonts w:ascii="Arial" w:hAnsi="Arial" w:cs="Arial"/>
          <w:b/>
          <w:bCs/>
        </w:rPr>
      </w:pPr>
      <w:r w:rsidRPr="00D806CF">
        <w:rPr>
          <w:rFonts w:ascii="Arial" w:hAnsi="Arial" w:cs="Arial"/>
          <w:b/>
          <w:bCs/>
        </w:rPr>
        <w:t>2.2 Systems Thinking</w:t>
      </w:r>
    </w:p>
    <w:p w14:paraId="739F2A4C" w14:textId="4E100812" w:rsidR="005D0648" w:rsidRPr="002778F9" w:rsidRDefault="005D0648" w:rsidP="002778F9">
      <w:pPr>
        <w:spacing w:line="360" w:lineRule="auto"/>
        <w:jc w:val="both"/>
        <w:rPr>
          <w:rFonts w:ascii="Arial" w:hAnsi="Arial" w:cs="Arial"/>
        </w:rPr>
      </w:pPr>
      <w:r w:rsidRPr="002778F9">
        <w:rPr>
          <w:rFonts w:ascii="Arial" w:hAnsi="Arial" w:cs="Arial"/>
        </w:rPr>
        <w:t xml:space="preserve">The infant morphine overdose </w:t>
      </w:r>
      <w:r w:rsidR="00A8078F">
        <w:rPr>
          <w:rFonts w:ascii="Arial" w:hAnsi="Arial" w:cs="Arial"/>
        </w:rPr>
        <w:t>show</w:t>
      </w:r>
      <w:r w:rsidRPr="002778F9">
        <w:rPr>
          <w:rFonts w:ascii="Arial" w:hAnsi="Arial" w:cs="Arial"/>
        </w:rPr>
        <w:t>s why Systems Thinking provides an appropriate framework for investigating patient safety incidents</w:t>
      </w:r>
      <w:r w:rsidR="00D63B1B">
        <w:rPr>
          <w:rFonts w:ascii="Arial" w:hAnsi="Arial" w:cs="Arial"/>
        </w:rPr>
        <w:t xml:space="preserve"> </w:t>
      </w:r>
      <w:r w:rsidR="00D63B1B" w:rsidRPr="00D63B1B">
        <w:rPr>
          <w:rFonts w:ascii="Arial" w:hAnsi="Arial" w:cs="Arial"/>
        </w:rPr>
        <w:t>(</w:t>
      </w:r>
      <w:r w:rsidR="0081167E">
        <w:rPr>
          <w:rFonts w:ascii="Arial" w:hAnsi="Arial" w:cs="Arial"/>
        </w:rPr>
        <w:t>Hollnagel, 2018</w:t>
      </w:r>
      <w:r w:rsidR="00D63B1B" w:rsidRPr="00D63B1B">
        <w:rPr>
          <w:rFonts w:ascii="Arial" w:hAnsi="Arial" w:cs="Arial"/>
        </w:rPr>
        <w:t>)</w:t>
      </w:r>
      <w:r w:rsidRPr="002778F9">
        <w:rPr>
          <w:rFonts w:ascii="Arial" w:hAnsi="Arial" w:cs="Arial"/>
        </w:rPr>
        <w:t xml:space="preserve">. Rather than attributing harm to the actions of a single healthcare professional, Systems Thinking recognises healthcare as a complex adaptive system in which patient outcomes are influenced by the interactions between people, processes, organisations and governance structures </w:t>
      </w:r>
      <w:r w:rsidR="00812F0D" w:rsidRPr="00812F0D">
        <w:rPr>
          <w:rFonts w:ascii="Arial" w:hAnsi="Arial" w:cs="Arial"/>
        </w:rPr>
        <w:t>(Mohr et al., 202</w:t>
      </w:r>
      <w:r w:rsidR="005A2BB7">
        <w:rPr>
          <w:rFonts w:ascii="Arial" w:hAnsi="Arial" w:cs="Arial"/>
        </w:rPr>
        <w:t>6</w:t>
      </w:r>
      <w:r w:rsidR="00812F0D" w:rsidRPr="00812F0D">
        <w:rPr>
          <w:rFonts w:ascii="Arial" w:hAnsi="Arial" w:cs="Arial"/>
        </w:rPr>
        <w:t>)</w:t>
      </w:r>
      <w:r w:rsidR="00812F0D">
        <w:rPr>
          <w:rFonts w:ascii="Arial" w:hAnsi="Arial" w:cs="Arial"/>
        </w:rPr>
        <w:t xml:space="preserve">. </w:t>
      </w:r>
      <w:r w:rsidRPr="002778F9">
        <w:rPr>
          <w:rFonts w:ascii="Arial" w:hAnsi="Arial" w:cs="Arial"/>
        </w:rPr>
        <w:t>Within this investigation, prescribing, dispensing, communication and medicines governance were shared across several organisations, meaning the reliability of each stage depended upon the effectiveness of the one before it (NHS England North East and Yorkshire, 2023). The overdose resulted from a series of interconnected failures rather than one isolated mistake</w:t>
      </w:r>
      <w:r w:rsidR="00C71ED5">
        <w:rPr>
          <w:rFonts w:ascii="Arial" w:hAnsi="Arial" w:cs="Arial"/>
        </w:rPr>
        <w:t xml:space="preserve"> </w:t>
      </w:r>
      <w:r w:rsidR="00C71ED5" w:rsidRPr="00C71ED5">
        <w:rPr>
          <w:rFonts w:ascii="Arial" w:hAnsi="Arial" w:cs="Arial"/>
        </w:rPr>
        <w:t>(NHS England, 2019)</w:t>
      </w:r>
      <w:r w:rsidRPr="002778F9">
        <w:rPr>
          <w:rFonts w:ascii="Arial" w:hAnsi="Arial" w:cs="Arial"/>
        </w:rPr>
        <w:t>.</w:t>
      </w:r>
    </w:p>
    <w:p w14:paraId="3C26A237" w14:textId="49788302" w:rsidR="005D0648" w:rsidRPr="002778F9" w:rsidRDefault="005D0648" w:rsidP="002778F9">
      <w:pPr>
        <w:spacing w:line="360" w:lineRule="auto"/>
        <w:jc w:val="both"/>
        <w:rPr>
          <w:rFonts w:ascii="Arial" w:hAnsi="Arial" w:cs="Arial"/>
        </w:rPr>
      </w:pPr>
      <w:r w:rsidRPr="002778F9">
        <w:rPr>
          <w:rFonts w:ascii="Arial" w:hAnsi="Arial" w:cs="Arial"/>
        </w:rPr>
        <w:t xml:space="preserve">The investigation identified several opportunities where the incorrect morphine formulation could have been recognised before reaching the patient (NHS England North East and </w:t>
      </w:r>
      <w:r w:rsidRPr="002778F9">
        <w:rPr>
          <w:rFonts w:ascii="Arial" w:hAnsi="Arial" w:cs="Arial"/>
        </w:rPr>
        <w:lastRenderedPageBreak/>
        <w:t>Yorkshire, 2023). Information passed between secondary care, primary care and community pharmacy, yet each stage appeared to rely on the assumption that previous checks had been completed correctly</w:t>
      </w:r>
      <w:r w:rsidR="0098190D">
        <w:rPr>
          <w:rFonts w:ascii="Arial" w:hAnsi="Arial" w:cs="Arial"/>
        </w:rPr>
        <w:t xml:space="preserve"> </w:t>
      </w:r>
      <w:r w:rsidR="0098190D" w:rsidRPr="0098190D">
        <w:rPr>
          <w:rFonts w:ascii="Arial" w:hAnsi="Arial" w:cs="Arial"/>
        </w:rPr>
        <w:t>(NHS England North East and Yorkshire, 2023; Braithwaite et al., 2018)</w:t>
      </w:r>
      <w:r w:rsidRPr="002778F9">
        <w:rPr>
          <w:rFonts w:ascii="Arial" w:hAnsi="Arial" w:cs="Arial"/>
        </w:rPr>
        <w:t xml:space="preserve">. </w:t>
      </w:r>
      <w:r w:rsidR="00270D82" w:rsidRPr="00270D82">
        <w:rPr>
          <w:rFonts w:ascii="Arial" w:hAnsi="Arial" w:cs="Arial"/>
        </w:rPr>
        <w:t>This replaced independent verification with assumptions, allowing the error to progress unchecked</w:t>
      </w:r>
      <w:r w:rsidR="00270D82">
        <w:rPr>
          <w:rFonts w:ascii="Arial" w:hAnsi="Arial" w:cs="Arial"/>
        </w:rPr>
        <w:t xml:space="preserve"> </w:t>
      </w:r>
      <w:r w:rsidRPr="002778F9">
        <w:rPr>
          <w:rFonts w:ascii="Arial" w:hAnsi="Arial" w:cs="Arial"/>
        </w:rPr>
        <w:t>(Kneck et al., 2019; Hughes and Blegen, 2008). Systems Thinking</w:t>
      </w:r>
      <w:r w:rsidR="00576C94">
        <w:rPr>
          <w:rFonts w:ascii="Arial" w:hAnsi="Arial" w:cs="Arial"/>
        </w:rPr>
        <w:t xml:space="preserve"> </w:t>
      </w:r>
      <w:r w:rsidR="0033760F">
        <w:rPr>
          <w:rFonts w:ascii="Arial" w:hAnsi="Arial" w:cs="Arial"/>
        </w:rPr>
        <w:t>show</w:t>
      </w:r>
      <w:r w:rsidRPr="002778F9">
        <w:rPr>
          <w:rFonts w:ascii="Arial" w:hAnsi="Arial" w:cs="Arial"/>
        </w:rPr>
        <w:t>s how patient harm can emerge when weaknesses across several parts of the healthcare system interact simultaneously, even when no individual organisation appears solely responsible.</w:t>
      </w:r>
    </w:p>
    <w:p w14:paraId="3129F485" w14:textId="1F75AC65" w:rsidR="005D0648" w:rsidRPr="002778F9" w:rsidRDefault="005D0648" w:rsidP="002778F9">
      <w:pPr>
        <w:spacing w:line="360" w:lineRule="auto"/>
        <w:jc w:val="both"/>
        <w:rPr>
          <w:rFonts w:ascii="Arial" w:hAnsi="Arial" w:cs="Arial"/>
        </w:rPr>
      </w:pPr>
      <w:r w:rsidRPr="002778F9">
        <w:rPr>
          <w:rFonts w:ascii="Arial" w:hAnsi="Arial" w:cs="Arial"/>
        </w:rPr>
        <w:t xml:space="preserve">The investigation also exposed weaknesses in communication, accountability and organisational learning. Although several healthcare professionals were involved throughout </w:t>
      </w:r>
      <w:r w:rsidR="00F16001" w:rsidRPr="002778F9">
        <w:rPr>
          <w:rFonts w:ascii="Arial" w:hAnsi="Arial" w:cs="Arial"/>
        </w:rPr>
        <w:t>the pathway</w:t>
      </w:r>
      <w:r w:rsidRPr="002778F9">
        <w:rPr>
          <w:rFonts w:ascii="Arial" w:hAnsi="Arial" w:cs="Arial"/>
        </w:rPr>
        <w:t xml:space="preserve">, responsibility for verifying the correct morphine preparation became </w:t>
      </w:r>
      <w:r w:rsidR="008352D2">
        <w:rPr>
          <w:rFonts w:ascii="Arial" w:hAnsi="Arial" w:cs="Arial"/>
        </w:rPr>
        <w:t xml:space="preserve">disintegrated </w:t>
      </w:r>
      <w:r w:rsidRPr="002778F9">
        <w:rPr>
          <w:rFonts w:ascii="Arial" w:hAnsi="Arial" w:cs="Arial"/>
        </w:rPr>
        <w:t>as care transferred between organisations</w:t>
      </w:r>
      <w:r w:rsidR="006224AA">
        <w:rPr>
          <w:rFonts w:ascii="Arial" w:hAnsi="Arial" w:cs="Arial"/>
        </w:rPr>
        <w:t xml:space="preserve"> (Braithwaite et al., 2018)</w:t>
      </w:r>
      <w:r w:rsidRPr="002778F9">
        <w:rPr>
          <w:rFonts w:ascii="Arial" w:hAnsi="Arial" w:cs="Arial"/>
        </w:rPr>
        <w:t>. This demonstrates that patient safety depends not only on individual competence but also on effective multidisciplinary communication, clearly defined accountability and coordinated leadership across organisational boundaries (NHS England North East and Yorkshire, 2023</w:t>
      </w:r>
      <w:r w:rsidR="009D25FB">
        <w:rPr>
          <w:rFonts w:ascii="Arial" w:hAnsi="Arial" w:cs="Arial"/>
        </w:rPr>
        <w:t xml:space="preserve">; </w:t>
      </w:r>
      <w:r w:rsidR="00B47829">
        <w:rPr>
          <w:rFonts w:ascii="Arial" w:hAnsi="Arial" w:cs="Arial"/>
        </w:rPr>
        <w:t>Edmond</w:t>
      </w:r>
      <w:r w:rsidR="00C16D60">
        <w:rPr>
          <w:rFonts w:ascii="Arial" w:hAnsi="Arial" w:cs="Arial"/>
        </w:rPr>
        <w:t>son, 2019</w:t>
      </w:r>
      <w:r w:rsidRPr="002778F9">
        <w:rPr>
          <w:rFonts w:ascii="Arial" w:hAnsi="Arial" w:cs="Arial"/>
        </w:rPr>
        <w:t xml:space="preserve">). The findings support the NHS Patient Safety Strategy, which emphasises that improving patient safety requires safer systems, a positive safety culture and continuous organisational learning rather than reliance on individual vigilance alone (NHS England, </w:t>
      </w:r>
      <w:r w:rsidRPr="000942FF">
        <w:rPr>
          <w:rFonts w:ascii="Arial" w:hAnsi="Arial" w:cs="Arial"/>
        </w:rPr>
        <w:t>2019</w:t>
      </w:r>
      <w:r w:rsidR="00D85FE0">
        <w:rPr>
          <w:rFonts w:ascii="Arial" w:hAnsi="Arial" w:cs="Arial"/>
        </w:rPr>
        <w:t>; Senge, 2006)</w:t>
      </w:r>
    </w:p>
    <w:p w14:paraId="3196524E" w14:textId="560BE5EB" w:rsidR="005D0648" w:rsidRPr="002778F9" w:rsidRDefault="005D0648" w:rsidP="002778F9">
      <w:pPr>
        <w:spacing w:line="360" w:lineRule="auto"/>
        <w:jc w:val="both"/>
        <w:rPr>
          <w:rFonts w:ascii="Arial" w:hAnsi="Arial" w:cs="Arial"/>
        </w:rPr>
      </w:pPr>
      <w:r w:rsidRPr="002778F9">
        <w:rPr>
          <w:rFonts w:ascii="Arial" w:hAnsi="Arial" w:cs="Arial"/>
        </w:rPr>
        <w:t>A key principle of Systems Thinking is the importance of feedback loops, whereby information obtained through incident reporting, audits and patient safety investigations is used to improve future practice</w:t>
      </w:r>
      <w:r w:rsidR="004A4C14">
        <w:rPr>
          <w:rFonts w:ascii="Arial" w:hAnsi="Arial" w:cs="Arial"/>
        </w:rPr>
        <w:t xml:space="preserve"> </w:t>
      </w:r>
      <w:r w:rsidR="000D4BD9">
        <w:rPr>
          <w:rFonts w:ascii="Arial" w:hAnsi="Arial" w:cs="Arial"/>
        </w:rPr>
        <w:t>(</w:t>
      </w:r>
      <w:r w:rsidR="000D4BD9" w:rsidRPr="000D4BD9">
        <w:rPr>
          <w:rFonts w:ascii="Arial" w:hAnsi="Arial" w:cs="Arial"/>
        </w:rPr>
        <w:t>NHS England, 20</w:t>
      </w:r>
      <w:r w:rsidR="00174AE6">
        <w:rPr>
          <w:rFonts w:ascii="Arial" w:hAnsi="Arial" w:cs="Arial"/>
        </w:rPr>
        <w:t>22</w:t>
      </w:r>
      <w:r w:rsidR="000D4BD9" w:rsidRPr="000D4BD9">
        <w:rPr>
          <w:rFonts w:ascii="Arial" w:hAnsi="Arial" w:cs="Arial"/>
        </w:rPr>
        <w:t>)</w:t>
      </w:r>
      <w:r w:rsidRPr="002778F9">
        <w:rPr>
          <w:rFonts w:ascii="Arial" w:hAnsi="Arial" w:cs="Arial"/>
        </w:rPr>
        <w:t>. However, NHS England confirmed that this was the fifth reported infant morphine overdose since 2018, despite previous national safety alerts and medicines governance frameworks (</w:t>
      </w:r>
      <w:r w:rsidR="00B009AE">
        <w:rPr>
          <w:rFonts w:ascii="Arial" w:hAnsi="Arial" w:cs="Arial"/>
        </w:rPr>
        <w:t>Tse</w:t>
      </w:r>
      <w:r w:rsidR="00002DE8">
        <w:rPr>
          <w:rFonts w:ascii="Arial" w:hAnsi="Arial" w:cs="Arial"/>
        </w:rPr>
        <w:t xml:space="preserve"> et al., 20</w:t>
      </w:r>
      <w:r w:rsidR="00457A9F">
        <w:rPr>
          <w:rFonts w:ascii="Arial" w:hAnsi="Arial" w:cs="Arial"/>
        </w:rPr>
        <w:t xml:space="preserve">25; </w:t>
      </w:r>
      <w:r w:rsidRPr="002778F9">
        <w:rPr>
          <w:rFonts w:ascii="Arial" w:hAnsi="Arial" w:cs="Arial"/>
        </w:rPr>
        <w:t>NHS England North East and Yorkshire, 2023). This suggests that learning from previous investigations was not consistently embedded across organisations</w:t>
      </w:r>
      <w:r w:rsidR="001F7879">
        <w:rPr>
          <w:rFonts w:ascii="Arial" w:hAnsi="Arial" w:cs="Arial"/>
        </w:rPr>
        <w:t xml:space="preserve"> </w:t>
      </w:r>
      <w:r w:rsidR="001F7879" w:rsidRPr="001F7879">
        <w:rPr>
          <w:rFonts w:ascii="Arial" w:hAnsi="Arial" w:cs="Arial"/>
        </w:rPr>
        <w:t>(NHS England, 2022; NHS England, 201</w:t>
      </w:r>
      <w:r w:rsidR="00D730D9">
        <w:rPr>
          <w:rFonts w:ascii="Arial" w:hAnsi="Arial" w:cs="Arial"/>
        </w:rPr>
        <w:t xml:space="preserve">9). </w:t>
      </w:r>
      <w:r w:rsidR="00894DE7" w:rsidRPr="00894DE7">
        <w:rPr>
          <w:rFonts w:ascii="Arial" w:hAnsi="Arial" w:cs="Arial"/>
        </w:rPr>
        <w:t xml:space="preserve">Repeated incidents </w:t>
      </w:r>
      <w:r w:rsidR="002A3664">
        <w:rPr>
          <w:rFonts w:ascii="Arial" w:hAnsi="Arial" w:cs="Arial"/>
        </w:rPr>
        <w:t>verify</w:t>
      </w:r>
      <w:r w:rsidR="00894DE7" w:rsidRPr="00894DE7">
        <w:rPr>
          <w:rFonts w:ascii="Arial" w:hAnsi="Arial" w:cs="Arial"/>
        </w:rPr>
        <w:t xml:space="preserve"> that guidance alone does not guarantee safer clinical practice</w:t>
      </w:r>
      <w:r w:rsidR="005738A0">
        <w:rPr>
          <w:rFonts w:ascii="Arial" w:hAnsi="Arial" w:cs="Arial"/>
        </w:rPr>
        <w:t xml:space="preserve"> </w:t>
      </w:r>
      <w:r w:rsidR="00D730D9" w:rsidRPr="00D730D9">
        <w:rPr>
          <w:rFonts w:ascii="Arial" w:hAnsi="Arial" w:cs="Arial"/>
        </w:rPr>
        <w:t>(Braithwaite et al., 2018)</w:t>
      </w:r>
      <w:r w:rsidRPr="002778F9">
        <w:rPr>
          <w:rFonts w:ascii="Arial" w:hAnsi="Arial" w:cs="Arial"/>
        </w:rPr>
        <w:t xml:space="preserve">. </w:t>
      </w:r>
      <w:r w:rsidR="0085387D" w:rsidRPr="0085387D">
        <w:rPr>
          <w:rFonts w:ascii="Arial" w:hAnsi="Arial" w:cs="Arial"/>
        </w:rPr>
        <w:t>Sustainable improvement depends on organisations monitoring implementation, evaluating outcomes and adapting systems rather than issuing further guidance</w:t>
      </w:r>
      <w:r w:rsidR="0085387D">
        <w:rPr>
          <w:rFonts w:ascii="Arial" w:hAnsi="Arial" w:cs="Arial"/>
        </w:rPr>
        <w:t xml:space="preserve"> </w:t>
      </w:r>
      <w:r w:rsidR="00AF03A5" w:rsidRPr="00AF03A5">
        <w:rPr>
          <w:rFonts w:ascii="Arial" w:hAnsi="Arial" w:cs="Arial"/>
        </w:rPr>
        <w:t>(Alrowily et al., 2025; WHO, 2021</w:t>
      </w:r>
      <w:r w:rsidRPr="002778F9">
        <w:rPr>
          <w:rFonts w:ascii="Arial" w:hAnsi="Arial" w:cs="Arial"/>
        </w:rPr>
        <w:t>).</w:t>
      </w:r>
    </w:p>
    <w:p w14:paraId="6EE058D1" w14:textId="4A2ABB18" w:rsidR="005D0648" w:rsidRPr="002778F9" w:rsidRDefault="005D0648" w:rsidP="002778F9">
      <w:pPr>
        <w:spacing w:line="360" w:lineRule="auto"/>
        <w:jc w:val="both"/>
        <w:rPr>
          <w:rFonts w:ascii="Arial" w:hAnsi="Arial" w:cs="Arial"/>
        </w:rPr>
      </w:pPr>
      <w:r w:rsidRPr="002778F9">
        <w:rPr>
          <w:rFonts w:ascii="Arial" w:hAnsi="Arial" w:cs="Arial"/>
        </w:rPr>
        <w:t>Despite these strengths, Systems Thinking has limitations</w:t>
      </w:r>
      <w:r w:rsidR="004418A9">
        <w:rPr>
          <w:rFonts w:ascii="Arial" w:hAnsi="Arial" w:cs="Arial"/>
        </w:rPr>
        <w:t xml:space="preserve"> </w:t>
      </w:r>
      <w:r w:rsidR="004418A9" w:rsidRPr="004418A9">
        <w:rPr>
          <w:rFonts w:ascii="Arial" w:hAnsi="Arial" w:cs="Arial"/>
        </w:rPr>
        <w:t>(Braithwaite et al., 2018; Checkland, 2000)</w:t>
      </w:r>
      <w:r w:rsidRPr="002778F9">
        <w:rPr>
          <w:rFonts w:ascii="Arial" w:hAnsi="Arial" w:cs="Arial"/>
        </w:rPr>
        <w:t xml:space="preserve">. Whilst it effectively explains how interactions across the healthcare system contributed to the overdose, it provides less insight into the leadership behaviours, organisational culture and professional judgement that influenced decision-making throughout the pathway (van der Heijden, 2022; Challinor et al., 2025). Understanding why professionals did not question the incorrect medicine, despite several opportunities to do so, requires </w:t>
      </w:r>
      <w:r w:rsidRPr="002778F9">
        <w:rPr>
          <w:rFonts w:ascii="Arial" w:hAnsi="Arial" w:cs="Arial"/>
        </w:rPr>
        <w:lastRenderedPageBreak/>
        <w:t>consideration of leadership, governance and organisational culture alongside wider system interactions</w:t>
      </w:r>
      <w:r w:rsidR="007B7FA0">
        <w:rPr>
          <w:rFonts w:ascii="Arial" w:hAnsi="Arial" w:cs="Arial"/>
        </w:rPr>
        <w:t xml:space="preserve"> (</w:t>
      </w:r>
      <w:r w:rsidR="008108E1">
        <w:rPr>
          <w:rFonts w:ascii="Arial" w:hAnsi="Arial" w:cs="Arial"/>
        </w:rPr>
        <w:t>NGO</w:t>
      </w:r>
      <w:r w:rsidR="007D6A8D">
        <w:rPr>
          <w:rFonts w:ascii="Arial" w:hAnsi="Arial" w:cs="Arial"/>
        </w:rPr>
        <w:t xml:space="preserve">, 2024; </w:t>
      </w:r>
      <w:r w:rsidR="007B7FA0">
        <w:rPr>
          <w:rFonts w:ascii="Arial" w:hAnsi="Arial" w:cs="Arial"/>
        </w:rPr>
        <w:t xml:space="preserve">NHS </w:t>
      </w:r>
      <w:r w:rsidR="000C657C">
        <w:rPr>
          <w:rFonts w:ascii="Arial" w:hAnsi="Arial" w:cs="Arial"/>
        </w:rPr>
        <w:t>England</w:t>
      </w:r>
      <w:r w:rsidR="007B7FA0">
        <w:rPr>
          <w:rFonts w:ascii="Arial" w:hAnsi="Arial" w:cs="Arial"/>
        </w:rPr>
        <w:t>, 202</w:t>
      </w:r>
      <w:r w:rsidR="000C657C">
        <w:rPr>
          <w:rFonts w:ascii="Arial" w:hAnsi="Arial" w:cs="Arial"/>
        </w:rPr>
        <w:t>5</w:t>
      </w:r>
      <w:r w:rsidR="007B7FA0">
        <w:rPr>
          <w:rFonts w:ascii="Arial" w:hAnsi="Arial" w:cs="Arial"/>
        </w:rPr>
        <w:t>)</w:t>
      </w:r>
      <w:r w:rsidRPr="002778F9">
        <w:rPr>
          <w:rFonts w:ascii="Arial" w:hAnsi="Arial" w:cs="Arial"/>
        </w:rPr>
        <w:t>. Systems Thinking provides the foundation for understanding how the incident occurred, but further analysis is required to explain why these system weaknesses persisted despite existing governance arrangements</w:t>
      </w:r>
      <w:r w:rsidR="00DA0A20">
        <w:rPr>
          <w:rFonts w:ascii="Arial" w:hAnsi="Arial" w:cs="Arial"/>
        </w:rPr>
        <w:t xml:space="preserve"> </w:t>
      </w:r>
      <w:r w:rsidR="00DA0A20" w:rsidRPr="00DA0A20">
        <w:rPr>
          <w:rFonts w:ascii="Arial" w:hAnsi="Arial" w:cs="Arial"/>
        </w:rPr>
        <w:t>(Braithwaite et al., 2018; NHS England, 2019)</w:t>
      </w:r>
      <w:r w:rsidRPr="002778F9">
        <w:rPr>
          <w:rFonts w:ascii="Arial" w:hAnsi="Arial" w:cs="Arial"/>
        </w:rPr>
        <w:t>.</w:t>
      </w:r>
    </w:p>
    <w:p w14:paraId="0FD46409" w14:textId="77777777" w:rsidR="0093697C" w:rsidRDefault="0093697C" w:rsidP="002778F9">
      <w:pPr>
        <w:spacing w:line="360" w:lineRule="auto"/>
        <w:jc w:val="both"/>
        <w:rPr>
          <w:rFonts w:ascii="Arial" w:hAnsi="Arial" w:cs="Arial"/>
        </w:rPr>
      </w:pPr>
    </w:p>
    <w:p w14:paraId="7E02E86E" w14:textId="77777777" w:rsidR="00F25217" w:rsidRPr="002778F9" w:rsidRDefault="00F25217" w:rsidP="002778F9">
      <w:pPr>
        <w:spacing w:line="360" w:lineRule="auto"/>
        <w:jc w:val="both"/>
        <w:rPr>
          <w:rFonts w:ascii="Arial" w:hAnsi="Arial" w:cs="Arial"/>
        </w:rPr>
        <w:sectPr w:rsidR="00F25217" w:rsidRPr="002778F9">
          <w:pgSz w:w="11906" w:h="16838"/>
          <w:pgMar w:top="1440" w:right="1440" w:bottom="1440" w:left="1440" w:header="708" w:footer="708" w:gutter="0"/>
          <w:cols w:space="708"/>
          <w:docGrid w:linePitch="360"/>
        </w:sectPr>
      </w:pPr>
    </w:p>
    <w:p w14:paraId="14734D3F" w14:textId="6BF2F716" w:rsidR="0049714F" w:rsidRPr="002778F9" w:rsidRDefault="00DE3C01" w:rsidP="0049714F">
      <w:pPr>
        <w:spacing w:line="360" w:lineRule="auto"/>
        <w:jc w:val="both"/>
        <w:rPr>
          <w:rFonts w:ascii="Arial" w:hAnsi="Arial" w:cs="Arial"/>
        </w:rPr>
      </w:pPr>
      <w:r w:rsidRPr="002778F9">
        <w:rPr>
          <w:rFonts w:ascii="Arial" w:hAnsi="Arial" w:cs="Arial"/>
        </w:rPr>
        <w:lastRenderedPageBreak/>
        <w:t>2.3 Rich Picture</w:t>
      </w:r>
    </w:p>
    <w:p w14:paraId="54B85C9B" w14:textId="35C8B5DD" w:rsidR="0068227C" w:rsidRDefault="00274C98" w:rsidP="002778F9">
      <w:pPr>
        <w:spacing w:line="360" w:lineRule="auto"/>
        <w:jc w:val="both"/>
        <w:rPr>
          <w:rFonts w:ascii="Arial" w:hAnsi="Arial" w:cs="Arial"/>
        </w:rPr>
      </w:pPr>
      <w:r w:rsidRPr="00274C98">
        <w:rPr>
          <w:rFonts w:ascii="Arial" w:hAnsi="Arial" w:cs="Arial"/>
          <w:noProof/>
        </w:rPr>
        <w:drawing>
          <wp:inline distT="0" distB="0" distL="0" distR="0" wp14:anchorId="6FF5B094" wp14:editId="2E020C4C">
            <wp:extent cx="8863330" cy="4827905"/>
            <wp:effectExtent l="0" t="0" r="0" b="0"/>
            <wp:docPr id="4725583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2558306" name=""/>
                    <pic:cNvPicPr/>
                  </pic:nvPicPr>
                  <pic:blipFill>
                    <a:blip r:embed="rId8"/>
                    <a:stretch>
                      <a:fillRect/>
                    </a:stretch>
                  </pic:blipFill>
                  <pic:spPr>
                    <a:xfrm>
                      <a:off x="0" y="0"/>
                      <a:ext cx="8863330" cy="4827905"/>
                    </a:xfrm>
                    <a:prstGeom prst="rect">
                      <a:avLst/>
                    </a:prstGeom>
                  </pic:spPr>
                </pic:pic>
              </a:graphicData>
            </a:graphic>
          </wp:inline>
        </w:drawing>
      </w:r>
    </w:p>
    <w:p w14:paraId="5F8164B6" w14:textId="4877A8D6" w:rsidR="0032269C" w:rsidRPr="002778F9" w:rsidRDefault="0049714F" w:rsidP="002778F9">
      <w:pPr>
        <w:spacing w:line="360" w:lineRule="auto"/>
        <w:jc w:val="both"/>
        <w:rPr>
          <w:rFonts w:ascii="Arial" w:hAnsi="Arial" w:cs="Arial"/>
        </w:rPr>
        <w:sectPr w:rsidR="0032269C" w:rsidRPr="002778F9" w:rsidSect="00F25217">
          <w:pgSz w:w="16838" w:h="11906" w:orient="landscape"/>
          <w:pgMar w:top="1440" w:right="1440" w:bottom="1440" w:left="1440" w:header="709" w:footer="709" w:gutter="0"/>
          <w:cols w:space="708"/>
          <w:docGrid w:linePitch="360"/>
        </w:sectPr>
      </w:pPr>
      <w:r w:rsidRPr="002778F9">
        <w:rPr>
          <w:rFonts w:ascii="Arial" w:hAnsi="Arial" w:cs="Arial"/>
        </w:rPr>
        <w:t>Figure 1. Rich Picture of the Infant Morphine Overdose Incident</w:t>
      </w:r>
    </w:p>
    <w:p w14:paraId="639FE9B6" w14:textId="2EAD4352" w:rsidR="008E668B" w:rsidRPr="002778F9" w:rsidRDefault="002B34A3" w:rsidP="002778F9">
      <w:pPr>
        <w:spacing w:line="360" w:lineRule="auto"/>
        <w:jc w:val="both"/>
        <w:rPr>
          <w:rFonts w:ascii="Arial" w:hAnsi="Arial" w:cs="Arial"/>
        </w:rPr>
      </w:pPr>
      <w:r w:rsidRPr="002778F9">
        <w:rPr>
          <w:rFonts w:ascii="Arial" w:hAnsi="Arial" w:cs="Arial"/>
        </w:rPr>
        <w:lastRenderedPageBreak/>
        <w:t>The Rich Picture</w:t>
      </w:r>
      <w:r w:rsidR="00D7783C">
        <w:rPr>
          <w:rFonts w:ascii="Arial" w:hAnsi="Arial" w:cs="Arial"/>
        </w:rPr>
        <w:t xml:space="preserve"> above</w:t>
      </w:r>
      <w:r w:rsidRPr="002778F9">
        <w:rPr>
          <w:rFonts w:ascii="Arial" w:hAnsi="Arial" w:cs="Arial"/>
        </w:rPr>
        <w:t xml:space="preserve"> provides a visual representation of the infant morphine overdose, illustrating how interactions between people, processes and organisations contributed to patient harm across the wider medicines management system rather than through a single dispensing error (NHS England North East and Yorkshire, 2023</w:t>
      </w:r>
      <w:r w:rsidR="007418B1">
        <w:rPr>
          <w:rFonts w:ascii="Arial" w:hAnsi="Arial" w:cs="Arial"/>
        </w:rPr>
        <w:t>; Checkland and Poulter</w:t>
      </w:r>
      <w:r w:rsidR="00E5013C">
        <w:rPr>
          <w:rFonts w:ascii="Arial" w:hAnsi="Arial" w:cs="Arial"/>
        </w:rPr>
        <w:t>, 2006</w:t>
      </w:r>
      <w:r w:rsidRPr="002778F9">
        <w:rPr>
          <w:rFonts w:ascii="Arial" w:hAnsi="Arial" w:cs="Arial"/>
        </w:rPr>
        <w:t xml:space="preserve">). </w:t>
      </w:r>
      <w:r w:rsidR="00026580" w:rsidRPr="00026580">
        <w:rPr>
          <w:rFonts w:ascii="Arial" w:hAnsi="Arial" w:cs="Arial"/>
        </w:rPr>
        <w:t>It brings together healthcare professionals, patients and governance structures while showing how prescribing, dispensing and communication were interconnecte</w:t>
      </w:r>
      <w:r w:rsidR="00026580">
        <w:rPr>
          <w:rFonts w:ascii="Arial" w:hAnsi="Arial" w:cs="Arial"/>
        </w:rPr>
        <w:t>d</w:t>
      </w:r>
      <w:r w:rsidR="00FE2C6A">
        <w:rPr>
          <w:rFonts w:ascii="Arial" w:hAnsi="Arial" w:cs="Arial"/>
        </w:rPr>
        <w:t xml:space="preserve"> (</w:t>
      </w:r>
      <w:r w:rsidR="00C62D19">
        <w:rPr>
          <w:rFonts w:ascii="Arial" w:hAnsi="Arial" w:cs="Arial"/>
        </w:rPr>
        <w:t>Carayon et al., 2006</w:t>
      </w:r>
      <w:r w:rsidR="00FE2C6A" w:rsidRPr="00FE2C6A">
        <w:rPr>
          <w:rFonts w:ascii="Arial" w:hAnsi="Arial" w:cs="Arial"/>
        </w:rPr>
        <w:t>)</w:t>
      </w:r>
      <w:r w:rsidRPr="002778F9">
        <w:rPr>
          <w:rFonts w:ascii="Arial" w:hAnsi="Arial" w:cs="Arial"/>
        </w:rPr>
        <w:t xml:space="preserve">. The diagram highlights multiple communication gaps, </w:t>
      </w:r>
      <w:r w:rsidR="00AD2AA1">
        <w:rPr>
          <w:rFonts w:ascii="Arial" w:hAnsi="Arial" w:cs="Arial"/>
        </w:rPr>
        <w:t>lack of</w:t>
      </w:r>
      <w:r w:rsidRPr="002778F9">
        <w:rPr>
          <w:rFonts w:ascii="Arial" w:hAnsi="Arial" w:cs="Arial"/>
        </w:rPr>
        <w:t xml:space="preserve"> accountability and organisational dependencies that allowed the incorrect morphine formulation to progress through the system without being challenged (Kneck et al., 2019; Hughes and Blegen, 2008). It also illustrates how ineffective feedback loops, including incident reporting, organisational learning and governance processes, failed to prevent the recurrence of similar incidents despite previous national safety alerts (Hall et al., 2022; Alrowily et al., 2025). By capturing both the technical processes and the human factors, including staff anxiety, parental responsibility and patient vulnerability, the Rich Picture reinforces the Systems Thinking perspective that patient safety is shaped by interactions across the wider healthcare system rather than the actions of a single individual (Mohr et al., 2026).</w:t>
      </w:r>
    </w:p>
    <w:p w14:paraId="47985B74" w14:textId="23A748C8" w:rsidR="002A76C6" w:rsidRPr="00026580" w:rsidRDefault="00BD684D" w:rsidP="002778F9">
      <w:pPr>
        <w:spacing w:line="360" w:lineRule="auto"/>
        <w:jc w:val="both"/>
        <w:rPr>
          <w:rFonts w:ascii="Arial" w:hAnsi="Arial" w:cs="Arial"/>
          <w:b/>
          <w:bCs/>
        </w:rPr>
      </w:pPr>
      <w:r w:rsidRPr="00026580">
        <w:rPr>
          <w:rFonts w:ascii="Arial" w:hAnsi="Arial" w:cs="Arial"/>
          <w:b/>
          <w:bCs/>
        </w:rPr>
        <w:t>2</w:t>
      </w:r>
      <w:r w:rsidR="002A76C6" w:rsidRPr="00026580">
        <w:rPr>
          <w:rFonts w:ascii="Arial" w:hAnsi="Arial" w:cs="Arial"/>
          <w:b/>
          <w:bCs/>
        </w:rPr>
        <w:t>.4 Centralisation and Decentralisation</w:t>
      </w:r>
    </w:p>
    <w:p w14:paraId="32956E13" w14:textId="1D7B8353" w:rsidR="00B37BF4" w:rsidRPr="002778F9" w:rsidRDefault="00B37BF4" w:rsidP="002778F9">
      <w:pPr>
        <w:spacing w:line="360" w:lineRule="auto"/>
        <w:jc w:val="both"/>
        <w:rPr>
          <w:rFonts w:ascii="Arial" w:hAnsi="Arial" w:cs="Arial"/>
        </w:rPr>
      </w:pPr>
      <w:r w:rsidRPr="002778F9">
        <w:rPr>
          <w:rFonts w:ascii="Arial" w:hAnsi="Arial" w:cs="Arial"/>
        </w:rPr>
        <w:t xml:space="preserve">The </w:t>
      </w:r>
      <w:r w:rsidRPr="00930F60">
        <w:rPr>
          <w:rFonts w:ascii="Arial" w:hAnsi="Arial" w:cs="Arial"/>
        </w:rPr>
        <w:t>infant morphine overdose highlights the challenges of balancing national oversight with local decision-making across the NHS</w:t>
      </w:r>
      <w:r w:rsidR="005475EE" w:rsidRPr="00930F60">
        <w:rPr>
          <w:rFonts w:ascii="Arial" w:hAnsi="Arial" w:cs="Arial"/>
        </w:rPr>
        <w:t xml:space="preserve"> (Ham, 2014; Exworthy, </w:t>
      </w:r>
      <w:r w:rsidR="00AB0E3F">
        <w:rPr>
          <w:rFonts w:ascii="Arial" w:hAnsi="Arial" w:cs="Arial"/>
        </w:rPr>
        <w:t>200</w:t>
      </w:r>
      <w:r w:rsidR="005475EE" w:rsidRPr="00930F60">
        <w:rPr>
          <w:rFonts w:ascii="Arial" w:hAnsi="Arial" w:cs="Arial"/>
        </w:rPr>
        <w:t>8)</w:t>
      </w:r>
      <w:r w:rsidRPr="00930F60">
        <w:rPr>
          <w:rFonts w:ascii="Arial" w:hAnsi="Arial" w:cs="Arial"/>
        </w:rPr>
        <w:t>.</w:t>
      </w:r>
      <w:r w:rsidRPr="002778F9">
        <w:rPr>
          <w:rFonts w:ascii="Arial" w:hAnsi="Arial" w:cs="Arial"/>
        </w:rPr>
        <w:t xml:space="preserve"> National organisations, including NHS England, the Medicines and Healthcare products Regulatory Agency (MHRA), the Care Quality Commission (CQC) and the General Pharmaceutical Council (GPhC), develop legislation, professional standards and patient safety guidance intended to promote consistent medicines management across healthcare services</w:t>
      </w:r>
      <w:r w:rsidR="00D44A35">
        <w:rPr>
          <w:rFonts w:ascii="Arial" w:hAnsi="Arial" w:cs="Arial"/>
        </w:rPr>
        <w:t xml:space="preserve"> </w:t>
      </w:r>
      <w:r w:rsidR="00D44A35" w:rsidRPr="00D44A35">
        <w:rPr>
          <w:rFonts w:ascii="Arial" w:hAnsi="Arial" w:cs="Arial"/>
        </w:rPr>
        <w:t>(NHS England, 2019; MHRA, 2020; CQC, 20</w:t>
      </w:r>
      <w:r w:rsidR="00EE02E4">
        <w:rPr>
          <w:rFonts w:ascii="Arial" w:hAnsi="Arial" w:cs="Arial"/>
        </w:rPr>
        <w:t>25</w:t>
      </w:r>
      <w:r w:rsidR="00D44A35" w:rsidRPr="00D44A35">
        <w:rPr>
          <w:rFonts w:ascii="Arial" w:hAnsi="Arial" w:cs="Arial"/>
        </w:rPr>
        <w:t>; GPhC, 2025)</w:t>
      </w:r>
      <w:r w:rsidRPr="002778F9">
        <w:rPr>
          <w:rFonts w:ascii="Arial" w:hAnsi="Arial" w:cs="Arial"/>
        </w:rPr>
        <w:t>. Decision-making regarding prescribing standards, controlled medicines and patient safety policy is</w:t>
      </w:r>
      <w:r w:rsidR="00576C94">
        <w:rPr>
          <w:rFonts w:ascii="Arial" w:hAnsi="Arial" w:cs="Arial"/>
        </w:rPr>
        <w:t xml:space="preserve"> </w:t>
      </w:r>
      <w:r w:rsidRPr="002778F9">
        <w:rPr>
          <w:rFonts w:ascii="Arial" w:hAnsi="Arial" w:cs="Arial"/>
        </w:rPr>
        <w:t>concentrated at a national level before being implemented by local healthcare organisations</w:t>
      </w:r>
      <w:r w:rsidR="00E43576">
        <w:rPr>
          <w:rFonts w:ascii="Arial" w:hAnsi="Arial" w:cs="Arial"/>
        </w:rPr>
        <w:t xml:space="preserve"> </w:t>
      </w:r>
      <w:r w:rsidR="00E43576" w:rsidRPr="00E43576">
        <w:rPr>
          <w:rFonts w:ascii="Arial" w:hAnsi="Arial" w:cs="Arial"/>
        </w:rPr>
        <w:t>(Pollitt and Bouckaert, 2017)</w:t>
      </w:r>
      <w:r w:rsidRPr="002778F9">
        <w:rPr>
          <w:rFonts w:ascii="Arial" w:hAnsi="Arial" w:cs="Arial"/>
        </w:rPr>
        <w:t>. This centralised approach is particularly important for high-risk medicines because standardised procedures reduce unnecessary variation, strengthen governance and promote consistency across the NHS</w:t>
      </w:r>
      <w:r w:rsidR="00A61016">
        <w:rPr>
          <w:rFonts w:ascii="Arial" w:hAnsi="Arial" w:cs="Arial"/>
        </w:rPr>
        <w:t xml:space="preserve"> </w:t>
      </w:r>
      <w:r w:rsidR="00A61016" w:rsidRPr="00A61016">
        <w:rPr>
          <w:rFonts w:ascii="Arial" w:hAnsi="Arial" w:cs="Arial"/>
        </w:rPr>
        <w:t>(Berwick, 2013)</w:t>
      </w:r>
      <w:r w:rsidRPr="002778F9">
        <w:rPr>
          <w:rFonts w:ascii="Arial" w:hAnsi="Arial" w:cs="Arial"/>
        </w:rPr>
        <w:t>. Following previous infant morphine overdoses, NHS England issued national recommendations to strengthen prescribing, dispensing and communication processes, demonstrating how learning from individual incidents can be translated into national patient safety policy (NHS England North East and Yorkshire, 2023).</w:t>
      </w:r>
    </w:p>
    <w:p w14:paraId="29ACAA3E" w14:textId="707F6ECA" w:rsidR="00B37BF4" w:rsidRPr="002778F9" w:rsidRDefault="00B37BF4" w:rsidP="002778F9">
      <w:pPr>
        <w:spacing w:line="360" w:lineRule="auto"/>
        <w:jc w:val="both"/>
        <w:rPr>
          <w:rFonts w:ascii="Arial" w:hAnsi="Arial" w:cs="Arial"/>
        </w:rPr>
      </w:pPr>
      <w:r w:rsidRPr="002778F9">
        <w:rPr>
          <w:rFonts w:ascii="Arial" w:hAnsi="Arial" w:cs="Arial"/>
        </w:rPr>
        <w:t>Centralisation offers several advantages within medicines management</w:t>
      </w:r>
      <w:r w:rsidR="00AA32A0">
        <w:rPr>
          <w:rFonts w:ascii="Arial" w:hAnsi="Arial" w:cs="Arial"/>
        </w:rPr>
        <w:t xml:space="preserve"> </w:t>
      </w:r>
      <w:r w:rsidR="00AA32A0" w:rsidRPr="00AA32A0">
        <w:rPr>
          <w:rFonts w:ascii="Arial" w:hAnsi="Arial" w:cs="Arial"/>
        </w:rPr>
        <w:t>(Ham, 2014)</w:t>
      </w:r>
      <w:r w:rsidRPr="002778F9">
        <w:rPr>
          <w:rFonts w:ascii="Arial" w:hAnsi="Arial" w:cs="Arial"/>
        </w:rPr>
        <w:t>. National policies establish minimum safety standards, define professional responsibilities and ensure all NHS organisations operate within the same legal and regulatory framework</w:t>
      </w:r>
      <w:r w:rsidR="00FE384A">
        <w:rPr>
          <w:rFonts w:ascii="Arial" w:hAnsi="Arial" w:cs="Arial"/>
        </w:rPr>
        <w:t xml:space="preserve"> </w:t>
      </w:r>
      <w:r w:rsidR="00FE384A" w:rsidRPr="00FE384A">
        <w:rPr>
          <w:rFonts w:ascii="Arial" w:hAnsi="Arial" w:cs="Arial"/>
        </w:rPr>
        <w:t xml:space="preserve">(NHS England, </w:t>
      </w:r>
      <w:r w:rsidR="00FE384A" w:rsidRPr="00FE384A">
        <w:rPr>
          <w:rFonts w:ascii="Arial" w:hAnsi="Arial" w:cs="Arial"/>
        </w:rPr>
        <w:lastRenderedPageBreak/>
        <w:t>2019; GPhC, 2025)</w:t>
      </w:r>
      <w:r w:rsidR="00FE384A">
        <w:rPr>
          <w:rFonts w:ascii="Arial" w:hAnsi="Arial" w:cs="Arial"/>
        </w:rPr>
        <w:t>.</w:t>
      </w:r>
      <w:r w:rsidRPr="002778F9">
        <w:rPr>
          <w:rFonts w:ascii="Arial" w:hAnsi="Arial" w:cs="Arial"/>
        </w:rPr>
        <w:t xml:space="preserve"> Consistent prescribing guidance also reduces variation in clinical practice and enables organisations to respond rapidly to emerging patient safety </w:t>
      </w:r>
      <w:r w:rsidRPr="00AE087A">
        <w:rPr>
          <w:rFonts w:ascii="Arial" w:hAnsi="Arial" w:cs="Arial"/>
        </w:rPr>
        <w:t>concerns</w:t>
      </w:r>
      <w:r w:rsidR="00AE087A" w:rsidRPr="00AE087A">
        <w:rPr>
          <w:rFonts w:ascii="Arial" w:hAnsi="Arial" w:cs="Arial"/>
        </w:rPr>
        <w:t xml:space="preserve"> (Vincent and Amalberti, 2016)</w:t>
      </w:r>
      <w:r w:rsidRPr="00AE087A">
        <w:rPr>
          <w:rFonts w:ascii="Arial" w:hAnsi="Arial" w:cs="Arial"/>
        </w:rPr>
        <w:t xml:space="preserve">. However, this investigation </w:t>
      </w:r>
      <w:r w:rsidR="003E3677">
        <w:rPr>
          <w:rFonts w:ascii="Arial" w:hAnsi="Arial" w:cs="Arial"/>
        </w:rPr>
        <w:t>show</w:t>
      </w:r>
      <w:r w:rsidRPr="00AE087A">
        <w:rPr>
          <w:rFonts w:ascii="Arial" w:hAnsi="Arial" w:cs="Arial"/>
        </w:rPr>
        <w:t xml:space="preserve">s that producing national guidance alone does not guarantee safer practice. NHS England confirmed that this was the fifth reported infant morphine overdose since 2018, despite previous safety alerts and established medicines governance frameworks (NHS England North East and Yorkshire, 2023). Similarly, Elliott </w:t>
      </w:r>
      <w:r w:rsidRPr="0026551A">
        <w:rPr>
          <w:rFonts w:ascii="Arial" w:hAnsi="Arial" w:cs="Arial"/>
          <w:i/>
          <w:iCs/>
        </w:rPr>
        <w:t>et al</w:t>
      </w:r>
      <w:r w:rsidRPr="00AE087A">
        <w:rPr>
          <w:rFonts w:ascii="Arial" w:hAnsi="Arial" w:cs="Arial"/>
        </w:rPr>
        <w:t xml:space="preserve">. (2021) </w:t>
      </w:r>
      <w:r w:rsidR="0026551A">
        <w:rPr>
          <w:rFonts w:ascii="Arial" w:hAnsi="Arial" w:cs="Arial"/>
        </w:rPr>
        <w:t xml:space="preserve">and the OECD (2017) </w:t>
      </w:r>
      <w:r w:rsidRPr="00AE087A">
        <w:rPr>
          <w:rFonts w:ascii="Arial" w:hAnsi="Arial" w:cs="Arial"/>
        </w:rPr>
        <w:t>estimated that more than 237 million</w:t>
      </w:r>
      <w:r w:rsidRPr="002778F9">
        <w:rPr>
          <w:rFonts w:ascii="Arial" w:hAnsi="Arial" w:cs="Arial"/>
        </w:rPr>
        <w:t xml:space="preserve"> medication errors occur annually across the NHS, with approximately 66 million considered clinically significant, contributing to over 1,700 deaths and almost £100 million in avoidable healthcare costs each year. These findings suggest that the principal challenge was not the absence of national policy but the inconsistent implementation of existing guidance within local organisations</w:t>
      </w:r>
      <w:r w:rsidR="006D4147">
        <w:rPr>
          <w:rFonts w:ascii="Arial" w:hAnsi="Arial" w:cs="Arial"/>
        </w:rPr>
        <w:t xml:space="preserve"> </w:t>
      </w:r>
      <w:r w:rsidR="006D4147" w:rsidRPr="006D4147">
        <w:rPr>
          <w:rFonts w:ascii="Arial" w:hAnsi="Arial" w:cs="Arial"/>
        </w:rPr>
        <w:t>(WHO, 2021; Braithwaite et al., 2018)</w:t>
      </w:r>
      <w:r w:rsidRPr="002778F9">
        <w:rPr>
          <w:rFonts w:ascii="Arial" w:hAnsi="Arial" w:cs="Arial"/>
        </w:rPr>
        <w:t>.</w:t>
      </w:r>
    </w:p>
    <w:p w14:paraId="600BD01B" w14:textId="14F76F46" w:rsidR="00B37BF4" w:rsidRPr="002778F9" w:rsidRDefault="00B37BF4" w:rsidP="002778F9">
      <w:pPr>
        <w:spacing w:line="360" w:lineRule="auto"/>
        <w:jc w:val="both"/>
        <w:rPr>
          <w:rFonts w:ascii="Arial" w:hAnsi="Arial" w:cs="Arial"/>
        </w:rPr>
      </w:pPr>
      <w:r w:rsidRPr="002778F9">
        <w:rPr>
          <w:rFonts w:ascii="Arial" w:hAnsi="Arial" w:cs="Arial"/>
        </w:rPr>
        <w:t>Responsibility for implementation rested with hospitals, GP practices and community pharmacies, each operating within different organisational structures, workforce pressures and patient populations</w:t>
      </w:r>
      <w:r w:rsidR="00ED6FBD">
        <w:rPr>
          <w:rFonts w:ascii="Arial" w:hAnsi="Arial" w:cs="Arial"/>
        </w:rPr>
        <w:t xml:space="preserve"> </w:t>
      </w:r>
      <w:r w:rsidR="00ED6FBD" w:rsidRPr="00ED6FBD">
        <w:rPr>
          <w:rFonts w:ascii="Arial" w:hAnsi="Arial" w:cs="Arial"/>
        </w:rPr>
        <w:t>(NHS England, 2019; Ham, 2014)</w:t>
      </w:r>
      <w:r w:rsidRPr="002778F9">
        <w:rPr>
          <w:rFonts w:ascii="Arial" w:hAnsi="Arial" w:cs="Arial"/>
        </w:rPr>
        <w:t>. This decentralised approach allows local organisations to adapt national standards according to patient need, available resources and clinical priorities</w:t>
      </w:r>
      <w:r w:rsidR="0078152C">
        <w:rPr>
          <w:rFonts w:ascii="Arial" w:hAnsi="Arial" w:cs="Arial"/>
        </w:rPr>
        <w:t xml:space="preserve"> </w:t>
      </w:r>
      <w:r w:rsidR="0078152C" w:rsidRPr="0078152C">
        <w:rPr>
          <w:rFonts w:ascii="Arial" w:hAnsi="Arial" w:cs="Arial"/>
        </w:rPr>
        <w:t>(Goodwin et al., 2017)</w:t>
      </w:r>
      <w:r w:rsidRPr="002778F9">
        <w:rPr>
          <w:rFonts w:ascii="Arial" w:hAnsi="Arial" w:cs="Arial"/>
        </w:rPr>
        <w:t xml:space="preserve">. </w:t>
      </w:r>
      <w:r w:rsidR="00333DFF" w:rsidRPr="00333DFF">
        <w:rPr>
          <w:rFonts w:ascii="Arial" w:hAnsi="Arial" w:cs="Arial"/>
        </w:rPr>
        <w:t>Professional autonomy enables clinicians to exercise judgement and respond flexibly to situations beyond written protocols</w:t>
      </w:r>
      <w:r w:rsidR="00333DFF">
        <w:rPr>
          <w:rFonts w:ascii="Arial" w:hAnsi="Arial" w:cs="Arial"/>
        </w:rPr>
        <w:t xml:space="preserve"> </w:t>
      </w:r>
      <w:r w:rsidR="0087096F" w:rsidRPr="0087096F">
        <w:rPr>
          <w:rFonts w:ascii="Arial" w:hAnsi="Arial" w:cs="Arial"/>
        </w:rPr>
        <w:t>(Carayon et al., 2014)</w:t>
      </w:r>
      <w:r w:rsidRPr="002778F9">
        <w:rPr>
          <w:rFonts w:ascii="Arial" w:hAnsi="Arial" w:cs="Arial"/>
        </w:rPr>
        <w:t>.</w:t>
      </w:r>
    </w:p>
    <w:p w14:paraId="403B95DE" w14:textId="46DD6B3B" w:rsidR="00B37BF4" w:rsidRPr="002778F9" w:rsidRDefault="00B37BF4" w:rsidP="002778F9">
      <w:pPr>
        <w:spacing w:line="360" w:lineRule="auto"/>
        <w:jc w:val="both"/>
        <w:rPr>
          <w:rFonts w:ascii="Arial" w:hAnsi="Arial" w:cs="Arial"/>
        </w:rPr>
      </w:pPr>
      <w:r w:rsidRPr="002778F9">
        <w:rPr>
          <w:rFonts w:ascii="Arial" w:hAnsi="Arial" w:cs="Arial"/>
        </w:rPr>
        <w:t>However, decentralisation also increases the potential for variation in practice</w:t>
      </w:r>
      <w:r w:rsidR="00B1719F">
        <w:rPr>
          <w:rFonts w:ascii="Arial" w:hAnsi="Arial" w:cs="Arial"/>
        </w:rPr>
        <w:t xml:space="preserve"> </w:t>
      </w:r>
      <w:r w:rsidR="00B1719F" w:rsidRPr="00B1719F">
        <w:rPr>
          <w:rFonts w:ascii="Arial" w:hAnsi="Arial" w:cs="Arial"/>
        </w:rPr>
        <w:t>(Pollitt and Bouckaert, 2017; Ham, 2014)</w:t>
      </w:r>
      <w:r w:rsidRPr="002778F9">
        <w:rPr>
          <w:rFonts w:ascii="Arial" w:hAnsi="Arial" w:cs="Arial"/>
        </w:rPr>
        <w:t xml:space="preserve">. As responsibility transferred from secondary care to primary care and subsequently to community pharmacy, accountability became increasingly </w:t>
      </w:r>
      <w:r w:rsidR="005A5244" w:rsidRPr="002778F9">
        <w:rPr>
          <w:rFonts w:ascii="Arial" w:hAnsi="Arial" w:cs="Arial"/>
        </w:rPr>
        <w:t>divided</w:t>
      </w:r>
      <w:r w:rsidR="00B83D28">
        <w:rPr>
          <w:rFonts w:ascii="Arial" w:hAnsi="Arial" w:cs="Arial"/>
        </w:rPr>
        <w:t xml:space="preserve"> </w:t>
      </w:r>
      <w:r w:rsidR="00B83D28" w:rsidRPr="00B83D28">
        <w:rPr>
          <w:rFonts w:ascii="Arial" w:hAnsi="Arial" w:cs="Arial"/>
        </w:rPr>
        <w:t>(NHS England North East and Yorkshire, 2023)</w:t>
      </w:r>
      <w:r w:rsidR="00B83D28">
        <w:rPr>
          <w:rFonts w:ascii="Arial" w:hAnsi="Arial" w:cs="Arial"/>
        </w:rPr>
        <w:t>.</w:t>
      </w:r>
      <w:r w:rsidRPr="002778F9">
        <w:rPr>
          <w:rFonts w:ascii="Arial" w:hAnsi="Arial" w:cs="Arial"/>
        </w:rPr>
        <w:t xml:space="preserve"> Although each organisation completed its own part of the medicines management pathway, no single organisation retained overall oversight of the patient's journey</w:t>
      </w:r>
      <w:r w:rsidR="00B25308">
        <w:rPr>
          <w:rFonts w:ascii="Arial" w:hAnsi="Arial" w:cs="Arial"/>
        </w:rPr>
        <w:t xml:space="preserve"> </w:t>
      </w:r>
      <w:r w:rsidR="00B25308" w:rsidRPr="00B25308">
        <w:rPr>
          <w:rFonts w:ascii="Arial" w:hAnsi="Arial" w:cs="Arial"/>
        </w:rPr>
        <w:t>(Braithwaite et al., 2018)</w:t>
      </w:r>
      <w:r w:rsidRPr="002778F9">
        <w:rPr>
          <w:rFonts w:ascii="Arial" w:hAnsi="Arial" w:cs="Arial"/>
        </w:rPr>
        <w:t xml:space="preserve">. This created multiple opportunities for assumptions to replace independent verification, increasing the likelihood that the incorrect morphine formulation would remain </w:t>
      </w:r>
      <w:r w:rsidRPr="00B25308">
        <w:rPr>
          <w:rFonts w:ascii="Arial" w:hAnsi="Arial" w:cs="Arial"/>
        </w:rPr>
        <w:t>undetected</w:t>
      </w:r>
      <w:r w:rsidR="00B25308" w:rsidRPr="00B25308">
        <w:rPr>
          <w:rFonts w:ascii="Arial" w:hAnsi="Arial" w:cs="Arial"/>
        </w:rPr>
        <w:t xml:space="preserve"> (Reason, 2000; Hughes and Blegen, 2008)</w:t>
      </w:r>
      <w:r w:rsidRPr="00B25308">
        <w:rPr>
          <w:rFonts w:ascii="Arial" w:hAnsi="Arial" w:cs="Arial"/>
        </w:rPr>
        <w:t>.</w:t>
      </w:r>
      <w:r w:rsidRPr="002778F9">
        <w:rPr>
          <w:rFonts w:ascii="Arial" w:hAnsi="Arial" w:cs="Arial"/>
        </w:rPr>
        <w:t xml:space="preserve"> The investigation </w:t>
      </w:r>
      <w:r w:rsidR="003E3677">
        <w:rPr>
          <w:rFonts w:ascii="Arial" w:hAnsi="Arial" w:cs="Arial"/>
        </w:rPr>
        <w:t>prove</w:t>
      </w:r>
      <w:r w:rsidRPr="002778F9">
        <w:rPr>
          <w:rFonts w:ascii="Arial" w:hAnsi="Arial" w:cs="Arial"/>
        </w:rPr>
        <w:t>s that decentralisation can unintentionally weaken accountability when communication and governance mechanisms are not sufficiently integrated across organisational boundaries</w:t>
      </w:r>
      <w:r w:rsidR="00131C34">
        <w:rPr>
          <w:rFonts w:ascii="Arial" w:hAnsi="Arial" w:cs="Arial"/>
        </w:rPr>
        <w:t xml:space="preserve"> </w:t>
      </w:r>
      <w:r w:rsidR="00131C34" w:rsidRPr="00131C34">
        <w:rPr>
          <w:rFonts w:ascii="Arial" w:hAnsi="Arial" w:cs="Arial"/>
        </w:rPr>
        <w:t>(NHS England North East and Yorkshire, 2023; Vincent and Amalberti, 2016)</w:t>
      </w:r>
      <w:r w:rsidRPr="002778F9">
        <w:rPr>
          <w:rFonts w:ascii="Arial" w:hAnsi="Arial" w:cs="Arial"/>
        </w:rPr>
        <w:t>.</w:t>
      </w:r>
    </w:p>
    <w:p w14:paraId="48F13B5E" w14:textId="7D426A03" w:rsidR="00B37BF4" w:rsidRPr="002778F9" w:rsidRDefault="00B37BF4" w:rsidP="002778F9">
      <w:pPr>
        <w:spacing w:line="360" w:lineRule="auto"/>
        <w:jc w:val="both"/>
        <w:rPr>
          <w:rFonts w:ascii="Arial" w:hAnsi="Arial" w:cs="Arial"/>
        </w:rPr>
      </w:pPr>
      <w:r w:rsidRPr="002778F9">
        <w:rPr>
          <w:rFonts w:ascii="Arial" w:hAnsi="Arial" w:cs="Arial"/>
        </w:rPr>
        <w:t>Implementation is further influenced by wider NHS pressures</w:t>
      </w:r>
      <w:r w:rsidR="0054553C">
        <w:rPr>
          <w:rFonts w:ascii="Arial" w:hAnsi="Arial" w:cs="Arial"/>
        </w:rPr>
        <w:t xml:space="preserve"> </w:t>
      </w:r>
      <w:r w:rsidR="0054553C" w:rsidRPr="0054553C">
        <w:rPr>
          <w:rFonts w:ascii="Arial" w:hAnsi="Arial" w:cs="Arial"/>
        </w:rPr>
        <w:t>(NHS England, 2019</w:t>
      </w:r>
      <w:r w:rsidR="0054553C">
        <w:rPr>
          <w:rFonts w:ascii="Arial" w:hAnsi="Arial" w:cs="Arial"/>
        </w:rPr>
        <w:t>)</w:t>
      </w:r>
      <w:r w:rsidRPr="002778F9">
        <w:rPr>
          <w:rFonts w:ascii="Arial" w:hAnsi="Arial" w:cs="Arial"/>
        </w:rPr>
        <w:t>. Workforce shortages, increasing clinical demand and variation in digital infrastructure may reduce opportunities for multidisciplinary communication, independent verification and medicines reconciliation during transitions of care</w:t>
      </w:r>
      <w:r w:rsidR="0030582E">
        <w:rPr>
          <w:rFonts w:ascii="Arial" w:hAnsi="Arial" w:cs="Arial"/>
        </w:rPr>
        <w:t xml:space="preserve"> </w:t>
      </w:r>
      <w:r w:rsidR="0030582E" w:rsidRPr="0030582E">
        <w:rPr>
          <w:rFonts w:ascii="Arial" w:hAnsi="Arial" w:cs="Arial"/>
        </w:rPr>
        <w:t>(NHS England, 202</w:t>
      </w:r>
      <w:r w:rsidR="00891CEF">
        <w:rPr>
          <w:rFonts w:ascii="Arial" w:hAnsi="Arial" w:cs="Arial"/>
        </w:rPr>
        <w:t>4</w:t>
      </w:r>
      <w:r w:rsidR="0030582E" w:rsidRPr="0030582E">
        <w:rPr>
          <w:rFonts w:ascii="Arial" w:hAnsi="Arial" w:cs="Arial"/>
        </w:rPr>
        <w:t>;</w:t>
      </w:r>
      <w:r w:rsidR="000378F5">
        <w:rPr>
          <w:rFonts w:ascii="Arial" w:hAnsi="Arial" w:cs="Arial"/>
        </w:rPr>
        <w:t xml:space="preserve"> </w:t>
      </w:r>
      <w:r w:rsidR="0030582E" w:rsidRPr="0030582E">
        <w:rPr>
          <w:rFonts w:ascii="Arial" w:hAnsi="Arial" w:cs="Arial"/>
        </w:rPr>
        <w:t>CQC, 2023</w:t>
      </w:r>
      <w:r w:rsidR="0030582E">
        <w:rPr>
          <w:rFonts w:ascii="Arial" w:hAnsi="Arial" w:cs="Arial"/>
        </w:rPr>
        <w:t>)</w:t>
      </w:r>
      <w:r w:rsidRPr="002778F9">
        <w:rPr>
          <w:rFonts w:ascii="Arial" w:hAnsi="Arial" w:cs="Arial"/>
        </w:rPr>
        <w:t xml:space="preserve">. Organisations </w:t>
      </w:r>
      <w:r w:rsidRPr="002778F9">
        <w:rPr>
          <w:rFonts w:ascii="Arial" w:hAnsi="Arial" w:cs="Arial"/>
        </w:rPr>
        <w:lastRenderedPageBreak/>
        <w:t>operating under sustained pressure may prioritise service delivery over quality improvement activities, making it more difficult to embed organisational learning following patient safety investigations</w:t>
      </w:r>
      <w:r w:rsidR="000378F5">
        <w:rPr>
          <w:rFonts w:ascii="Arial" w:hAnsi="Arial" w:cs="Arial"/>
        </w:rPr>
        <w:t xml:space="preserve"> (</w:t>
      </w:r>
      <w:r w:rsidR="000378F5" w:rsidRPr="000378F5">
        <w:rPr>
          <w:rFonts w:ascii="Arial" w:hAnsi="Arial" w:cs="Arial"/>
        </w:rPr>
        <w:t>Dixon-Woods et al., 2014</w:t>
      </w:r>
      <w:r w:rsidR="000378F5">
        <w:rPr>
          <w:rFonts w:ascii="Arial" w:hAnsi="Arial" w:cs="Arial"/>
        </w:rPr>
        <w:t>)</w:t>
      </w:r>
      <w:r w:rsidRPr="002778F9">
        <w:rPr>
          <w:rFonts w:ascii="Arial" w:hAnsi="Arial" w:cs="Arial"/>
        </w:rPr>
        <w:t xml:space="preserve">. Consequently, effective governance depends not only </w:t>
      </w:r>
      <w:r w:rsidR="004E79DA">
        <w:rPr>
          <w:rFonts w:ascii="Arial" w:hAnsi="Arial" w:cs="Arial"/>
        </w:rPr>
        <w:t>on robust national standards but also on sufficient workforce capacity, leadership support,</w:t>
      </w:r>
      <w:r w:rsidRPr="002778F9">
        <w:rPr>
          <w:rFonts w:ascii="Arial" w:hAnsi="Arial" w:cs="Arial"/>
        </w:rPr>
        <w:t xml:space="preserve"> and organisational resources to implement those standards consistently across different healthcare settings</w:t>
      </w:r>
      <w:r w:rsidR="000378F5">
        <w:rPr>
          <w:rFonts w:ascii="Arial" w:hAnsi="Arial" w:cs="Arial"/>
        </w:rPr>
        <w:t xml:space="preserve"> (</w:t>
      </w:r>
      <w:r w:rsidR="007C6FC0">
        <w:rPr>
          <w:rFonts w:ascii="Arial" w:hAnsi="Arial" w:cs="Arial"/>
        </w:rPr>
        <w:t>West et al., 2015)</w:t>
      </w:r>
      <w:r w:rsidRPr="002778F9">
        <w:rPr>
          <w:rFonts w:ascii="Arial" w:hAnsi="Arial" w:cs="Arial"/>
        </w:rPr>
        <w:t>.</w:t>
      </w:r>
    </w:p>
    <w:p w14:paraId="697F5731" w14:textId="4F91714F" w:rsidR="00B37BF4" w:rsidRPr="002778F9" w:rsidRDefault="00B37BF4" w:rsidP="002778F9">
      <w:pPr>
        <w:spacing w:line="360" w:lineRule="auto"/>
        <w:jc w:val="both"/>
        <w:rPr>
          <w:rFonts w:ascii="Arial" w:hAnsi="Arial" w:cs="Arial"/>
        </w:rPr>
      </w:pPr>
      <w:r w:rsidRPr="002778F9">
        <w:rPr>
          <w:rFonts w:ascii="Arial" w:hAnsi="Arial" w:cs="Arial"/>
        </w:rPr>
        <w:t>The investigation also raises important questions regarding accountability during crisis management</w:t>
      </w:r>
      <w:r w:rsidR="004B585B">
        <w:rPr>
          <w:rFonts w:ascii="Arial" w:hAnsi="Arial" w:cs="Arial"/>
        </w:rPr>
        <w:t xml:space="preserve"> (</w:t>
      </w:r>
      <w:r w:rsidR="004B585B" w:rsidRPr="004B585B">
        <w:rPr>
          <w:rFonts w:ascii="Arial" w:hAnsi="Arial" w:cs="Arial"/>
        </w:rPr>
        <w:t>NHS England North East and Yorkshire, 2023</w:t>
      </w:r>
      <w:r w:rsidR="004B585B">
        <w:rPr>
          <w:rFonts w:ascii="Arial" w:hAnsi="Arial" w:cs="Arial"/>
        </w:rPr>
        <w:t>)</w:t>
      </w:r>
      <w:r w:rsidRPr="002778F9">
        <w:rPr>
          <w:rFonts w:ascii="Arial" w:hAnsi="Arial" w:cs="Arial"/>
        </w:rPr>
        <w:t>. Centralised governance clearly defined what organisations should do, whereas decentralised delivery determined how those expectations were implemented in practice</w:t>
      </w:r>
      <w:r w:rsidR="004B585B">
        <w:rPr>
          <w:rFonts w:ascii="Arial" w:hAnsi="Arial" w:cs="Arial"/>
        </w:rPr>
        <w:t xml:space="preserve"> (NHS England, 2019)</w:t>
      </w:r>
      <w:r w:rsidRPr="002778F9">
        <w:rPr>
          <w:rFonts w:ascii="Arial" w:hAnsi="Arial" w:cs="Arial"/>
        </w:rPr>
        <w:t>. As patients moved between hospital services, primary care and community pharmacy, responsibility for verifying the medicine became distributed across several professionals and organisations</w:t>
      </w:r>
      <w:r w:rsidR="004B585B">
        <w:rPr>
          <w:rFonts w:ascii="Arial" w:hAnsi="Arial" w:cs="Arial"/>
        </w:rPr>
        <w:t xml:space="preserve"> (</w:t>
      </w:r>
      <w:r w:rsidR="00113A89">
        <w:rPr>
          <w:rFonts w:ascii="Arial" w:hAnsi="Arial" w:cs="Arial"/>
        </w:rPr>
        <w:t>WHO, 2021)</w:t>
      </w:r>
      <w:r w:rsidRPr="002778F9">
        <w:rPr>
          <w:rFonts w:ascii="Arial" w:hAnsi="Arial" w:cs="Arial"/>
        </w:rPr>
        <w:t>. Although shared responsibility is characteristic of integrated healthcare systems, unclear ownership of critical safety checks can delay decision-making and reduce opportunities to identify clinical risk</w:t>
      </w:r>
      <w:r w:rsidR="00310446">
        <w:rPr>
          <w:rFonts w:ascii="Arial" w:hAnsi="Arial" w:cs="Arial"/>
        </w:rPr>
        <w:t xml:space="preserve"> (</w:t>
      </w:r>
      <w:r w:rsidR="00310446" w:rsidRPr="00310446">
        <w:rPr>
          <w:rFonts w:ascii="Arial" w:hAnsi="Arial" w:cs="Arial"/>
        </w:rPr>
        <w:t>Braithwaite et al., 2018</w:t>
      </w:r>
      <w:r w:rsidR="00310446">
        <w:rPr>
          <w:rFonts w:ascii="Arial" w:hAnsi="Arial" w:cs="Arial"/>
        </w:rPr>
        <w:t>)</w:t>
      </w:r>
      <w:r w:rsidRPr="002778F9">
        <w:rPr>
          <w:rFonts w:ascii="Arial" w:hAnsi="Arial" w:cs="Arial"/>
        </w:rPr>
        <w:t>. This demonstrates that accountability within complex healthcare systems cannot be viewed as belonging solely to one organisation</w:t>
      </w:r>
      <w:r w:rsidR="00310446">
        <w:rPr>
          <w:rFonts w:ascii="Arial" w:hAnsi="Arial" w:cs="Arial"/>
        </w:rPr>
        <w:t xml:space="preserve"> </w:t>
      </w:r>
      <w:r w:rsidR="005E7F16">
        <w:rPr>
          <w:rFonts w:ascii="Arial" w:hAnsi="Arial" w:cs="Arial"/>
        </w:rPr>
        <w:t>(</w:t>
      </w:r>
      <w:r w:rsidR="005E7F16" w:rsidRPr="005E7F16">
        <w:rPr>
          <w:rFonts w:ascii="Arial" w:hAnsi="Arial" w:cs="Arial"/>
        </w:rPr>
        <w:t>Edmondson, 2019</w:t>
      </w:r>
      <w:r w:rsidR="005E7F16">
        <w:rPr>
          <w:rFonts w:ascii="Arial" w:hAnsi="Arial" w:cs="Arial"/>
        </w:rPr>
        <w:t>)</w:t>
      </w:r>
      <w:r w:rsidRPr="002778F9">
        <w:rPr>
          <w:rFonts w:ascii="Arial" w:hAnsi="Arial" w:cs="Arial"/>
        </w:rPr>
        <w:t>. Instead, effective crisis management depends upon coordinated leadership, robust communication and clearly defined verification processes throughout the patient's journey</w:t>
      </w:r>
      <w:r w:rsidR="00BA647F">
        <w:rPr>
          <w:rFonts w:ascii="Arial" w:hAnsi="Arial" w:cs="Arial"/>
        </w:rPr>
        <w:t>.</w:t>
      </w:r>
    </w:p>
    <w:p w14:paraId="5540EF08" w14:textId="4FC9D93A" w:rsidR="00B37BF4" w:rsidRPr="002778F9" w:rsidRDefault="00B37BF4" w:rsidP="002778F9">
      <w:pPr>
        <w:spacing w:line="360" w:lineRule="auto"/>
        <w:jc w:val="both"/>
        <w:rPr>
          <w:rFonts w:ascii="Arial" w:hAnsi="Arial" w:cs="Arial"/>
        </w:rPr>
      </w:pPr>
      <w:r w:rsidRPr="002778F9">
        <w:rPr>
          <w:rFonts w:ascii="Arial" w:hAnsi="Arial" w:cs="Arial"/>
        </w:rPr>
        <w:t>The development of Integrated Care Systems (ICSs) reflects wider NHS efforts to reduce fragmentation by improving collaboration between healthcare organisations and strengthening shared responsibility for patient outcomes (NHS Confederation, 2022). Although ICSs cannot eliminate medication errors entirely, they demonstrate increasing recognition that safe patient care depends upon organisations working collectively rather than independently</w:t>
      </w:r>
      <w:r w:rsidR="00317577">
        <w:rPr>
          <w:rFonts w:ascii="Arial" w:hAnsi="Arial" w:cs="Arial"/>
        </w:rPr>
        <w:t xml:space="preserve"> (</w:t>
      </w:r>
      <w:r w:rsidR="00F71897" w:rsidRPr="00F71897">
        <w:rPr>
          <w:rFonts w:ascii="Arial" w:hAnsi="Arial" w:cs="Arial"/>
        </w:rPr>
        <w:t>Braithwaite et al., 2018</w:t>
      </w:r>
      <w:r w:rsidR="00F71897">
        <w:rPr>
          <w:rFonts w:ascii="Arial" w:hAnsi="Arial" w:cs="Arial"/>
        </w:rPr>
        <w:t>)</w:t>
      </w:r>
      <w:r w:rsidRPr="002778F9">
        <w:rPr>
          <w:rFonts w:ascii="Arial" w:hAnsi="Arial" w:cs="Arial"/>
        </w:rPr>
        <w:t>. The infant morphine overdose illustrates why these collaborative approaches are essential when managing high-risk medicines that routinely cross organisational boundaries</w:t>
      </w:r>
      <w:r w:rsidR="00F71897">
        <w:rPr>
          <w:rFonts w:ascii="Arial" w:hAnsi="Arial" w:cs="Arial"/>
        </w:rPr>
        <w:t xml:space="preserve"> </w:t>
      </w:r>
      <w:r w:rsidR="00F71897" w:rsidRPr="00F71897">
        <w:rPr>
          <w:rFonts w:ascii="Arial" w:hAnsi="Arial" w:cs="Arial"/>
        </w:rPr>
        <w:t>(NHS England North East and Yorkshire, 2023</w:t>
      </w:r>
      <w:r w:rsidR="00F71897">
        <w:rPr>
          <w:rFonts w:ascii="Arial" w:hAnsi="Arial" w:cs="Arial"/>
        </w:rPr>
        <w:t>).</w:t>
      </w:r>
    </w:p>
    <w:p w14:paraId="371EE5E4" w14:textId="3767A255" w:rsidR="00B37BF4" w:rsidRPr="002778F9" w:rsidRDefault="00B37BF4" w:rsidP="002778F9">
      <w:pPr>
        <w:spacing w:line="360" w:lineRule="auto"/>
        <w:jc w:val="both"/>
        <w:rPr>
          <w:rFonts w:ascii="Arial" w:hAnsi="Arial" w:cs="Arial"/>
        </w:rPr>
      </w:pPr>
      <w:r w:rsidRPr="002778F9">
        <w:rPr>
          <w:rFonts w:ascii="Arial" w:hAnsi="Arial" w:cs="Arial"/>
        </w:rPr>
        <w:t xml:space="preserve">Ultimately, this case </w:t>
      </w:r>
      <w:r w:rsidR="009969D1">
        <w:rPr>
          <w:rFonts w:ascii="Arial" w:hAnsi="Arial" w:cs="Arial"/>
        </w:rPr>
        <w:t>establishes</w:t>
      </w:r>
      <w:r w:rsidRPr="002778F9">
        <w:rPr>
          <w:rFonts w:ascii="Arial" w:hAnsi="Arial" w:cs="Arial"/>
        </w:rPr>
        <w:t xml:space="preserve"> that neither centralisation nor decentralisation independently provides the most effective model for medicines safety</w:t>
      </w:r>
      <w:r w:rsidR="00866B5C">
        <w:rPr>
          <w:rFonts w:ascii="Arial" w:hAnsi="Arial" w:cs="Arial"/>
        </w:rPr>
        <w:t xml:space="preserve"> (Ham, 2014)</w:t>
      </w:r>
      <w:r w:rsidRPr="002778F9">
        <w:rPr>
          <w:rFonts w:ascii="Arial" w:hAnsi="Arial" w:cs="Arial"/>
        </w:rPr>
        <w:t>. Centralised governance establishes the legislation, professional standards</w:t>
      </w:r>
      <w:r w:rsidR="00C20060">
        <w:rPr>
          <w:rFonts w:ascii="Arial" w:hAnsi="Arial" w:cs="Arial"/>
        </w:rPr>
        <w:t>, and regulatory framework necessary to promote national consistency, whilst decentralised organisations possess the contextual knowledge required to deliver responsive, patient-centred care (MHRA, 2020)</w:t>
      </w:r>
      <w:r w:rsidRPr="002778F9">
        <w:rPr>
          <w:rFonts w:ascii="Arial" w:hAnsi="Arial" w:cs="Arial"/>
        </w:rPr>
        <w:t>. The investigation suggests that patient safety depends not on choosing between centralisation and decentralisation, but on ensuring that national standards are consistently translated into safe local practice through effective leadership, communication and organisational accountability</w:t>
      </w:r>
      <w:r w:rsidR="00BC7FB1">
        <w:rPr>
          <w:rFonts w:ascii="Arial" w:hAnsi="Arial" w:cs="Arial"/>
        </w:rPr>
        <w:t xml:space="preserve"> </w:t>
      </w:r>
      <w:r w:rsidR="00BC7FB1">
        <w:rPr>
          <w:rFonts w:ascii="Arial" w:hAnsi="Arial" w:cs="Arial"/>
        </w:rPr>
        <w:lastRenderedPageBreak/>
        <w:t>(</w:t>
      </w:r>
      <w:r w:rsidR="00BC7FB1" w:rsidRPr="00BC7FB1">
        <w:rPr>
          <w:rFonts w:ascii="Arial" w:hAnsi="Arial" w:cs="Arial"/>
        </w:rPr>
        <w:t>Edmondson, 2019</w:t>
      </w:r>
      <w:r w:rsidR="00BC7FB1">
        <w:rPr>
          <w:rFonts w:ascii="Arial" w:hAnsi="Arial" w:cs="Arial"/>
        </w:rPr>
        <w:t>).</w:t>
      </w:r>
      <w:r w:rsidRPr="002778F9">
        <w:rPr>
          <w:rFonts w:ascii="Arial" w:hAnsi="Arial" w:cs="Arial"/>
        </w:rPr>
        <w:t xml:space="preserve"> This balanced approach provides the strongest foundation for reducing variation, strengthening governance and improving medicines safety across the NHS</w:t>
      </w:r>
      <w:r w:rsidR="00BC7FB1">
        <w:rPr>
          <w:rFonts w:ascii="Arial" w:hAnsi="Arial" w:cs="Arial"/>
        </w:rPr>
        <w:t xml:space="preserve"> (NHS England</w:t>
      </w:r>
      <w:r w:rsidR="0006117C">
        <w:rPr>
          <w:rFonts w:ascii="Arial" w:hAnsi="Arial" w:cs="Arial"/>
        </w:rPr>
        <w:t>,</w:t>
      </w:r>
      <w:r w:rsidR="00BC7FB1">
        <w:rPr>
          <w:rFonts w:ascii="Arial" w:hAnsi="Arial" w:cs="Arial"/>
        </w:rPr>
        <w:t xml:space="preserve"> 2019)</w:t>
      </w:r>
      <w:r w:rsidRPr="002778F9">
        <w:rPr>
          <w:rFonts w:ascii="Arial" w:hAnsi="Arial" w:cs="Arial"/>
        </w:rPr>
        <w:t>.</w:t>
      </w:r>
    </w:p>
    <w:p w14:paraId="392F92EA" w14:textId="506A88F8" w:rsidR="002A76C6" w:rsidRPr="00830D82" w:rsidRDefault="002A76C6" w:rsidP="002778F9">
      <w:pPr>
        <w:spacing w:line="360" w:lineRule="auto"/>
        <w:jc w:val="both"/>
        <w:rPr>
          <w:rFonts w:ascii="Arial" w:hAnsi="Arial" w:cs="Arial"/>
          <w:b/>
          <w:bCs/>
        </w:rPr>
      </w:pPr>
      <w:r w:rsidRPr="00830D82">
        <w:rPr>
          <w:rFonts w:ascii="Arial" w:hAnsi="Arial" w:cs="Arial"/>
          <w:b/>
          <w:bCs/>
        </w:rPr>
        <w:t>2.5 Leadership Analysis</w:t>
      </w:r>
    </w:p>
    <w:p w14:paraId="2C23DE16" w14:textId="1E2C317D" w:rsidR="006D4CE1" w:rsidRPr="002778F9" w:rsidRDefault="006D4CE1" w:rsidP="002778F9">
      <w:pPr>
        <w:spacing w:line="360" w:lineRule="auto"/>
        <w:jc w:val="both"/>
        <w:rPr>
          <w:rFonts w:ascii="Arial" w:hAnsi="Arial" w:cs="Arial"/>
        </w:rPr>
      </w:pPr>
      <w:r w:rsidRPr="002778F9">
        <w:rPr>
          <w:rFonts w:ascii="Arial" w:hAnsi="Arial" w:cs="Arial"/>
        </w:rPr>
        <w:t xml:space="preserve">The infant morphine overdose </w:t>
      </w:r>
      <w:r w:rsidR="009969D1">
        <w:rPr>
          <w:rFonts w:ascii="Arial" w:hAnsi="Arial" w:cs="Arial"/>
        </w:rPr>
        <w:t>shows</w:t>
      </w:r>
      <w:r w:rsidRPr="002778F9">
        <w:rPr>
          <w:rFonts w:ascii="Arial" w:hAnsi="Arial" w:cs="Arial"/>
        </w:rPr>
        <w:t xml:space="preserve"> that effective leadership extends beyond developing policies to ensuring they are consistently embedded within clinical practice</w:t>
      </w:r>
      <w:r w:rsidR="0006117C">
        <w:rPr>
          <w:rFonts w:ascii="Arial" w:hAnsi="Arial" w:cs="Arial"/>
        </w:rPr>
        <w:t xml:space="preserve"> (Northouse, 2022)</w:t>
      </w:r>
      <w:r w:rsidRPr="002778F9">
        <w:rPr>
          <w:rFonts w:ascii="Arial" w:hAnsi="Arial" w:cs="Arial"/>
        </w:rPr>
        <w:t xml:space="preserve">. Different stages of the medicines management pathway required different leadership approaches, yet leaders failed to adapt as responsibility transferred between </w:t>
      </w:r>
      <w:r w:rsidR="00CD66E4">
        <w:rPr>
          <w:rFonts w:ascii="Arial" w:hAnsi="Arial" w:cs="Arial"/>
        </w:rPr>
        <w:t>care settings</w:t>
      </w:r>
      <w:r w:rsidRPr="002778F9">
        <w:rPr>
          <w:rFonts w:ascii="Arial" w:hAnsi="Arial" w:cs="Arial"/>
        </w:rPr>
        <w:t xml:space="preserve">, resulting in </w:t>
      </w:r>
      <w:r w:rsidR="002D5B3A">
        <w:rPr>
          <w:rFonts w:ascii="Arial" w:hAnsi="Arial" w:cs="Arial"/>
        </w:rPr>
        <w:t xml:space="preserve">poor </w:t>
      </w:r>
      <w:r w:rsidRPr="002778F9">
        <w:rPr>
          <w:rFonts w:ascii="Arial" w:hAnsi="Arial" w:cs="Arial"/>
        </w:rPr>
        <w:t>governance, communication and accountability (NHS England North East and Yorkshire, 2023). Leadership influenced not only clinical practice but also coordination, organisational learning and patient safety across professional boundaries</w:t>
      </w:r>
      <w:r w:rsidR="0006117C">
        <w:rPr>
          <w:rFonts w:ascii="Arial" w:hAnsi="Arial" w:cs="Arial"/>
        </w:rPr>
        <w:t xml:space="preserve"> (West et al., 2015)</w:t>
      </w:r>
      <w:r w:rsidRPr="002778F9">
        <w:rPr>
          <w:rFonts w:ascii="Arial" w:hAnsi="Arial" w:cs="Arial"/>
        </w:rPr>
        <w:t>. This section critically applies Behavioural Leadership Theory, McGregor's Theory X and Theory Y, Ouchi's Theory Z and the Tannenbaum and Schmidt Leadership Continuum to determine which best explains the leadership failures identified within the investigation</w:t>
      </w:r>
      <w:r w:rsidR="005C42D4">
        <w:rPr>
          <w:rFonts w:ascii="Arial" w:hAnsi="Arial" w:cs="Arial"/>
        </w:rPr>
        <w:t xml:space="preserve"> (Yukl</w:t>
      </w:r>
      <w:r w:rsidR="007E7FD9">
        <w:rPr>
          <w:rFonts w:ascii="Arial" w:hAnsi="Arial" w:cs="Arial"/>
        </w:rPr>
        <w:t xml:space="preserve"> and Gardner</w:t>
      </w:r>
      <w:r w:rsidR="005C42D4">
        <w:rPr>
          <w:rFonts w:ascii="Arial" w:hAnsi="Arial" w:cs="Arial"/>
        </w:rPr>
        <w:t>, 2020)</w:t>
      </w:r>
      <w:r w:rsidRPr="002778F9">
        <w:rPr>
          <w:rFonts w:ascii="Arial" w:hAnsi="Arial" w:cs="Arial"/>
        </w:rPr>
        <w:t>.</w:t>
      </w:r>
    </w:p>
    <w:p w14:paraId="770BC9BC" w14:textId="001801C7" w:rsidR="006D4CE1" w:rsidRPr="002778F9" w:rsidRDefault="006D4CE1" w:rsidP="002778F9">
      <w:pPr>
        <w:spacing w:line="360" w:lineRule="auto"/>
        <w:jc w:val="both"/>
        <w:rPr>
          <w:rFonts w:ascii="Arial" w:hAnsi="Arial" w:cs="Arial"/>
        </w:rPr>
      </w:pPr>
      <w:r w:rsidRPr="002778F9">
        <w:rPr>
          <w:rFonts w:ascii="Arial" w:hAnsi="Arial" w:cs="Arial"/>
        </w:rPr>
        <w:t>During prescribing and dispensing, a predominantly autocratic leadership style was appropriate because high-risk medicines require standardised procedures, independent verification and strict governance</w:t>
      </w:r>
      <w:r w:rsidR="00200A79">
        <w:rPr>
          <w:rFonts w:ascii="Arial" w:hAnsi="Arial" w:cs="Arial"/>
        </w:rPr>
        <w:t xml:space="preserve"> (NHS England, 2019)</w:t>
      </w:r>
      <w:r w:rsidRPr="002778F9">
        <w:rPr>
          <w:rFonts w:ascii="Arial" w:hAnsi="Arial" w:cs="Arial"/>
        </w:rPr>
        <w:t>. This reflects Behavioural Leadership Theory, which argues that leadership effectiveness depends on observable behaviours rather than personal characteristics (Northouse, 2022). Effective leaders were expected to enforce prescribing standards whilst promoting communication and multidisciplinary collaboration</w:t>
      </w:r>
      <w:r w:rsidR="00200A79">
        <w:rPr>
          <w:rFonts w:ascii="Arial" w:hAnsi="Arial" w:cs="Arial"/>
        </w:rPr>
        <w:t xml:space="preserve"> (Edmondson, 2019)</w:t>
      </w:r>
      <w:r w:rsidRPr="002778F9">
        <w:rPr>
          <w:rFonts w:ascii="Arial" w:hAnsi="Arial" w:cs="Arial"/>
        </w:rPr>
        <w:t xml:space="preserve">. However, although governance systems and previous patient safety alerts already existed, NHS England confirmed that five similar infant morphine overdoses had occurred since 2018 (NHS England North East and Yorkshire, 2023). This </w:t>
      </w:r>
      <w:r w:rsidR="00396D6D">
        <w:rPr>
          <w:rFonts w:ascii="Arial" w:hAnsi="Arial" w:cs="Arial"/>
        </w:rPr>
        <w:t>suggests</w:t>
      </w:r>
      <w:r w:rsidRPr="002778F9">
        <w:rPr>
          <w:rFonts w:ascii="Arial" w:hAnsi="Arial" w:cs="Arial"/>
        </w:rPr>
        <w:t xml:space="preserve"> that leadership interventions were not translated into measurable improvements in medicines safety, indicating a failure to embed organisational learning into routine clinical practice</w:t>
      </w:r>
      <w:r w:rsidR="00A93887">
        <w:rPr>
          <w:rFonts w:ascii="Arial" w:hAnsi="Arial" w:cs="Arial"/>
        </w:rPr>
        <w:t xml:space="preserve"> (</w:t>
      </w:r>
      <w:r w:rsidR="00A93887" w:rsidRPr="00A93887">
        <w:rPr>
          <w:rFonts w:ascii="Arial" w:hAnsi="Arial" w:cs="Arial"/>
        </w:rPr>
        <w:t>Dixon-Woods et al., 2014)</w:t>
      </w:r>
      <w:r w:rsidRPr="002778F9">
        <w:rPr>
          <w:rFonts w:ascii="Arial" w:hAnsi="Arial" w:cs="Arial"/>
        </w:rPr>
        <w:t xml:space="preserve">. </w:t>
      </w:r>
      <w:r w:rsidR="00396D6D">
        <w:rPr>
          <w:rFonts w:ascii="Arial" w:hAnsi="Arial" w:cs="Arial"/>
        </w:rPr>
        <w:t>L</w:t>
      </w:r>
      <w:r w:rsidRPr="002778F9">
        <w:rPr>
          <w:rFonts w:ascii="Arial" w:hAnsi="Arial" w:cs="Arial"/>
        </w:rPr>
        <w:t>eadership remained largely reactive, responding after patient harm rather than proactively ensuring previous recommendations were consistently implemented</w:t>
      </w:r>
      <w:r w:rsidR="00A93887">
        <w:rPr>
          <w:rFonts w:ascii="Arial" w:hAnsi="Arial" w:cs="Arial"/>
        </w:rPr>
        <w:t xml:space="preserve"> (Berwick, 2013)</w:t>
      </w:r>
      <w:r w:rsidRPr="002778F9">
        <w:rPr>
          <w:rFonts w:ascii="Arial" w:hAnsi="Arial" w:cs="Arial"/>
        </w:rPr>
        <w:t xml:space="preserve">. </w:t>
      </w:r>
      <w:r w:rsidR="00B002E6" w:rsidRPr="00B002E6">
        <w:rPr>
          <w:rFonts w:ascii="Arial" w:hAnsi="Arial" w:cs="Arial"/>
        </w:rPr>
        <w:t>Behavioural Leadership Theory provides a stronger explanation because it focuses on behaviours that directly influence patient safety</w:t>
      </w:r>
      <w:r w:rsidR="00706D9F">
        <w:rPr>
          <w:rFonts w:ascii="Arial" w:hAnsi="Arial" w:cs="Arial"/>
        </w:rPr>
        <w:t xml:space="preserve"> (Northouse, 2022)</w:t>
      </w:r>
      <w:r w:rsidRPr="002778F9">
        <w:rPr>
          <w:rFonts w:ascii="Arial" w:hAnsi="Arial" w:cs="Arial"/>
        </w:rPr>
        <w:t xml:space="preserve">. Nevertheless, it assumes behavioural change alone improves organisational performance, overlooking fragmented governance and wider system pressures. </w:t>
      </w:r>
      <w:r w:rsidR="00512D02" w:rsidRPr="00512D02">
        <w:rPr>
          <w:rFonts w:ascii="Arial" w:hAnsi="Arial" w:cs="Arial"/>
        </w:rPr>
        <w:t>A more effective response would have combined behavioural leadership with stronger oversight and continuous evaluation of safety recommendations</w:t>
      </w:r>
      <w:r w:rsidR="00512D02">
        <w:rPr>
          <w:rFonts w:ascii="Arial" w:hAnsi="Arial" w:cs="Arial"/>
        </w:rPr>
        <w:t xml:space="preserve"> </w:t>
      </w:r>
      <w:r w:rsidR="006942D4">
        <w:rPr>
          <w:rFonts w:ascii="Arial" w:hAnsi="Arial" w:cs="Arial"/>
        </w:rPr>
        <w:t>(NHS England, 2022)</w:t>
      </w:r>
      <w:r w:rsidRPr="002778F9">
        <w:rPr>
          <w:rFonts w:ascii="Arial" w:hAnsi="Arial" w:cs="Arial"/>
        </w:rPr>
        <w:t>.</w:t>
      </w:r>
    </w:p>
    <w:p w14:paraId="1A4716AD" w14:textId="2EDC2B5D" w:rsidR="006D4CE1" w:rsidRPr="002778F9" w:rsidRDefault="006D4CE1" w:rsidP="002778F9">
      <w:pPr>
        <w:spacing w:line="360" w:lineRule="auto"/>
        <w:jc w:val="both"/>
        <w:rPr>
          <w:rFonts w:ascii="Arial" w:hAnsi="Arial" w:cs="Arial"/>
        </w:rPr>
      </w:pPr>
      <w:r w:rsidRPr="00FD3C57">
        <w:rPr>
          <w:rFonts w:ascii="Arial" w:hAnsi="Arial" w:cs="Arial"/>
        </w:rPr>
        <w:lastRenderedPageBreak/>
        <w:t>Whilst an</w:t>
      </w:r>
      <w:r w:rsidRPr="002778F9">
        <w:rPr>
          <w:rFonts w:ascii="Arial" w:hAnsi="Arial" w:cs="Arial"/>
        </w:rPr>
        <w:t xml:space="preserve"> autocratic approach was appropriate during prescribing and dispensing, it became less effective as responsibility transferred between organisations</w:t>
      </w:r>
      <w:r w:rsidR="00FD3C57">
        <w:rPr>
          <w:rFonts w:ascii="Arial" w:hAnsi="Arial" w:cs="Arial"/>
        </w:rPr>
        <w:t xml:space="preserve"> </w:t>
      </w:r>
      <w:r w:rsidR="00FD3C57" w:rsidRPr="00FD3C57">
        <w:rPr>
          <w:rFonts w:ascii="Arial" w:hAnsi="Arial" w:cs="Arial"/>
        </w:rPr>
        <w:t>(Tannenbaum and Schmidt, 1973; Yukl</w:t>
      </w:r>
      <w:r w:rsidR="005347E1">
        <w:rPr>
          <w:rFonts w:ascii="Arial" w:hAnsi="Arial" w:cs="Arial"/>
        </w:rPr>
        <w:t xml:space="preserve"> and Gardner</w:t>
      </w:r>
      <w:r w:rsidR="00FD3C57" w:rsidRPr="00FD3C57">
        <w:rPr>
          <w:rFonts w:ascii="Arial" w:hAnsi="Arial" w:cs="Arial"/>
        </w:rPr>
        <w:t>, 2020</w:t>
      </w:r>
      <w:r w:rsidR="00FD3C57">
        <w:rPr>
          <w:rFonts w:ascii="Arial" w:hAnsi="Arial" w:cs="Arial"/>
        </w:rPr>
        <w:t>)</w:t>
      </w:r>
      <w:r w:rsidRPr="002778F9">
        <w:rPr>
          <w:rFonts w:ascii="Arial" w:hAnsi="Arial" w:cs="Arial"/>
        </w:rPr>
        <w:t>. At this stage, leadership needed to become increasingly democratic, encouraging pharmacists, nurses and doctors to contribute professional judgement, challenge decisions and seek clarification where concerns arose</w:t>
      </w:r>
      <w:r w:rsidR="00376967">
        <w:rPr>
          <w:rFonts w:ascii="Arial" w:hAnsi="Arial" w:cs="Arial"/>
        </w:rPr>
        <w:t xml:space="preserve"> (</w:t>
      </w:r>
      <w:r w:rsidR="00376967" w:rsidRPr="00376967">
        <w:rPr>
          <w:rFonts w:ascii="Arial" w:hAnsi="Arial" w:cs="Arial"/>
        </w:rPr>
        <w:t>Goleman, 2000</w:t>
      </w:r>
      <w:r w:rsidR="00376967">
        <w:rPr>
          <w:rFonts w:ascii="Arial" w:hAnsi="Arial" w:cs="Arial"/>
        </w:rPr>
        <w:t>)</w:t>
      </w:r>
      <w:r w:rsidRPr="002778F9">
        <w:rPr>
          <w:rFonts w:ascii="Arial" w:hAnsi="Arial" w:cs="Arial"/>
        </w:rPr>
        <w:t>. This reflects McGregor's Theory Y, which proposes that professionals perform most effectively when trusted and involved in decision-making (McGregor, 1960). However, several healthcare professionals encountered the medicine before it reached the family, yet none questioned the unusual formulation despite multiple opportunities to intervene (NHS England North East and Yorkshire, 2023). This suggests leadership failed to establish a psychologically safe culture in which professional challenge was expected</w:t>
      </w:r>
      <w:r w:rsidR="00D8726B">
        <w:rPr>
          <w:rFonts w:ascii="Arial" w:hAnsi="Arial" w:cs="Arial"/>
        </w:rPr>
        <w:t xml:space="preserve"> </w:t>
      </w:r>
      <w:r w:rsidR="00D8726B" w:rsidRPr="00D8726B">
        <w:rPr>
          <w:rFonts w:ascii="Arial" w:hAnsi="Arial" w:cs="Arial"/>
        </w:rPr>
        <w:t>(Edmondson, 2019; National Guardian's Office, 2024)</w:t>
      </w:r>
      <w:r w:rsidRPr="002778F9">
        <w:rPr>
          <w:rFonts w:ascii="Arial" w:hAnsi="Arial" w:cs="Arial"/>
        </w:rPr>
        <w:t xml:space="preserve">. Evidence from the NHS Staff Survey indicates that organisations where staff feel confident raising concerns report stronger safety cultures and higher levels of incident reporting, reinforcing the importance of psychologically safe leadership (NHS </w:t>
      </w:r>
      <w:r w:rsidR="00C9537F">
        <w:rPr>
          <w:rFonts w:ascii="Arial" w:hAnsi="Arial" w:cs="Arial"/>
        </w:rPr>
        <w:t>England</w:t>
      </w:r>
      <w:r w:rsidRPr="002778F9">
        <w:rPr>
          <w:rFonts w:ascii="Arial" w:hAnsi="Arial" w:cs="Arial"/>
        </w:rPr>
        <w:t>, 202</w:t>
      </w:r>
      <w:r w:rsidR="00A14592">
        <w:rPr>
          <w:rFonts w:ascii="Arial" w:hAnsi="Arial" w:cs="Arial"/>
        </w:rPr>
        <w:t>5</w:t>
      </w:r>
      <w:r w:rsidRPr="002778F9">
        <w:rPr>
          <w:rFonts w:ascii="Arial" w:hAnsi="Arial" w:cs="Arial"/>
        </w:rPr>
        <w:t>; Edmondson, 2019). However, democratic leadership alone would have been insufficient because high-risk medicines still require clear accountability and timely decision-making</w:t>
      </w:r>
      <w:r w:rsidR="008461E1">
        <w:rPr>
          <w:rFonts w:ascii="Arial" w:hAnsi="Arial" w:cs="Arial"/>
        </w:rPr>
        <w:t xml:space="preserve"> (Berwick, 2013)</w:t>
      </w:r>
      <w:r w:rsidRPr="002778F9">
        <w:rPr>
          <w:rFonts w:ascii="Arial" w:hAnsi="Arial" w:cs="Arial"/>
        </w:rPr>
        <w:t>. A more effective approach would combine democratic leadership with structured governance, enabling healthcare professionals to question decisions whilst maintaining responsibility for final clinical verification</w:t>
      </w:r>
      <w:r w:rsidR="009C229D">
        <w:rPr>
          <w:rFonts w:ascii="Arial" w:hAnsi="Arial" w:cs="Arial"/>
        </w:rPr>
        <w:t xml:space="preserve"> (</w:t>
      </w:r>
      <w:r w:rsidR="009C229D" w:rsidRPr="009C229D">
        <w:rPr>
          <w:rFonts w:ascii="Arial" w:hAnsi="Arial" w:cs="Arial"/>
        </w:rPr>
        <w:t>Dixon-Woods et al., 2014)</w:t>
      </w:r>
      <w:r w:rsidRPr="002778F9">
        <w:rPr>
          <w:rFonts w:ascii="Arial" w:hAnsi="Arial" w:cs="Arial"/>
        </w:rPr>
        <w:t>.</w:t>
      </w:r>
    </w:p>
    <w:p w14:paraId="343DBB8C" w14:textId="57F9A351" w:rsidR="006D4CE1" w:rsidRPr="002778F9" w:rsidRDefault="006D4CE1" w:rsidP="002778F9">
      <w:pPr>
        <w:spacing w:line="360" w:lineRule="auto"/>
        <w:jc w:val="both"/>
        <w:rPr>
          <w:rFonts w:ascii="Arial" w:hAnsi="Arial" w:cs="Arial"/>
        </w:rPr>
      </w:pPr>
      <w:r w:rsidRPr="002778F9">
        <w:rPr>
          <w:rFonts w:ascii="Arial" w:hAnsi="Arial" w:cs="Arial"/>
        </w:rPr>
        <w:t>The investigation also reflects the influence of hierarchical leadership, where clear authority and accountability are essential for managing high-risk medicines. This aligns with McGregor's Theory X, which assumes effective performance depends upon supervision, governance and clearly defined responsibilities (McGregor, 1960). During prescribing and dispensing, this approach supported robust verification and compliance with established standards</w:t>
      </w:r>
      <w:r w:rsidR="00BF4CDD">
        <w:rPr>
          <w:rFonts w:ascii="Arial" w:hAnsi="Arial" w:cs="Arial"/>
        </w:rPr>
        <w:t xml:space="preserve"> (MHRA, 2020)</w:t>
      </w:r>
      <w:r w:rsidRPr="002778F9">
        <w:rPr>
          <w:rFonts w:ascii="Arial" w:hAnsi="Arial" w:cs="Arial"/>
        </w:rPr>
        <w:t>. However, as care transferred between organisations, hierarchy may have discouraged independent challenge, with professionals appearing to assume previous checks had been completed correctly (NHS England North East and Yorkshire, 2023). Research de</w:t>
      </w:r>
      <w:r w:rsidR="00D358A9">
        <w:rPr>
          <w:rFonts w:ascii="Arial" w:hAnsi="Arial" w:cs="Arial"/>
        </w:rPr>
        <w:t>termine</w:t>
      </w:r>
      <w:r w:rsidRPr="002778F9">
        <w:rPr>
          <w:rFonts w:ascii="Arial" w:hAnsi="Arial" w:cs="Arial"/>
        </w:rPr>
        <w:t>s that psychologically safe environments improve incident reporting and patient safety because staff are more willing to question decisions and raise concerns (Edmondson, 2019</w:t>
      </w:r>
      <w:r w:rsidR="00601341">
        <w:rPr>
          <w:rFonts w:ascii="Arial" w:hAnsi="Arial" w:cs="Arial"/>
        </w:rPr>
        <w:t>; NGO, 2024</w:t>
      </w:r>
      <w:r w:rsidRPr="002778F9">
        <w:rPr>
          <w:rFonts w:ascii="Arial" w:hAnsi="Arial" w:cs="Arial"/>
        </w:rPr>
        <w:t>). Theory X explains governance more effectively than Theory Y in high-risk environments but underestimates the importance of professional empowerment and organisational culture. A stronger leadership response would have balanced structured oversight with opportunities for multidisciplinary challenge before patient harm occurred</w:t>
      </w:r>
      <w:r w:rsidR="000A3F6E">
        <w:rPr>
          <w:rFonts w:ascii="Arial" w:hAnsi="Arial" w:cs="Arial"/>
        </w:rPr>
        <w:t xml:space="preserve"> (</w:t>
      </w:r>
      <w:r w:rsidR="000A3F6E" w:rsidRPr="000A3F6E">
        <w:rPr>
          <w:rFonts w:ascii="Arial" w:hAnsi="Arial" w:cs="Arial"/>
        </w:rPr>
        <w:t>Dixon-Woods et al., 2014</w:t>
      </w:r>
      <w:r w:rsidR="000A3F6E">
        <w:rPr>
          <w:rFonts w:ascii="Arial" w:hAnsi="Arial" w:cs="Arial"/>
        </w:rPr>
        <w:t>)</w:t>
      </w:r>
      <w:r w:rsidRPr="002778F9">
        <w:rPr>
          <w:rFonts w:ascii="Arial" w:hAnsi="Arial" w:cs="Arial"/>
        </w:rPr>
        <w:t>.</w:t>
      </w:r>
    </w:p>
    <w:p w14:paraId="3F50B563" w14:textId="406F66EE" w:rsidR="006D4CE1" w:rsidRPr="002778F9" w:rsidRDefault="006D4CE1" w:rsidP="002778F9">
      <w:pPr>
        <w:spacing w:line="360" w:lineRule="auto"/>
        <w:jc w:val="both"/>
        <w:rPr>
          <w:rFonts w:ascii="Arial" w:hAnsi="Arial" w:cs="Arial"/>
        </w:rPr>
      </w:pPr>
      <w:r w:rsidRPr="002778F9">
        <w:rPr>
          <w:rFonts w:ascii="Arial" w:hAnsi="Arial" w:cs="Arial"/>
        </w:rPr>
        <w:t>Elements of laissez-faire leadership are also evident within the investigation</w:t>
      </w:r>
      <w:r w:rsidR="00706E87">
        <w:rPr>
          <w:rFonts w:ascii="Arial" w:hAnsi="Arial" w:cs="Arial"/>
        </w:rPr>
        <w:t xml:space="preserve"> (Northouse, 2022)</w:t>
      </w:r>
      <w:r w:rsidRPr="002778F9">
        <w:rPr>
          <w:rFonts w:ascii="Arial" w:hAnsi="Arial" w:cs="Arial"/>
        </w:rPr>
        <w:t xml:space="preserve">. Responsibility became </w:t>
      </w:r>
      <w:r w:rsidR="00281A32">
        <w:rPr>
          <w:rFonts w:ascii="Arial" w:hAnsi="Arial" w:cs="Arial"/>
        </w:rPr>
        <w:t>divided</w:t>
      </w:r>
      <w:r w:rsidRPr="002778F9">
        <w:rPr>
          <w:rFonts w:ascii="Arial" w:hAnsi="Arial" w:cs="Arial"/>
        </w:rPr>
        <w:t xml:space="preserve"> across </w:t>
      </w:r>
      <w:r w:rsidR="00BD4EB4">
        <w:rPr>
          <w:rFonts w:ascii="Arial" w:hAnsi="Arial" w:cs="Arial"/>
        </w:rPr>
        <w:t>care settings</w:t>
      </w:r>
      <w:r w:rsidRPr="002778F9">
        <w:rPr>
          <w:rFonts w:ascii="Arial" w:hAnsi="Arial" w:cs="Arial"/>
        </w:rPr>
        <w:t xml:space="preserve">, with each organisation completing its own stage of the medicines management pathway but no single leader retaining overall </w:t>
      </w:r>
      <w:r w:rsidRPr="002778F9">
        <w:rPr>
          <w:rFonts w:ascii="Arial" w:hAnsi="Arial" w:cs="Arial"/>
        </w:rPr>
        <w:lastRenderedPageBreak/>
        <w:t>oversight (NHS England North East and Yorkshire, 2023). This passive approach allowed assumptions to replace independent verification, increasing the likelihood that the incorrect morphine formulation progressed through the system</w:t>
      </w:r>
      <w:r w:rsidR="00536D93">
        <w:rPr>
          <w:rFonts w:ascii="Arial" w:hAnsi="Arial" w:cs="Arial"/>
        </w:rPr>
        <w:t xml:space="preserve"> (</w:t>
      </w:r>
      <w:r w:rsidR="00A44CB8" w:rsidRPr="00A44CB8">
        <w:rPr>
          <w:rFonts w:ascii="Arial" w:hAnsi="Arial" w:cs="Arial"/>
        </w:rPr>
        <w:t>Carayon et al., 2014</w:t>
      </w:r>
      <w:r w:rsidR="00A44CB8">
        <w:rPr>
          <w:rFonts w:ascii="Arial" w:hAnsi="Arial" w:cs="Arial"/>
        </w:rPr>
        <w:t>)</w:t>
      </w:r>
      <w:r w:rsidRPr="002778F9">
        <w:rPr>
          <w:rFonts w:ascii="Arial" w:hAnsi="Arial" w:cs="Arial"/>
        </w:rPr>
        <w:t>. Ouchi's Theory Z argues that organisational performance improves when leaders promote trust, collaboration and shared responsibility (Ouchi, 1981). These principles are particularly relevant within the NHS, where patient care depends upon effective multidisciplinary and multi-organisational working</w:t>
      </w:r>
      <w:r w:rsidR="00A44CB8">
        <w:rPr>
          <w:rFonts w:ascii="Arial" w:hAnsi="Arial" w:cs="Arial"/>
        </w:rPr>
        <w:t xml:space="preserve"> (West et al., 2015)</w:t>
      </w:r>
      <w:r w:rsidRPr="002778F9">
        <w:rPr>
          <w:rFonts w:ascii="Arial" w:hAnsi="Arial" w:cs="Arial"/>
        </w:rPr>
        <w:t xml:space="preserve">. However, collaboration alone cannot overcome </w:t>
      </w:r>
      <w:r w:rsidR="00FD139E">
        <w:rPr>
          <w:rFonts w:ascii="Arial" w:hAnsi="Arial" w:cs="Arial"/>
        </w:rPr>
        <w:t>disintegrated</w:t>
      </w:r>
      <w:r w:rsidRPr="002778F9">
        <w:rPr>
          <w:rFonts w:ascii="Arial" w:hAnsi="Arial" w:cs="Arial"/>
        </w:rPr>
        <w:t xml:space="preserve"> governance, incompatible digital systems or unclear accountability. </w:t>
      </w:r>
      <w:r w:rsidR="00E6537A" w:rsidRPr="00E6537A">
        <w:rPr>
          <w:rFonts w:ascii="Arial" w:hAnsi="Arial" w:cs="Arial"/>
        </w:rPr>
        <w:t>Theory Z explains collaborative leadership but provides limited guidance on maintaining oversight when coordination fails</w:t>
      </w:r>
      <w:r w:rsidRPr="002778F9">
        <w:rPr>
          <w:rFonts w:ascii="Arial" w:hAnsi="Arial" w:cs="Arial"/>
        </w:rPr>
        <w:t xml:space="preserve">. </w:t>
      </w:r>
      <w:r w:rsidR="001F42A5" w:rsidRPr="001F42A5">
        <w:rPr>
          <w:rFonts w:ascii="Arial" w:hAnsi="Arial" w:cs="Arial"/>
        </w:rPr>
        <w:t>A more effective response would have combined collaborative working with robust verification and clear accountability</w:t>
      </w:r>
      <w:r w:rsidR="001F42A5">
        <w:rPr>
          <w:rFonts w:ascii="Arial" w:hAnsi="Arial" w:cs="Arial"/>
        </w:rPr>
        <w:t xml:space="preserve"> </w:t>
      </w:r>
      <w:r w:rsidR="00440C45">
        <w:rPr>
          <w:rFonts w:ascii="Arial" w:hAnsi="Arial" w:cs="Arial"/>
        </w:rPr>
        <w:t>(NHS England, 2022)</w:t>
      </w:r>
      <w:r w:rsidRPr="002778F9">
        <w:rPr>
          <w:rFonts w:ascii="Arial" w:hAnsi="Arial" w:cs="Arial"/>
        </w:rPr>
        <w:t>.</w:t>
      </w:r>
    </w:p>
    <w:p w14:paraId="164B7467" w14:textId="60AF0095" w:rsidR="006D4CE1" w:rsidRPr="002778F9" w:rsidRDefault="006D4CE1" w:rsidP="002778F9">
      <w:pPr>
        <w:spacing w:line="360" w:lineRule="auto"/>
        <w:jc w:val="both"/>
        <w:rPr>
          <w:rFonts w:ascii="Arial" w:hAnsi="Arial" w:cs="Arial"/>
        </w:rPr>
      </w:pPr>
      <w:r w:rsidRPr="002778F9">
        <w:rPr>
          <w:rFonts w:ascii="Arial" w:hAnsi="Arial" w:cs="Arial"/>
        </w:rPr>
        <w:t>The limitations of the previous theories are addressed more effectively by the Tannenbaum and Schmidt Leadership Continuum, which proposes that leaders should adapt their style according to the demands of the situation rather than relying on one fixed approach (Tannenbaum and Schmidt, 1973). This provides the most convincing explanation of the investigation because different stages of the medicines pathway required different leadership behaviours. During prescribing and dispensing, a more autocratic approach was necessary to ensure compliance with medicines legislation and verification procedures</w:t>
      </w:r>
      <w:r w:rsidR="007A282A">
        <w:rPr>
          <w:rFonts w:ascii="Arial" w:hAnsi="Arial" w:cs="Arial"/>
        </w:rPr>
        <w:t xml:space="preserve"> (MHRA, 2020)</w:t>
      </w:r>
      <w:r w:rsidRPr="002778F9">
        <w:rPr>
          <w:rFonts w:ascii="Arial" w:hAnsi="Arial" w:cs="Arial"/>
        </w:rPr>
        <w:t xml:space="preserve">. However, as care transferred between organisations, leadership needed to become increasingly democratic, encouraging multidisciplinary communication and professional challenge whilst avoiding the </w:t>
      </w:r>
      <w:r w:rsidR="0016719F">
        <w:rPr>
          <w:rFonts w:ascii="Arial" w:hAnsi="Arial" w:cs="Arial"/>
        </w:rPr>
        <w:t>lack of</w:t>
      </w:r>
      <w:r w:rsidRPr="002778F9">
        <w:rPr>
          <w:rFonts w:ascii="Arial" w:hAnsi="Arial" w:cs="Arial"/>
        </w:rPr>
        <w:t xml:space="preserve"> accountability associated with laissez-faire leadership</w:t>
      </w:r>
      <w:r w:rsidR="007A282A">
        <w:rPr>
          <w:rFonts w:ascii="Arial" w:hAnsi="Arial" w:cs="Arial"/>
        </w:rPr>
        <w:t xml:space="preserve"> (Edmondson, 2019</w:t>
      </w:r>
      <w:r w:rsidR="004E0036">
        <w:rPr>
          <w:rFonts w:ascii="Arial" w:hAnsi="Arial" w:cs="Arial"/>
        </w:rPr>
        <w:t>; Reeves et al., 2017</w:t>
      </w:r>
      <w:r w:rsidR="007A282A">
        <w:rPr>
          <w:rFonts w:ascii="Arial" w:hAnsi="Arial" w:cs="Arial"/>
        </w:rPr>
        <w:t>)</w:t>
      </w:r>
      <w:r w:rsidRPr="002778F9">
        <w:rPr>
          <w:rFonts w:ascii="Arial" w:hAnsi="Arial" w:cs="Arial"/>
        </w:rPr>
        <w:t>. Unlike the preceding theories, the Leadership Continuum recognises that effective leadership evolves according to clinical risk, organisational context and professional responsibility. This flexibility makes it particularly applicable to contemporary NHS practice, where safe patient care depends upon balancing governance, collaboration and professional autonomy</w:t>
      </w:r>
      <w:r w:rsidR="00A2794D">
        <w:rPr>
          <w:rFonts w:ascii="Arial" w:hAnsi="Arial" w:cs="Arial"/>
        </w:rPr>
        <w:t xml:space="preserve"> (NHS England</w:t>
      </w:r>
      <w:r w:rsidR="002B0697">
        <w:rPr>
          <w:rFonts w:ascii="Arial" w:hAnsi="Arial" w:cs="Arial"/>
        </w:rPr>
        <w:t>, 2023)</w:t>
      </w:r>
      <w:r w:rsidRPr="002778F9">
        <w:rPr>
          <w:rFonts w:ascii="Arial" w:hAnsi="Arial" w:cs="Arial"/>
        </w:rPr>
        <w:t>. Nevertheless, the model assumes leaders possess sufficient organisational support and workforce capacity to adapt effectively, which may not always reflect operational pressures within the NHS</w:t>
      </w:r>
      <w:r w:rsidR="00F11758">
        <w:rPr>
          <w:rFonts w:ascii="Arial" w:hAnsi="Arial" w:cs="Arial"/>
        </w:rPr>
        <w:t xml:space="preserve"> (NHS England, 2023)</w:t>
      </w:r>
      <w:r w:rsidRPr="002778F9">
        <w:rPr>
          <w:rFonts w:ascii="Arial" w:hAnsi="Arial" w:cs="Arial"/>
        </w:rPr>
        <w:t>. Adaptive leadership alone also cannot compensate for fragmented governance or ineffective organisational learning</w:t>
      </w:r>
      <w:r w:rsidR="0044766A">
        <w:rPr>
          <w:rFonts w:ascii="Arial" w:hAnsi="Arial" w:cs="Arial"/>
        </w:rPr>
        <w:t xml:space="preserve"> (</w:t>
      </w:r>
      <w:r w:rsidR="0044766A" w:rsidRPr="0044766A">
        <w:rPr>
          <w:rFonts w:ascii="Arial" w:hAnsi="Arial" w:cs="Arial"/>
        </w:rPr>
        <w:t>Dixon-Woods et al., 2014</w:t>
      </w:r>
      <w:r w:rsidR="0044766A">
        <w:rPr>
          <w:rFonts w:ascii="Arial" w:hAnsi="Arial" w:cs="Arial"/>
        </w:rPr>
        <w:t>)</w:t>
      </w:r>
      <w:r w:rsidRPr="002778F9">
        <w:rPr>
          <w:rFonts w:ascii="Arial" w:hAnsi="Arial" w:cs="Arial"/>
        </w:rPr>
        <w:t xml:space="preserve">. </w:t>
      </w:r>
      <w:r w:rsidR="0044766A" w:rsidRPr="002778F9">
        <w:rPr>
          <w:rFonts w:ascii="Arial" w:hAnsi="Arial" w:cs="Arial"/>
        </w:rPr>
        <w:t>Therefore</w:t>
      </w:r>
      <w:r w:rsidRPr="002778F9">
        <w:rPr>
          <w:rFonts w:ascii="Arial" w:hAnsi="Arial" w:cs="Arial"/>
        </w:rPr>
        <w:t>, the Leadership Continuum provides the strongest explanation because it integrates directive, democratic and collaborative leadership whilst recognising that effective leadership depends upon adapting to changing clinical circumstances rather than relying on one preferred style.</w:t>
      </w:r>
    </w:p>
    <w:p w14:paraId="67BD5A4C" w14:textId="2E5F687B" w:rsidR="006D4CE1" w:rsidRPr="002778F9" w:rsidRDefault="006D4CE1" w:rsidP="002778F9">
      <w:pPr>
        <w:spacing w:line="360" w:lineRule="auto"/>
        <w:jc w:val="both"/>
        <w:rPr>
          <w:rFonts w:ascii="Arial" w:hAnsi="Arial" w:cs="Arial"/>
        </w:rPr>
      </w:pPr>
      <w:r w:rsidRPr="002778F9">
        <w:rPr>
          <w:rFonts w:ascii="Arial" w:hAnsi="Arial" w:cs="Arial"/>
        </w:rPr>
        <w:t>By comparison, Great Man Theory offers little explanatory value because it attributes organisational success to exceptional individuals rather than wider organisational systems (Carlyle, 18</w:t>
      </w:r>
      <w:r w:rsidR="00C605A2">
        <w:rPr>
          <w:rFonts w:ascii="Arial" w:hAnsi="Arial" w:cs="Arial"/>
        </w:rPr>
        <w:t>9</w:t>
      </w:r>
      <w:r w:rsidR="00447CF9">
        <w:rPr>
          <w:rFonts w:ascii="Arial" w:hAnsi="Arial" w:cs="Arial"/>
        </w:rPr>
        <w:t>7</w:t>
      </w:r>
      <w:r w:rsidR="0094715B">
        <w:rPr>
          <w:rFonts w:ascii="Arial" w:hAnsi="Arial" w:cs="Arial"/>
        </w:rPr>
        <w:t>; Northouse, 2022</w:t>
      </w:r>
      <w:r w:rsidRPr="002778F9">
        <w:rPr>
          <w:rFonts w:ascii="Arial" w:hAnsi="Arial" w:cs="Arial"/>
        </w:rPr>
        <w:t xml:space="preserve">). The infant morphine overdose resulted from cumulative </w:t>
      </w:r>
      <w:r w:rsidRPr="002778F9">
        <w:rPr>
          <w:rFonts w:ascii="Arial" w:hAnsi="Arial" w:cs="Arial"/>
        </w:rPr>
        <w:lastRenderedPageBreak/>
        <w:t>failures across prescribing, dispensing, communication, governance and organisational learning involving multiple organisations and professional groups</w:t>
      </w:r>
      <w:r w:rsidR="004D05BE">
        <w:rPr>
          <w:rFonts w:ascii="Arial" w:hAnsi="Arial" w:cs="Arial"/>
        </w:rPr>
        <w:t xml:space="preserve"> </w:t>
      </w:r>
      <w:r w:rsidR="004D05BE" w:rsidRPr="004D05BE">
        <w:rPr>
          <w:rFonts w:ascii="Arial" w:hAnsi="Arial" w:cs="Arial"/>
        </w:rPr>
        <w:t>(NHS England North East and Yorkshire, 2023</w:t>
      </w:r>
      <w:r w:rsidR="004D05BE">
        <w:rPr>
          <w:rFonts w:ascii="Arial" w:hAnsi="Arial" w:cs="Arial"/>
        </w:rPr>
        <w:t>)</w:t>
      </w:r>
      <w:r w:rsidRPr="002778F9">
        <w:rPr>
          <w:rFonts w:ascii="Arial" w:hAnsi="Arial" w:cs="Arial"/>
        </w:rPr>
        <w:t>. Explaining the incident through individual leadership alone</w:t>
      </w:r>
      <w:r w:rsidR="00862149">
        <w:rPr>
          <w:rFonts w:ascii="Arial" w:hAnsi="Arial" w:cs="Arial"/>
        </w:rPr>
        <w:t xml:space="preserve"> </w:t>
      </w:r>
      <w:r w:rsidRPr="002778F9">
        <w:rPr>
          <w:rFonts w:ascii="Arial" w:hAnsi="Arial" w:cs="Arial"/>
        </w:rPr>
        <w:t>overlooks the systemic failures identified throughout the investigation.</w:t>
      </w:r>
    </w:p>
    <w:p w14:paraId="663E0F5E" w14:textId="5DF9E61D" w:rsidR="006D4CE1" w:rsidRDefault="006D4CE1" w:rsidP="002778F9">
      <w:pPr>
        <w:spacing w:line="360" w:lineRule="auto"/>
        <w:jc w:val="both"/>
        <w:rPr>
          <w:rFonts w:ascii="Arial" w:hAnsi="Arial" w:cs="Arial"/>
        </w:rPr>
      </w:pPr>
      <w:r w:rsidRPr="002778F9">
        <w:rPr>
          <w:rFonts w:ascii="Arial" w:hAnsi="Arial" w:cs="Arial"/>
        </w:rPr>
        <w:t>Taken together, no single leadership theory fully explains the infant morphine overdose because each addresses different aspects of leadership within complex healthcare systems</w:t>
      </w:r>
      <w:r w:rsidR="003A38BD">
        <w:rPr>
          <w:rFonts w:ascii="Arial" w:hAnsi="Arial" w:cs="Arial"/>
        </w:rPr>
        <w:t xml:space="preserve"> (</w:t>
      </w:r>
      <w:r w:rsidR="003A38BD" w:rsidRPr="003A38BD">
        <w:rPr>
          <w:rFonts w:ascii="Arial" w:hAnsi="Arial" w:cs="Arial"/>
        </w:rPr>
        <w:t>Yukl</w:t>
      </w:r>
      <w:r w:rsidR="003A38BD">
        <w:rPr>
          <w:rFonts w:ascii="Arial" w:hAnsi="Arial" w:cs="Arial"/>
        </w:rPr>
        <w:t xml:space="preserve"> and Gardner</w:t>
      </w:r>
      <w:r w:rsidR="003A38BD" w:rsidRPr="003A38BD">
        <w:rPr>
          <w:rFonts w:ascii="Arial" w:hAnsi="Arial" w:cs="Arial"/>
        </w:rPr>
        <w:t>, 2020)</w:t>
      </w:r>
      <w:r w:rsidRPr="002778F9">
        <w:rPr>
          <w:rFonts w:ascii="Arial" w:hAnsi="Arial" w:cs="Arial"/>
        </w:rPr>
        <w:t>. Behavioural Leadership Theory explains leadership behaviours</w:t>
      </w:r>
      <w:r w:rsidR="00CC746A">
        <w:rPr>
          <w:rFonts w:ascii="Arial" w:hAnsi="Arial" w:cs="Arial"/>
        </w:rPr>
        <w:t>;</w:t>
      </w:r>
      <w:r w:rsidRPr="002778F9">
        <w:rPr>
          <w:rFonts w:ascii="Arial" w:hAnsi="Arial" w:cs="Arial"/>
        </w:rPr>
        <w:t xml:space="preserve"> McGregor's Theory X and Theory Y highlight the balance between governance and professional autonomy, whilst Theory Z emphasises collaboration across organisational boundaries</w:t>
      </w:r>
      <w:r w:rsidR="00DB6732">
        <w:rPr>
          <w:rFonts w:ascii="Arial" w:hAnsi="Arial" w:cs="Arial"/>
        </w:rPr>
        <w:t xml:space="preserve"> </w:t>
      </w:r>
      <w:r w:rsidR="00DB6732" w:rsidRPr="00DB6732">
        <w:rPr>
          <w:rFonts w:ascii="Arial" w:hAnsi="Arial" w:cs="Arial"/>
        </w:rPr>
        <w:t>(McGregor, 1960; Ouchi, 1981)</w:t>
      </w:r>
      <w:r w:rsidRPr="002778F9">
        <w:rPr>
          <w:rFonts w:ascii="Arial" w:hAnsi="Arial" w:cs="Arial"/>
        </w:rPr>
        <w:t>. However, the Tannenbaum and Schmidt Leadership Continuum provides the most comprehensive explanation because it integrates these perspectives within a flexible framework that reflects contemporary NHS practice</w:t>
      </w:r>
      <w:r w:rsidR="00CC746A">
        <w:rPr>
          <w:rFonts w:ascii="Arial" w:hAnsi="Arial" w:cs="Arial"/>
        </w:rPr>
        <w:t xml:space="preserve"> (</w:t>
      </w:r>
      <w:r w:rsidR="00CC746A" w:rsidRPr="00CC746A">
        <w:rPr>
          <w:rFonts w:ascii="Arial" w:hAnsi="Arial" w:cs="Arial"/>
        </w:rPr>
        <w:t>Tannenbaum and Schmidt, 1973</w:t>
      </w:r>
      <w:r w:rsidR="00CC746A">
        <w:rPr>
          <w:rFonts w:ascii="Arial" w:hAnsi="Arial" w:cs="Arial"/>
        </w:rPr>
        <w:t>)</w:t>
      </w:r>
      <w:r w:rsidRPr="002778F9">
        <w:rPr>
          <w:rFonts w:ascii="Arial" w:hAnsi="Arial" w:cs="Arial"/>
        </w:rPr>
        <w:t>. The investigation de</w:t>
      </w:r>
      <w:r w:rsidR="00D358A9">
        <w:rPr>
          <w:rFonts w:ascii="Arial" w:hAnsi="Arial" w:cs="Arial"/>
        </w:rPr>
        <w:t>termine</w:t>
      </w:r>
      <w:r w:rsidRPr="002778F9">
        <w:rPr>
          <w:rFonts w:ascii="Arial" w:hAnsi="Arial" w:cs="Arial"/>
        </w:rPr>
        <w:t>s that leadership was largely reactive, responding after patient harm rather than proactively embedding learning from previous incidents despite five similar overdoses since 2018 (NHS England North East and Yorkshire, 2023). Future leadership should prioritise adaptive decision-making, psychologically safe multidisciplinary working, robust governance and continuous organisational learning to ensure patient safety improvements are embedded before, rather than after</w:t>
      </w:r>
      <w:r w:rsidR="00862149">
        <w:rPr>
          <w:rFonts w:ascii="Arial" w:hAnsi="Arial" w:cs="Arial"/>
        </w:rPr>
        <w:t>,</w:t>
      </w:r>
      <w:r w:rsidRPr="002778F9">
        <w:rPr>
          <w:rFonts w:ascii="Arial" w:hAnsi="Arial" w:cs="Arial"/>
        </w:rPr>
        <w:t xml:space="preserve"> adverse events occur</w:t>
      </w:r>
      <w:r w:rsidR="00E26E23">
        <w:rPr>
          <w:rFonts w:ascii="Arial" w:hAnsi="Arial" w:cs="Arial"/>
        </w:rPr>
        <w:t xml:space="preserve"> (</w:t>
      </w:r>
      <w:r w:rsidR="00E26E23" w:rsidRPr="00E26E23">
        <w:rPr>
          <w:rFonts w:ascii="Arial" w:hAnsi="Arial" w:cs="Arial"/>
        </w:rPr>
        <w:t>Edmondson, 2019</w:t>
      </w:r>
      <w:r w:rsidR="00E26E23">
        <w:rPr>
          <w:rFonts w:ascii="Arial" w:hAnsi="Arial" w:cs="Arial"/>
        </w:rPr>
        <w:t>)</w:t>
      </w:r>
      <w:r w:rsidRPr="002778F9">
        <w:rPr>
          <w:rFonts w:ascii="Arial" w:hAnsi="Arial" w:cs="Arial"/>
        </w:rPr>
        <w:t>.</w:t>
      </w:r>
    </w:p>
    <w:p w14:paraId="69433E3F" w14:textId="1B0C9D46" w:rsidR="00D27FDC" w:rsidRPr="002778F9" w:rsidRDefault="000259E0" w:rsidP="002778F9">
      <w:pPr>
        <w:spacing w:line="360" w:lineRule="auto"/>
        <w:jc w:val="both"/>
        <w:rPr>
          <w:rFonts w:ascii="Arial" w:hAnsi="Arial" w:cs="Arial"/>
        </w:rPr>
      </w:pPr>
      <w:r w:rsidRPr="000259E0">
        <w:rPr>
          <w:rFonts w:ascii="Arial" w:hAnsi="Arial" w:cs="Arial"/>
          <w:noProof/>
        </w:rPr>
        <w:drawing>
          <wp:inline distT="0" distB="0" distL="0" distR="0" wp14:anchorId="4DFA521B" wp14:editId="6D405B90">
            <wp:extent cx="5731510" cy="3279140"/>
            <wp:effectExtent l="0" t="0" r="2540" b="0"/>
            <wp:docPr id="1570010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001017" name=""/>
                    <pic:cNvPicPr/>
                  </pic:nvPicPr>
                  <pic:blipFill>
                    <a:blip r:embed="rId9"/>
                    <a:stretch>
                      <a:fillRect/>
                    </a:stretch>
                  </pic:blipFill>
                  <pic:spPr>
                    <a:xfrm>
                      <a:off x="0" y="0"/>
                      <a:ext cx="5731510" cy="3279140"/>
                    </a:xfrm>
                    <a:prstGeom prst="rect">
                      <a:avLst/>
                    </a:prstGeom>
                  </pic:spPr>
                </pic:pic>
              </a:graphicData>
            </a:graphic>
          </wp:inline>
        </w:drawing>
      </w:r>
    </w:p>
    <w:p w14:paraId="095A9BEC" w14:textId="77777777" w:rsidR="006400E4" w:rsidRDefault="006400E4" w:rsidP="002778F9">
      <w:pPr>
        <w:spacing w:line="360" w:lineRule="auto"/>
        <w:jc w:val="both"/>
        <w:rPr>
          <w:rFonts w:ascii="Arial" w:hAnsi="Arial" w:cs="Arial"/>
          <w:b/>
          <w:bCs/>
        </w:rPr>
      </w:pPr>
    </w:p>
    <w:p w14:paraId="004D61AA" w14:textId="77777777" w:rsidR="006400E4" w:rsidRDefault="006400E4" w:rsidP="002778F9">
      <w:pPr>
        <w:spacing w:line="360" w:lineRule="auto"/>
        <w:jc w:val="both"/>
        <w:rPr>
          <w:rFonts w:ascii="Arial" w:hAnsi="Arial" w:cs="Arial"/>
          <w:b/>
          <w:bCs/>
        </w:rPr>
      </w:pPr>
    </w:p>
    <w:p w14:paraId="78E37FF5" w14:textId="741C64A1" w:rsidR="00E074D0" w:rsidRPr="005276A7" w:rsidRDefault="00E074D0" w:rsidP="002778F9">
      <w:pPr>
        <w:spacing w:line="360" w:lineRule="auto"/>
        <w:jc w:val="both"/>
        <w:rPr>
          <w:rFonts w:ascii="Arial" w:hAnsi="Arial" w:cs="Arial"/>
          <w:b/>
          <w:bCs/>
        </w:rPr>
      </w:pPr>
      <w:r w:rsidRPr="005276A7">
        <w:rPr>
          <w:rFonts w:ascii="Arial" w:hAnsi="Arial" w:cs="Arial"/>
          <w:b/>
          <w:bCs/>
        </w:rPr>
        <w:lastRenderedPageBreak/>
        <w:t>2.6 Critique, Improvements and Lessons Learned</w:t>
      </w:r>
    </w:p>
    <w:p w14:paraId="4AB0D483" w14:textId="08BE045E" w:rsidR="00E074D0" w:rsidRPr="002778F9" w:rsidRDefault="00E074D0" w:rsidP="002778F9">
      <w:pPr>
        <w:spacing w:line="360" w:lineRule="auto"/>
        <w:jc w:val="both"/>
        <w:rPr>
          <w:rFonts w:ascii="Arial" w:hAnsi="Arial" w:cs="Arial"/>
        </w:rPr>
      </w:pPr>
      <w:r w:rsidRPr="002778F9">
        <w:rPr>
          <w:rFonts w:ascii="Arial" w:hAnsi="Arial" w:cs="Arial"/>
        </w:rPr>
        <w:t>The most serious weakness exposed by this case was not the original dispensing error, but the NHS’s failure to prevent a known risk from recurring</w:t>
      </w:r>
      <w:r w:rsidR="00236F4A">
        <w:rPr>
          <w:rFonts w:ascii="Arial" w:hAnsi="Arial" w:cs="Arial"/>
        </w:rPr>
        <w:t xml:space="preserve"> (Berwick, 2013)</w:t>
      </w:r>
      <w:r w:rsidRPr="002778F9">
        <w:rPr>
          <w:rFonts w:ascii="Arial" w:hAnsi="Arial" w:cs="Arial"/>
        </w:rPr>
        <w:t xml:space="preserve">. This was the fifth reported infant morphine overdose since 2018, despite earlier investigations, safety alerts and established governance (NHS England North East and Yorkshire, 2023). This raises doubts about whether the NHS has confused identifying lessons with </w:t>
      </w:r>
      <w:r w:rsidR="00C27801" w:rsidRPr="002778F9">
        <w:rPr>
          <w:rFonts w:ascii="Arial" w:hAnsi="Arial" w:cs="Arial"/>
        </w:rPr>
        <w:t>learning</w:t>
      </w:r>
      <w:r w:rsidRPr="002778F9">
        <w:rPr>
          <w:rFonts w:ascii="Arial" w:hAnsi="Arial" w:cs="Arial"/>
        </w:rPr>
        <w:t xml:space="preserve"> them</w:t>
      </w:r>
      <w:r w:rsidR="00BD34B1">
        <w:rPr>
          <w:rFonts w:ascii="Arial" w:hAnsi="Arial" w:cs="Arial"/>
        </w:rPr>
        <w:t xml:space="preserve"> (</w:t>
      </w:r>
      <w:r w:rsidR="00BD34B1" w:rsidRPr="00BD34B1">
        <w:rPr>
          <w:rFonts w:ascii="Arial" w:hAnsi="Arial" w:cs="Arial"/>
        </w:rPr>
        <w:t>Dixon-Woods et al., 2014)</w:t>
      </w:r>
      <w:r w:rsidRPr="002778F9">
        <w:rPr>
          <w:rFonts w:ascii="Arial" w:hAnsi="Arial" w:cs="Arial"/>
        </w:rPr>
        <w:t>. Publishing another recommendation may create the appearance of action, but it has little value unless organisations are required to prove that practice has changed</w:t>
      </w:r>
      <w:r w:rsidR="003B2EB5">
        <w:rPr>
          <w:rFonts w:ascii="Arial" w:hAnsi="Arial" w:cs="Arial"/>
        </w:rPr>
        <w:t xml:space="preserve"> </w:t>
      </w:r>
      <w:r w:rsidR="00763FF9">
        <w:rPr>
          <w:rFonts w:ascii="Arial" w:hAnsi="Arial" w:cs="Arial"/>
        </w:rPr>
        <w:t>(</w:t>
      </w:r>
      <w:r w:rsidR="00763FF9" w:rsidRPr="00763FF9">
        <w:rPr>
          <w:rFonts w:ascii="Arial" w:hAnsi="Arial" w:cs="Arial"/>
        </w:rPr>
        <w:t>Greenhalgh et al., 2004</w:t>
      </w:r>
      <w:r w:rsidR="00763FF9">
        <w:rPr>
          <w:rFonts w:ascii="Arial" w:hAnsi="Arial" w:cs="Arial"/>
        </w:rPr>
        <w:t>)</w:t>
      </w:r>
      <w:r w:rsidRPr="002778F9">
        <w:rPr>
          <w:rFonts w:ascii="Arial" w:hAnsi="Arial" w:cs="Arial"/>
        </w:rPr>
        <w:t xml:space="preserve">. Although the Patient Safety Incident Response Framework aims to turn investigations into learning and improvement, repeated incidents suggest that implementation remains the weak point (NHS England, 2022; NHS England, 2026). </w:t>
      </w:r>
    </w:p>
    <w:p w14:paraId="7CD57ED3" w14:textId="1744FF15" w:rsidR="00E074D0" w:rsidRPr="002778F9" w:rsidRDefault="00E074D0" w:rsidP="002778F9">
      <w:pPr>
        <w:spacing w:line="360" w:lineRule="auto"/>
        <w:jc w:val="both"/>
        <w:rPr>
          <w:rFonts w:ascii="Arial" w:hAnsi="Arial" w:cs="Arial"/>
        </w:rPr>
      </w:pPr>
      <w:r w:rsidRPr="002778F9">
        <w:rPr>
          <w:rFonts w:ascii="Arial" w:hAnsi="Arial" w:cs="Arial"/>
        </w:rPr>
        <w:t>The investigation also exposed a failure of professional challenge. Several healthcare professionals had opportunities to question the morphine strength, yet the error continued through the pathway</w:t>
      </w:r>
      <w:r w:rsidR="008561DE">
        <w:rPr>
          <w:rFonts w:ascii="Arial" w:hAnsi="Arial" w:cs="Arial"/>
        </w:rPr>
        <w:t xml:space="preserve"> (</w:t>
      </w:r>
      <w:r w:rsidR="008561DE" w:rsidRPr="008561DE">
        <w:rPr>
          <w:rFonts w:ascii="Arial" w:hAnsi="Arial" w:cs="Arial"/>
        </w:rPr>
        <w:t>NHS England North East and Yorkshire, 2023</w:t>
      </w:r>
      <w:r w:rsidR="008561DE">
        <w:rPr>
          <w:rFonts w:ascii="Arial" w:hAnsi="Arial" w:cs="Arial"/>
        </w:rPr>
        <w:t>)</w:t>
      </w:r>
      <w:r w:rsidRPr="002778F9">
        <w:rPr>
          <w:rFonts w:ascii="Arial" w:hAnsi="Arial" w:cs="Arial"/>
        </w:rPr>
        <w:t>. Responding with more compulsory training would be inadequate because it assumes the problem was a lack of knowledge</w:t>
      </w:r>
      <w:r w:rsidR="00423239">
        <w:rPr>
          <w:rFonts w:ascii="Arial" w:hAnsi="Arial" w:cs="Arial"/>
        </w:rPr>
        <w:t xml:space="preserve"> (</w:t>
      </w:r>
      <w:r w:rsidR="00423239" w:rsidRPr="00423239">
        <w:rPr>
          <w:rFonts w:ascii="Arial" w:hAnsi="Arial" w:cs="Arial"/>
        </w:rPr>
        <w:t>Greenhalgh et al., 2004</w:t>
      </w:r>
      <w:r w:rsidR="00423239">
        <w:rPr>
          <w:rFonts w:ascii="Arial" w:hAnsi="Arial" w:cs="Arial"/>
        </w:rPr>
        <w:t>)</w:t>
      </w:r>
      <w:r w:rsidRPr="002778F9">
        <w:rPr>
          <w:rFonts w:ascii="Arial" w:hAnsi="Arial" w:cs="Arial"/>
        </w:rPr>
        <w:t xml:space="preserve">. </w:t>
      </w:r>
      <w:r w:rsidR="00246327" w:rsidRPr="002778F9">
        <w:rPr>
          <w:rFonts w:ascii="Arial" w:hAnsi="Arial" w:cs="Arial"/>
        </w:rPr>
        <w:t>Staff</w:t>
      </w:r>
      <w:r w:rsidRPr="002778F9">
        <w:rPr>
          <w:rFonts w:ascii="Arial" w:hAnsi="Arial" w:cs="Arial"/>
        </w:rPr>
        <w:t xml:space="preserve"> may remain silent because of hierarchy, workload, fear of blame or uncertainty about responsibility</w:t>
      </w:r>
      <w:r w:rsidR="00B91471">
        <w:rPr>
          <w:rFonts w:ascii="Arial" w:hAnsi="Arial" w:cs="Arial"/>
        </w:rPr>
        <w:t xml:space="preserve"> (NHS England, 2024)</w:t>
      </w:r>
      <w:r w:rsidRPr="002778F9">
        <w:rPr>
          <w:rFonts w:ascii="Arial" w:hAnsi="Arial" w:cs="Arial"/>
        </w:rPr>
        <w:t>. Psychological safety must be built through multidisciplinary simulation, protected discussion of near misses and leaders openly supporting staff who challenge unsafe decisions (Edmondson, 2019). However, psychological safety should not weaken accountability; staff must be supported to speak up and expected to act</w:t>
      </w:r>
      <w:r w:rsidR="00B91471">
        <w:rPr>
          <w:rFonts w:ascii="Arial" w:hAnsi="Arial" w:cs="Arial"/>
        </w:rPr>
        <w:t xml:space="preserve"> (NGO, 2024)</w:t>
      </w:r>
      <w:r w:rsidRPr="002778F9">
        <w:rPr>
          <w:rFonts w:ascii="Arial" w:hAnsi="Arial" w:cs="Arial"/>
        </w:rPr>
        <w:t>.</w:t>
      </w:r>
    </w:p>
    <w:p w14:paraId="256F71AB" w14:textId="2F554C6E" w:rsidR="00E074D0" w:rsidRPr="002778F9" w:rsidRDefault="0016719F" w:rsidP="002778F9">
      <w:pPr>
        <w:spacing w:line="360" w:lineRule="auto"/>
        <w:jc w:val="both"/>
        <w:rPr>
          <w:rFonts w:ascii="Arial" w:hAnsi="Arial" w:cs="Arial"/>
        </w:rPr>
      </w:pPr>
      <w:r>
        <w:rPr>
          <w:rFonts w:ascii="Arial" w:hAnsi="Arial" w:cs="Arial"/>
        </w:rPr>
        <w:t>Irregular</w:t>
      </w:r>
      <w:r w:rsidR="00E074D0" w:rsidRPr="002213EF">
        <w:rPr>
          <w:rFonts w:ascii="Arial" w:hAnsi="Arial" w:cs="Arial"/>
        </w:rPr>
        <w:t xml:space="preserve"> information</w:t>
      </w:r>
      <w:r w:rsidR="00E074D0" w:rsidRPr="002778F9">
        <w:rPr>
          <w:rFonts w:ascii="Arial" w:hAnsi="Arial" w:cs="Arial"/>
        </w:rPr>
        <w:t xml:space="preserve"> between hospital care, primary care and community pharmacy also allowed responsibility to become unclear</w:t>
      </w:r>
      <w:r w:rsidR="00ED2EE8">
        <w:rPr>
          <w:rFonts w:ascii="Arial" w:hAnsi="Arial" w:cs="Arial"/>
        </w:rPr>
        <w:t xml:space="preserve"> </w:t>
      </w:r>
      <w:r w:rsidR="00ED2EE8" w:rsidRPr="00ED2EE8">
        <w:rPr>
          <w:rFonts w:ascii="Arial" w:hAnsi="Arial" w:cs="Arial"/>
        </w:rPr>
        <w:t>(NHS England North East and Yorkshire, 2023; Goodwin et al., 2017)</w:t>
      </w:r>
      <w:r w:rsidR="00E074D0" w:rsidRPr="002778F9">
        <w:rPr>
          <w:rFonts w:ascii="Arial" w:hAnsi="Arial" w:cs="Arial"/>
        </w:rPr>
        <w:t>. Calling for “better communication” without addressing incompatible records and separate checking systems would simply repeat a familiar NHS recommendation. WHO identifies transitions of care and high-risk medicines as priority areas because weak systems, workforce pressures and poor information transfer can combine to cause serious harm (WHO, 2024</w:t>
      </w:r>
      <w:r w:rsidR="002213EF">
        <w:rPr>
          <w:rFonts w:ascii="Arial" w:hAnsi="Arial" w:cs="Arial"/>
        </w:rPr>
        <w:t xml:space="preserve">; </w:t>
      </w:r>
      <w:r w:rsidR="002213EF" w:rsidRPr="002213EF">
        <w:rPr>
          <w:rFonts w:ascii="Arial" w:hAnsi="Arial" w:cs="Arial"/>
        </w:rPr>
        <w:t>Institute for Safe Medication Practices, 2022</w:t>
      </w:r>
      <w:r w:rsidR="00E074D0" w:rsidRPr="002778F9">
        <w:rPr>
          <w:rFonts w:ascii="Arial" w:hAnsi="Arial" w:cs="Arial"/>
        </w:rPr>
        <w:t>). Shared medicines records, standardised discharge documentation, barcode verification and mandatory pharmacist review should be introduced for high-risk paediatric medicines</w:t>
      </w:r>
      <w:r w:rsidR="0072120A">
        <w:rPr>
          <w:rFonts w:ascii="Arial" w:hAnsi="Arial" w:cs="Arial"/>
        </w:rPr>
        <w:t xml:space="preserve"> </w:t>
      </w:r>
      <w:r w:rsidR="0072120A" w:rsidRPr="0072120A">
        <w:rPr>
          <w:rFonts w:ascii="Arial" w:hAnsi="Arial" w:cs="Arial"/>
        </w:rPr>
        <w:t>(NHS England, 2023; Institute for Safe Medication Practices, 2022)</w:t>
      </w:r>
      <w:r w:rsidR="00E725C7">
        <w:rPr>
          <w:rFonts w:ascii="Arial" w:hAnsi="Arial" w:cs="Arial"/>
        </w:rPr>
        <w:t xml:space="preserve">. </w:t>
      </w:r>
      <w:r w:rsidR="00E725C7" w:rsidRPr="00E725C7">
        <w:rPr>
          <w:rFonts w:ascii="Arial" w:hAnsi="Arial" w:cs="Arial"/>
        </w:rPr>
        <w:t>The proposed improvements are supported by evidence that electronic prescribing, medicines reconciliation and barcode verification reduce medication errors and improve patient safety, particularly during transitions of care (Institute for Safe Medication Practices, 2022; WHO, 2024).</w:t>
      </w:r>
    </w:p>
    <w:p w14:paraId="3F688144" w14:textId="1EF850A9" w:rsidR="00E074D0" w:rsidRPr="002778F9" w:rsidRDefault="00964C4B" w:rsidP="002778F9">
      <w:pPr>
        <w:spacing w:line="360" w:lineRule="auto"/>
        <w:jc w:val="both"/>
        <w:rPr>
          <w:rFonts w:ascii="Arial" w:hAnsi="Arial" w:cs="Arial"/>
        </w:rPr>
      </w:pPr>
      <w:r w:rsidRPr="00964C4B">
        <w:rPr>
          <w:rFonts w:ascii="Arial" w:hAnsi="Arial" w:cs="Arial"/>
        </w:rPr>
        <w:lastRenderedPageBreak/>
        <w:t>A key lesson from this investigation is that investigating patient safety incidents does not necessarily prevent their recurrence. Although the NHS has established robust investigation processes, repeated infant morphine overdoses suggest that implementation and organisational learning remain inconsistent</w:t>
      </w:r>
      <w:r w:rsidR="00E074D0" w:rsidRPr="002778F9">
        <w:rPr>
          <w:rFonts w:ascii="Arial" w:hAnsi="Arial" w:cs="Arial"/>
        </w:rPr>
        <w:t>. Patient safety should be judged by measurable changes in practice and outcomes, not by the number of alerts, investigations or policies produced. WHO</w:t>
      </w:r>
      <w:r w:rsidR="00AA6FAA">
        <w:rPr>
          <w:rFonts w:ascii="Arial" w:hAnsi="Arial" w:cs="Arial"/>
        </w:rPr>
        <w:t xml:space="preserve"> (2024)</w:t>
      </w:r>
      <w:r w:rsidR="00E074D0" w:rsidRPr="002778F9">
        <w:rPr>
          <w:rFonts w:ascii="Arial" w:hAnsi="Arial" w:cs="Arial"/>
        </w:rPr>
        <w:t xml:space="preserve"> similarly stresses that sustainable medication safety requires leadership, effective systems, implementation and continued measurement rather than isolated interventions (WHO, 2017; WHO, 2024).</w:t>
      </w:r>
      <w:r w:rsidR="008A71D5">
        <w:rPr>
          <w:rFonts w:ascii="Arial" w:hAnsi="Arial" w:cs="Arial"/>
        </w:rPr>
        <w:t xml:space="preserve"> </w:t>
      </w:r>
      <w:r w:rsidR="008A71D5" w:rsidRPr="008A71D5">
        <w:rPr>
          <w:rFonts w:ascii="Arial" w:hAnsi="Arial" w:cs="Arial"/>
        </w:rPr>
        <w:t xml:space="preserve">Overall, the investigation </w:t>
      </w:r>
      <w:r w:rsidR="00D358A9">
        <w:rPr>
          <w:rFonts w:ascii="Arial" w:hAnsi="Arial" w:cs="Arial"/>
        </w:rPr>
        <w:t>established</w:t>
      </w:r>
      <w:r w:rsidR="008A71D5" w:rsidRPr="008A71D5">
        <w:rPr>
          <w:rFonts w:ascii="Arial" w:hAnsi="Arial" w:cs="Arial"/>
        </w:rPr>
        <w:t xml:space="preserve"> that </w:t>
      </w:r>
      <w:r w:rsidR="00E8759B">
        <w:rPr>
          <w:rFonts w:ascii="Arial" w:hAnsi="Arial" w:cs="Arial"/>
        </w:rPr>
        <w:t xml:space="preserve">a lack of </w:t>
      </w:r>
      <w:r w:rsidR="00FE166C">
        <w:rPr>
          <w:rFonts w:ascii="Arial" w:hAnsi="Arial" w:cs="Arial"/>
        </w:rPr>
        <w:t>integrated</w:t>
      </w:r>
      <w:r w:rsidR="008A71D5" w:rsidRPr="008A71D5">
        <w:rPr>
          <w:rFonts w:ascii="Arial" w:hAnsi="Arial" w:cs="Arial"/>
        </w:rPr>
        <w:t xml:space="preserve"> governance, reactive leadership and ineffective organisational feedback operated together to allow repeated medication errors despite existing national safety guidance, highlighting the need for integrated leadership, stronger governance and continuous organisational learning.</w:t>
      </w:r>
    </w:p>
    <w:p w14:paraId="78E93E14" w14:textId="57114311" w:rsidR="00835B30" w:rsidRDefault="00CD4676" w:rsidP="002778F9">
      <w:pPr>
        <w:spacing w:line="360" w:lineRule="auto"/>
        <w:jc w:val="both"/>
        <w:rPr>
          <w:rFonts w:ascii="Arial" w:hAnsi="Arial" w:cs="Arial"/>
        </w:rPr>
      </w:pPr>
      <w:r w:rsidRPr="00CD4676">
        <w:rPr>
          <w:rFonts w:ascii="Arial" w:hAnsi="Arial" w:cs="Arial"/>
          <w:noProof/>
        </w:rPr>
        <w:drawing>
          <wp:inline distT="0" distB="0" distL="0" distR="0" wp14:anchorId="4C46B692" wp14:editId="4FD6DF3F">
            <wp:extent cx="5509737" cy="3787468"/>
            <wp:effectExtent l="0" t="0" r="0" b="3810"/>
            <wp:docPr id="4089472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8947277" name=""/>
                    <pic:cNvPicPr/>
                  </pic:nvPicPr>
                  <pic:blipFill>
                    <a:blip r:embed="rId10"/>
                    <a:stretch>
                      <a:fillRect/>
                    </a:stretch>
                  </pic:blipFill>
                  <pic:spPr>
                    <a:xfrm>
                      <a:off x="0" y="0"/>
                      <a:ext cx="5509737" cy="3787468"/>
                    </a:xfrm>
                    <a:prstGeom prst="rect">
                      <a:avLst/>
                    </a:prstGeom>
                  </pic:spPr>
                </pic:pic>
              </a:graphicData>
            </a:graphic>
          </wp:inline>
        </w:drawing>
      </w:r>
    </w:p>
    <w:p w14:paraId="13D48369" w14:textId="50A04258" w:rsidR="00956291" w:rsidRPr="00BD32CC" w:rsidRDefault="00956291" w:rsidP="002778F9">
      <w:pPr>
        <w:spacing w:line="360" w:lineRule="auto"/>
        <w:jc w:val="both"/>
        <w:rPr>
          <w:rFonts w:ascii="Arial" w:hAnsi="Arial" w:cs="Arial"/>
          <w:b/>
          <w:bCs/>
        </w:rPr>
      </w:pPr>
      <w:r w:rsidRPr="00BD32CC">
        <w:rPr>
          <w:rFonts w:ascii="Arial" w:hAnsi="Arial" w:cs="Arial"/>
          <w:b/>
          <w:bCs/>
        </w:rPr>
        <w:t>3.0 Recommendations</w:t>
      </w:r>
    </w:p>
    <w:p w14:paraId="5AC2081E" w14:textId="157B2B48" w:rsidR="00956291" w:rsidRPr="002778F9" w:rsidRDefault="00956291" w:rsidP="002778F9">
      <w:pPr>
        <w:spacing w:line="360" w:lineRule="auto"/>
        <w:jc w:val="both"/>
        <w:rPr>
          <w:rFonts w:ascii="Arial" w:hAnsi="Arial" w:cs="Arial"/>
        </w:rPr>
      </w:pPr>
      <w:r w:rsidRPr="002778F9">
        <w:rPr>
          <w:rFonts w:ascii="Arial" w:hAnsi="Arial" w:cs="Arial"/>
        </w:rPr>
        <w:t>Three recommendations are proposed to strengthen medicines safety following the infant morphine overdose investigation</w:t>
      </w:r>
      <w:r w:rsidR="002D5036">
        <w:rPr>
          <w:rFonts w:ascii="Arial" w:hAnsi="Arial" w:cs="Arial"/>
        </w:rPr>
        <w:t xml:space="preserve"> </w:t>
      </w:r>
      <w:r w:rsidR="00860786">
        <w:rPr>
          <w:rFonts w:ascii="Arial" w:hAnsi="Arial" w:cs="Arial"/>
        </w:rPr>
        <w:t>(</w:t>
      </w:r>
      <w:r w:rsidR="002D5036" w:rsidRPr="002D5036">
        <w:rPr>
          <w:rFonts w:ascii="Arial" w:hAnsi="Arial" w:cs="Arial"/>
        </w:rPr>
        <w:t>NHS England North East and Yorkshire, 2023)</w:t>
      </w:r>
      <w:r w:rsidRPr="002778F9">
        <w:rPr>
          <w:rFonts w:ascii="Arial" w:hAnsi="Arial" w:cs="Arial"/>
        </w:rPr>
        <w:t xml:space="preserve">. Each recommendation directly addresses </w:t>
      </w:r>
      <w:r w:rsidR="00FD3151">
        <w:rPr>
          <w:rFonts w:ascii="Arial" w:hAnsi="Arial" w:cs="Arial"/>
        </w:rPr>
        <w:t xml:space="preserve">the </w:t>
      </w:r>
      <w:r w:rsidRPr="002778F9">
        <w:rPr>
          <w:rFonts w:ascii="Arial" w:hAnsi="Arial" w:cs="Arial"/>
        </w:rPr>
        <w:t>weaknesses identified throughout the Systems Thinking, governance and leadership analyses</w:t>
      </w:r>
      <w:r w:rsidR="0035095B">
        <w:rPr>
          <w:rFonts w:ascii="Arial" w:hAnsi="Arial" w:cs="Arial"/>
        </w:rPr>
        <w:t xml:space="preserve"> </w:t>
      </w:r>
      <w:r w:rsidR="0035095B" w:rsidRPr="0035095B">
        <w:rPr>
          <w:rFonts w:ascii="Arial" w:hAnsi="Arial" w:cs="Arial"/>
        </w:rPr>
        <w:t>(Braithwaite et al., 2018</w:t>
      </w:r>
      <w:r w:rsidR="0035095B">
        <w:rPr>
          <w:rFonts w:ascii="Arial" w:hAnsi="Arial" w:cs="Arial"/>
        </w:rPr>
        <w:t>)</w:t>
      </w:r>
      <w:r w:rsidRPr="002778F9">
        <w:rPr>
          <w:rFonts w:ascii="Arial" w:hAnsi="Arial" w:cs="Arial"/>
        </w:rPr>
        <w:t xml:space="preserve">. Rather than focusing solely on preventing similar medication errors, these recommendations aim to improve how the NHS implements national guidance, develops leadership capability and embeds </w:t>
      </w:r>
      <w:r w:rsidRPr="002778F9">
        <w:rPr>
          <w:rFonts w:ascii="Arial" w:hAnsi="Arial" w:cs="Arial"/>
        </w:rPr>
        <w:lastRenderedPageBreak/>
        <w:t>continuous organisational learning</w:t>
      </w:r>
      <w:r w:rsidR="0035095B">
        <w:rPr>
          <w:rFonts w:ascii="Arial" w:hAnsi="Arial" w:cs="Arial"/>
        </w:rPr>
        <w:t xml:space="preserve"> </w:t>
      </w:r>
      <w:r w:rsidR="0035095B" w:rsidRPr="0035095B">
        <w:rPr>
          <w:rFonts w:ascii="Arial" w:hAnsi="Arial" w:cs="Arial"/>
        </w:rPr>
        <w:t>(Greenhalgh et al., 2004</w:t>
      </w:r>
      <w:r w:rsidR="0035095B">
        <w:rPr>
          <w:rFonts w:ascii="Arial" w:hAnsi="Arial" w:cs="Arial"/>
        </w:rPr>
        <w:t>)</w:t>
      </w:r>
      <w:r w:rsidRPr="002778F9">
        <w:rPr>
          <w:rFonts w:ascii="Arial" w:hAnsi="Arial" w:cs="Arial"/>
        </w:rPr>
        <w:t>. Although implementation will require investment, leadership commitment and collaboration across multiple organisations, these recommendations provide practical and evidence-based strategies for improving medicines safety while strengthening the resilience of the wider healthcare system</w:t>
      </w:r>
      <w:r w:rsidR="007D7BB4">
        <w:rPr>
          <w:rFonts w:ascii="Arial" w:hAnsi="Arial" w:cs="Arial"/>
        </w:rPr>
        <w:t xml:space="preserve"> (</w:t>
      </w:r>
      <w:r w:rsidR="007D7BB4" w:rsidRPr="007D7BB4">
        <w:rPr>
          <w:rFonts w:ascii="Arial" w:hAnsi="Arial" w:cs="Arial"/>
        </w:rPr>
        <w:t>NHS Confederation, 2023</w:t>
      </w:r>
      <w:r w:rsidR="007D7BB4">
        <w:rPr>
          <w:rFonts w:ascii="Arial" w:hAnsi="Arial" w:cs="Arial"/>
        </w:rPr>
        <w:t>)</w:t>
      </w:r>
      <w:r w:rsidRPr="002778F9">
        <w:rPr>
          <w:rFonts w:ascii="Arial" w:hAnsi="Arial" w:cs="Arial"/>
        </w:rPr>
        <w:t>.</w:t>
      </w:r>
    </w:p>
    <w:p w14:paraId="0F5C1395" w14:textId="77777777" w:rsidR="00C95A9A" w:rsidRPr="00BD32CC" w:rsidRDefault="00C95A9A" w:rsidP="002778F9">
      <w:pPr>
        <w:spacing w:line="360" w:lineRule="auto"/>
        <w:jc w:val="both"/>
        <w:rPr>
          <w:rFonts w:ascii="Arial" w:hAnsi="Arial" w:cs="Arial"/>
          <w:b/>
          <w:bCs/>
        </w:rPr>
      </w:pPr>
      <w:r w:rsidRPr="00BD32CC">
        <w:rPr>
          <w:rFonts w:ascii="Arial" w:hAnsi="Arial" w:cs="Arial"/>
          <w:b/>
          <w:bCs/>
        </w:rPr>
        <w:t>3.1 Recommendation One: Strengthen Governance and Standardise High-Risk Medicines Management</w:t>
      </w:r>
    </w:p>
    <w:p w14:paraId="5A67F86B" w14:textId="15D25F50" w:rsidR="00C95A9A" w:rsidRPr="002778F9" w:rsidRDefault="00C95A9A" w:rsidP="002778F9">
      <w:pPr>
        <w:spacing w:line="360" w:lineRule="auto"/>
        <w:jc w:val="both"/>
        <w:rPr>
          <w:rFonts w:ascii="Arial" w:hAnsi="Arial" w:cs="Arial"/>
        </w:rPr>
      </w:pPr>
      <w:r w:rsidRPr="002778F9">
        <w:rPr>
          <w:rFonts w:ascii="Arial" w:hAnsi="Arial" w:cs="Arial"/>
        </w:rPr>
        <w:t xml:space="preserve">The investigation </w:t>
      </w:r>
      <w:r w:rsidR="00D358A9">
        <w:rPr>
          <w:rFonts w:ascii="Arial" w:hAnsi="Arial" w:cs="Arial"/>
        </w:rPr>
        <w:t>established</w:t>
      </w:r>
      <w:r w:rsidRPr="002778F9">
        <w:rPr>
          <w:rFonts w:ascii="Arial" w:hAnsi="Arial" w:cs="Arial"/>
        </w:rPr>
        <w:t xml:space="preserve"> that national guidance alone was insufficient to prevent repeated infant morphine overdoses because implementation varied across healthcare organisations</w:t>
      </w:r>
      <w:r w:rsidR="006A0A16">
        <w:rPr>
          <w:rFonts w:ascii="Arial" w:hAnsi="Arial" w:cs="Arial"/>
        </w:rPr>
        <w:t xml:space="preserve"> </w:t>
      </w:r>
      <w:r w:rsidR="006A0A16" w:rsidRPr="006A0A16">
        <w:rPr>
          <w:rFonts w:ascii="Arial" w:hAnsi="Arial" w:cs="Arial"/>
        </w:rPr>
        <w:t>(NHS England North East and Yorkshire, 2023)</w:t>
      </w:r>
      <w:r w:rsidRPr="002778F9">
        <w:rPr>
          <w:rFonts w:ascii="Arial" w:hAnsi="Arial" w:cs="Arial"/>
        </w:rPr>
        <w:t xml:space="preserve">. NHS England should therefore introduce a nationally standardised governance framework for high-risk paediatric medicines, incorporating electronic prescribing safeguards, barcode verification, standardised morphine concentrations, mandatory independent pharmacist verification and shared electronic medicines records across </w:t>
      </w:r>
      <w:r w:rsidR="00BD4EB4">
        <w:rPr>
          <w:rFonts w:ascii="Arial" w:hAnsi="Arial" w:cs="Arial"/>
        </w:rPr>
        <w:t>care settings</w:t>
      </w:r>
      <w:r w:rsidR="00684CC5">
        <w:rPr>
          <w:rFonts w:ascii="Arial" w:hAnsi="Arial" w:cs="Arial"/>
        </w:rPr>
        <w:t xml:space="preserve"> </w:t>
      </w:r>
      <w:r w:rsidR="00684CC5" w:rsidRPr="00684CC5">
        <w:rPr>
          <w:rFonts w:ascii="Arial" w:hAnsi="Arial" w:cs="Arial"/>
        </w:rPr>
        <w:t>(MHRA, 2020; Institute for Safe Medication Practices, 2022)</w:t>
      </w:r>
      <w:r w:rsidRPr="002778F9">
        <w:rPr>
          <w:rFonts w:ascii="Arial" w:hAnsi="Arial" w:cs="Arial"/>
        </w:rPr>
        <w:t>.</w:t>
      </w:r>
    </w:p>
    <w:p w14:paraId="129C562F" w14:textId="4E284D38" w:rsidR="00BE6AC2" w:rsidRPr="00CD4676" w:rsidRDefault="00C95A9A" w:rsidP="002778F9">
      <w:pPr>
        <w:spacing w:line="360" w:lineRule="auto"/>
        <w:jc w:val="both"/>
        <w:rPr>
          <w:rFonts w:ascii="Arial" w:hAnsi="Arial" w:cs="Arial"/>
        </w:rPr>
      </w:pPr>
      <w:r w:rsidRPr="002778F9">
        <w:rPr>
          <w:rFonts w:ascii="Arial" w:hAnsi="Arial" w:cs="Arial"/>
        </w:rPr>
        <w:t>This recommendation addresses the weaknesses identified through Systems Thinking by reducing unnecessary variation in prescribing and dispensing while strengthening communication and accountability across organisational boundaries</w:t>
      </w:r>
      <w:r w:rsidR="00A762AB">
        <w:rPr>
          <w:rFonts w:ascii="Arial" w:hAnsi="Arial" w:cs="Arial"/>
        </w:rPr>
        <w:t xml:space="preserve"> </w:t>
      </w:r>
      <w:r w:rsidR="00A762AB" w:rsidRPr="00A762AB">
        <w:rPr>
          <w:rFonts w:ascii="Arial" w:hAnsi="Arial" w:cs="Arial"/>
        </w:rPr>
        <w:t>(Braithwaite et al., 2018; Carayon et al., 2014)</w:t>
      </w:r>
      <w:r w:rsidRPr="002778F9">
        <w:rPr>
          <w:rFonts w:ascii="Arial" w:hAnsi="Arial" w:cs="Arial"/>
        </w:rPr>
        <w:t xml:space="preserve">. </w:t>
      </w:r>
      <w:r w:rsidR="00F34F4B" w:rsidRPr="00F34F4B">
        <w:rPr>
          <w:rFonts w:ascii="Arial" w:hAnsi="Arial" w:cs="Arial"/>
        </w:rPr>
        <w:t>Standardising high-risk medicines management would improve continuity of care and reduce medication errors throughout the pathway</w:t>
      </w:r>
      <w:r w:rsidR="00171F84">
        <w:rPr>
          <w:rFonts w:ascii="Arial" w:hAnsi="Arial" w:cs="Arial"/>
        </w:rPr>
        <w:t xml:space="preserve"> </w:t>
      </w:r>
      <w:r w:rsidR="00171F84" w:rsidRPr="00171F84">
        <w:rPr>
          <w:rFonts w:ascii="Arial" w:hAnsi="Arial" w:cs="Arial"/>
        </w:rPr>
        <w:t>(Vincent and Amalberti, 2016; Elliott et al., 2021)</w:t>
      </w:r>
      <w:r w:rsidRPr="002778F9">
        <w:rPr>
          <w:rFonts w:ascii="Arial" w:hAnsi="Arial" w:cs="Arial"/>
        </w:rPr>
        <w:t>. However, governance should not become excessively centralised</w:t>
      </w:r>
      <w:r w:rsidR="00D97684">
        <w:rPr>
          <w:rFonts w:ascii="Arial" w:hAnsi="Arial" w:cs="Arial"/>
        </w:rPr>
        <w:t xml:space="preserve"> </w:t>
      </w:r>
      <w:r w:rsidR="00D97684" w:rsidRPr="00D97684">
        <w:rPr>
          <w:rFonts w:ascii="Arial" w:hAnsi="Arial" w:cs="Arial"/>
        </w:rPr>
        <w:t>(Pollitt and Bouckaert, 2017)</w:t>
      </w:r>
      <w:r w:rsidRPr="002778F9">
        <w:rPr>
          <w:rFonts w:ascii="Arial" w:hAnsi="Arial" w:cs="Arial"/>
        </w:rPr>
        <w:t xml:space="preserve">. </w:t>
      </w:r>
      <w:r w:rsidR="00835B30" w:rsidRPr="00835B30">
        <w:rPr>
          <w:rFonts w:ascii="Arial" w:hAnsi="Arial" w:cs="Arial"/>
        </w:rPr>
        <w:t>NHS organisations differ in workforce capacity and digital maturity; national standards should allow local flexibility</w:t>
      </w:r>
      <w:r w:rsidR="00835B30">
        <w:rPr>
          <w:rFonts w:ascii="Arial" w:hAnsi="Arial" w:cs="Arial"/>
        </w:rPr>
        <w:t xml:space="preserve"> </w:t>
      </w:r>
      <w:r w:rsidR="00D97684" w:rsidRPr="00D97684">
        <w:rPr>
          <w:rFonts w:ascii="Arial" w:hAnsi="Arial" w:cs="Arial"/>
        </w:rPr>
        <w:t>(NHS England, 2023; NHS Confederation, 2023)</w:t>
      </w:r>
      <w:r w:rsidRPr="00D97684">
        <w:rPr>
          <w:rFonts w:ascii="Arial" w:hAnsi="Arial" w:cs="Arial"/>
        </w:rPr>
        <w:t>.</w:t>
      </w:r>
      <w:r w:rsidRPr="002778F9">
        <w:rPr>
          <w:rFonts w:ascii="Arial" w:hAnsi="Arial" w:cs="Arial"/>
        </w:rPr>
        <w:t xml:space="preserve"> Regular national audits should evaluate whether these measures improve patient outcomes rather than simply </w:t>
      </w:r>
      <w:r w:rsidRPr="00D8255F">
        <w:rPr>
          <w:rFonts w:ascii="Arial" w:hAnsi="Arial" w:cs="Arial"/>
        </w:rPr>
        <w:t>increasing procedural compliance</w:t>
      </w:r>
      <w:r w:rsidR="00D8255F" w:rsidRPr="00D8255F">
        <w:rPr>
          <w:rFonts w:ascii="Arial" w:hAnsi="Arial" w:cs="Arial"/>
        </w:rPr>
        <w:t xml:space="preserve"> (NHS England, 2022; Nilsen, 2015).</w:t>
      </w:r>
    </w:p>
    <w:p w14:paraId="4C049111" w14:textId="54B082F2" w:rsidR="00267F40" w:rsidRPr="00D8255F" w:rsidRDefault="00267F40" w:rsidP="002778F9">
      <w:pPr>
        <w:spacing w:line="360" w:lineRule="auto"/>
        <w:jc w:val="both"/>
        <w:rPr>
          <w:rFonts w:ascii="Arial" w:hAnsi="Arial" w:cs="Arial"/>
          <w:b/>
          <w:bCs/>
        </w:rPr>
      </w:pPr>
      <w:r w:rsidRPr="00D8255F">
        <w:rPr>
          <w:rFonts w:ascii="Arial" w:hAnsi="Arial" w:cs="Arial"/>
          <w:b/>
          <w:bCs/>
        </w:rPr>
        <w:t>3.2 Recommendation Two: Develop Adaptive Leadership and Strengthen Multidisciplinary Collaboration</w:t>
      </w:r>
    </w:p>
    <w:p w14:paraId="663E29CA" w14:textId="02E1805B" w:rsidR="00267F40" w:rsidRPr="002778F9" w:rsidRDefault="00267F40" w:rsidP="002778F9">
      <w:pPr>
        <w:spacing w:line="360" w:lineRule="auto"/>
        <w:jc w:val="both"/>
        <w:rPr>
          <w:rFonts w:ascii="Arial" w:hAnsi="Arial" w:cs="Arial"/>
        </w:rPr>
      </w:pPr>
      <w:r w:rsidRPr="002778F9">
        <w:rPr>
          <w:rFonts w:ascii="Arial" w:hAnsi="Arial" w:cs="Arial"/>
        </w:rPr>
        <w:t>The leadership analysis demonstrated that effective medicines safety depends upon leaders adapting their approach according to clinical risk while creating environments where healthcare professionals feel confident to challenge unsafe practice</w:t>
      </w:r>
      <w:r w:rsidR="000C6BC9">
        <w:rPr>
          <w:rFonts w:ascii="Arial" w:hAnsi="Arial" w:cs="Arial"/>
        </w:rPr>
        <w:t xml:space="preserve"> </w:t>
      </w:r>
      <w:r w:rsidR="000C6BC9" w:rsidRPr="000C6BC9">
        <w:rPr>
          <w:rFonts w:ascii="Arial" w:hAnsi="Arial" w:cs="Arial"/>
        </w:rPr>
        <w:t>(Edmondson, 2019; West et al., 2015)</w:t>
      </w:r>
      <w:r w:rsidRPr="002778F9">
        <w:rPr>
          <w:rFonts w:ascii="Arial" w:hAnsi="Arial" w:cs="Arial"/>
        </w:rPr>
        <w:t>. NHS organisations should introduce mandatory Medicines Safety Leadership programmes for Chief Pharmacists, Medicines Safety Officers, Clinical Directors and senior ward leaders</w:t>
      </w:r>
      <w:r w:rsidR="00A843DB">
        <w:rPr>
          <w:rFonts w:ascii="Arial" w:hAnsi="Arial" w:cs="Arial"/>
        </w:rPr>
        <w:t xml:space="preserve"> </w:t>
      </w:r>
      <w:r w:rsidR="00A843DB" w:rsidRPr="00A843DB">
        <w:rPr>
          <w:rFonts w:ascii="Arial" w:hAnsi="Arial" w:cs="Arial"/>
        </w:rPr>
        <w:t>(NHS Leadership Academy, 2013</w:t>
      </w:r>
      <w:r w:rsidR="00A843DB">
        <w:rPr>
          <w:rFonts w:ascii="Arial" w:hAnsi="Arial" w:cs="Arial"/>
        </w:rPr>
        <w:t>)</w:t>
      </w:r>
      <w:r w:rsidRPr="002778F9">
        <w:rPr>
          <w:rFonts w:ascii="Arial" w:hAnsi="Arial" w:cs="Arial"/>
        </w:rPr>
        <w:t xml:space="preserve">. Training should combine adaptive leadership, psychological safety, multidisciplinary communication, Systems Thinking and </w:t>
      </w:r>
      <w:r w:rsidRPr="002778F9">
        <w:rPr>
          <w:rFonts w:ascii="Arial" w:hAnsi="Arial" w:cs="Arial"/>
        </w:rPr>
        <w:lastRenderedPageBreak/>
        <w:t>human factors with practical simulation exercises involving hospital teams, GPs and community pharmacists</w:t>
      </w:r>
      <w:r w:rsidR="00A843DB">
        <w:rPr>
          <w:rFonts w:ascii="Arial" w:hAnsi="Arial" w:cs="Arial"/>
        </w:rPr>
        <w:t xml:space="preserve"> (</w:t>
      </w:r>
      <w:r w:rsidR="00A843DB" w:rsidRPr="00A843DB">
        <w:rPr>
          <w:rFonts w:ascii="Arial" w:hAnsi="Arial" w:cs="Arial"/>
        </w:rPr>
        <w:t>Reeves et al., 2017)</w:t>
      </w:r>
      <w:r w:rsidRPr="002778F9">
        <w:rPr>
          <w:rFonts w:ascii="Arial" w:hAnsi="Arial" w:cs="Arial"/>
        </w:rPr>
        <w:t>.</w:t>
      </w:r>
    </w:p>
    <w:p w14:paraId="6E1506D4" w14:textId="7D4CAFD4" w:rsidR="005276A7" w:rsidRPr="002778F9" w:rsidRDefault="00267F40" w:rsidP="002778F9">
      <w:pPr>
        <w:spacing w:line="360" w:lineRule="auto"/>
        <w:jc w:val="both"/>
        <w:rPr>
          <w:rFonts w:ascii="Arial" w:hAnsi="Arial" w:cs="Arial"/>
        </w:rPr>
      </w:pPr>
      <w:r w:rsidRPr="002778F9">
        <w:rPr>
          <w:rFonts w:ascii="Arial" w:hAnsi="Arial" w:cs="Arial"/>
        </w:rPr>
        <w:t>This recommendation reflects the Tannenbaum and Schmidt Leadership Continuum by recognising that leadership should adapt according to organisational context rather than relying on one leadership style</w:t>
      </w:r>
      <w:r w:rsidR="00FA29B8">
        <w:rPr>
          <w:rFonts w:ascii="Arial" w:hAnsi="Arial" w:cs="Arial"/>
        </w:rPr>
        <w:t xml:space="preserve"> </w:t>
      </w:r>
      <w:r w:rsidR="00FA29B8" w:rsidRPr="00FA29B8">
        <w:rPr>
          <w:rFonts w:ascii="Arial" w:hAnsi="Arial" w:cs="Arial"/>
        </w:rPr>
        <w:t>(Tannenbaum and Schmidt, 1973)</w:t>
      </w:r>
      <w:r w:rsidRPr="002778F9">
        <w:rPr>
          <w:rFonts w:ascii="Arial" w:hAnsi="Arial" w:cs="Arial"/>
        </w:rPr>
        <w:t>. During high-risk prescribing and dispensing, leaders should adopt a more directive approach to reinforce governance and verification processes</w:t>
      </w:r>
      <w:r w:rsidR="00FA29B8">
        <w:rPr>
          <w:rFonts w:ascii="Arial" w:hAnsi="Arial" w:cs="Arial"/>
        </w:rPr>
        <w:t xml:space="preserve"> </w:t>
      </w:r>
      <w:r w:rsidR="00FA29B8" w:rsidRPr="00FA29B8">
        <w:rPr>
          <w:rFonts w:ascii="Arial" w:hAnsi="Arial" w:cs="Arial"/>
        </w:rPr>
        <w:t>(MHRA, 2020)</w:t>
      </w:r>
      <w:r w:rsidRPr="002778F9">
        <w:rPr>
          <w:rFonts w:ascii="Arial" w:hAnsi="Arial" w:cs="Arial"/>
        </w:rPr>
        <w:t>. However, as patients move between organisations, leadership should become increasingly collaborative, encouraging shared decision-making and professional challenge</w:t>
      </w:r>
      <w:r w:rsidR="00BC28A5">
        <w:rPr>
          <w:rFonts w:ascii="Arial" w:hAnsi="Arial" w:cs="Arial"/>
        </w:rPr>
        <w:t xml:space="preserve"> </w:t>
      </w:r>
      <w:r w:rsidR="00BC28A5" w:rsidRPr="00BC28A5">
        <w:rPr>
          <w:rFonts w:ascii="Arial" w:hAnsi="Arial" w:cs="Arial"/>
        </w:rPr>
        <w:t>(Edmondson, 2019)</w:t>
      </w:r>
      <w:r w:rsidRPr="002778F9">
        <w:rPr>
          <w:rFonts w:ascii="Arial" w:hAnsi="Arial" w:cs="Arial"/>
        </w:rPr>
        <w:t xml:space="preserve">. Regular multidisciplinary safety huddles, structured medicines reconciliation and </w:t>
      </w:r>
      <w:r w:rsidR="007970E9" w:rsidRPr="007970E9">
        <w:rPr>
          <w:rFonts w:ascii="Arial" w:hAnsi="Arial" w:cs="Arial"/>
        </w:rPr>
        <w:t>co-production with patients, parents and frontline healthcare professionals</w:t>
      </w:r>
      <w:r w:rsidR="007970E9">
        <w:rPr>
          <w:rFonts w:ascii="Arial" w:hAnsi="Arial" w:cs="Arial"/>
        </w:rPr>
        <w:t xml:space="preserve"> </w:t>
      </w:r>
      <w:r w:rsidRPr="002778F9">
        <w:rPr>
          <w:rFonts w:ascii="Arial" w:hAnsi="Arial" w:cs="Arial"/>
        </w:rPr>
        <w:t>should become routine for high-risk paediatric medicines</w:t>
      </w:r>
      <w:r w:rsidR="003E5438">
        <w:rPr>
          <w:rFonts w:ascii="Arial" w:hAnsi="Arial" w:cs="Arial"/>
        </w:rPr>
        <w:t xml:space="preserve"> </w:t>
      </w:r>
      <w:r w:rsidR="003E5438" w:rsidRPr="003E5438">
        <w:rPr>
          <w:rFonts w:ascii="Arial" w:hAnsi="Arial" w:cs="Arial"/>
        </w:rPr>
        <w:t>(National Guardian's Office, 2024; WHO, 2021)</w:t>
      </w:r>
      <w:r w:rsidRPr="002778F9">
        <w:rPr>
          <w:rFonts w:ascii="Arial" w:hAnsi="Arial" w:cs="Arial"/>
        </w:rPr>
        <w:t xml:space="preserve">. </w:t>
      </w:r>
      <w:r w:rsidR="00EB7CB4" w:rsidRPr="00EB7CB4">
        <w:rPr>
          <w:rFonts w:ascii="Arial" w:hAnsi="Arial" w:cs="Arial"/>
        </w:rPr>
        <w:t>These measures would strengthen communication and encourage earlier reporting of safety concerns</w:t>
      </w:r>
      <w:r w:rsidR="00EB7CB4">
        <w:rPr>
          <w:rFonts w:ascii="Arial" w:hAnsi="Arial" w:cs="Arial"/>
        </w:rPr>
        <w:t xml:space="preserve"> </w:t>
      </w:r>
      <w:r w:rsidR="003E5438" w:rsidRPr="003E5438">
        <w:rPr>
          <w:rFonts w:ascii="Arial" w:hAnsi="Arial" w:cs="Arial"/>
        </w:rPr>
        <w:t>(Edmondson, 2019; Reeves et al., 2017)</w:t>
      </w:r>
      <w:r w:rsidRPr="002778F9">
        <w:rPr>
          <w:rFonts w:ascii="Arial" w:hAnsi="Arial" w:cs="Arial"/>
        </w:rPr>
        <w:t>. Nevertheless, leadership development must be supported by protected learning time, coaching and measurable performance indicators if improvements are to become embedded within routine clinical practice</w:t>
      </w:r>
      <w:r w:rsidR="003B79D0">
        <w:rPr>
          <w:rFonts w:ascii="Arial" w:hAnsi="Arial" w:cs="Arial"/>
        </w:rPr>
        <w:t xml:space="preserve"> (</w:t>
      </w:r>
      <w:r w:rsidR="003B79D0" w:rsidRPr="003B79D0">
        <w:rPr>
          <w:rFonts w:ascii="Arial" w:hAnsi="Arial" w:cs="Arial"/>
        </w:rPr>
        <w:t>Nilsen, 2015)</w:t>
      </w:r>
      <w:r w:rsidRPr="002778F9">
        <w:rPr>
          <w:rFonts w:ascii="Arial" w:hAnsi="Arial" w:cs="Arial"/>
        </w:rPr>
        <w:t>.</w:t>
      </w:r>
    </w:p>
    <w:p w14:paraId="5F4C633F" w14:textId="77777777" w:rsidR="00267F40" w:rsidRPr="00AD2616" w:rsidRDefault="00267F40" w:rsidP="002778F9">
      <w:pPr>
        <w:spacing w:line="360" w:lineRule="auto"/>
        <w:jc w:val="both"/>
        <w:rPr>
          <w:rFonts w:ascii="Arial" w:hAnsi="Arial" w:cs="Arial"/>
          <w:b/>
          <w:bCs/>
        </w:rPr>
      </w:pPr>
      <w:r w:rsidRPr="00AD2616">
        <w:rPr>
          <w:rFonts w:ascii="Arial" w:hAnsi="Arial" w:cs="Arial"/>
          <w:b/>
          <w:bCs/>
        </w:rPr>
        <w:t>3.3 Recommendation Three: Embed Organisational Learning, Evaluation and Continuous Improvement</w:t>
      </w:r>
    </w:p>
    <w:p w14:paraId="10885270" w14:textId="443772CA" w:rsidR="00267F40" w:rsidRPr="002778F9" w:rsidRDefault="00267F40" w:rsidP="002778F9">
      <w:pPr>
        <w:spacing w:line="360" w:lineRule="auto"/>
        <w:jc w:val="both"/>
        <w:rPr>
          <w:rFonts w:ascii="Arial" w:hAnsi="Arial" w:cs="Arial"/>
        </w:rPr>
      </w:pPr>
      <w:r w:rsidRPr="002778F9">
        <w:rPr>
          <w:rFonts w:ascii="Arial" w:hAnsi="Arial" w:cs="Arial"/>
        </w:rPr>
        <w:t>The recurrence of five similar infant morphine overdoses demonstrates that investigating incidents alone does not guarantee organisational learning</w:t>
      </w:r>
      <w:r w:rsidR="0021450C">
        <w:rPr>
          <w:rFonts w:ascii="Arial" w:hAnsi="Arial" w:cs="Arial"/>
        </w:rPr>
        <w:t xml:space="preserve"> </w:t>
      </w:r>
      <w:r w:rsidR="007B6F92">
        <w:rPr>
          <w:rFonts w:ascii="Arial" w:hAnsi="Arial" w:cs="Arial"/>
        </w:rPr>
        <w:t>(</w:t>
      </w:r>
      <w:r w:rsidR="0021450C" w:rsidRPr="0021450C">
        <w:rPr>
          <w:rFonts w:ascii="Arial" w:hAnsi="Arial" w:cs="Arial"/>
        </w:rPr>
        <w:t>NHS England North East and Yorkshire, 2023; Senge, 2006</w:t>
      </w:r>
      <w:r w:rsidR="0021450C">
        <w:rPr>
          <w:rFonts w:ascii="Arial" w:hAnsi="Arial" w:cs="Arial"/>
        </w:rPr>
        <w:t>)</w:t>
      </w:r>
      <w:r w:rsidRPr="002778F9">
        <w:rPr>
          <w:rFonts w:ascii="Arial" w:hAnsi="Arial" w:cs="Arial"/>
        </w:rPr>
        <w:t xml:space="preserve">. NHS England should therefore establish a national medicines safety improvement </w:t>
      </w:r>
      <w:r w:rsidRPr="00450428">
        <w:rPr>
          <w:rFonts w:ascii="Arial" w:hAnsi="Arial" w:cs="Arial"/>
        </w:rPr>
        <w:t>programme for high-risk paediatric medicines supported by a real-time medicine safety dashboard</w:t>
      </w:r>
      <w:r w:rsidR="00450428" w:rsidRPr="00450428">
        <w:rPr>
          <w:rFonts w:ascii="Arial" w:hAnsi="Arial" w:cs="Arial"/>
        </w:rPr>
        <w:t xml:space="preserve"> (NHS England, 2022)</w:t>
      </w:r>
      <w:r w:rsidRPr="00450428">
        <w:rPr>
          <w:rFonts w:ascii="Arial" w:hAnsi="Arial" w:cs="Arial"/>
        </w:rPr>
        <w:t>. Performance</w:t>
      </w:r>
      <w:r w:rsidRPr="002778F9">
        <w:rPr>
          <w:rFonts w:ascii="Arial" w:hAnsi="Arial" w:cs="Arial"/>
        </w:rPr>
        <w:t xml:space="preserve"> indicators should include prescribing errors, dispensing errors, near misses, implementation of patient safety recommendations, compliance with independent verification procedures and evidence of organisational learning following serious incidents</w:t>
      </w:r>
      <w:r w:rsidR="00450428">
        <w:rPr>
          <w:rFonts w:ascii="Arial" w:hAnsi="Arial" w:cs="Arial"/>
        </w:rPr>
        <w:t xml:space="preserve"> </w:t>
      </w:r>
      <w:r w:rsidR="00450428" w:rsidRPr="00450428">
        <w:rPr>
          <w:rFonts w:ascii="Arial" w:hAnsi="Arial" w:cs="Arial"/>
        </w:rPr>
        <w:t>(Institute for Safe Medication Practices, 2022</w:t>
      </w:r>
      <w:r w:rsidR="00450428">
        <w:rPr>
          <w:rFonts w:ascii="Arial" w:hAnsi="Arial" w:cs="Arial"/>
        </w:rPr>
        <w:t>)</w:t>
      </w:r>
      <w:r w:rsidRPr="002778F9">
        <w:rPr>
          <w:rFonts w:ascii="Arial" w:hAnsi="Arial" w:cs="Arial"/>
        </w:rPr>
        <w:t>.</w:t>
      </w:r>
    </w:p>
    <w:p w14:paraId="58CF5167" w14:textId="05631C9A" w:rsidR="00267F40" w:rsidRPr="002778F9" w:rsidRDefault="00267F40" w:rsidP="002778F9">
      <w:pPr>
        <w:spacing w:line="360" w:lineRule="auto"/>
        <w:jc w:val="both"/>
        <w:rPr>
          <w:rFonts w:ascii="Arial" w:hAnsi="Arial" w:cs="Arial"/>
        </w:rPr>
      </w:pPr>
      <w:r w:rsidRPr="002778F9">
        <w:rPr>
          <w:rFonts w:ascii="Arial" w:hAnsi="Arial" w:cs="Arial"/>
        </w:rPr>
        <w:t>Learning should extend beyond individual organisations through regional Medicines Safety Collaboratives that enable hospitals, GP practices and community pharmacies to share learning</w:t>
      </w:r>
      <w:r w:rsidR="00250876">
        <w:rPr>
          <w:rFonts w:ascii="Arial" w:hAnsi="Arial" w:cs="Arial"/>
        </w:rPr>
        <w:t xml:space="preserve"> and performance,</w:t>
      </w:r>
      <w:r w:rsidRPr="002778F9">
        <w:rPr>
          <w:rFonts w:ascii="Arial" w:hAnsi="Arial" w:cs="Arial"/>
        </w:rPr>
        <w:t xml:space="preserve"> and evaluate implementation collectively</w:t>
      </w:r>
      <w:r w:rsidR="00746D47">
        <w:rPr>
          <w:rFonts w:ascii="Arial" w:hAnsi="Arial" w:cs="Arial"/>
        </w:rPr>
        <w:t xml:space="preserve"> (</w:t>
      </w:r>
      <w:r w:rsidR="00746D47" w:rsidRPr="00746D47">
        <w:rPr>
          <w:rFonts w:ascii="Arial" w:hAnsi="Arial" w:cs="Arial"/>
        </w:rPr>
        <w:t>Goodwin et al., 2017</w:t>
      </w:r>
      <w:r w:rsidR="00746D47">
        <w:rPr>
          <w:rFonts w:ascii="Arial" w:hAnsi="Arial" w:cs="Arial"/>
        </w:rPr>
        <w:t>)</w:t>
      </w:r>
      <w:r w:rsidRPr="002778F9">
        <w:rPr>
          <w:rFonts w:ascii="Arial" w:hAnsi="Arial" w:cs="Arial"/>
        </w:rPr>
        <w:t xml:space="preserve">. Regular multidisciplinary </w:t>
      </w:r>
      <w:r w:rsidR="00E73AF7">
        <w:rPr>
          <w:rFonts w:ascii="Arial" w:hAnsi="Arial" w:cs="Arial"/>
        </w:rPr>
        <w:t>evaluations</w:t>
      </w:r>
      <w:r w:rsidRPr="002778F9">
        <w:rPr>
          <w:rFonts w:ascii="Arial" w:hAnsi="Arial" w:cs="Arial"/>
        </w:rPr>
        <w:t>, structured debriefing and implementation audits should become mandatory following significant medication incidents to ensure recommendations translate into measurable improvements in practice rather than remaining confined to investigation reports</w:t>
      </w:r>
      <w:r w:rsidR="009F67C2">
        <w:rPr>
          <w:rFonts w:ascii="Arial" w:hAnsi="Arial" w:cs="Arial"/>
        </w:rPr>
        <w:t xml:space="preserve"> </w:t>
      </w:r>
      <w:r w:rsidR="009F67C2" w:rsidRPr="009F67C2">
        <w:rPr>
          <w:rFonts w:ascii="Arial" w:hAnsi="Arial" w:cs="Arial"/>
        </w:rPr>
        <w:t>(Reeves et al., 2017</w:t>
      </w:r>
      <w:r w:rsidR="009F67C2">
        <w:rPr>
          <w:rFonts w:ascii="Arial" w:hAnsi="Arial" w:cs="Arial"/>
        </w:rPr>
        <w:t>)</w:t>
      </w:r>
      <w:r w:rsidRPr="002778F9">
        <w:rPr>
          <w:rFonts w:ascii="Arial" w:hAnsi="Arial" w:cs="Arial"/>
        </w:rPr>
        <w:t xml:space="preserve">. Whilst increased monitoring may create concerns regarding performance management, evaluation should focus on continuous improvement </w:t>
      </w:r>
      <w:r w:rsidRPr="002778F9">
        <w:rPr>
          <w:rFonts w:ascii="Arial" w:hAnsi="Arial" w:cs="Arial"/>
        </w:rPr>
        <w:lastRenderedPageBreak/>
        <w:t>rather than blame</w:t>
      </w:r>
      <w:r w:rsidR="009F67C2">
        <w:rPr>
          <w:rFonts w:ascii="Arial" w:hAnsi="Arial" w:cs="Arial"/>
        </w:rPr>
        <w:t xml:space="preserve"> </w:t>
      </w:r>
      <w:r w:rsidR="009F67C2" w:rsidRPr="009F67C2">
        <w:rPr>
          <w:rFonts w:ascii="Arial" w:hAnsi="Arial" w:cs="Arial"/>
        </w:rPr>
        <w:t>(Edmondson, 2019</w:t>
      </w:r>
      <w:r w:rsidR="009F67C2">
        <w:rPr>
          <w:rFonts w:ascii="Arial" w:hAnsi="Arial" w:cs="Arial"/>
        </w:rPr>
        <w:t>)</w:t>
      </w:r>
      <w:r w:rsidRPr="002778F9">
        <w:rPr>
          <w:rFonts w:ascii="Arial" w:hAnsi="Arial" w:cs="Arial"/>
        </w:rPr>
        <w:t xml:space="preserve">. </w:t>
      </w:r>
      <w:r w:rsidR="00C109BC" w:rsidRPr="00C109BC">
        <w:rPr>
          <w:rFonts w:ascii="Arial" w:hAnsi="Arial" w:cs="Arial"/>
        </w:rPr>
        <w:t>This recommendation strengthens efficiency by directing resources towards interventions proven to improve patient safety</w:t>
      </w:r>
      <w:r w:rsidR="00C109BC">
        <w:rPr>
          <w:rFonts w:ascii="Arial" w:hAnsi="Arial" w:cs="Arial"/>
        </w:rPr>
        <w:t xml:space="preserve"> </w:t>
      </w:r>
      <w:r w:rsidR="00B608DA" w:rsidRPr="00B608DA">
        <w:rPr>
          <w:rFonts w:ascii="Arial" w:hAnsi="Arial" w:cs="Arial"/>
        </w:rPr>
        <w:t>(OECD, 2017</w:t>
      </w:r>
      <w:r w:rsidR="00B608DA">
        <w:rPr>
          <w:rFonts w:ascii="Arial" w:hAnsi="Arial" w:cs="Arial"/>
        </w:rPr>
        <w:t>)</w:t>
      </w:r>
      <w:r w:rsidR="00B15F98" w:rsidRPr="00B15F98">
        <w:rPr>
          <w:rFonts w:ascii="Arial" w:hAnsi="Arial" w:cs="Arial"/>
        </w:rPr>
        <w:t>.</w:t>
      </w:r>
      <w:r w:rsidRPr="002778F9">
        <w:rPr>
          <w:rFonts w:ascii="Arial" w:hAnsi="Arial" w:cs="Arial"/>
        </w:rPr>
        <w:t xml:space="preserve"> Ultimately, medicines safety should be judged by sustained improvements in patient outcomes rather than the number of investigations, policies or safety alerts produced</w:t>
      </w:r>
      <w:r w:rsidR="00B608DA">
        <w:rPr>
          <w:rFonts w:ascii="Arial" w:hAnsi="Arial" w:cs="Arial"/>
        </w:rPr>
        <w:t xml:space="preserve"> (</w:t>
      </w:r>
      <w:r w:rsidR="00B608DA" w:rsidRPr="00B608DA">
        <w:rPr>
          <w:rFonts w:ascii="Arial" w:hAnsi="Arial" w:cs="Arial"/>
        </w:rPr>
        <w:t>NHS England, 2022</w:t>
      </w:r>
      <w:r w:rsidR="00B608DA">
        <w:rPr>
          <w:rFonts w:ascii="Arial" w:hAnsi="Arial" w:cs="Arial"/>
        </w:rPr>
        <w:t>)</w:t>
      </w:r>
      <w:r w:rsidRPr="002778F9">
        <w:rPr>
          <w:rFonts w:ascii="Arial" w:hAnsi="Arial" w:cs="Arial"/>
        </w:rPr>
        <w:t>.</w:t>
      </w:r>
    </w:p>
    <w:p w14:paraId="66675B9A" w14:textId="77777777" w:rsidR="00BF0B72" w:rsidRPr="005276A7" w:rsidRDefault="00BF0B72" w:rsidP="002778F9">
      <w:pPr>
        <w:spacing w:line="360" w:lineRule="auto"/>
        <w:jc w:val="both"/>
        <w:rPr>
          <w:rFonts w:ascii="Arial" w:hAnsi="Arial" w:cs="Arial"/>
          <w:b/>
          <w:bCs/>
        </w:rPr>
      </w:pPr>
      <w:r w:rsidRPr="005276A7">
        <w:rPr>
          <w:rFonts w:ascii="Arial" w:hAnsi="Arial" w:cs="Arial"/>
          <w:b/>
          <w:bCs/>
        </w:rPr>
        <w:t>4.0 Conclusion</w:t>
      </w:r>
    </w:p>
    <w:p w14:paraId="6D461725" w14:textId="028EE96A" w:rsidR="00676DF0" w:rsidRPr="002778F9" w:rsidRDefault="00676DF0" w:rsidP="002778F9">
      <w:pPr>
        <w:spacing w:line="360" w:lineRule="auto"/>
        <w:jc w:val="both"/>
        <w:rPr>
          <w:rFonts w:ascii="Arial" w:hAnsi="Arial" w:cs="Arial"/>
        </w:rPr>
      </w:pPr>
      <w:r w:rsidRPr="002778F9">
        <w:rPr>
          <w:rFonts w:ascii="Arial" w:hAnsi="Arial" w:cs="Arial"/>
        </w:rPr>
        <w:t xml:space="preserve">This report has critically examined the NHS England investigation into the infant morphine overdose and demonstrated that serious medication incidents within complex healthcare systems rarely result from a single human error. Instead, patient harm emerged through the interaction of multiple system weaknesses, including </w:t>
      </w:r>
      <w:r w:rsidR="008A2078">
        <w:rPr>
          <w:rFonts w:ascii="Arial" w:hAnsi="Arial" w:cs="Arial"/>
        </w:rPr>
        <w:t>inconsistent</w:t>
      </w:r>
      <w:r w:rsidRPr="002778F9">
        <w:rPr>
          <w:rFonts w:ascii="Arial" w:hAnsi="Arial" w:cs="Arial"/>
        </w:rPr>
        <w:t xml:space="preserve"> governance, ineffective leadership, organisational learning failures and poor communication across organisational boundaries. </w:t>
      </w:r>
      <w:r w:rsidR="000B2EEB" w:rsidRPr="000B2EEB">
        <w:rPr>
          <w:rFonts w:ascii="Arial" w:hAnsi="Arial" w:cs="Arial"/>
        </w:rPr>
        <w:t>Although national patient safety guidance existed, inconsistent implementation reduced its effectiveness, showing that patient safety depends as much on implementation as policy</w:t>
      </w:r>
      <w:r w:rsidRPr="002778F9">
        <w:rPr>
          <w:rFonts w:ascii="Arial" w:hAnsi="Arial" w:cs="Arial"/>
        </w:rPr>
        <w:t>.</w:t>
      </w:r>
    </w:p>
    <w:p w14:paraId="34F2CAB2" w14:textId="1407A505" w:rsidR="00676DF0" w:rsidRPr="002778F9" w:rsidRDefault="00676DF0" w:rsidP="002778F9">
      <w:pPr>
        <w:spacing w:line="360" w:lineRule="auto"/>
        <w:jc w:val="both"/>
        <w:rPr>
          <w:rFonts w:ascii="Arial" w:hAnsi="Arial" w:cs="Arial"/>
        </w:rPr>
      </w:pPr>
      <w:r w:rsidRPr="002778F9">
        <w:rPr>
          <w:rFonts w:ascii="Arial" w:hAnsi="Arial" w:cs="Arial"/>
        </w:rPr>
        <w:t xml:space="preserve">Applying Systems Thinking showed that the overdose resulted from interconnected failures across prescribing, dispensing, communication and verification rather than the actions of one individual or organisation. The analysis of centralised and decentralised governance further </w:t>
      </w:r>
      <w:r w:rsidR="0033760F">
        <w:rPr>
          <w:rFonts w:ascii="Arial" w:hAnsi="Arial" w:cs="Arial"/>
        </w:rPr>
        <w:t>showe</w:t>
      </w:r>
      <w:r w:rsidRPr="002778F9">
        <w:rPr>
          <w:rFonts w:ascii="Arial" w:hAnsi="Arial" w:cs="Arial"/>
        </w:rPr>
        <w:t xml:space="preserve">d that safe medicines management requires national consistency supported by effective local implementation. Similarly, applying Behavioural Leadership Theory, McGregor's Theory X and Theory Y, Ouchi's Theory Z and the Tannenbaum and Schmidt Leadership Continuum </w:t>
      </w:r>
      <w:r w:rsidR="003C602A">
        <w:rPr>
          <w:rFonts w:ascii="Arial" w:hAnsi="Arial" w:cs="Arial"/>
        </w:rPr>
        <w:t>shows</w:t>
      </w:r>
      <w:r w:rsidRPr="002778F9">
        <w:rPr>
          <w:rFonts w:ascii="Arial" w:hAnsi="Arial" w:cs="Arial"/>
        </w:rPr>
        <w:t xml:space="preserve"> that effective leadership extends beyond regulatory compliance. Leaders must create psychologically safe environments, encourage multidisciplinary collaboration, adapt their leadership style according to clinical risk and ensure that learning from previous incidents is consistently translated into safer practice. Whilst each theory contributed valuable insight, the Tannenbaum and Schmidt Leadership Continuum provided the most comprehensive explanation because it recognised that effective leadership within the NHS requires flexibility rather than reliance on a single leadership style.</w:t>
      </w:r>
    </w:p>
    <w:p w14:paraId="6156EA00" w14:textId="05FC0C23" w:rsidR="00676DF0" w:rsidRPr="002778F9" w:rsidRDefault="00676DF0" w:rsidP="002778F9">
      <w:pPr>
        <w:spacing w:line="360" w:lineRule="auto"/>
        <w:jc w:val="both"/>
        <w:rPr>
          <w:rFonts w:ascii="Arial" w:hAnsi="Arial" w:cs="Arial"/>
        </w:rPr>
      </w:pPr>
      <w:r w:rsidRPr="002778F9">
        <w:rPr>
          <w:rFonts w:ascii="Arial" w:hAnsi="Arial" w:cs="Arial"/>
        </w:rPr>
        <w:t xml:space="preserve">Ultimately, the investigation </w:t>
      </w:r>
      <w:r w:rsidR="00C106C4">
        <w:rPr>
          <w:rFonts w:ascii="Arial" w:hAnsi="Arial" w:cs="Arial"/>
        </w:rPr>
        <w:t>shows</w:t>
      </w:r>
      <w:r w:rsidRPr="002778F9">
        <w:rPr>
          <w:rFonts w:ascii="Arial" w:hAnsi="Arial" w:cs="Arial"/>
        </w:rPr>
        <w:t xml:space="preserve"> that improving medicines safety is not simply about introducing additional guidance following serious incidents. Sustainable improvement depends upon leaders ensuring that existing policies are consistently implemented, organisational learning is embedded into routine </w:t>
      </w:r>
      <w:r w:rsidR="00B15F98" w:rsidRPr="002778F9">
        <w:rPr>
          <w:rFonts w:ascii="Arial" w:hAnsi="Arial" w:cs="Arial"/>
        </w:rPr>
        <w:t>practice,</w:t>
      </w:r>
      <w:r w:rsidRPr="002778F9">
        <w:rPr>
          <w:rFonts w:ascii="Arial" w:hAnsi="Arial" w:cs="Arial"/>
        </w:rPr>
        <w:t xml:space="preserve"> and healthcare professionals work collaboratively across organisational boundaries. The recommendations proposed</w:t>
      </w:r>
      <w:r w:rsidR="00F102FC">
        <w:rPr>
          <w:rFonts w:ascii="Arial" w:hAnsi="Arial" w:cs="Arial"/>
        </w:rPr>
        <w:t xml:space="preserve"> </w:t>
      </w:r>
      <w:r w:rsidRPr="002778F9">
        <w:rPr>
          <w:rFonts w:ascii="Arial" w:hAnsi="Arial" w:cs="Arial"/>
        </w:rPr>
        <w:t xml:space="preserve">move beyond responding to one medication error by addressing the wider leadership, governance and systems issues that allowed the incident to occur. Patient safety should ultimately be </w:t>
      </w:r>
      <w:r w:rsidRPr="002778F9">
        <w:rPr>
          <w:rFonts w:ascii="Arial" w:hAnsi="Arial" w:cs="Arial"/>
        </w:rPr>
        <w:lastRenderedPageBreak/>
        <w:t xml:space="preserve">judged not by the number of investigations completed or policies published, but by whether patients are </w:t>
      </w:r>
      <w:r w:rsidR="006400E4" w:rsidRPr="002778F9">
        <w:rPr>
          <w:rFonts w:ascii="Arial" w:hAnsi="Arial" w:cs="Arial"/>
        </w:rPr>
        <w:t>evidently</w:t>
      </w:r>
      <w:r w:rsidRPr="002778F9">
        <w:rPr>
          <w:rFonts w:ascii="Arial" w:hAnsi="Arial" w:cs="Arial"/>
        </w:rPr>
        <w:t xml:space="preserve"> safer as a result.</w:t>
      </w:r>
    </w:p>
    <w:p w14:paraId="6E2E38CA" w14:textId="77777777" w:rsidR="00BF0B72" w:rsidRDefault="00BF0B72" w:rsidP="002778F9">
      <w:pPr>
        <w:spacing w:line="360" w:lineRule="auto"/>
        <w:jc w:val="both"/>
        <w:rPr>
          <w:rFonts w:ascii="Arial" w:hAnsi="Arial" w:cs="Arial"/>
        </w:rPr>
      </w:pPr>
    </w:p>
    <w:p w14:paraId="21052223" w14:textId="77777777" w:rsidR="003C51A5" w:rsidRDefault="003C51A5" w:rsidP="002778F9">
      <w:pPr>
        <w:spacing w:line="360" w:lineRule="auto"/>
        <w:jc w:val="both"/>
        <w:rPr>
          <w:rFonts w:ascii="Arial" w:hAnsi="Arial" w:cs="Arial"/>
        </w:rPr>
      </w:pPr>
    </w:p>
    <w:p w14:paraId="2FBDC470" w14:textId="77777777" w:rsidR="003C51A5" w:rsidRDefault="003C51A5" w:rsidP="002778F9">
      <w:pPr>
        <w:spacing w:line="360" w:lineRule="auto"/>
        <w:jc w:val="both"/>
        <w:rPr>
          <w:rFonts w:ascii="Arial" w:hAnsi="Arial" w:cs="Arial"/>
        </w:rPr>
      </w:pPr>
    </w:p>
    <w:p w14:paraId="2D61822E" w14:textId="77777777" w:rsidR="003C51A5" w:rsidRDefault="003C51A5" w:rsidP="002778F9">
      <w:pPr>
        <w:spacing w:line="360" w:lineRule="auto"/>
        <w:jc w:val="both"/>
        <w:rPr>
          <w:rFonts w:ascii="Arial" w:hAnsi="Arial" w:cs="Arial"/>
        </w:rPr>
      </w:pPr>
    </w:p>
    <w:p w14:paraId="7B75919E" w14:textId="77777777" w:rsidR="003C51A5" w:rsidRDefault="003C51A5" w:rsidP="002778F9">
      <w:pPr>
        <w:spacing w:line="360" w:lineRule="auto"/>
        <w:jc w:val="both"/>
        <w:rPr>
          <w:rFonts w:ascii="Arial" w:hAnsi="Arial" w:cs="Arial"/>
        </w:rPr>
      </w:pPr>
    </w:p>
    <w:p w14:paraId="510DF3E2" w14:textId="77777777" w:rsidR="003C51A5" w:rsidRDefault="003C51A5" w:rsidP="002778F9">
      <w:pPr>
        <w:spacing w:line="360" w:lineRule="auto"/>
        <w:jc w:val="both"/>
        <w:rPr>
          <w:rFonts w:ascii="Arial" w:hAnsi="Arial" w:cs="Arial"/>
        </w:rPr>
      </w:pPr>
    </w:p>
    <w:p w14:paraId="24115374" w14:textId="77777777" w:rsidR="003C51A5" w:rsidRDefault="003C51A5" w:rsidP="002778F9">
      <w:pPr>
        <w:spacing w:line="360" w:lineRule="auto"/>
        <w:jc w:val="both"/>
        <w:rPr>
          <w:rFonts w:ascii="Arial" w:hAnsi="Arial" w:cs="Arial"/>
        </w:rPr>
      </w:pPr>
    </w:p>
    <w:p w14:paraId="13007271" w14:textId="77777777" w:rsidR="007D4D2A" w:rsidRDefault="007D4D2A" w:rsidP="002778F9">
      <w:pPr>
        <w:spacing w:line="360" w:lineRule="auto"/>
        <w:jc w:val="both"/>
        <w:rPr>
          <w:rFonts w:ascii="Arial" w:hAnsi="Arial" w:cs="Arial"/>
        </w:rPr>
      </w:pPr>
    </w:p>
    <w:p w14:paraId="295A5E5F" w14:textId="77777777" w:rsidR="007D4D2A" w:rsidRDefault="007D4D2A" w:rsidP="002778F9">
      <w:pPr>
        <w:spacing w:line="360" w:lineRule="auto"/>
        <w:jc w:val="both"/>
        <w:rPr>
          <w:rFonts w:ascii="Arial" w:hAnsi="Arial" w:cs="Arial"/>
        </w:rPr>
      </w:pPr>
    </w:p>
    <w:p w14:paraId="47140275" w14:textId="77777777" w:rsidR="007D4D2A" w:rsidRDefault="007D4D2A" w:rsidP="002778F9">
      <w:pPr>
        <w:spacing w:line="360" w:lineRule="auto"/>
        <w:jc w:val="both"/>
        <w:rPr>
          <w:rFonts w:ascii="Arial" w:hAnsi="Arial" w:cs="Arial"/>
        </w:rPr>
      </w:pPr>
    </w:p>
    <w:p w14:paraId="0B889A81" w14:textId="77777777" w:rsidR="007D4D2A" w:rsidRDefault="007D4D2A" w:rsidP="002778F9">
      <w:pPr>
        <w:spacing w:line="360" w:lineRule="auto"/>
        <w:jc w:val="both"/>
        <w:rPr>
          <w:rFonts w:ascii="Arial" w:hAnsi="Arial" w:cs="Arial"/>
        </w:rPr>
      </w:pPr>
    </w:p>
    <w:p w14:paraId="0563E755" w14:textId="77777777" w:rsidR="007D4D2A" w:rsidRDefault="007D4D2A" w:rsidP="002778F9">
      <w:pPr>
        <w:spacing w:line="360" w:lineRule="auto"/>
        <w:jc w:val="both"/>
        <w:rPr>
          <w:rFonts w:ascii="Arial" w:hAnsi="Arial" w:cs="Arial"/>
        </w:rPr>
      </w:pPr>
    </w:p>
    <w:p w14:paraId="103880A1" w14:textId="77777777" w:rsidR="007D4D2A" w:rsidRDefault="007D4D2A" w:rsidP="002778F9">
      <w:pPr>
        <w:spacing w:line="360" w:lineRule="auto"/>
        <w:jc w:val="both"/>
        <w:rPr>
          <w:rFonts w:ascii="Arial" w:hAnsi="Arial" w:cs="Arial"/>
        </w:rPr>
      </w:pPr>
    </w:p>
    <w:p w14:paraId="641CA13E" w14:textId="77777777" w:rsidR="007D4D2A" w:rsidRDefault="007D4D2A" w:rsidP="002778F9">
      <w:pPr>
        <w:spacing w:line="360" w:lineRule="auto"/>
        <w:jc w:val="both"/>
        <w:rPr>
          <w:rFonts w:ascii="Arial" w:hAnsi="Arial" w:cs="Arial"/>
        </w:rPr>
      </w:pPr>
    </w:p>
    <w:p w14:paraId="1A4DA202" w14:textId="77777777" w:rsidR="007D4D2A" w:rsidRDefault="007D4D2A" w:rsidP="002778F9">
      <w:pPr>
        <w:spacing w:line="360" w:lineRule="auto"/>
        <w:jc w:val="both"/>
        <w:rPr>
          <w:rFonts w:ascii="Arial" w:hAnsi="Arial" w:cs="Arial"/>
        </w:rPr>
      </w:pPr>
    </w:p>
    <w:p w14:paraId="3466F707" w14:textId="77777777" w:rsidR="007D4D2A" w:rsidRDefault="007D4D2A" w:rsidP="002778F9">
      <w:pPr>
        <w:spacing w:line="360" w:lineRule="auto"/>
        <w:jc w:val="both"/>
        <w:rPr>
          <w:rFonts w:ascii="Arial" w:hAnsi="Arial" w:cs="Arial"/>
        </w:rPr>
      </w:pPr>
    </w:p>
    <w:p w14:paraId="6E432384" w14:textId="77777777" w:rsidR="007D4D2A" w:rsidRDefault="007D4D2A" w:rsidP="002778F9">
      <w:pPr>
        <w:spacing w:line="360" w:lineRule="auto"/>
        <w:jc w:val="both"/>
        <w:rPr>
          <w:rFonts w:ascii="Arial" w:hAnsi="Arial" w:cs="Arial"/>
        </w:rPr>
      </w:pPr>
    </w:p>
    <w:p w14:paraId="13D177F0" w14:textId="77777777" w:rsidR="007D4D2A" w:rsidRDefault="007D4D2A" w:rsidP="002778F9">
      <w:pPr>
        <w:spacing w:line="360" w:lineRule="auto"/>
        <w:jc w:val="both"/>
        <w:rPr>
          <w:rFonts w:ascii="Arial" w:hAnsi="Arial" w:cs="Arial"/>
        </w:rPr>
      </w:pPr>
    </w:p>
    <w:p w14:paraId="329819F9" w14:textId="77777777" w:rsidR="007D4D2A" w:rsidRDefault="007D4D2A" w:rsidP="002778F9">
      <w:pPr>
        <w:spacing w:line="360" w:lineRule="auto"/>
        <w:jc w:val="both"/>
        <w:rPr>
          <w:rFonts w:ascii="Arial" w:hAnsi="Arial" w:cs="Arial"/>
        </w:rPr>
      </w:pPr>
    </w:p>
    <w:p w14:paraId="19207BC7" w14:textId="77777777" w:rsidR="007D4D2A" w:rsidRDefault="007D4D2A" w:rsidP="002778F9">
      <w:pPr>
        <w:spacing w:line="360" w:lineRule="auto"/>
        <w:jc w:val="both"/>
        <w:rPr>
          <w:rFonts w:ascii="Arial" w:hAnsi="Arial" w:cs="Arial"/>
        </w:rPr>
      </w:pPr>
    </w:p>
    <w:p w14:paraId="4306629C" w14:textId="77777777" w:rsidR="007D4D2A" w:rsidRDefault="007D4D2A" w:rsidP="002778F9">
      <w:pPr>
        <w:spacing w:line="360" w:lineRule="auto"/>
        <w:jc w:val="both"/>
        <w:rPr>
          <w:rFonts w:ascii="Arial" w:hAnsi="Arial" w:cs="Arial"/>
        </w:rPr>
      </w:pPr>
    </w:p>
    <w:p w14:paraId="0FAB4C7D" w14:textId="77777777" w:rsidR="009241D0" w:rsidRDefault="009241D0" w:rsidP="002778F9">
      <w:pPr>
        <w:spacing w:line="360" w:lineRule="auto"/>
        <w:jc w:val="both"/>
        <w:rPr>
          <w:rFonts w:ascii="Arial" w:hAnsi="Arial" w:cs="Arial"/>
        </w:rPr>
      </w:pPr>
    </w:p>
    <w:p w14:paraId="1996ABFC" w14:textId="77777777" w:rsidR="009241D0" w:rsidRDefault="009241D0" w:rsidP="002778F9">
      <w:pPr>
        <w:spacing w:line="360" w:lineRule="auto"/>
        <w:jc w:val="both"/>
        <w:rPr>
          <w:rFonts w:ascii="Arial" w:hAnsi="Arial" w:cs="Arial"/>
        </w:rPr>
      </w:pPr>
    </w:p>
    <w:p w14:paraId="57354E5C" w14:textId="77777777" w:rsidR="009241D0" w:rsidRDefault="009241D0" w:rsidP="002778F9">
      <w:pPr>
        <w:spacing w:line="360" w:lineRule="auto"/>
        <w:jc w:val="both"/>
        <w:rPr>
          <w:rFonts w:ascii="Arial" w:hAnsi="Arial" w:cs="Arial"/>
        </w:rPr>
      </w:pPr>
    </w:p>
    <w:p w14:paraId="1A05E4AD" w14:textId="128F2002" w:rsidR="003C51A5" w:rsidRDefault="003C51A5" w:rsidP="002778F9">
      <w:pPr>
        <w:spacing w:line="360" w:lineRule="auto"/>
        <w:jc w:val="both"/>
        <w:rPr>
          <w:rFonts w:ascii="Arial" w:hAnsi="Arial" w:cs="Arial"/>
          <w:b/>
          <w:bCs/>
        </w:rPr>
      </w:pPr>
      <w:r w:rsidRPr="003C51A5">
        <w:rPr>
          <w:rFonts w:ascii="Arial" w:hAnsi="Arial" w:cs="Arial"/>
          <w:b/>
          <w:bCs/>
        </w:rPr>
        <w:lastRenderedPageBreak/>
        <w:t>References</w:t>
      </w:r>
    </w:p>
    <w:p w14:paraId="6857479D"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Abeynayake, A. </w:t>
      </w:r>
      <w:r w:rsidRPr="00EE5B19">
        <w:rPr>
          <w:rFonts w:ascii="Arial" w:hAnsi="Arial" w:cs="Arial"/>
          <w:i/>
          <w:iCs/>
        </w:rPr>
        <w:t>et al.</w:t>
      </w:r>
      <w:r w:rsidRPr="00EE5B19">
        <w:rPr>
          <w:rFonts w:ascii="Arial" w:hAnsi="Arial" w:cs="Arial"/>
        </w:rPr>
        <w:t xml:space="preserve"> (2025) ‘Preventing Fatal Medication Errors - From Individual Blame to System Learning’. Available at: </w:t>
      </w:r>
      <w:hyperlink r:id="rId11" w:history="1">
        <w:r w:rsidRPr="00EE5B19">
          <w:rPr>
            <w:rStyle w:val="Hyperlink"/>
            <w:rFonts w:ascii="Arial" w:hAnsi="Arial" w:cs="Arial"/>
          </w:rPr>
          <w:t>https://www.bmj.com/content/391/bmj.r2374/rr-0</w:t>
        </w:r>
      </w:hyperlink>
      <w:r w:rsidRPr="00EE5B19">
        <w:rPr>
          <w:rFonts w:ascii="Arial" w:hAnsi="Arial" w:cs="Arial"/>
        </w:rPr>
        <w:t xml:space="preserve"> (Accessed: 18 July 2026).</w:t>
      </w:r>
    </w:p>
    <w:p w14:paraId="776345A5"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Ahmed, Z. </w:t>
      </w:r>
      <w:r w:rsidRPr="00EE5B19">
        <w:rPr>
          <w:rFonts w:ascii="Arial" w:hAnsi="Arial" w:cs="Arial"/>
          <w:i/>
          <w:iCs/>
        </w:rPr>
        <w:t>et al.</w:t>
      </w:r>
      <w:r w:rsidRPr="00EE5B19">
        <w:rPr>
          <w:rFonts w:ascii="Arial" w:hAnsi="Arial" w:cs="Arial"/>
        </w:rPr>
        <w:t xml:space="preserve"> (2024) ‘Exploring the impact of compassion and leadership on patient safety and quality in healthcare systems: a narrative review’, </w:t>
      </w:r>
      <w:r w:rsidRPr="00EE5B19">
        <w:rPr>
          <w:rFonts w:ascii="Arial" w:hAnsi="Arial" w:cs="Arial"/>
          <w:i/>
          <w:iCs/>
        </w:rPr>
        <w:t>BMJ Open Quality</w:t>
      </w:r>
      <w:r w:rsidRPr="00EE5B19">
        <w:rPr>
          <w:rFonts w:ascii="Arial" w:hAnsi="Arial" w:cs="Arial"/>
        </w:rPr>
        <w:t xml:space="preserve">, 13(Suppl 2), p. e002651. Available at: </w:t>
      </w:r>
      <w:hyperlink r:id="rId12" w:history="1">
        <w:r w:rsidRPr="00EE5B19">
          <w:rPr>
            <w:rStyle w:val="Hyperlink"/>
            <w:rFonts w:ascii="Arial" w:hAnsi="Arial" w:cs="Arial"/>
          </w:rPr>
          <w:t>https://doi.org/10.1136/bmjoq-2023-002651</w:t>
        </w:r>
      </w:hyperlink>
      <w:r w:rsidRPr="00EE5B19">
        <w:rPr>
          <w:rFonts w:ascii="Arial" w:hAnsi="Arial" w:cs="Arial"/>
        </w:rPr>
        <w:t>.</w:t>
      </w:r>
    </w:p>
    <w:p w14:paraId="3673D58F"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Aksu, B. and Hussein, H. (2020) ‘Leadership and Its Effect on Health Management’, </w:t>
      </w:r>
      <w:r w:rsidRPr="00EE5B19">
        <w:rPr>
          <w:rFonts w:ascii="Arial" w:hAnsi="Arial" w:cs="Arial"/>
          <w:i/>
          <w:iCs/>
        </w:rPr>
        <w:t>Management Studies</w:t>
      </w:r>
      <w:r w:rsidRPr="00EE5B19">
        <w:rPr>
          <w:rFonts w:ascii="Arial" w:hAnsi="Arial" w:cs="Arial"/>
        </w:rPr>
        <w:t xml:space="preserve">, 8(6). Available at: </w:t>
      </w:r>
      <w:hyperlink r:id="rId13" w:history="1">
        <w:r w:rsidRPr="00EE5B19">
          <w:rPr>
            <w:rStyle w:val="Hyperlink"/>
            <w:rFonts w:ascii="Arial" w:hAnsi="Arial" w:cs="Arial"/>
          </w:rPr>
          <w:t>https://doi.org/10.17265/2328-2185/2020.06.005</w:t>
        </w:r>
      </w:hyperlink>
      <w:r w:rsidRPr="00EE5B19">
        <w:rPr>
          <w:rFonts w:ascii="Arial" w:hAnsi="Arial" w:cs="Arial"/>
        </w:rPr>
        <w:t>.</w:t>
      </w:r>
    </w:p>
    <w:p w14:paraId="14D4AA4A"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Alrowily, A. </w:t>
      </w:r>
      <w:r w:rsidRPr="00EE5B19">
        <w:rPr>
          <w:rFonts w:ascii="Arial" w:hAnsi="Arial" w:cs="Arial"/>
          <w:i/>
          <w:iCs/>
        </w:rPr>
        <w:t>et al.</w:t>
      </w:r>
      <w:r w:rsidRPr="00EE5B19">
        <w:rPr>
          <w:rFonts w:ascii="Arial" w:hAnsi="Arial" w:cs="Arial"/>
        </w:rPr>
        <w:t xml:space="preserve"> (2025) ‘High-risk medication errors: Insight from the UK National Reporting and learning system’, </w:t>
      </w:r>
      <w:r w:rsidRPr="00EE5B19">
        <w:rPr>
          <w:rFonts w:ascii="Arial" w:hAnsi="Arial" w:cs="Arial"/>
          <w:i/>
          <w:iCs/>
        </w:rPr>
        <w:t>Exploratory Research in Clinical and Social Pharmacy</w:t>
      </w:r>
      <w:r w:rsidRPr="00EE5B19">
        <w:rPr>
          <w:rFonts w:ascii="Arial" w:hAnsi="Arial" w:cs="Arial"/>
        </w:rPr>
        <w:t xml:space="preserve">, 17, p. 100531. Available at: </w:t>
      </w:r>
      <w:hyperlink r:id="rId14" w:history="1">
        <w:r w:rsidRPr="00EE5B19">
          <w:rPr>
            <w:rStyle w:val="Hyperlink"/>
            <w:rFonts w:ascii="Arial" w:hAnsi="Arial" w:cs="Arial"/>
          </w:rPr>
          <w:t>https://doi.org/10.1016/j.rcsop.2024.100531</w:t>
        </w:r>
      </w:hyperlink>
      <w:r w:rsidRPr="00EE5B19">
        <w:rPr>
          <w:rFonts w:ascii="Arial" w:hAnsi="Arial" w:cs="Arial"/>
        </w:rPr>
        <w:t>.</w:t>
      </w:r>
    </w:p>
    <w:p w14:paraId="3D959C78"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Berwick, D. (2013) </w:t>
      </w:r>
      <w:r w:rsidRPr="00EE5B19">
        <w:rPr>
          <w:rFonts w:ascii="Arial" w:hAnsi="Arial" w:cs="Arial"/>
          <w:i/>
          <w:iCs/>
        </w:rPr>
        <w:t>Berwick review into patient safety</w:t>
      </w:r>
      <w:r w:rsidRPr="00EE5B19">
        <w:rPr>
          <w:rFonts w:ascii="Arial" w:hAnsi="Arial" w:cs="Arial"/>
        </w:rPr>
        <w:t xml:space="preserve">, </w:t>
      </w:r>
      <w:r w:rsidRPr="00EE5B19">
        <w:rPr>
          <w:rFonts w:ascii="Arial" w:hAnsi="Arial" w:cs="Arial"/>
          <w:i/>
          <w:iCs/>
        </w:rPr>
        <w:t>GOV.UK</w:t>
      </w:r>
      <w:r w:rsidRPr="00EE5B19">
        <w:rPr>
          <w:rFonts w:ascii="Arial" w:hAnsi="Arial" w:cs="Arial"/>
        </w:rPr>
        <w:t xml:space="preserve">. Available at: </w:t>
      </w:r>
      <w:hyperlink r:id="rId15" w:history="1">
        <w:r w:rsidRPr="00EE5B19">
          <w:rPr>
            <w:rStyle w:val="Hyperlink"/>
            <w:rFonts w:ascii="Arial" w:hAnsi="Arial" w:cs="Arial"/>
          </w:rPr>
          <w:t>https://www.gov.uk/government/publications/berwick-review-into-patient-safety</w:t>
        </w:r>
      </w:hyperlink>
      <w:r w:rsidRPr="00EE5B19">
        <w:rPr>
          <w:rFonts w:ascii="Arial" w:hAnsi="Arial" w:cs="Arial"/>
        </w:rPr>
        <w:t xml:space="preserve"> (Accessed: 1 August 2026).</w:t>
      </w:r>
    </w:p>
    <w:p w14:paraId="2FA07B4A"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BMJ (209 AD) ‘237+ million medication errors made every year in England | BMJ’. Available at: </w:t>
      </w:r>
      <w:hyperlink r:id="rId16" w:history="1">
        <w:r w:rsidRPr="00EE5B19">
          <w:rPr>
            <w:rStyle w:val="Hyperlink"/>
            <w:rFonts w:ascii="Arial" w:hAnsi="Arial" w:cs="Arial"/>
          </w:rPr>
          <w:t>https://www.bmj.com/company/newsroom/237-million-medication-errors-made-every-year-in-england/</w:t>
        </w:r>
      </w:hyperlink>
      <w:r w:rsidRPr="00EE5B19">
        <w:rPr>
          <w:rFonts w:ascii="Arial" w:hAnsi="Arial" w:cs="Arial"/>
        </w:rPr>
        <w:t xml:space="preserve"> (Accessed: 17 June 2026).</w:t>
      </w:r>
    </w:p>
    <w:p w14:paraId="3AA69B9A"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Braithwaite, J. </w:t>
      </w:r>
      <w:r w:rsidRPr="00EE5B19">
        <w:rPr>
          <w:rFonts w:ascii="Arial" w:hAnsi="Arial" w:cs="Arial"/>
          <w:i/>
          <w:iCs/>
        </w:rPr>
        <w:t>et al.</w:t>
      </w:r>
      <w:r w:rsidRPr="00EE5B19">
        <w:rPr>
          <w:rFonts w:ascii="Arial" w:hAnsi="Arial" w:cs="Arial"/>
        </w:rPr>
        <w:t xml:space="preserve"> (2017) </w:t>
      </w:r>
      <w:r w:rsidRPr="00EE5B19">
        <w:rPr>
          <w:rFonts w:ascii="Arial" w:hAnsi="Arial" w:cs="Arial"/>
          <w:i/>
          <w:iCs/>
        </w:rPr>
        <w:t>Health Systems Improvement Across the Globe: Success Stories from 60 Countries</w:t>
      </w:r>
      <w:r w:rsidRPr="00EE5B19">
        <w:rPr>
          <w:rFonts w:ascii="Arial" w:hAnsi="Arial" w:cs="Arial"/>
        </w:rPr>
        <w:t>. CRC Press.</w:t>
      </w:r>
    </w:p>
    <w:p w14:paraId="24AC34FE"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Braithwaite, J. </w:t>
      </w:r>
      <w:r w:rsidRPr="00EE5B19">
        <w:rPr>
          <w:rFonts w:ascii="Arial" w:hAnsi="Arial" w:cs="Arial"/>
          <w:i/>
          <w:iCs/>
        </w:rPr>
        <w:t>et al.</w:t>
      </w:r>
      <w:r w:rsidRPr="00EE5B19">
        <w:rPr>
          <w:rFonts w:ascii="Arial" w:hAnsi="Arial" w:cs="Arial"/>
        </w:rPr>
        <w:t xml:space="preserve"> (2018) ‘When complexity science meets implementation science: a theoretical and empirical analysis of systems change’, </w:t>
      </w:r>
      <w:r w:rsidRPr="00EE5B19">
        <w:rPr>
          <w:rFonts w:ascii="Arial" w:hAnsi="Arial" w:cs="Arial"/>
          <w:i/>
          <w:iCs/>
        </w:rPr>
        <w:t>BMC Medicine</w:t>
      </w:r>
      <w:r w:rsidRPr="00EE5B19">
        <w:rPr>
          <w:rFonts w:ascii="Arial" w:hAnsi="Arial" w:cs="Arial"/>
        </w:rPr>
        <w:t xml:space="preserve">, 16(1), p. 63. Available at: </w:t>
      </w:r>
      <w:hyperlink r:id="rId17" w:history="1">
        <w:r w:rsidRPr="00EE5B19">
          <w:rPr>
            <w:rStyle w:val="Hyperlink"/>
            <w:rFonts w:ascii="Arial" w:hAnsi="Arial" w:cs="Arial"/>
          </w:rPr>
          <w:t>https://doi.org/10.1186/s12916-018-1057-z</w:t>
        </w:r>
      </w:hyperlink>
      <w:r w:rsidRPr="00EE5B19">
        <w:rPr>
          <w:rFonts w:ascii="Arial" w:hAnsi="Arial" w:cs="Arial"/>
        </w:rPr>
        <w:t>.</w:t>
      </w:r>
    </w:p>
    <w:p w14:paraId="7D79CA23"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Carayon, P. </w:t>
      </w:r>
      <w:r w:rsidRPr="00EE5B19">
        <w:rPr>
          <w:rFonts w:ascii="Arial" w:hAnsi="Arial" w:cs="Arial"/>
          <w:i/>
          <w:iCs/>
        </w:rPr>
        <w:t>et al.</w:t>
      </w:r>
      <w:r w:rsidRPr="00EE5B19">
        <w:rPr>
          <w:rFonts w:ascii="Arial" w:hAnsi="Arial" w:cs="Arial"/>
        </w:rPr>
        <w:t xml:space="preserve"> (2018) ‘Challenges And Opportunities For Improving Patient Safety Through Human Factors And Systems Engineering’, </w:t>
      </w:r>
      <w:r w:rsidRPr="00EE5B19">
        <w:rPr>
          <w:rFonts w:ascii="Arial" w:hAnsi="Arial" w:cs="Arial"/>
          <w:i/>
          <w:iCs/>
        </w:rPr>
        <w:t>Health Affairs</w:t>
      </w:r>
      <w:r w:rsidRPr="00EE5B19">
        <w:rPr>
          <w:rFonts w:ascii="Arial" w:hAnsi="Arial" w:cs="Arial"/>
        </w:rPr>
        <w:t xml:space="preserve">, 37(11), pp. 1862–1869. Available at: </w:t>
      </w:r>
      <w:hyperlink r:id="rId18" w:history="1">
        <w:r w:rsidRPr="00EE5B19">
          <w:rPr>
            <w:rStyle w:val="Hyperlink"/>
            <w:rFonts w:ascii="Arial" w:hAnsi="Arial" w:cs="Arial"/>
          </w:rPr>
          <w:t>https://doi.org/10.1377/hlthaff.2018.0723</w:t>
        </w:r>
      </w:hyperlink>
      <w:r w:rsidRPr="00EE5B19">
        <w:rPr>
          <w:rFonts w:ascii="Arial" w:hAnsi="Arial" w:cs="Arial"/>
        </w:rPr>
        <w:t>.</w:t>
      </w:r>
    </w:p>
    <w:p w14:paraId="444CA710"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Carlyle, T. (1897) </w:t>
      </w:r>
      <w:r w:rsidRPr="00EE5B19">
        <w:rPr>
          <w:rFonts w:ascii="Arial" w:hAnsi="Arial" w:cs="Arial"/>
          <w:i/>
          <w:iCs/>
        </w:rPr>
        <w:t>HEROES AND HERO-WORSHIP</w:t>
      </w:r>
      <w:r w:rsidRPr="00EE5B19">
        <w:rPr>
          <w:rFonts w:ascii="Arial" w:hAnsi="Arial" w:cs="Arial"/>
        </w:rPr>
        <w:t>. 1st edn. New York: Norwood Press.</w:t>
      </w:r>
    </w:p>
    <w:p w14:paraId="4BB1DE83"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Challinor, A. </w:t>
      </w:r>
      <w:r w:rsidRPr="00EE5B19">
        <w:rPr>
          <w:rFonts w:ascii="Arial" w:hAnsi="Arial" w:cs="Arial"/>
          <w:i/>
          <w:iCs/>
        </w:rPr>
        <w:t>et al.</w:t>
      </w:r>
      <w:r w:rsidRPr="00EE5B19">
        <w:rPr>
          <w:rFonts w:ascii="Arial" w:hAnsi="Arial" w:cs="Arial"/>
        </w:rPr>
        <w:t xml:space="preserve"> (2025) ‘Understanding adverse incident responses in mental health care: a qualitative study of systems-based patient safety practices’, </w:t>
      </w:r>
      <w:r w:rsidRPr="00EE5B19">
        <w:rPr>
          <w:rFonts w:ascii="Arial" w:hAnsi="Arial" w:cs="Arial"/>
          <w:i/>
          <w:iCs/>
        </w:rPr>
        <w:t>BMJ Open</w:t>
      </w:r>
      <w:r w:rsidRPr="00EE5B19">
        <w:rPr>
          <w:rFonts w:ascii="Arial" w:hAnsi="Arial" w:cs="Arial"/>
        </w:rPr>
        <w:t xml:space="preserve">, 15(11), p. e104863. Available at: </w:t>
      </w:r>
      <w:hyperlink r:id="rId19" w:history="1">
        <w:r w:rsidRPr="00EE5B19">
          <w:rPr>
            <w:rStyle w:val="Hyperlink"/>
            <w:rFonts w:ascii="Arial" w:hAnsi="Arial" w:cs="Arial"/>
          </w:rPr>
          <w:t>https://doi.org/10.1136/bmjopen-2025-104863</w:t>
        </w:r>
      </w:hyperlink>
      <w:r w:rsidRPr="00EE5B19">
        <w:rPr>
          <w:rFonts w:ascii="Arial" w:hAnsi="Arial" w:cs="Arial"/>
        </w:rPr>
        <w:t>.</w:t>
      </w:r>
    </w:p>
    <w:p w14:paraId="01B22F4B"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Checkland, P. (2000) ‘Soft Systems Methodology: A Thirty Year Retrospectivea’.</w:t>
      </w:r>
    </w:p>
    <w:p w14:paraId="2BCD12B6"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Checkland, P. and Poulter, J. (2006) ‘Soft Systems Methodology’, </w:t>
      </w:r>
      <w:r w:rsidRPr="00EE5B19">
        <w:rPr>
          <w:rFonts w:ascii="Arial" w:hAnsi="Arial" w:cs="Arial"/>
          <w:i/>
          <w:iCs/>
        </w:rPr>
        <w:t>Soft Systems Methodology</w:t>
      </w:r>
      <w:r w:rsidRPr="00EE5B19">
        <w:rPr>
          <w:rFonts w:ascii="Arial" w:hAnsi="Arial" w:cs="Arial"/>
        </w:rPr>
        <w:t xml:space="preserve">, pp. 191–242. Available at: </w:t>
      </w:r>
      <w:hyperlink r:id="rId20" w:history="1">
        <w:r w:rsidRPr="00EE5B19">
          <w:rPr>
            <w:rStyle w:val="Hyperlink"/>
            <w:rFonts w:ascii="Arial" w:hAnsi="Arial" w:cs="Arial"/>
          </w:rPr>
          <w:t>https://doi.org/10.1007/978-1-84882-809-4_5</w:t>
        </w:r>
      </w:hyperlink>
      <w:r w:rsidRPr="00EE5B19">
        <w:rPr>
          <w:rFonts w:ascii="Arial" w:hAnsi="Arial" w:cs="Arial"/>
        </w:rPr>
        <w:t>.</w:t>
      </w:r>
    </w:p>
    <w:p w14:paraId="75538803"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lastRenderedPageBreak/>
        <w:t xml:space="preserve">CQC (2022) </w:t>
      </w:r>
      <w:r w:rsidRPr="00EE5B19">
        <w:rPr>
          <w:rFonts w:ascii="Arial" w:hAnsi="Arial" w:cs="Arial"/>
          <w:i/>
          <w:iCs/>
        </w:rPr>
        <w:t>CQC Insight 14: Medicines safety in NHS trusts - Care Quality Commission</w:t>
      </w:r>
      <w:r w:rsidRPr="00EE5B19">
        <w:rPr>
          <w:rFonts w:ascii="Arial" w:hAnsi="Arial" w:cs="Arial"/>
        </w:rPr>
        <w:t xml:space="preserve">. Available at: </w:t>
      </w:r>
      <w:hyperlink r:id="rId21" w:history="1">
        <w:r w:rsidRPr="00EE5B19">
          <w:rPr>
            <w:rStyle w:val="Hyperlink"/>
            <w:rFonts w:ascii="Arial" w:hAnsi="Arial" w:cs="Arial"/>
          </w:rPr>
          <w:t>https://www.cqc.org.uk/publications/major-reports/cqc-insight-14-medicines-safety-nhs-trusts</w:t>
        </w:r>
      </w:hyperlink>
      <w:r w:rsidRPr="00EE5B19">
        <w:rPr>
          <w:rFonts w:ascii="Arial" w:hAnsi="Arial" w:cs="Arial"/>
        </w:rPr>
        <w:t xml:space="preserve"> (Accessed: 17 June 2026).</w:t>
      </w:r>
    </w:p>
    <w:p w14:paraId="2095DF44"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CQC (2025) </w:t>
      </w:r>
      <w:r w:rsidRPr="00EE5B19">
        <w:rPr>
          <w:rFonts w:ascii="Arial" w:hAnsi="Arial" w:cs="Arial"/>
          <w:i/>
          <w:iCs/>
        </w:rPr>
        <w:t>The state of health care and adult social care in England 2023/24 - Care Quality Commission</w:t>
      </w:r>
      <w:r w:rsidRPr="00EE5B19">
        <w:rPr>
          <w:rFonts w:ascii="Arial" w:hAnsi="Arial" w:cs="Arial"/>
        </w:rPr>
        <w:t xml:space="preserve">, </w:t>
      </w:r>
      <w:r w:rsidRPr="00EE5B19">
        <w:rPr>
          <w:rFonts w:ascii="Arial" w:hAnsi="Arial" w:cs="Arial"/>
          <w:i/>
          <w:iCs/>
        </w:rPr>
        <w:t>The state of health care and adult social care in England 2023/24</w:t>
      </w:r>
      <w:r w:rsidRPr="00EE5B19">
        <w:rPr>
          <w:rFonts w:ascii="Arial" w:hAnsi="Arial" w:cs="Arial"/>
        </w:rPr>
        <w:t xml:space="preserve">. Care Quality Commission. Available at: </w:t>
      </w:r>
      <w:hyperlink r:id="rId22" w:history="1">
        <w:r w:rsidRPr="00EE5B19">
          <w:rPr>
            <w:rStyle w:val="Hyperlink"/>
            <w:rFonts w:ascii="Arial" w:hAnsi="Arial" w:cs="Arial"/>
          </w:rPr>
          <w:t>https://www.cqc.org.uk/publications/major-report/state-care/2023-2024</w:t>
        </w:r>
      </w:hyperlink>
      <w:r w:rsidRPr="00EE5B19">
        <w:rPr>
          <w:rFonts w:ascii="Arial" w:hAnsi="Arial" w:cs="Arial"/>
        </w:rPr>
        <w:t xml:space="preserve"> (Accessed: 1 August 2026).</w:t>
      </w:r>
    </w:p>
    <w:p w14:paraId="30A2F711"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Curșeu, P.L., van Rijswijk, J. and Schruijer, S.G.L. (2025) ‘Collaborative and Shared Leadership Dynamics in Healthcare Action Teams: A Systematic Literature Review’, </w:t>
      </w:r>
      <w:r w:rsidRPr="00EE5B19">
        <w:rPr>
          <w:rFonts w:ascii="Arial" w:hAnsi="Arial" w:cs="Arial"/>
          <w:i/>
          <w:iCs/>
        </w:rPr>
        <w:t>Journal of Healthcare Leadership</w:t>
      </w:r>
      <w:r w:rsidRPr="00EE5B19">
        <w:rPr>
          <w:rFonts w:ascii="Arial" w:hAnsi="Arial" w:cs="Arial"/>
        </w:rPr>
        <w:t xml:space="preserve">, 17, pp. 877–899. Available at: </w:t>
      </w:r>
      <w:hyperlink r:id="rId23" w:history="1">
        <w:r w:rsidRPr="00EE5B19">
          <w:rPr>
            <w:rStyle w:val="Hyperlink"/>
            <w:rFonts w:ascii="Arial" w:hAnsi="Arial" w:cs="Arial"/>
          </w:rPr>
          <w:t>https://doi.org/10.2147/JHL.S520534</w:t>
        </w:r>
      </w:hyperlink>
      <w:r w:rsidRPr="00EE5B19">
        <w:rPr>
          <w:rFonts w:ascii="Arial" w:hAnsi="Arial" w:cs="Arial"/>
        </w:rPr>
        <w:t>.</w:t>
      </w:r>
    </w:p>
    <w:p w14:paraId="76ED05F6"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DHSC (2025) </w:t>
      </w:r>
      <w:r w:rsidRPr="00EE5B19">
        <w:rPr>
          <w:rFonts w:ascii="Arial" w:hAnsi="Arial" w:cs="Arial"/>
          <w:i/>
          <w:iCs/>
        </w:rPr>
        <w:t>Review of patient safety across the health and care landscape</w:t>
      </w:r>
      <w:r w:rsidRPr="00EE5B19">
        <w:rPr>
          <w:rFonts w:ascii="Arial" w:hAnsi="Arial" w:cs="Arial"/>
        </w:rPr>
        <w:t xml:space="preserve">. Department fo Health and Social Care, p. 175. Available at: </w:t>
      </w:r>
      <w:hyperlink r:id="rId24" w:history="1">
        <w:r w:rsidRPr="00EE5B19">
          <w:rPr>
            <w:rStyle w:val="Hyperlink"/>
            <w:rFonts w:ascii="Arial" w:hAnsi="Arial" w:cs="Arial"/>
          </w:rPr>
          <w:t>https://assets.publishing.service.gov.uk/media/686bd5d52cfe301b5fb6780c/dhsc-review-of_patient-safety-across-the-health-and-care-landscape.pdf</w:t>
        </w:r>
      </w:hyperlink>
      <w:r w:rsidRPr="00EE5B19">
        <w:rPr>
          <w:rFonts w:ascii="Arial" w:hAnsi="Arial" w:cs="Arial"/>
        </w:rPr>
        <w:t>.</w:t>
      </w:r>
    </w:p>
    <w:p w14:paraId="7E0AB6CF"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Dirik, H.F., Theiakouli, C. and Efstathiou, N. (2026) ‘The Influence of Nursing Leadership Styles on Medication Safety: A Mixed</w:t>
      </w:r>
      <w:r w:rsidRPr="00EE5B19">
        <w:rPr>
          <w:rFonts w:ascii="Cambria Math" w:hAnsi="Cambria Math" w:cs="Cambria Math"/>
        </w:rPr>
        <w:t>‐</w:t>
      </w:r>
      <w:r w:rsidRPr="00EE5B19">
        <w:rPr>
          <w:rFonts w:ascii="Arial" w:hAnsi="Arial" w:cs="Arial"/>
        </w:rPr>
        <w:t xml:space="preserve">Methods Systematic Review’, </w:t>
      </w:r>
      <w:r w:rsidRPr="00EE5B19">
        <w:rPr>
          <w:rFonts w:ascii="Arial" w:hAnsi="Arial" w:cs="Arial"/>
          <w:i/>
          <w:iCs/>
        </w:rPr>
        <w:t>International Nursing Review</w:t>
      </w:r>
      <w:r w:rsidRPr="00EE5B19">
        <w:rPr>
          <w:rFonts w:ascii="Arial" w:hAnsi="Arial" w:cs="Arial"/>
        </w:rPr>
        <w:t xml:space="preserve">, 73(1), p. e70166. Available at: </w:t>
      </w:r>
      <w:hyperlink r:id="rId25" w:history="1">
        <w:r w:rsidRPr="00EE5B19">
          <w:rPr>
            <w:rStyle w:val="Hyperlink"/>
            <w:rFonts w:ascii="Arial" w:hAnsi="Arial" w:cs="Arial"/>
          </w:rPr>
          <w:t>https://doi.org/10.1111/inr.70166</w:t>
        </w:r>
      </w:hyperlink>
      <w:r w:rsidRPr="00EE5B19">
        <w:rPr>
          <w:rFonts w:ascii="Arial" w:hAnsi="Arial" w:cs="Arial"/>
        </w:rPr>
        <w:t>.</w:t>
      </w:r>
    </w:p>
    <w:p w14:paraId="7C141A8F"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Dixon-Woods, M. </w:t>
      </w:r>
      <w:r w:rsidRPr="00EE5B19">
        <w:rPr>
          <w:rFonts w:ascii="Arial" w:hAnsi="Arial" w:cs="Arial"/>
          <w:i/>
          <w:iCs/>
        </w:rPr>
        <w:t>et al.</w:t>
      </w:r>
      <w:r w:rsidRPr="00EE5B19">
        <w:rPr>
          <w:rFonts w:ascii="Arial" w:hAnsi="Arial" w:cs="Arial"/>
        </w:rPr>
        <w:t xml:space="preserve"> (2014) ‘Culture and behaviour in the English National Health Service: overview of lessons from a large multimethod study’, </w:t>
      </w:r>
      <w:r w:rsidRPr="00EE5B19">
        <w:rPr>
          <w:rFonts w:ascii="Arial" w:hAnsi="Arial" w:cs="Arial"/>
          <w:i/>
          <w:iCs/>
        </w:rPr>
        <w:t>BMJ Quality &amp; Safety</w:t>
      </w:r>
      <w:r w:rsidRPr="00EE5B19">
        <w:rPr>
          <w:rFonts w:ascii="Arial" w:hAnsi="Arial" w:cs="Arial"/>
        </w:rPr>
        <w:t xml:space="preserve">, 23(2), pp. 106–115. Available at: </w:t>
      </w:r>
      <w:hyperlink r:id="rId26" w:history="1">
        <w:r w:rsidRPr="00EE5B19">
          <w:rPr>
            <w:rStyle w:val="Hyperlink"/>
            <w:rFonts w:ascii="Arial" w:hAnsi="Arial" w:cs="Arial"/>
          </w:rPr>
          <w:t>https://doi.org/10.1136/bmjqs-2013-001947</w:t>
        </w:r>
      </w:hyperlink>
      <w:r w:rsidRPr="00EE5B19">
        <w:rPr>
          <w:rFonts w:ascii="Arial" w:hAnsi="Arial" w:cs="Arial"/>
        </w:rPr>
        <w:t>.</w:t>
      </w:r>
    </w:p>
    <w:p w14:paraId="2A4BC76D"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Edmondson, A. (2019) </w:t>
      </w:r>
      <w:r w:rsidRPr="00EE5B19">
        <w:rPr>
          <w:rFonts w:ascii="Arial" w:hAnsi="Arial" w:cs="Arial"/>
          <w:i/>
          <w:iCs/>
        </w:rPr>
        <w:t>The Fearless Organization: Creating Psychological Safety in the Workplace for Learning, Innovation, and Growth - Book - Faculty &amp; Research - Harvard Business School</w:t>
      </w:r>
      <w:r w:rsidRPr="00EE5B19">
        <w:rPr>
          <w:rFonts w:ascii="Arial" w:hAnsi="Arial" w:cs="Arial"/>
        </w:rPr>
        <w:t xml:space="preserve">, </w:t>
      </w:r>
      <w:r w:rsidRPr="00EE5B19">
        <w:rPr>
          <w:rFonts w:ascii="Arial" w:hAnsi="Arial" w:cs="Arial"/>
          <w:i/>
          <w:iCs/>
        </w:rPr>
        <w:t>The Fearless Organization: Creating Psychological Safety in the Workplace for Learning, Innovation, and Growth</w:t>
      </w:r>
      <w:r w:rsidRPr="00EE5B19">
        <w:rPr>
          <w:rFonts w:ascii="Arial" w:hAnsi="Arial" w:cs="Arial"/>
        </w:rPr>
        <w:t xml:space="preserve">. Available at: </w:t>
      </w:r>
      <w:hyperlink r:id="rId27" w:history="1">
        <w:r w:rsidRPr="00EE5B19">
          <w:rPr>
            <w:rStyle w:val="Hyperlink"/>
            <w:rFonts w:ascii="Arial" w:hAnsi="Arial" w:cs="Arial"/>
          </w:rPr>
          <w:t>https://www.hbs.edu/faculty/Pages/item.aspx?num=54851&amp;</w:t>
        </w:r>
      </w:hyperlink>
      <w:r w:rsidRPr="00EE5B19">
        <w:rPr>
          <w:rFonts w:ascii="Arial" w:hAnsi="Arial" w:cs="Arial"/>
        </w:rPr>
        <w:t xml:space="preserve"> (Accessed: 1 August 2026).</w:t>
      </w:r>
    </w:p>
    <w:p w14:paraId="382E7498"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Elliott, R.A. </w:t>
      </w:r>
      <w:r w:rsidRPr="00EE5B19">
        <w:rPr>
          <w:rFonts w:ascii="Arial" w:hAnsi="Arial" w:cs="Arial"/>
          <w:i/>
          <w:iCs/>
        </w:rPr>
        <w:t>et al.</w:t>
      </w:r>
      <w:r w:rsidRPr="00EE5B19">
        <w:rPr>
          <w:rFonts w:ascii="Arial" w:hAnsi="Arial" w:cs="Arial"/>
        </w:rPr>
        <w:t xml:space="preserve"> (2021a) ‘Economic analysis of the prevalence and clinical and economic burden of medication error in England’, </w:t>
      </w:r>
      <w:r w:rsidRPr="00EE5B19">
        <w:rPr>
          <w:rFonts w:ascii="Arial" w:hAnsi="Arial" w:cs="Arial"/>
          <w:i/>
          <w:iCs/>
        </w:rPr>
        <w:t>BMJ quality &amp; safety</w:t>
      </w:r>
      <w:r w:rsidRPr="00EE5B19">
        <w:rPr>
          <w:rFonts w:ascii="Arial" w:hAnsi="Arial" w:cs="Arial"/>
        </w:rPr>
        <w:t xml:space="preserve">, 30(2), pp. 96–105. Available at: </w:t>
      </w:r>
      <w:hyperlink r:id="rId28" w:history="1">
        <w:r w:rsidRPr="00EE5B19">
          <w:rPr>
            <w:rStyle w:val="Hyperlink"/>
            <w:rFonts w:ascii="Arial" w:hAnsi="Arial" w:cs="Arial"/>
          </w:rPr>
          <w:t>https://doi.org/10.1136/bmjqs-2019-010206</w:t>
        </w:r>
      </w:hyperlink>
      <w:r w:rsidRPr="00EE5B19">
        <w:rPr>
          <w:rFonts w:ascii="Arial" w:hAnsi="Arial" w:cs="Arial"/>
        </w:rPr>
        <w:t>.</w:t>
      </w:r>
    </w:p>
    <w:p w14:paraId="3287B55B"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Exworthy, M. (2008) </w:t>
      </w:r>
      <w:r w:rsidRPr="00EE5B19">
        <w:rPr>
          <w:rFonts w:ascii="Arial" w:hAnsi="Arial" w:cs="Arial"/>
          <w:i/>
          <w:iCs/>
        </w:rPr>
        <w:t>Policy to tackle the social determinants of health: using conceptual models to understand the policy process | Health Policy and Planning | Oxford Academic</w:t>
      </w:r>
      <w:r w:rsidRPr="00EE5B19">
        <w:rPr>
          <w:rFonts w:ascii="Arial" w:hAnsi="Arial" w:cs="Arial"/>
        </w:rPr>
        <w:t xml:space="preserve">, </w:t>
      </w:r>
      <w:r w:rsidRPr="00EE5B19">
        <w:rPr>
          <w:rFonts w:ascii="Arial" w:hAnsi="Arial" w:cs="Arial"/>
          <w:i/>
          <w:iCs/>
        </w:rPr>
        <w:t>Policy to tackle the social determinants of health: using conceptual models to understand the policy process</w:t>
      </w:r>
      <w:r w:rsidRPr="00EE5B19">
        <w:rPr>
          <w:rFonts w:ascii="Arial" w:hAnsi="Arial" w:cs="Arial"/>
        </w:rPr>
        <w:t xml:space="preserve">. Available at: </w:t>
      </w:r>
      <w:hyperlink r:id="rId29" w:history="1">
        <w:r w:rsidRPr="00EE5B19">
          <w:rPr>
            <w:rStyle w:val="Hyperlink"/>
            <w:rFonts w:ascii="Arial" w:hAnsi="Arial" w:cs="Arial"/>
          </w:rPr>
          <w:t>https://academic.oup.com/heapol/article/23/5/318/615803</w:t>
        </w:r>
      </w:hyperlink>
      <w:r w:rsidRPr="00EE5B19">
        <w:rPr>
          <w:rFonts w:ascii="Arial" w:hAnsi="Arial" w:cs="Arial"/>
        </w:rPr>
        <w:t xml:space="preserve"> (Accessed: 1 August 2026).</w:t>
      </w:r>
    </w:p>
    <w:p w14:paraId="1B452BFE"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lastRenderedPageBreak/>
        <w:t xml:space="preserve">Francis, R. (2013) </w:t>
      </w:r>
      <w:r w:rsidRPr="00EE5B19">
        <w:rPr>
          <w:rFonts w:ascii="Arial" w:hAnsi="Arial" w:cs="Arial"/>
          <w:i/>
          <w:iCs/>
        </w:rPr>
        <w:t>Report of the Mid Staffordshire NHS Foundation Trust Public Inquiry</w:t>
      </w:r>
      <w:r w:rsidRPr="00EE5B19">
        <w:rPr>
          <w:rFonts w:ascii="Arial" w:hAnsi="Arial" w:cs="Arial"/>
        </w:rPr>
        <w:t>. London.</w:t>
      </w:r>
    </w:p>
    <w:p w14:paraId="47B57123"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Frédéric, V. (2015) ‘Erik Hollnagel: Safety-I and Safety-II, the past and future of safety management’, </w:t>
      </w:r>
      <w:r w:rsidRPr="00EE5B19">
        <w:rPr>
          <w:rFonts w:ascii="Arial" w:hAnsi="Arial" w:cs="Arial"/>
          <w:i/>
          <w:iCs/>
        </w:rPr>
        <w:t>Cognition, Technology &amp; Work</w:t>
      </w:r>
      <w:r w:rsidRPr="00EE5B19">
        <w:rPr>
          <w:rFonts w:ascii="Arial" w:hAnsi="Arial" w:cs="Arial"/>
        </w:rPr>
        <w:t xml:space="preserve">, 17, pp. 461–464. Available at: </w:t>
      </w:r>
      <w:hyperlink r:id="rId30" w:history="1">
        <w:r w:rsidRPr="00EE5B19">
          <w:rPr>
            <w:rStyle w:val="Hyperlink"/>
            <w:rFonts w:ascii="Arial" w:hAnsi="Arial" w:cs="Arial"/>
          </w:rPr>
          <w:t>https://doi.org/10.1007/s10111-015-0345-z</w:t>
        </w:r>
      </w:hyperlink>
      <w:r w:rsidRPr="00EE5B19">
        <w:rPr>
          <w:rFonts w:ascii="Arial" w:hAnsi="Arial" w:cs="Arial"/>
        </w:rPr>
        <w:t>.</w:t>
      </w:r>
    </w:p>
    <w:p w14:paraId="16C21898"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Glover, W.J., Nissinboim, N. and Naveh, E. (2020) ‘Examining innovation in hospital units: a complex adaptive systems approach’, </w:t>
      </w:r>
      <w:r w:rsidRPr="00EE5B19">
        <w:rPr>
          <w:rFonts w:ascii="Arial" w:hAnsi="Arial" w:cs="Arial"/>
          <w:i/>
          <w:iCs/>
        </w:rPr>
        <w:t>BMC Health Services Research</w:t>
      </w:r>
      <w:r w:rsidRPr="00EE5B19">
        <w:rPr>
          <w:rFonts w:ascii="Arial" w:hAnsi="Arial" w:cs="Arial"/>
        </w:rPr>
        <w:t xml:space="preserve">, 20, p. 554. Available at: </w:t>
      </w:r>
      <w:hyperlink r:id="rId31" w:history="1">
        <w:r w:rsidRPr="00EE5B19">
          <w:rPr>
            <w:rStyle w:val="Hyperlink"/>
            <w:rFonts w:ascii="Arial" w:hAnsi="Arial" w:cs="Arial"/>
          </w:rPr>
          <w:t>https://doi.org/10.1186/s12913-020-05403-2</w:t>
        </w:r>
      </w:hyperlink>
      <w:r w:rsidRPr="00EE5B19">
        <w:rPr>
          <w:rFonts w:ascii="Arial" w:hAnsi="Arial" w:cs="Arial"/>
        </w:rPr>
        <w:t>.</w:t>
      </w:r>
    </w:p>
    <w:p w14:paraId="2F3640A2" w14:textId="61E2320B"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GMC (</w:t>
      </w:r>
      <w:r w:rsidR="00630D48">
        <w:rPr>
          <w:rFonts w:ascii="Arial" w:hAnsi="Arial" w:cs="Arial"/>
        </w:rPr>
        <w:t>2024</w:t>
      </w:r>
      <w:r w:rsidRPr="00EE5B19">
        <w:rPr>
          <w:rFonts w:ascii="Arial" w:hAnsi="Arial" w:cs="Arial"/>
        </w:rPr>
        <w:t xml:space="preserve">) </w:t>
      </w:r>
      <w:r w:rsidRPr="00EE5B19">
        <w:rPr>
          <w:rFonts w:ascii="Arial" w:hAnsi="Arial" w:cs="Arial"/>
          <w:i/>
          <w:iCs/>
        </w:rPr>
        <w:t>Keeping up to date and ensuring safe prescribing</w:t>
      </w:r>
      <w:r w:rsidRPr="00EE5B19">
        <w:rPr>
          <w:rFonts w:ascii="Arial" w:hAnsi="Arial" w:cs="Arial"/>
        </w:rPr>
        <w:t xml:space="preserve">. Available at: </w:t>
      </w:r>
      <w:hyperlink r:id="rId32" w:history="1">
        <w:r w:rsidRPr="00EE5B19">
          <w:rPr>
            <w:rStyle w:val="Hyperlink"/>
            <w:rFonts w:ascii="Arial" w:hAnsi="Arial" w:cs="Arial"/>
          </w:rPr>
          <w:t>https://www.gmc-uk.org/professional-standards/the-professional-standards/good-practice-in-prescribing-and-managing-medicines-and-devices/keeping-up-to-date-and-ensuring-safe-prescribing</w:t>
        </w:r>
      </w:hyperlink>
      <w:r w:rsidRPr="00EE5B19">
        <w:rPr>
          <w:rFonts w:ascii="Arial" w:hAnsi="Arial" w:cs="Arial"/>
        </w:rPr>
        <w:t xml:space="preserve"> (Accessed: 31 July 2026).</w:t>
      </w:r>
    </w:p>
    <w:p w14:paraId="4F5A5048"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Goleman, D. (ed.) (2017) ‘Leadership Perspectives’, </w:t>
      </w:r>
      <w:r w:rsidRPr="00EE5B19">
        <w:rPr>
          <w:rFonts w:ascii="Arial" w:hAnsi="Arial" w:cs="Arial"/>
          <w:i/>
          <w:iCs/>
        </w:rPr>
        <w:t>Harvard Business Review</w:t>
      </w:r>
      <w:r w:rsidRPr="00EE5B19">
        <w:rPr>
          <w:rFonts w:ascii="Arial" w:hAnsi="Arial" w:cs="Arial"/>
        </w:rPr>
        <w:t xml:space="preserve">, p. 16. Available at: </w:t>
      </w:r>
      <w:hyperlink r:id="rId33" w:history="1">
        <w:r w:rsidRPr="00EE5B19">
          <w:rPr>
            <w:rStyle w:val="Hyperlink"/>
            <w:rFonts w:ascii="Arial" w:hAnsi="Arial" w:cs="Arial"/>
          </w:rPr>
          <w:t>https://doi.org/10.4324/9781315250601</w:t>
        </w:r>
      </w:hyperlink>
      <w:r w:rsidRPr="00EE5B19">
        <w:rPr>
          <w:rFonts w:ascii="Arial" w:hAnsi="Arial" w:cs="Arial"/>
        </w:rPr>
        <w:t>.</w:t>
      </w:r>
    </w:p>
    <w:p w14:paraId="56C6B44B" w14:textId="445A94F3"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Goodwin, N., Stein, K. and Amelung, V. (2017) ‘What Is Integrated Care?</w:t>
      </w:r>
      <w:r w:rsidR="00C95633">
        <w:rPr>
          <w:rFonts w:ascii="Arial" w:hAnsi="Arial" w:cs="Arial"/>
        </w:rPr>
        <w:t>’</w:t>
      </w:r>
      <w:r w:rsidRPr="00EE5B19">
        <w:rPr>
          <w:rFonts w:ascii="Arial" w:hAnsi="Arial" w:cs="Arial"/>
        </w:rPr>
        <w:t xml:space="preserve">, </w:t>
      </w:r>
      <w:r w:rsidRPr="00EE5B19">
        <w:rPr>
          <w:rFonts w:ascii="Arial" w:hAnsi="Arial" w:cs="Arial"/>
          <w:i/>
          <w:iCs/>
        </w:rPr>
        <w:t>https://assets.publishing.service.gov.uk/media/5a7ba0faed915d13110607c8/0947.pdf</w:t>
      </w:r>
      <w:r w:rsidRPr="00EE5B19">
        <w:rPr>
          <w:rFonts w:ascii="Arial" w:hAnsi="Arial" w:cs="Arial"/>
        </w:rPr>
        <w:t xml:space="preserve">. 1st edn. Springer. Available at: </w:t>
      </w:r>
      <w:hyperlink r:id="rId34" w:history="1">
        <w:r w:rsidRPr="00EE5B19">
          <w:rPr>
            <w:rStyle w:val="Hyperlink"/>
            <w:rFonts w:ascii="Arial" w:hAnsi="Arial" w:cs="Arial"/>
          </w:rPr>
          <w:t>https://doi.org/10.1007/978-3-319-56103-5_1</w:t>
        </w:r>
      </w:hyperlink>
      <w:r w:rsidRPr="00EE5B19">
        <w:rPr>
          <w:rFonts w:ascii="Arial" w:hAnsi="Arial" w:cs="Arial"/>
        </w:rPr>
        <w:t>.</w:t>
      </w:r>
    </w:p>
    <w:p w14:paraId="1FFF8ECB"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GPhC (2025) </w:t>
      </w:r>
      <w:r w:rsidRPr="00EE5B19">
        <w:rPr>
          <w:rFonts w:ascii="Arial" w:hAnsi="Arial" w:cs="Arial"/>
          <w:i/>
          <w:iCs/>
        </w:rPr>
        <w:t>Standards for pharmacy professionals | General Pharmaceutical Council</w:t>
      </w:r>
      <w:r w:rsidRPr="00EE5B19">
        <w:rPr>
          <w:rFonts w:ascii="Arial" w:hAnsi="Arial" w:cs="Arial"/>
        </w:rPr>
        <w:t xml:space="preserve">, </w:t>
      </w:r>
      <w:r w:rsidRPr="00EE5B19">
        <w:rPr>
          <w:rFonts w:ascii="Arial" w:hAnsi="Arial" w:cs="Arial"/>
          <w:i/>
          <w:iCs/>
        </w:rPr>
        <w:t>Standards for pharmacy professionals</w:t>
      </w:r>
      <w:r w:rsidRPr="00EE5B19">
        <w:rPr>
          <w:rFonts w:ascii="Arial" w:hAnsi="Arial" w:cs="Arial"/>
        </w:rPr>
        <w:t xml:space="preserve">. Available at: </w:t>
      </w:r>
      <w:hyperlink r:id="rId35" w:history="1">
        <w:r w:rsidRPr="00EE5B19">
          <w:rPr>
            <w:rStyle w:val="Hyperlink"/>
            <w:rFonts w:ascii="Arial" w:hAnsi="Arial" w:cs="Arial"/>
          </w:rPr>
          <w:t>https://www.pharmacyregulation.org/pharmacists/standards-and-guidance-pharmacy-professionals/standards-pharmacy-professionals</w:t>
        </w:r>
      </w:hyperlink>
      <w:r w:rsidRPr="00EE5B19">
        <w:rPr>
          <w:rFonts w:ascii="Arial" w:hAnsi="Arial" w:cs="Arial"/>
        </w:rPr>
        <w:t xml:space="preserve"> (Accessed: 1 August 2026).</w:t>
      </w:r>
    </w:p>
    <w:p w14:paraId="2A15CAA7"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Greenhalgh, T. </w:t>
      </w:r>
      <w:r w:rsidRPr="00EE5B19">
        <w:rPr>
          <w:rFonts w:ascii="Arial" w:hAnsi="Arial" w:cs="Arial"/>
          <w:i/>
          <w:iCs/>
        </w:rPr>
        <w:t>et al.</w:t>
      </w:r>
      <w:r w:rsidRPr="00EE5B19">
        <w:rPr>
          <w:rFonts w:ascii="Arial" w:hAnsi="Arial" w:cs="Arial"/>
        </w:rPr>
        <w:t xml:space="preserve"> (2004) ‘Diffusion of Innovations in Service Organizations: Systematic Review and Recommendations’, </w:t>
      </w:r>
      <w:r w:rsidRPr="00EE5B19">
        <w:rPr>
          <w:rFonts w:ascii="Arial" w:hAnsi="Arial" w:cs="Arial"/>
          <w:i/>
          <w:iCs/>
        </w:rPr>
        <w:t>The Milbank Quarterly</w:t>
      </w:r>
      <w:r w:rsidRPr="00EE5B19">
        <w:rPr>
          <w:rFonts w:ascii="Arial" w:hAnsi="Arial" w:cs="Arial"/>
        </w:rPr>
        <w:t xml:space="preserve">, 82(4), pp. 581–629. Available at: </w:t>
      </w:r>
      <w:hyperlink r:id="rId36" w:history="1">
        <w:r w:rsidRPr="00EE5B19">
          <w:rPr>
            <w:rStyle w:val="Hyperlink"/>
            <w:rFonts w:ascii="Arial" w:hAnsi="Arial" w:cs="Arial"/>
          </w:rPr>
          <w:t>https://doi.org/10.1111/j.0887-378X.2004.00325.x</w:t>
        </w:r>
      </w:hyperlink>
      <w:r w:rsidRPr="00EE5B19">
        <w:rPr>
          <w:rFonts w:ascii="Arial" w:hAnsi="Arial" w:cs="Arial"/>
        </w:rPr>
        <w:t>.</w:t>
      </w:r>
    </w:p>
    <w:p w14:paraId="210C3865"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Hall, N. </w:t>
      </w:r>
      <w:r w:rsidRPr="00EE5B19">
        <w:rPr>
          <w:rFonts w:ascii="Arial" w:hAnsi="Arial" w:cs="Arial"/>
          <w:i/>
          <w:iCs/>
        </w:rPr>
        <w:t>et al.</w:t>
      </w:r>
      <w:r w:rsidRPr="00EE5B19">
        <w:rPr>
          <w:rFonts w:ascii="Arial" w:hAnsi="Arial" w:cs="Arial"/>
        </w:rPr>
        <w:t xml:space="preserve"> (2022) ‘Exploration of prescribing error reporting across primary care: a qualitative study’, </w:t>
      </w:r>
      <w:r w:rsidRPr="00EE5B19">
        <w:rPr>
          <w:rFonts w:ascii="Arial" w:hAnsi="Arial" w:cs="Arial"/>
          <w:i/>
          <w:iCs/>
        </w:rPr>
        <w:t>BMJ Open</w:t>
      </w:r>
      <w:r w:rsidRPr="00EE5B19">
        <w:rPr>
          <w:rFonts w:ascii="Arial" w:hAnsi="Arial" w:cs="Arial"/>
        </w:rPr>
        <w:t xml:space="preserve">, 12(1), p. e050283. Available at: </w:t>
      </w:r>
      <w:hyperlink r:id="rId37" w:history="1">
        <w:r w:rsidRPr="00EE5B19">
          <w:rPr>
            <w:rStyle w:val="Hyperlink"/>
            <w:rFonts w:ascii="Arial" w:hAnsi="Arial" w:cs="Arial"/>
          </w:rPr>
          <w:t>https://doi.org/10.1136/bmjopen-2021-050283</w:t>
        </w:r>
      </w:hyperlink>
      <w:r w:rsidRPr="00EE5B19">
        <w:rPr>
          <w:rFonts w:ascii="Arial" w:hAnsi="Arial" w:cs="Arial"/>
        </w:rPr>
        <w:t>.</w:t>
      </w:r>
    </w:p>
    <w:p w14:paraId="6CDC385B"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Ham, C. (2014) </w:t>
      </w:r>
      <w:r w:rsidRPr="00EE5B19">
        <w:rPr>
          <w:rFonts w:ascii="Arial" w:hAnsi="Arial" w:cs="Arial"/>
          <w:i/>
          <w:iCs/>
        </w:rPr>
        <w:t>Reforming The NHS From Within</w:t>
      </w:r>
      <w:r w:rsidRPr="00EE5B19">
        <w:rPr>
          <w:rFonts w:ascii="Arial" w:hAnsi="Arial" w:cs="Arial"/>
        </w:rPr>
        <w:t xml:space="preserve">, </w:t>
      </w:r>
      <w:r w:rsidRPr="00EE5B19">
        <w:rPr>
          <w:rFonts w:ascii="Arial" w:hAnsi="Arial" w:cs="Arial"/>
          <w:i/>
          <w:iCs/>
        </w:rPr>
        <w:t>Reforming the NHS from within</w:t>
      </w:r>
      <w:r w:rsidRPr="00EE5B19">
        <w:rPr>
          <w:rFonts w:ascii="Arial" w:hAnsi="Arial" w:cs="Arial"/>
        </w:rPr>
        <w:t xml:space="preserve">. The King’s Fund. Available at: </w:t>
      </w:r>
      <w:hyperlink r:id="rId38" w:history="1">
        <w:r w:rsidRPr="00EE5B19">
          <w:rPr>
            <w:rStyle w:val="Hyperlink"/>
            <w:rFonts w:ascii="Arial" w:hAnsi="Arial" w:cs="Arial"/>
          </w:rPr>
          <w:t>https://www.kingsfund.org.uk/insight-and-analysis/reports/reforming-nhs-within</w:t>
        </w:r>
      </w:hyperlink>
      <w:r w:rsidRPr="00EE5B19">
        <w:rPr>
          <w:rFonts w:ascii="Arial" w:hAnsi="Arial" w:cs="Arial"/>
        </w:rPr>
        <w:t xml:space="preserve"> (Accessed: 1 August 2026).</w:t>
      </w:r>
    </w:p>
    <w:p w14:paraId="576AE7B4"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van der Heijden, J. (2022) ‘The Value of Systems Thinking for and in Regulatory Governance: An Evidence Synthesis’, </w:t>
      </w:r>
      <w:r w:rsidRPr="00EE5B19">
        <w:rPr>
          <w:rFonts w:ascii="Arial" w:hAnsi="Arial" w:cs="Arial"/>
          <w:i/>
          <w:iCs/>
        </w:rPr>
        <w:t>Sage Open</w:t>
      </w:r>
      <w:r w:rsidRPr="00EE5B19">
        <w:rPr>
          <w:rFonts w:ascii="Arial" w:hAnsi="Arial" w:cs="Arial"/>
        </w:rPr>
        <w:t xml:space="preserve">, 12(2), p. 21582440221106172. Available at: </w:t>
      </w:r>
      <w:hyperlink r:id="rId39" w:history="1">
        <w:r w:rsidRPr="00EE5B19">
          <w:rPr>
            <w:rStyle w:val="Hyperlink"/>
            <w:rFonts w:ascii="Arial" w:hAnsi="Arial" w:cs="Arial"/>
          </w:rPr>
          <w:t>https://doi.org/10.1177/21582440221106172</w:t>
        </w:r>
      </w:hyperlink>
      <w:r w:rsidRPr="00EE5B19">
        <w:rPr>
          <w:rFonts w:ascii="Arial" w:hAnsi="Arial" w:cs="Arial"/>
        </w:rPr>
        <w:t>.</w:t>
      </w:r>
    </w:p>
    <w:p w14:paraId="3B47CCEB"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Hollnagel, E. (2018) </w:t>
      </w:r>
      <w:r w:rsidRPr="00EE5B19">
        <w:rPr>
          <w:rFonts w:ascii="Arial" w:hAnsi="Arial" w:cs="Arial"/>
          <w:i/>
          <w:iCs/>
        </w:rPr>
        <w:t>Safety-I and Safety-II: The Past and Future of Safety Management</w:t>
      </w:r>
      <w:r w:rsidRPr="00EE5B19">
        <w:rPr>
          <w:rFonts w:ascii="Arial" w:hAnsi="Arial" w:cs="Arial"/>
        </w:rPr>
        <w:t xml:space="preserve">. London: CRC Press. Available at: </w:t>
      </w:r>
      <w:hyperlink r:id="rId40" w:history="1">
        <w:r w:rsidRPr="00EE5B19">
          <w:rPr>
            <w:rStyle w:val="Hyperlink"/>
            <w:rFonts w:ascii="Arial" w:hAnsi="Arial" w:cs="Arial"/>
          </w:rPr>
          <w:t>https://doi.org/10.1201/9781315607511</w:t>
        </w:r>
      </w:hyperlink>
      <w:r w:rsidRPr="00EE5B19">
        <w:rPr>
          <w:rFonts w:ascii="Arial" w:hAnsi="Arial" w:cs="Arial"/>
        </w:rPr>
        <w:t>.</w:t>
      </w:r>
    </w:p>
    <w:p w14:paraId="4C8D15C2"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lastRenderedPageBreak/>
        <w:t xml:space="preserve">Hughes, R.G. and Blegen, M.A. (2008) ‘Medication Administration Safety’, in R.G. Hughes (ed.) </w:t>
      </w:r>
      <w:r w:rsidRPr="00EE5B19">
        <w:rPr>
          <w:rFonts w:ascii="Arial" w:hAnsi="Arial" w:cs="Arial"/>
          <w:i/>
          <w:iCs/>
        </w:rPr>
        <w:t>Patient Safety and Quality: An Evidence-Based Handbook for Nurses</w:t>
      </w:r>
      <w:r w:rsidRPr="00EE5B19">
        <w:rPr>
          <w:rFonts w:ascii="Arial" w:hAnsi="Arial" w:cs="Arial"/>
        </w:rPr>
        <w:t xml:space="preserve">. Rockville (MD): Agency for Healthcare Research and Quality (US) (Advances in Patient Safety). Available at: </w:t>
      </w:r>
      <w:hyperlink r:id="rId41" w:history="1">
        <w:r w:rsidRPr="00EE5B19">
          <w:rPr>
            <w:rStyle w:val="Hyperlink"/>
            <w:rFonts w:ascii="Arial" w:hAnsi="Arial" w:cs="Arial"/>
          </w:rPr>
          <w:t>http://www.ncbi.nlm.nih.gov/books/NBK2656/</w:t>
        </w:r>
      </w:hyperlink>
      <w:r w:rsidRPr="00EE5B19">
        <w:rPr>
          <w:rFonts w:ascii="Arial" w:hAnsi="Arial" w:cs="Arial"/>
        </w:rPr>
        <w:t xml:space="preserve"> (Accessed: 1 August 2026).</w:t>
      </w:r>
    </w:p>
    <w:p w14:paraId="5B888AC4"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IHI (2022) </w:t>
      </w:r>
      <w:r w:rsidRPr="00EE5B19">
        <w:rPr>
          <w:rFonts w:ascii="Arial" w:hAnsi="Arial" w:cs="Arial"/>
          <w:i/>
          <w:iCs/>
        </w:rPr>
        <w:t>Patient Safety Essentials Toolkit | Institute for Healthcare Improvement</w:t>
      </w:r>
      <w:r w:rsidRPr="00EE5B19">
        <w:rPr>
          <w:rFonts w:ascii="Arial" w:hAnsi="Arial" w:cs="Arial"/>
        </w:rPr>
        <w:t xml:space="preserve">, </w:t>
      </w:r>
      <w:r w:rsidRPr="00EE5B19">
        <w:rPr>
          <w:rFonts w:ascii="Arial" w:hAnsi="Arial" w:cs="Arial"/>
          <w:i/>
          <w:iCs/>
        </w:rPr>
        <w:t>nstitute for Healthcare Improvement (2022) Patient Safety Essentials Toolkit. Boston: IHI.</w:t>
      </w:r>
      <w:r w:rsidRPr="00EE5B19">
        <w:rPr>
          <w:rFonts w:ascii="Arial" w:hAnsi="Arial" w:cs="Arial"/>
        </w:rPr>
        <w:t xml:space="preserve"> Institute for Healthcare Improvement. Available at: </w:t>
      </w:r>
      <w:hyperlink r:id="rId42" w:history="1">
        <w:r w:rsidRPr="00EE5B19">
          <w:rPr>
            <w:rStyle w:val="Hyperlink"/>
            <w:rFonts w:ascii="Arial" w:hAnsi="Arial" w:cs="Arial"/>
          </w:rPr>
          <w:t>https://www.ihi.org/library/tools/patient-safety-essentials-toolkit</w:t>
        </w:r>
      </w:hyperlink>
      <w:r w:rsidRPr="00EE5B19">
        <w:rPr>
          <w:rFonts w:ascii="Arial" w:hAnsi="Arial" w:cs="Arial"/>
        </w:rPr>
        <w:t xml:space="preserve"> (Accessed: 1 August 2026).</w:t>
      </w:r>
    </w:p>
    <w:p w14:paraId="2040727F"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Institute of Medicine (2000) </w:t>
      </w:r>
      <w:r w:rsidRPr="00EE5B19">
        <w:rPr>
          <w:rFonts w:ascii="Arial" w:hAnsi="Arial" w:cs="Arial"/>
          <w:i/>
          <w:iCs/>
        </w:rPr>
        <w:t>To Err is Human: Building a Safer Health System</w:t>
      </w:r>
      <w:r w:rsidRPr="00EE5B19">
        <w:rPr>
          <w:rFonts w:ascii="Arial" w:hAnsi="Arial" w:cs="Arial"/>
        </w:rPr>
        <w:t xml:space="preserve">. Edited by L.T. Kohn, J.M. Corrigan, and M.S. Donaldson. Washington (DC): National Academies Press (US). Available at: </w:t>
      </w:r>
      <w:hyperlink r:id="rId43" w:history="1">
        <w:r w:rsidRPr="00EE5B19">
          <w:rPr>
            <w:rStyle w:val="Hyperlink"/>
            <w:rFonts w:ascii="Arial" w:hAnsi="Arial" w:cs="Arial"/>
          </w:rPr>
          <w:t>http://www.ncbi.nlm.nih.gov/books/NBK225182/</w:t>
        </w:r>
      </w:hyperlink>
      <w:r w:rsidRPr="00EE5B19">
        <w:rPr>
          <w:rFonts w:ascii="Arial" w:hAnsi="Arial" w:cs="Arial"/>
        </w:rPr>
        <w:t xml:space="preserve"> (Accessed: 1 August 2026).</w:t>
      </w:r>
    </w:p>
    <w:p w14:paraId="63753E30"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ISMP (2021) ‘2020-2021 ISMP Targeted Medication Safety Best Practices for Hospitals’, </w:t>
      </w:r>
      <w:r w:rsidRPr="00EE5B19">
        <w:rPr>
          <w:rFonts w:ascii="Arial" w:hAnsi="Arial" w:cs="Arial"/>
          <w:i/>
          <w:iCs/>
        </w:rPr>
        <w:t>Institute for Sale Medication Practice</w:t>
      </w:r>
      <w:r w:rsidRPr="00EE5B19">
        <w:rPr>
          <w:rFonts w:ascii="Arial" w:hAnsi="Arial" w:cs="Arial"/>
        </w:rPr>
        <w:t xml:space="preserve"> [Preprint]. Available at: </w:t>
      </w:r>
      <w:hyperlink r:id="rId44" w:history="1">
        <w:r w:rsidRPr="00EE5B19">
          <w:rPr>
            <w:rStyle w:val="Hyperlink"/>
            <w:rFonts w:ascii="Arial" w:hAnsi="Arial" w:cs="Arial"/>
          </w:rPr>
          <w:t>https://www.ismp.org/sites/default/files/attachments/2020-02/2020-2021%20TMSBP-%20FINAL_1.pdf</w:t>
        </w:r>
      </w:hyperlink>
      <w:r w:rsidRPr="00EE5B19">
        <w:rPr>
          <w:rFonts w:ascii="Arial" w:hAnsi="Arial" w:cs="Arial"/>
        </w:rPr>
        <w:t>.</w:t>
      </w:r>
    </w:p>
    <w:p w14:paraId="23DF9F4A"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Khalilov, E. (2023) </w:t>
      </w:r>
      <w:r w:rsidRPr="00EE5B19">
        <w:rPr>
          <w:rFonts w:ascii="Arial" w:hAnsi="Arial" w:cs="Arial"/>
          <w:i/>
          <w:iCs/>
        </w:rPr>
        <w:t>to Understand the Complexities of Centralized and Decentralized Approaches in Managing Organizational Change and Innovation</w:t>
      </w:r>
      <w:r w:rsidRPr="00EE5B19">
        <w:rPr>
          <w:rFonts w:ascii="Arial" w:hAnsi="Arial" w:cs="Arial"/>
        </w:rPr>
        <w:t xml:space="preserve">. Available at: </w:t>
      </w:r>
      <w:hyperlink r:id="rId45" w:history="1">
        <w:r w:rsidRPr="00EE5B19">
          <w:rPr>
            <w:rStyle w:val="Hyperlink"/>
            <w:rFonts w:ascii="Arial" w:hAnsi="Arial" w:cs="Arial"/>
          </w:rPr>
          <w:t>https://doi.org/10.13140/RG.2.2.17776.02565</w:t>
        </w:r>
      </w:hyperlink>
      <w:r w:rsidRPr="00EE5B19">
        <w:rPr>
          <w:rFonts w:ascii="Arial" w:hAnsi="Arial" w:cs="Arial"/>
        </w:rPr>
        <w:t>.</w:t>
      </w:r>
    </w:p>
    <w:p w14:paraId="54EEAA48"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Kneck, Å. </w:t>
      </w:r>
      <w:r w:rsidRPr="00EE5B19">
        <w:rPr>
          <w:rFonts w:ascii="Arial" w:hAnsi="Arial" w:cs="Arial"/>
          <w:i/>
          <w:iCs/>
        </w:rPr>
        <w:t>et al.</w:t>
      </w:r>
      <w:r w:rsidRPr="00EE5B19">
        <w:rPr>
          <w:rFonts w:ascii="Arial" w:hAnsi="Arial" w:cs="Arial"/>
        </w:rPr>
        <w:t xml:space="preserve"> (no date) ‘The Information Flow in a Healthcare Organisation with Integrated Units’, </w:t>
      </w:r>
      <w:r w:rsidRPr="00EE5B19">
        <w:rPr>
          <w:rFonts w:ascii="Arial" w:hAnsi="Arial" w:cs="Arial"/>
          <w:i/>
          <w:iCs/>
        </w:rPr>
        <w:t>International Journal of Integrated Care</w:t>
      </w:r>
      <w:r w:rsidRPr="00EE5B19">
        <w:rPr>
          <w:rFonts w:ascii="Arial" w:hAnsi="Arial" w:cs="Arial"/>
        </w:rPr>
        <w:t xml:space="preserve">, 19(3), p. 20. Available at: </w:t>
      </w:r>
      <w:hyperlink r:id="rId46" w:history="1">
        <w:r w:rsidRPr="00EE5B19">
          <w:rPr>
            <w:rStyle w:val="Hyperlink"/>
            <w:rFonts w:ascii="Arial" w:hAnsi="Arial" w:cs="Arial"/>
          </w:rPr>
          <w:t>https://doi.org/10.5334/ijic.4192</w:t>
        </w:r>
      </w:hyperlink>
      <w:r w:rsidRPr="00EE5B19">
        <w:rPr>
          <w:rFonts w:ascii="Arial" w:hAnsi="Arial" w:cs="Arial"/>
        </w:rPr>
        <w:t>.</w:t>
      </w:r>
    </w:p>
    <w:p w14:paraId="1204771E" w14:textId="77777777" w:rsidR="00C95633" w:rsidRDefault="003C51A5" w:rsidP="00C95633">
      <w:pPr>
        <w:pStyle w:val="ListParagraph"/>
        <w:numPr>
          <w:ilvl w:val="0"/>
          <w:numId w:val="9"/>
        </w:numPr>
        <w:spacing w:line="360" w:lineRule="auto"/>
        <w:jc w:val="both"/>
        <w:rPr>
          <w:rFonts w:ascii="Arial" w:hAnsi="Arial" w:cs="Arial"/>
        </w:rPr>
      </w:pPr>
      <w:r w:rsidRPr="00EE5B19">
        <w:rPr>
          <w:rFonts w:ascii="Arial" w:hAnsi="Arial" w:cs="Arial"/>
        </w:rPr>
        <w:t xml:space="preserve">McGregor, D. (1960) </w:t>
      </w:r>
      <w:r w:rsidRPr="00EE5B19">
        <w:rPr>
          <w:rFonts w:ascii="Arial" w:hAnsi="Arial" w:cs="Arial"/>
          <w:i/>
          <w:iCs/>
        </w:rPr>
        <w:t>The Human Side of Enterprise</w:t>
      </w:r>
      <w:r w:rsidRPr="00EE5B19">
        <w:rPr>
          <w:rFonts w:ascii="Arial" w:hAnsi="Arial" w:cs="Arial"/>
        </w:rPr>
        <w:t>. 1st edn. New York: McGraw-Hill Book Co.</w:t>
      </w:r>
    </w:p>
    <w:p w14:paraId="292ACCAB" w14:textId="205257F1" w:rsidR="003C51A5" w:rsidRPr="00C95633" w:rsidRDefault="003C51A5" w:rsidP="00C95633">
      <w:pPr>
        <w:pStyle w:val="ListParagraph"/>
        <w:numPr>
          <w:ilvl w:val="0"/>
          <w:numId w:val="9"/>
        </w:numPr>
        <w:spacing w:line="360" w:lineRule="auto"/>
        <w:jc w:val="both"/>
        <w:rPr>
          <w:rFonts w:ascii="Arial" w:hAnsi="Arial" w:cs="Arial"/>
        </w:rPr>
      </w:pPr>
      <w:r w:rsidRPr="00C95633">
        <w:rPr>
          <w:rFonts w:ascii="Arial" w:hAnsi="Arial" w:cs="Arial"/>
        </w:rPr>
        <w:t xml:space="preserve">MHRA (2020) </w:t>
      </w:r>
      <w:r w:rsidRPr="00C95633">
        <w:rPr>
          <w:rFonts w:ascii="Arial" w:hAnsi="Arial" w:cs="Arial"/>
          <w:i/>
          <w:iCs/>
        </w:rPr>
        <w:t>Drug Safety Update</w:t>
      </w:r>
      <w:r w:rsidRPr="00C95633">
        <w:rPr>
          <w:rFonts w:ascii="Arial" w:hAnsi="Arial" w:cs="Arial"/>
        </w:rPr>
        <w:t xml:space="preserve">, </w:t>
      </w:r>
      <w:r w:rsidRPr="00C95633">
        <w:rPr>
          <w:rFonts w:ascii="Arial" w:hAnsi="Arial" w:cs="Arial"/>
          <w:i/>
          <w:iCs/>
        </w:rPr>
        <w:t>GOV.UK</w:t>
      </w:r>
      <w:r w:rsidRPr="00C95633">
        <w:rPr>
          <w:rFonts w:ascii="Arial" w:hAnsi="Arial" w:cs="Arial"/>
        </w:rPr>
        <w:t xml:space="preserve">. Medicines and Healthcare products Regulatory Agency. Available at: </w:t>
      </w:r>
      <w:hyperlink r:id="rId47" w:history="1">
        <w:r w:rsidRPr="00C95633">
          <w:rPr>
            <w:rStyle w:val="Hyperlink"/>
            <w:rFonts w:ascii="Arial" w:hAnsi="Arial" w:cs="Arial"/>
          </w:rPr>
          <w:t>https://www.gov.uk/drug-safety-update</w:t>
        </w:r>
      </w:hyperlink>
      <w:r w:rsidRPr="00C95633">
        <w:rPr>
          <w:rFonts w:ascii="Arial" w:hAnsi="Arial" w:cs="Arial"/>
        </w:rPr>
        <w:t xml:space="preserve"> (Accessed: August 2026).</w:t>
      </w:r>
    </w:p>
    <w:p w14:paraId="69FA773D"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Mohr, H., Johnson, J.K. and Barach, P. (2026) ‘Patient Safety’, in C. Eldredge et al. (eds) </w:t>
      </w:r>
      <w:r w:rsidRPr="00EE5B19">
        <w:rPr>
          <w:rFonts w:ascii="Arial" w:hAnsi="Arial" w:cs="Arial"/>
          <w:i/>
          <w:iCs/>
        </w:rPr>
        <w:t>Introductory Textbook in Health Informatics</w:t>
      </w:r>
      <w:r w:rsidRPr="00EE5B19">
        <w:rPr>
          <w:rFonts w:ascii="Arial" w:hAnsi="Arial" w:cs="Arial"/>
        </w:rPr>
        <w:t xml:space="preserve">. Cham: Springer Nature Switzerland, pp. 219–234. Available at: </w:t>
      </w:r>
      <w:hyperlink r:id="rId48" w:history="1">
        <w:r w:rsidRPr="00EE5B19">
          <w:rPr>
            <w:rStyle w:val="Hyperlink"/>
            <w:rFonts w:ascii="Arial" w:hAnsi="Arial" w:cs="Arial"/>
          </w:rPr>
          <w:t>https://doi.org/10.1007/978-3-032-16657-9_20</w:t>
        </w:r>
      </w:hyperlink>
      <w:r w:rsidRPr="00EE5B19">
        <w:rPr>
          <w:rFonts w:ascii="Arial" w:hAnsi="Arial" w:cs="Arial"/>
        </w:rPr>
        <w:t>.</w:t>
      </w:r>
    </w:p>
    <w:p w14:paraId="48BD4510"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Murray, M. and Cope, V. (2021) ‘Leadership: Patient safety depends on it!’, </w:t>
      </w:r>
      <w:r w:rsidRPr="00EE5B19">
        <w:rPr>
          <w:rFonts w:ascii="Arial" w:hAnsi="Arial" w:cs="Arial"/>
          <w:i/>
          <w:iCs/>
        </w:rPr>
        <w:t>Collegian</w:t>
      </w:r>
      <w:r w:rsidRPr="00EE5B19">
        <w:rPr>
          <w:rFonts w:ascii="Arial" w:hAnsi="Arial" w:cs="Arial"/>
        </w:rPr>
        <w:t xml:space="preserve">, 28(6), pp. 604–609. Available at: </w:t>
      </w:r>
      <w:hyperlink r:id="rId49" w:history="1">
        <w:r w:rsidRPr="00EE5B19">
          <w:rPr>
            <w:rStyle w:val="Hyperlink"/>
            <w:rFonts w:ascii="Arial" w:hAnsi="Arial" w:cs="Arial"/>
          </w:rPr>
          <w:t>https://doi.org/10.1016/j.colegn.2021.07.004</w:t>
        </w:r>
      </w:hyperlink>
      <w:r w:rsidRPr="00EE5B19">
        <w:rPr>
          <w:rFonts w:ascii="Arial" w:hAnsi="Arial" w:cs="Arial"/>
        </w:rPr>
        <w:t>.</w:t>
      </w:r>
    </w:p>
    <w:p w14:paraId="200F51DA"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NGO (2024) </w:t>
      </w:r>
      <w:r w:rsidRPr="00EE5B19">
        <w:rPr>
          <w:rFonts w:ascii="Arial" w:hAnsi="Arial" w:cs="Arial"/>
          <w:i/>
          <w:iCs/>
        </w:rPr>
        <w:t>The National Guardian’s Office - Freedom to Speak Up</w:t>
      </w:r>
      <w:r w:rsidRPr="00EE5B19">
        <w:rPr>
          <w:rFonts w:ascii="Arial" w:hAnsi="Arial" w:cs="Arial"/>
        </w:rPr>
        <w:t xml:space="preserve">, </w:t>
      </w:r>
      <w:r w:rsidRPr="00EE5B19">
        <w:rPr>
          <w:rFonts w:ascii="Arial" w:hAnsi="Arial" w:cs="Arial"/>
          <w:i/>
          <w:iCs/>
        </w:rPr>
        <w:t>National Guardian’s Office</w:t>
      </w:r>
      <w:r w:rsidRPr="00EE5B19">
        <w:rPr>
          <w:rFonts w:ascii="Arial" w:hAnsi="Arial" w:cs="Arial"/>
        </w:rPr>
        <w:t xml:space="preserve">. Available at: </w:t>
      </w:r>
      <w:hyperlink r:id="rId50" w:history="1">
        <w:r w:rsidRPr="00EE5B19">
          <w:rPr>
            <w:rStyle w:val="Hyperlink"/>
            <w:rFonts w:ascii="Arial" w:hAnsi="Arial" w:cs="Arial"/>
          </w:rPr>
          <w:t>https://nationalguardian.org.uk/</w:t>
        </w:r>
      </w:hyperlink>
      <w:r w:rsidRPr="00EE5B19">
        <w:rPr>
          <w:rFonts w:ascii="Arial" w:hAnsi="Arial" w:cs="Arial"/>
        </w:rPr>
        <w:t xml:space="preserve"> (Accessed: 1 August 2026).</w:t>
      </w:r>
    </w:p>
    <w:p w14:paraId="06C3E646"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lastRenderedPageBreak/>
        <w:t xml:space="preserve">NHS Confederation (2022) ‘NHS England » What is integrated care?’ Available at: </w:t>
      </w:r>
      <w:hyperlink r:id="rId51" w:history="1">
        <w:r w:rsidRPr="00EE5B19">
          <w:rPr>
            <w:rStyle w:val="Hyperlink"/>
            <w:rFonts w:ascii="Arial" w:hAnsi="Arial" w:cs="Arial"/>
          </w:rPr>
          <w:t>https://www.england.nhs.uk/integratedcare/what-is-integrated-care/</w:t>
        </w:r>
      </w:hyperlink>
      <w:r w:rsidRPr="00EE5B19">
        <w:rPr>
          <w:rFonts w:ascii="Arial" w:hAnsi="Arial" w:cs="Arial"/>
        </w:rPr>
        <w:t xml:space="preserve"> (Accessed: 1 August 2026).</w:t>
      </w:r>
    </w:p>
    <w:p w14:paraId="584D6D47" w14:textId="77777777" w:rsidR="0036725E" w:rsidRDefault="003C51A5" w:rsidP="0036725E">
      <w:pPr>
        <w:pStyle w:val="ListParagraph"/>
        <w:numPr>
          <w:ilvl w:val="0"/>
          <w:numId w:val="9"/>
        </w:numPr>
        <w:spacing w:line="360" w:lineRule="auto"/>
        <w:jc w:val="both"/>
        <w:rPr>
          <w:rFonts w:ascii="Arial" w:hAnsi="Arial" w:cs="Arial"/>
        </w:rPr>
      </w:pPr>
      <w:r w:rsidRPr="00EE5B19">
        <w:rPr>
          <w:rFonts w:ascii="Arial" w:hAnsi="Arial" w:cs="Arial"/>
        </w:rPr>
        <w:t xml:space="preserve">NHS England (2019a) ‘NHS England » The NHS Patient Safety Strategy’. Available at: </w:t>
      </w:r>
      <w:hyperlink r:id="rId52" w:history="1">
        <w:r w:rsidRPr="00EE5B19">
          <w:rPr>
            <w:rStyle w:val="Hyperlink"/>
            <w:rFonts w:ascii="Arial" w:hAnsi="Arial" w:cs="Arial"/>
          </w:rPr>
          <w:t>https://www.england.nhs.uk/patient-safety/the-nhs-patient-safety-strategy/</w:t>
        </w:r>
      </w:hyperlink>
      <w:r w:rsidRPr="00EE5B19">
        <w:rPr>
          <w:rFonts w:ascii="Arial" w:hAnsi="Arial" w:cs="Arial"/>
        </w:rPr>
        <w:t xml:space="preserve"> (Accessed: 1 August 2026).</w:t>
      </w:r>
    </w:p>
    <w:p w14:paraId="70B5CDF0" w14:textId="41622C4F" w:rsidR="003C51A5" w:rsidRPr="0036725E" w:rsidRDefault="003C51A5" w:rsidP="0036725E">
      <w:pPr>
        <w:pStyle w:val="ListParagraph"/>
        <w:numPr>
          <w:ilvl w:val="0"/>
          <w:numId w:val="9"/>
        </w:numPr>
        <w:spacing w:line="360" w:lineRule="auto"/>
        <w:jc w:val="both"/>
        <w:rPr>
          <w:rFonts w:ascii="Arial" w:hAnsi="Arial" w:cs="Arial"/>
        </w:rPr>
      </w:pPr>
      <w:r w:rsidRPr="0036725E">
        <w:rPr>
          <w:rFonts w:ascii="Arial" w:hAnsi="Arial" w:cs="Arial"/>
        </w:rPr>
        <w:t>NHS England (2019</w:t>
      </w:r>
      <w:r w:rsidR="0036725E">
        <w:rPr>
          <w:rFonts w:ascii="Arial" w:hAnsi="Arial" w:cs="Arial"/>
        </w:rPr>
        <w:t>b</w:t>
      </w:r>
      <w:r w:rsidRPr="0036725E">
        <w:rPr>
          <w:rFonts w:ascii="Arial" w:hAnsi="Arial" w:cs="Arial"/>
        </w:rPr>
        <w:t xml:space="preserve">) </w:t>
      </w:r>
      <w:r w:rsidRPr="0036725E">
        <w:rPr>
          <w:rFonts w:ascii="Arial" w:hAnsi="Arial" w:cs="Arial"/>
          <w:i/>
          <w:iCs/>
        </w:rPr>
        <w:t>The NHS Patient Safety Strategy NHSI</w:t>
      </w:r>
      <w:r w:rsidRPr="0036725E">
        <w:rPr>
          <w:rFonts w:ascii="Arial" w:hAnsi="Arial" w:cs="Arial"/>
        </w:rPr>
        <w:t xml:space="preserve">, p. 84. Available at: </w:t>
      </w:r>
      <w:hyperlink r:id="rId53" w:history="1">
        <w:r w:rsidRPr="0036725E">
          <w:rPr>
            <w:rStyle w:val="Hyperlink"/>
            <w:rFonts w:ascii="Arial" w:hAnsi="Arial" w:cs="Arial"/>
          </w:rPr>
          <w:t>https://www.england.nhs.uk/aac/wp-content/uploads/2020/08/190708_Patient_Safety_Strategy_for_website_v4.pdf</w:t>
        </w:r>
      </w:hyperlink>
      <w:r w:rsidRPr="0036725E">
        <w:rPr>
          <w:rFonts w:ascii="Arial" w:hAnsi="Arial" w:cs="Arial"/>
        </w:rPr>
        <w:t>.</w:t>
      </w:r>
    </w:p>
    <w:p w14:paraId="09AA7231"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NHS England (2022) ‘NHS England » The NHS Patient Safety Strategy’. Available at: </w:t>
      </w:r>
      <w:hyperlink r:id="rId54" w:history="1">
        <w:r w:rsidRPr="00EE5B19">
          <w:rPr>
            <w:rStyle w:val="Hyperlink"/>
            <w:rFonts w:ascii="Arial" w:hAnsi="Arial" w:cs="Arial"/>
          </w:rPr>
          <w:t>https://www.england.nhs.uk/patient-safety/the-nhs-patient-safety-strategy/</w:t>
        </w:r>
      </w:hyperlink>
      <w:r w:rsidRPr="00EE5B19">
        <w:rPr>
          <w:rFonts w:ascii="Arial" w:hAnsi="Arial" w:cs="Arial"/>
        </w:rPr>
        <w:t xml:space="preserve"> (Accessed: 2 August 2026).</w:t>
      </w:r>
    </w:p>
    <w:p w14:paraId="6AEB7AF8"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NHS England (2024) ‘NHS England » NHS Long Term Workforce Plan (letter)’. Available at: </w:t>
      </w:r>
      <w:hyperlink r:id="rId55" w:history="1">
        <w:r w:rsidRPr="00EE5B19">
          <w:rPr>
            <w:rStyle w:val="Hyperlink"/>
            <w:rFonts w:ascii="Arial" w:hAnsi="Arial" w:cs="Arial"/>
          </w:rPr>
          <w:t>https://www.england.nhs.uk/long-read/nhs-long-term-workforce-plan/</w:t>
        </w:r>
      </w:hyperlink>
      <w:r w:rsidRPr="00EE5B19">
        <w:rPr>
          <w:rFonts w:ascii="Arial" w:hAnsi="Arial" w:cs="Arial"/>
        </w:rPr>
        <w:t xml:space="preserve"> (Accessed: 2 August 2026).</w:t>
      </w:r>
    </w:p>
    <w:p w14:paraId="66D96CA2"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NHS England (2025a) </w:t>
      </w:r>
      <w:r w:rsidRPr="00EE5B19">
        <w:rPr>
          <w:rFonts w:ascii="Arial" w:hAnsi="Arial" w:cs="Arial"/>
          <w:i/>
          <w:iCs/>
        </w:rPr>
        <w:t>10 Year Health Plan for England: fit for the future</w:t>
      </w:r>
      <w:r w:rsidRPr="00EE5B19">
        <w:rPr>
          <w:rFonts w:ascii="Arial" w:hAnsi="Arial" w:cs="Arial"/>
        </w:rPr>
        <w:t xml:space="preserve">, </w:t>
      </w:r>
      <w:r w:rsidRPr="00EE5B19">
        <w:rPr>
          <w:rFonts w:ascii="Arial" w:hAnsi="Arial" w:cs="Arial"/>
          <w:i/>
          <w:iCs/>
        </w:rPr>
        <w:t>GOV.UK</w:t>
      </w:r>
      <w:r w:rsidRPr="00EE5B19">
        <w:rPr>
          <w:rFonts w:ascii="Arial" w:hAnsi="Arial" w:cs="Arial"/>
        </w:rPr>
        <w:t xml:space="preserve">. Available at: </w:t>
      </w:r>
      <w:hyperlink r:id="rId56" w:history="1">
        <w:r w:rsidRPr="00EE5B19">
          <w:rPr>
            <w:rStyle w:val="Hyperlink"/>
            <w:rFonts w:ascii="Arial" w:hAnsi="Arial" w:cs="Arial"/>
          </w:rPr>
          <w:t>https://www.gov.uk/government/publications/10-year-health-plan-for-england-fit-for-the-future</w:t>
        </w:r>
      </w:hyperlink>
      <w:r w:rsidRPr="00EE5B19">
        <w:rPr>
          <w:rFonts w:ascii="Arial" w:hAnsi="Arial" w:cs="Arial"/>
        </w:rPr>
        <w:t xml:space="preserve"> (Accessed: 31 July 2026).</w:t>
      </w:r>
    </w:p>
    <w:p w14:paraId="3E297C76"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NHS England (2025b) </w:t>
      </w:r>
      <w:r w:rsidRPr="00EE5B19">
        <w:rPr>
          <w:rFonts w:ascii="Arial" w:hAnsi="Arial" w:cs="Arial"/>
          <w:i/>
          <w:iCs/>
        </w:rPr>
        <w:t>2024 National NHS Staff Survey Results</w:t>
      </w:r>
      <w:r w:rsidRPr="00EE5B19">
        <w:rPr>
          <w:rFonts w:ascii="Arial" w:hAnsi="Arial" w:cs="Arial"/>
        </w:rPr>
        <w:t xml:space="preserve">, </w:t>
      </w:r>
      <w:r w:rsidRPr="00EE5B19">
        <w:rPr>
          <w:rFonts w:ascii="Arial" w:hAnsi="Arial" w:cs="Arial"/>
          <w:i/>
          <w:iCs/>
        </w:rPr>
        <w:t>GOV.UK</w:t>
      </w:r>
      <w:r w:rsidRPr="00EE5B19">
        <w:rPr>
          <w:rFonts w:ascii="Arial" w:hAnsi="Arial" w:cs="Arial"/>
        </w:rPr>
        <w:t xml:space="preserve">. GOV.UK. Available at: </w:t>
      </w:r>
      <w:hyperlink r:id="rId57" w:history="1">
        <w:r w:rsidRPr="00EE5B19">
          <w:rPr>
            <w:rStyle w:val="Hyperlink"/>
            <w:rFonts w:ascii="Arial" w:hAnsi="Arial" w:cs="Arial"/>
          </w:rPr>
          <w:t>https://www.gov.uk/government/statistics/2024-national-nhs-staff-survey-results</w:t>
        </w:r>
      </w:hyperlink>
      <w:r w:rsidRPr="00EE5B19">
        <w:rPr>
          <w:rFonts w:ascii="Arial" w:hAnsi="Arial" w:cs="Arial"/>
        </w:rPr>
        <w:t xml:space="preserve"> (Accessed: 1 August 2026).</w:t>
      </w:r>
    </w:p>
    <w:p w14:paraId="58988D23"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NHS England (2025c) ‘NHS England » Patient Safety Incident Response Framework’. Available at: </w:t>
      </w:r>
      <w:hyperlink r:id="rId58" w:history="1">
        <w:r w:rsidRPr="00EE5B19">
          <w:rPr>
            <w:rStyle w:val="Hyperlink"/>
            <w:rFonts w:ascii="Arial" w:hAnsi="Arial" w:cs="Arial"/>
          </w:rPr>
          <w:t>https://www.england.nhs.uk/long-read/patient-safety-incident-response-framework/</w:t>
        </w:r>
      </w:hyperlink>
      <w:r w:rsidRPr="00EE5B19">
        <w:rPr>
          <w:rFonts w:ascii="Arial" w:hAnsi="Arial" w:cs="Arial"/>
        </w:rPr>
        <w:t xml:space="preserve"> (Accessed: 1 August 2026).</w:t>
      </w:r>
    </w:p>
    <w:p w14:paraId="6F6B627C"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NHS Leadership Academy (2013) </w:t>
      </w:r>
      <w:r w:rsidRPr="00EE5B19">
        <w:rPr>
          <w:rFonts w:ascii="Arial" w:hAnsi="Arial" w:cs="Arial"/>
          <w:i/>
          <w:iCs/>
        </w:rPr>
        <w:t>Healthcare Leadership Model – Leadership Academy</w:t>
      </w:r>
      <w:r w:rsidRPr="00EE5B19">
        <w:rPr>
          <w:rFonts w:ascii="Arial" w:hAnsi="Arial" w:cs="Arial"/>
        </w:rPr>
        <w:t xml:space="preserve">, </w:t>
      </w:r>
      <w:r w:rsidRPr="00EE5B19">
        <w:rPr>
          <w:rFonts w:ascii="Arial" w:hAnsi="Arial" w:cs="Arial"/>
          <w:i/>
          <w:iCs/>
        </w:rPr>
        <w:t>Healthcare Leadership Model</w:t>
      </w:r>
      <w:r w:rsidRPr="00EE5B19">
        <w:rPr>
          <w:rFonts w:ascii="Arial" w:hAnsi="Arial" w:cs="Arial"/>
        </w:rPr>
        <w:t xml:space="preserve">. NHS Leadership Academy. Available at: </w:t>
      </w:r>
      <w:hyperlink r:id="rId59" w:history="1">
        <w:r w:rsidRPr="00EE5B19">
          <w:rPr>
            <w:rStyle w:val="Hyperlink"/>
            <w:rFonts w:ascii="Arial" w:hAnsi="Arial" w:cs="Arial"/>
          </w:rPr>
          <w:t>https://www.leadershipacademy.nhs.uk/healthcare-leadership-model/</w:t>
        </w:r>
      </w:hyperlink>
      <w:r w:rsidRPr="00EE5B19">
        <w:rPr>
          <w:rFonts w:ascii="Arial" w:hAnsi="Arial" w:cs="Arial"/>
        </w:rPr>
        <w:t xml:space="preserve"> (Accessed: 1 August 2026).</w:t>
      </w:r>
    </w:p>
    <w:p w14:paraId="05AE2909"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Nilsen, P. (2015) ‘Making sense of implementation theories, models and frameworks’, </w:t>
      </w:r>
      <w:r w:rsidRPr="00EE5B19">
        <w:rPr>
          <w:rFonts w:ascii="Arial" w:hAnsi="Arial" w:cs="Arial"/>
          <w:i/>
          <w:iCs/>
        </w:rPr>
        <w:t>Implementation Science</w:t>
      </w:r>
      <w:r w:rsidRPr="00EE5B19">
        <w:rPr>
          <w:rFonts w:ascii="Arial" w:hAnsi="Arial" w:cs="Arial"/>
        </w:rPr>
        <w:t xml:space="preserve">, 10(1), p. 53. Available at: </w:t>
      </w:r>
      <w:hyperlink r:id="rId60" w:history="1">
        <w:r w:rsidRPr="00EE5B19">
          <w:rPr>
            <w:rStyle w:val="Hyperlink"/>
            <w:rFonts w:ascii="Arial" w:hAnsi="Arial" w:cs="Arial"/>
          </w:rPr>
          <w:t>https://doi.org/10.1186/s13012-015-0242-0</w:t>
        </w:r>
      </w:hyperlink>
      <w:r w:rsidRPr="00EE5B19">
        <w:rPr>
          <w:rFonts w:ascii="Arial" w:hAnsi="Arial" w:cs="Arial"/>
        </w:rPr>
        <w:t>.</w:t>
      </w:r>
    </w:p>
    <w:p w14:paraId="0568E6A9"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Northouse, P. (2022) </w:t>
      </w:r>
      <w:r w:rsidRPr="00EE5B19">
        <w:rPr>
          <w:rFonts w:ascii="Arial" w:hAnsi="Arial" w:cs="Arial"/>
          <w:i/>
          <w:iCs/>
        </w:rPr>
        <w:t>Leadership</w:t>
      </w:r>
      <w:r w:rsidRPr="00EE5B19">
        <w:rPr>
          <w:rFonts w:ascii="Arial" w:hAnsi="Arial" w:cs="Arial"/>
        </w:rPr>
        <w:t xml:space="preserve">, </w:t>
      </w:r>
      <w:r w:rsidRPr="00EE5B19">
        <w:rPr>
          <w:rFonts w:ascii="Arial" w:hAnsi="Arial" w:cs="Arial"/>
          <w:i/>
          <w:iCs/>
        </w:rPr>
        <w:t>SAGE Publications Ltd</w:t>
      </w:r>
      <w:r w:rsidRPr="00EE5B19">
        <w:rPr>
          <w:rFonts w:ascii="Arial" w:hAnsi="Arial" w:cs="Arial"/>
        </w:rPr>
        <w:t xml:space="preserve">. Available at: </w:t>
      </w:r>
      <w:hyperlink r:id="rId61" w:history="1">
        <w:r w:rsidRPr="00EE5B19">
          <w:rPr>
            <w:rStyle w:val="Hyperlink"/>
            <w:rFonts w:ascii="Arial" w:hAnsi="Arial" w:cs="Arial"/>
          </w:rPr>
          <w:t>https://uk.sagepub.com/en-gb/eur/leadership/book283944</w:t>
        </w:r>
      </w:hyperlink>
      <w:r w:rsidRPr="00EE5B19">
        <w:rPr>
          <w:rFonts w:ascii="Arial" w:hAnsi="Arial" w:cs="Arial"/>
        </w:rPr>
        <w:t xml:space="preserve"> (Accessed: 1 August 2026).</w:t>
      </w:r>
    </w:p>
    <w:p w14:paraId="24659133"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OECD (2017) </w:t>
      </w:r>
      <w:r w:rsidRPr="00EE5B19">
        <w:rPr>
          <w:rFonts w:ascii="Arial" w:hAnsi="Arial" w:cs="Arial"/>
          <w:i/>
          <w:iCs/>
        </w:rPr>
        <w:t>The economics of patient safety: Strengthening a value-based approach to reducing patient harm at national level</w:t>
      </w:r>
      <w:r w:rsidRPr="00EE5B19">
        <w:rPr>
          <w:rFonts w:ascii="Arial" w:hAnsi="Arial" w:cs="Arial"/>
        </w:rPr>
        <w:t xml:space="preserve">. OECD Health Working Papers 96. Available at: </w:t>
      </w:r>
      <w:hyperlink r:id="rId62" w:history="1">
        <w:r w:rsidRPr="00EE5B19">
          <w:rPr>
            <w:rStyle w:val="Hyperlink"/>
            <w:rFonts w:ascii="Arial" w:hAnsi="Arial" w:cs="Arial"/>
          </w:rPr>
          <w:t>https://doi.org/10.1787/5a9858cd-en</w:t>
        </w:r>
      </w:hyperlink>
      <w:r w:rsidRPr="00EE5B19">
        <w:rPr>
          <w:rFonts w:ascii="Arial" w:hAnsi="Arial" w:cs="Arial"/>
        </w:rPr>
        <w:t>.</w:t>
      </w:r>
    </w:p>
    <w:p w14:paraId="67802705"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lastRenderedPageBreak/>
        <w:t xml:space="preserve">Ouchi, W. (1981) ‘Theory Z: How American business can meet the Japanese challenge’, </w:t>
      </w:r>
      <w:r w:rsidRPr="00EE5B19">
        <w:rPr>
          <w:rFonts w:ascii="Arial" w:hAnsi="Arial" w:cs="Arial"/>
          <w:i/>
          <w:iCs/>
        </w:rPr>
        <w:t>Business Horizons</w:t>
      </w:r>
      <w:r w:rsidRPr="00EE5B19">
        <w:rPr>
          <w:rFonts w:ascii="Arial" w:hAnsi="Arial" w:cs="Arial"/>
        </w:rPr>
        <w:t xml:space="preserve">, 24(6), pp. 82–83. Available at: </w:t>
      </w:r>
      <w:hyperlink r:id="rId63" w:history="1">
        <w:r w:rsidRPr="00EE5B19">
          <w:rPr>
            <w:rStyle w:val="Hyperlink"/>
            <w:rFonts w:ascii="Arial" w:hAnsi="Arial" w:cs="Arial"/>
          </w:rPr>
          <w:t>https://doi.org/10.1016/0007-6813(81)90031-8</w:t>
        </w:r>
      </w:hyperlink>
      <w:r w:rsidRPr="00EE5B19">
        <w:rPr>
          <w:rFonts w:ascii="Arial" w:hAnsi="Arial" w:cs="Arial"/>
        </w:rPr>
        <w:t>.</w:t>
      </w:r>
    </w:p>
    <w:p w14:paraId="3A65CE52"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Patel, R.H. and Goldin, J. (2026) ‘Medical Error Prevention and Root Cause Analysis’, </w:t>
      </w:r>
      <w:r w:rsidRPr="00EE5B19">
        <w:rPr>
          <w:rFonts w:ascii="Arial" w:hAnsi="Arial" w:cs="Arial"/>
          <w:i/>
          <w:iCs/>
        </w:rPr>
        <w:t>StatPearls</w:t>
      </w:r>
      <w:r w:rsidRPr="00EE5B19">
        <w:rPr>
          <w:rFonts w:ascii="Arial" w:hAnsi="Arial" w:cs="Arial"/>
        </w:rPr>
        <w:t xml:space="preserve">. Treasure Island (FL): StatPearls Publishing. Available at: </w:t>
      </w:r>
      <w:hyperlink r:id="rId64" w:history="1">
        <w:r w:rsidRPr="00EE5B19">
          <w:rPr>
            <w:rStyle w:val="Hyperlink"/>
            <w:rFonts w:ascii="Arial" w:hAnsi="Arial" w:cs="Arial"/>
          </w:rPr>
          <w:t>http://www.ncbi.nlm.nih.gov/books/NBK570638/</w:t>
        </w:r>
      </w:hyperlink>
      <w:r w:rsidRPr="00EE5B19">
        <w:rPr>
          <w:rFonts w:ascii="Arial" w:hAnsi="Arial" w:cs="Arial"/>
        </w:rPr>
        <w:t xml:space="preserve"> (Accessed: 17 June 2026).</w:t>
      </w:r>
    </w:p>
    <w:p w14:paraId="6EA90204"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Pollitt, C. and Bouckaert, G. (2017) </w:t>
      </w:r>
      <w:r w:rsidRPr="00EE5B19">
        <w:rPr>
          <w:rFonts w:ascii="Arial" w:hAnsi="Arial" w:cs="Arial"/>
          <w:i/>
          <w:iCs/>
        </w:rPr>
        <w:t>A Comparative Analysis—New Public Management Governance, and the Neo-Weberian State</w:t>
      </w:r>
      <w:r w:rsidRPr="00EE5B19">
        <w:rPr>
          <w:rFonts w:ascii="Arial" w:hAnsi="Arial" w:cs="Arial"/>
        </w:rPr>
        <w:t>. 2nd edn. Oxford University Press.</w:t>
      </w:r>
    </w:p>
    <w:p w14:paraId="64BF58AC"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Price, J. </w:t>
      </w:r>
      <w:r w:rsidRPr="00EE5B19">
        <w:rPr>
          <w:rFonts w:ascii="Arial" w:hAnsi="Arial" w:cs="Arial"/>
          <w:i/>
          <w:iCs/>
        </w:rPr>
        <w:t>et al.</w:t>
      </w:r>
      <w:r w:rsidRPr="00EE5B19">
        <w:rPr>
          <w:rFonts w:ascii="Arial" w:hAnsi="Arial" w:cs="Arial"/>
        </w:rPr>
        <w:t xml:space="preserve"> (2017) ‘Repeat prescribing of medications: A system</w:t>
      </w:r>
      <w:r w:rsidRPr="00EE5B19">
        <w:rPr>
          <w:rFonts w:ascii="Cambria Math" w:hAnsi="Cambria Math" w:cs="Cambria Math"/>
        </w:rPr>
        <w:t>‐</w:t>
      </w:r>
      <w:r w:rsidRPr="00EE5B19">
        <w:rPr>
          <w:rFonts w:ascii="Arial" w:hAnsi="Arial" w:cs="Arial"/>
        </w:rPr>
        <w:t xml:space="preserve">centred risk management model for primary care organisations’, </w:t>
      </w:r>
      <w:r w:rsidRPr="00EE5B19">
        <w:rPr>
          <w:rFonts w:ascii="Arial" w:hAnsi="Arial" w:cs="Arial"/>
          <w:i/>
          <w:iCs/>
        </w:rPr>
        <w:t>Journal of Evaluation in Clinical Practice</w:t>
      </w:r>
      <w:r w:rsidRPr="00EE5B19">
        <w:rPr>
          <w:rFonts w:ascii="Arial" w:hAnsi="Arial" w:cs="Arial"/>
        </w:rPr>
        <w:t xml:space="preserve">, 23(4), pp. 779–796. Available at: </w:t>
      </w:r>
      <w:hyperlink r:id="rId65" w:history="1">
        <w:r w:rsidRPr="00EE5B19">
          <w:rPr>
            <w:rStyle w:val="Hyperlink"/>
            <w:rFonts w:ascii="Arial" w:hAnsi="Arial" w:cs="Arial"/>
          </w:rPr>
          <w:t>https://doi.org/10.1111/jep.12718</w:t>
        </w:r>
      </w:hyperlink>
      <w:r w:rsidRPr="00EE5B19">
        <w:rPr>
          <w:rFonts w:ascii="Arial" w:hAnsi="Arial" w:cs="Arial"/>
        </w:rPr>
        <w:t>.</w:t>
      </w:r>
    </w:p>
    <w:p w14:paraId="1BB9BD31"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Reason, J. (2000) ‘Human error: models and management’, </w:t>
      </w:r>
      <w:r w:rsidRPr="00EE5B19">
        <w:rPr>
          <w:rFonts w:ascii="Arial" w:hAnsi="Arial" w:cs="Arial"/>
          <w:i/>
          <w:iCs/>
        </w:rPr>
        <w:t>BMJ</w:t>
      </w:r>
      <w:r w:rsidRPr="00EE5B19">
        <w:rPr>
          <w:rFonts w:ascii="Arial" w:hAnsi="Arial" w:cs="Arial"/>
        </w:rPr>
        <w:t xml:space="preserve">, 320(7237), pp. 768–770. Available at: </w:t>
      </w:r>
      <w:hyperlink r:id="rId66" w:history="1">
        <w:r w:rsidRPr="00EE5B19">
          <w:rPr>
            <w:rStyle w:val="Hyperlink"/>
            <w:rFonts w:ascii="Arial" w:hAnsi="Arial" w:cs="Arial"/>
          </w:rPr>
          <w:t>https://doi.org/10.1136/bmj.320.7237.768</w:t>
        </w:r>
      </w:hyperlink>
      <w:r w:rsidRPr="00EE5B19">
        <w:rPr>
          <w:rFonts w:ascii="Arial" w:hAnsi="Arial" w:cs="Arial"/>
        </w:rPr>
        <w:t>.</w:t>
      </w:r>
    </w:p>
    <w:p w14:paraId="3F9BBA32"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Reeves, S. </w:t>
      </w:r>
      <w:r w:rsidRPr="00EE5B19">
        <w:rPr>
          <w:rFonts w:ascii="Arial" w:hAnsi="Arial" w:cs="Arial"/>
          <w:i/>
          <w:iCs/>
        </w:rPr>
        <w:t>et al.</w:t>
      </w:r>
      <w:r w:rsidRPr="00EE5B19">
        <w:rPr>
          <w:rFonts w:ascii="Arial" w:hAnsi="Arial" w:cs="Arial"/>
        </w:rPr>
        <w:t xml:space="preserve"> (2017) ‘Interprofessional collaboration to improve professional practice and healthcare outcomes’, </w:t>
      </w:r>
      <w:r w:rsidRPr="00EE5B19">
        <w:rPr>
          <w:rFonts w:ascii="Arial" w:hAnsi="Arial" w:cs="Arial"/>
          <w:i/>
          <w:iCs/>
        </w:rPr>
        <w:t>The Cochrane Database of Systematic Reviews</w:t>
      </w:r>
      <w:r w:rsidRPr="00EE5B19">
        <w:rPr>
          <w:rFonts w:ascii="Arial" w:hAnsi="Arial" w:cs="Arial"/>
        </w:rPr>
        <w:t xml:space="preserve">, 6(6), p. CD000072. Available at: </w:t>
      </w:r>
      <w:hyperlink r:id="rId67" w:history="1">
        <w:r w:rsidRPr="00EE5B19">
          <w:rPr>
            <w:rStyle w:val="Hyperlink"/>
            <w:rFonts w:ascii="Arial" w:hAnsi="Arial" w:cs="Arial"/>
          </w:rPr>
          <w:t>https://doi.org/10.1002/14651858.CD000072.pub3</w:t>
        </w:r>
      </w:hyperlink>
      <w:r w:rsidRPr="00EE5B19">
        <w:rPr>
          <w:rFonts w:ascii="Arial" w:hAnsi="Arial" w:cs="Arial"/>
        </w:rPr>
        <w:t>.</w:t>
      </w:r>
    </w:p>
    <w:p w14:paraId="5442EF3F"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Reinertsen, J.L. (2000) ‘Let’s talk about error’, </w:t>
      </w:r>
      <w:r w:rsidRPr="00EE5B19">
        <w:rPr>
          <w:rFonts w:ascii="Arial" w:hAnsi="Arial" w:cs="Arial"/>
          <w:i/>
          <w:iCs/>
        </w:rPr>
        <w:t>BMJ : British Medical Journal</w:t>
      </w:r>
      <w:r w:rsidRPr="00EE5B19">
        <w:rPr>
          <w:rFonts w:ascii="Arial" w:hAnsi="Arial" w:cs="Arial"/>
        </w:rPr>
        <w:t xml:space="preserve">, 320(7237), p. 730. Available at: </w:t>
      </w:r>
      <w:hyperlink r:id="rId68" w:history="1">
        <w:r w:rsidRPr="00EE5B19">
          <w:rPr>
            <w:rStyle w:val="Hyperlink"/>
            <w:rFonts w:ascii="Arial" w:hAnsi="Arial" w:cs="Arial"/>
          </w:rPr>
          <w:t>https://doi.org/10.1136/bmj.320.7237.730</w:t>
        </w:r>
      </w:hyperlink>
      <w:r w:rsidRPr="00EE5B19">
        <w:rPr>
          <w:rFonts w:ascii="Arial" w:hAnsi="Arial" w:cs="Arial"/>
        </w:rPr>
        <w:t>.</w:t>
      </w:r>
    </w:p>
    <w:p w14:paraId="26E130FC"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Senge, P. (2006) </w:t>
      </w:r>
      <w:r w:rsidRPr="00EE5B19">
        <w:rPr>
          <w:rFonts w:ascii="Arial" w:hAnsi="Arial" w:cs="Arial"/>
          <w:i/>
          <w:iCs/>
        </w:rPr>
        <w:t>The Fifth Discipline</w:t>
      </w:r>
      <w:r w:rsidRPr="00EE5B19">
        <w:rPr>
          <w:rFonts w:ascii="Arial" w:hAnsi="Arial" w:cs="Arial"/>
        </w:rPr>
        <w:t>. London: Currency Doubleday.</w:t>
      </w:r>
    </w:p>
    <w:p w14:paraId="2820F902"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SPS NHS (2025) </w:t>
      </w:r>
      <w:r w:rsidRPr="00EE5B19">
        <w:rPr>
          <w:rFonts w:ascii="Arial" w:hAnsi="Arial" w:cs="Arial"/>
          <w:i/>
          <w:iCs/>
        </w:rPr>
        <w:t>Preventing errors on the medicine journey</w:t>
      </w:r>
      <w:r w:rsidRPr="00EE5B19">
        <w:rPr>
          <w:rFonts w:ascii="Arial" w:hAnsi="Arial" w:cs="Arial"/>
        </w:rPr>
        <w:t xml:space="preserve">, </w:t>
      </w:r>
      <w:r w:rsidRPr="00EE5B19">
        <w:rPr>
          <w:rFonts w:ascii="Arial" w:hAnsi="Arial" w:cs="Arial"/>
          <w:i/>
          <w:iCs/>
        </w:rPr>
        <w:t>SPS - Specialist Pharmacy Service</w:t>
      </w:r>
      <w:r w:rsidRPr="00EE5B19">
        <w:rPr>
          <w:rFonts w:ascii="Arial" w:hAnsi="Arial" w:cs="Arial"/>
        </w:rPr>
        <w:t xml:space="preserve">. Available at: </w:t>
      </w:r>
      <w:hyperlink r:id="rId69" w:history="1">
        <w:r w:rsidRPr="00EE5B19">
          <w:rPr>
            <w:rStyle w:val="Hyperlink"/>
            <w:rFonts w:ascii="Arial" w:hAnsi="Arial" w:cs="Arial"/>
          </w:rPr>
          <w:t>https://www.sps.nhs.uk/articles/preventing-errors-on-the-medicine-journey/</w:t>
        </w:r>
      </w:hyperlink>
      <w:r w:rsidRPr="00EE5B19">
        <w:rPr>
          <w:rFonts w:ascii="Arial" w:hAnsi="Arial" w:cs="Arial"/>
        </w:rPr>
        <w:t xml:space="preserve"> (Accessed: 17 June 2026).</w:t>
      </w:r>
    </w:p>
    <w:p w14:paraId="13FD83D1"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Tannenbaum, R. and Schmidt, W.H. (1973) ‘How to Choose a Leadership Pattern’, </w:t>
      </w:r>
      <w:r w:rsidRPr="00EE5B19">
        <w:rPr>
          <w:rFonts w:ascii="Arial" w:hAnsi="Arial" w:cs="Arial"/>
          <w:i/>
          <w:iCs/>
        </w:rPr>
        <w:t>Harvard Business Review</w:t>
      </w:r>
      <w:r w:rsidRPr="00EE5B19">
        <w:rPr>
          <w:rFonts w:ascii="Arial" w:hAnsi="Arial" w:cs="Arial"/>
        </w:rPr>
        <w:t xml:space="preserve">, (51), pp. 162–180. Available at: </w:t>
      </w:r>
      <w:hyperlink r:id="rId70" w:history="1">
        <w:r w:rsidRPr="00EE5B19">
          <w:rPr>
            <w:rStyle w:val="Hyperlink"/>
            <w:rFonts w:ascii="Arial" w:hAnsi="Arial" w:cs="Arial"/>
          </w:rPr>
          <w:t>https://hbr.org/1973/05/how-to-choose-a-leadership-pattern</w:t>
        </w:r>
      </w:hyperlink>
      <w:r w:rsidRPr="00EE5B19">
        <w:rPr>
          <w:rFonts w:ascii="Arial" w:hAnsi="Arial" w:cs="Arial"/>
        </w:rPr>
        <w:t>.</w:t>
      </w:r>
    </w:p>
    <w:p w14:paraId="7FB6A457"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Tingle, J. and Cattini, A. (2023) ‘Martha’s Rule and NHS patient safety’, </w:t>
      </w:r>
      <w:r w:rsidRPr="00EE5B19">
        <w:rPr>
          <w:rFonts w:ascii="Arial" w:hAnsi="Arial" w:cs="Arial"/>
          <w:i/>
          <w:iCs/>
        </w:rPr>
        <w:t>British Journal of Nursing</w:t>
      </w:r>
      <w:r w:rsidRPr="00EE5B19">
        <w:rPr>
          <w:rFonts w:ascii="Arial" w:hAnsi="Arial" w:cs="Arial"/>
        </w:rPr>
        <w:t xml:space="preserve">, 32(18), pp. 908–909. Available at: </w:t>
      </w:r>
      <w:hyperlink r:id="rId71" w:history="1">
        <w:r w:rsidRPr="00EE5B19">
          <w:rPr>
            <w:rStyle w:val="Hyperlink"/>
            <w:rFonts w:ascii="Arial" w:hAnsi="Arial" w:cs="Arial"/>
          </w:rPr>
          <w:t>https://doi.org/10.12968/bjon.2023.32.18.908</w:t>
        </w:r>
      </w:hyperlink>
      <w:r w:rsidRPr="00EE5B19">
        <w:rPr>
          <w:rFonts w:ascii="Arial" w:hAnsi="Arial" w:cs="Arial"/>
        </w:rPr>
        <w:t>.</w:t>
      </w:r>
    </w:p>
    <w:p w14:paraId="1CCB9F62"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Tse, Y. </w:t>
      </w:r>
      <w:r w:rsidRPr="00EE5B19">
        <w:rPr>
          <w:rFonts w:ascii="Arial" w:hAnsi="Arial" w:cs="Arial"/>
          <w:i/>
          <w:iCs/>
        </w:rPr>
        <w:t>et al.</w:t>
      </w:r>
      <w:r w:rsidRPr="00EE5B19">
        <w:rPr>
          <w:rFonts w:ascii="Arial" w:hAnsi="Arial" w:cs="Arial"/>
        </w:rPr>
        <w:t xml:space="preserve"> (2025) ‘Improving safety of unlicenced liquid specials medicines in the UK’, </w:t>
      </w:r>
      <w:r w:rsidRPr="00EE5B19">
        <w:rPr>
          <w:rFonts w:ascii="Arial" w:hAnsi="Arial" w:cs="Arial"/>
          <w:i/>
          <w:iCs/>
        </w:rPr>
        <w:t>Archives of Disease in Childhood</w:t>
      </w:r>
      <w:r w:rsidRPr="00EE5B19">
        <w:rPr>
          <w:rFonts w:ascii="Arial" w:hAnsi="Arial" w:cs="Arial"/>
        </w:rPr>
        <w:t xml:space="preserve">, 110(6), pp. 487–489. Available at: </w:t>
      </w:r>
      <w:hyperlink r:id="rId72" w:history="1">
        <w:r w:rsidRPr="00EE5B19">
          <w:rPr>
            <w:rStyle w:val="Hyperlink"/>
            <w:rFonts w:ascii="Arial" w:hAnsi="Arial" w:cs="Arial"/>
          </w:rPr>
          <w:t>https://doi.org/10.1136/archdischild-2024-327558</w:t>
        </w:r>
      </w:hyperlink>
      <w:r w:rsidRPr="00EE5B19">
        <w:rPr>
          <w:rFonts w:ascii="Arial" w:hAnsi="Arial" w:cs="Arial"/>
        </w:rPr>
        <w:t>.</w:t>
      </w:r>
    </w:p>
    <w:p w14:paraId="4AAE3D28"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Vermehren, C. </w:t>
      </w:r>
      <w:r w:rsidRPr="00EE5B19">
        <w:rPr>
          <w:rFonts w:ascii="Arial" w:hAnsi="Arial" w:cs="Arial"/>
          <w:i/>
          <w:iCs/>
        </w:rPr>
        <w:t>et al.</w:t>
      </w:r>
      <w:r w:rsidRPr="00EE5B19">
        <w:rPr>
          <w:rFonts w:ascii="Arial" w:hAnsi="Arial" w:cs="Arial"/>
        </w:rPr>
        <w:t xml:space="preserve"> (2025) ‘Drug Manipulation in Pediatric Care: A Scoping Review of a Widespread Practice Signaling Systemic Gaps in Pharmaceutical Provision’, </w:t>
      </w:r>
      <w:r w:rsidRPr="00EE5B19">
        <w:rPr>
          <w:rFonts w:ascii="Arial" w:hAnsi="Arial" w:cs="Arial"/>
          <w:i/>
          <w:iCs/>
        </w:rPr>
        <w:t>Pharmacy</w:t>
      </w:r>
      <w:r w:rsidRPr="00EE5B19">
        <w:rPr>
          <w:rFonts w:ascii="Arial" w:hAnsi="Arial" w:cs="Arial"/>
        </w:rPr>
        <w:t xml:space="preserve">, 14(1), p. 2. Available at: </w:t>
      </w:r>
      <w:hyperlink r:id="rId73" w:history="1">
        <w:r w:rsidRPr="00EE5B19">
          <w:rPr>
            <w:rStyle w:val="Hyperlink"/>
            <w:rFonts w:ascii="Arial" w:hAnsi="Arial" w:cs="Arial"/>
          </w:rPr>
          <w:t>https://doi.org/10.3390/pharmacy14010002</w:t>
        </w:r>
      </w:hyperlink>
      <w:r w:rsidRPr="00EE5B19">
        <w:rPr>
          <w:rFonts w:ascii="Arial" w:hAnsi="Arial" w:cs="Arial"/>
        </w:rPr>
        <w:t>.</w:t>
      </w:r>
    </w:p>
    <w:p w14:paraId="196CF71C"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Vincent, C. and Amalberti, R. (2016) </w:t>
      </w:r>
      <w:r w:rsidRPr="00EE5B19">
        <w:rPr>
          <w:rFonts w:ascii="Arial" w:hAnsi="Arial" w:cs="Arial"/>
          <w:i/>
          <w:iCs/>
        </w:rPr>
        <w:t>Safer Healthcare</w:t>
      </w:r>
      <w:r w:rsidRPr="00EE5B19">
        <w:rPr>
          <w:rFonts w:ascii="Arial" w:hAnsi="Arial" w:cs="Arial"/>
        </w:rPr>
        <w:t xml:space="preserve">. Cham: Springer International Publishing. Available at: </w:t>
      </w:r>
      <w:hyperlink r:id="rId74" w:history="1">
        <w:r w:rsidRPr="00EE5B19">
          <w:rPr>
            <w:rStyle w:val="Hyperlink"/>
            <w:rFonts w:ascii="Arial" w:hAnsi="Arial" w:cs="Arial"/>
          </w:rPr>
          <w:t>https://doi.org/10.1007/978-3-319-25559-0</w:t>
        </w:r>
      </w:hyperlink>
      <w:r w:rsidRPr="00EE5B19">
        <w:rPr>
          <w:rFonts w:ascii="Arial" w:hAnsi="Arial" w:cs="Arial"/>
        </w:rPr>
        <w:t>.</w:t>
      </w:r>
    </w:p>
    <w:p w14:paraId="04509CE8"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lastRenderedPageBreak/>
        <w:t xml:space="preserve">West, M. </w:t>
      </w:r>
      <w:r w:rsidRPr="00EE5B19">
        <w:rPr>
          <w:rFonts w:ascii="Arial" w:hAnsi="Arial" w:cs="Arial"/>
          <w:i/>
          <w:iCs/>
        </w:rPr>
        <w:t>et al.</w:t>
      </w:r>
      <w:r w:rsidRPr="00EE5B19">
        <w:rPr>
          <w:rFonts w:ascii="Arial" w:hAnsi="Arial" w:cs="Arial"/>
        </w:rPr>
        <w:t xml:space="preserve"> (2017) </w:t>
      </w:r>
      <w:r w:rsidRPr="00EE5B19">
        <w:rPr>
          <w:rFonts w:ascii="Arial" w:hAnsi="Arial" w:cs="Arial"/>
          <w:i/>
          <w:iCs/>
        </w:rPr>
        <w:t>Caring To Change And Compassionate Leadership</w:t>
      </w:r>
      <w:r w:rsidRPr="00EE5B19">
        <w:rPr>
          <w:rFonts w:ascii="Arial" w:hAnsi="Arial" w:cs="Arial"/>
        </w:rPr>
        <w:t xml:space="preserve">, </w:t>
      </w:r>
      <w:r w:rsidRPr="00EE5B19">
        <w:rPr>
          <w:rFonts w:ascii="Arial" w:hAnsi="Arial" w:cs="Arial"/>
          <w:i/>
          <w:iCs/>
        </w:rPr>
        <w:t>The King’s Fund</w:t>
      </w:r>
      <w:r w:rsidRPr="00EE5B19">
        <w:rPr>
          <w:rFonts w:ascii="Arial" w:hAnsi="Arial" w:cs="Arial"/>
        </w:rPr>
        <w:t xml:space="preserve">. The King’s Fund. Available at: </w:t>
      </w:r>
      <w:hyperlink r:id="rId75" w:history="1">
        <w:r w:rsidRPr="00EE5B19">
          <w:rPr>
            <w:rStyle w:val="Hyperlink"/>
            <w:rFonts w:ascii="Arial" w:hAnsi="Arial" w:cs="Arial"/>
          </w:rPr>
          <w:t>https://www.kingsfund.org.uk/insight-and-analysis/reports/caring-change</w:t>
        </w:r>
      </w:hyperlink>
      <w:r w:rsidRPr="00EE5B19">
        <w:rPr>
          <w:rFonts w:ascii="Arial" w:hAnsi="Arial" w:cs="Arial"/>
        </w:rPr>
        <w:t xml:space="preserve"> (Accessed: 1 August 2026).</w:t>
      </w:r>
    </w:p>
    <w:p w14:paraId="23A01872"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WHO (2017) </w:t>
      </w:r>
      <w:r w:rsidRPr="00EE5B19">
        <w:rPr>
          <w:rFonts w:ascii="Arial" w:hAnsi="Arial" w:cs="Arial"/>
          <w:i/>
          <w:iCs/>
        </w:rPr>
        <w:t>Medication Without Harm</w:t>
      </w:r>
      <w:r w:rsidRPr="00EE5B19">
        <w:rPr>
          <w:rFonts w:ascii="Arial" w:hAnsi="Arial" w:cs="Arial"/>
        </w:rPr>
        <w:t xml:space="preserve">, </w:t>
      </w:r>
      <w:r w:rsidRPr="00EE5B19">
        <w:rPr>
          <w:rFonts w:ascii="Arial" w:hAnsi="Arial" w:cs="Arial"/>
          <w:i/>
          <w:iCs/>
        </w:rPr>
        <w:t>Medication Without Harm</w:t>
      </w:r>
      <w:r w:rsidRPr="00EE5B19">
        <w:rPr>
          <w:rFonts w:ascii="Arial" w:hAnsi="Arial" w:cs="Arial"/>
        </w:rPr>
        <w:t xml:space="preserve">. World Health Organisation. Available at: </w:t>
      </w:r>
      <w:hyperlink r:id="rId76" w:history="1">
        <w:r w:rsidRPr="00EE5B19">
          <w:rPr>
            <w:rStyle w:val="Hyperlink"/>
            <w:rFonts w:ascii="Arial" w:hAnsi="Arial" w:cs="Arial"/>
          </w:rPr>
          <w:t>https://www.who.int/initiatives/medication-without-harm</w:t>
        </w:r>
      </w:hyperlink>
      <w:r w:rsidRPr="00EE5B19">
        <w:rPr>
          <w:rFonts w:ascii="Arial" w:hAnsi="Arial" w:cs="Arial"/>
        </w:rPr>
        <w:t xml:space="preserve"> (Accessed: 1 August 2026).</w:t>
      </w:r>
    </w:p>
    <w:p w14:paraId="4FD68EAD"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WHO (2021a) </w:t>
      </w:r>
      <w:r w:rsidRPr="00EE5B19">
        <w:rPr>
          <w:rFonts w:ascii="Arial" w:hAnsi="Arial" w:cs="Arial"/>
          <w:i/>
          <w:iCs/>
        </w:rPr>
        <w:t>Global Patient Safety Action Plan 2021-2030</w:t>
      </w:r>
      <w:r w:rsidRPr="00EE5B19">
        <w:rPr>
          <w:rFonts w:ascii="Arial" w:hAnsi="Arial" w:cs="Arial"/>
        </w:rPr>
        <w:t xml:space="preserve">, </w:t>
      </w:r>
      <w:r w:rsidRPr="00EE5B19">
        <w:rPr>
          <w:rFonts w:ascii="Arial" w:hAnsi="Arial" w:cs="Arial"/>
          <w:i/>
          <w:iCs/>
        </w:rPr>
        <w:t>Global Patient Safety Action Plan 2021-2030</w:t>
      </w:r>
      <w:r w:rsidRPr="00EE5B19">
        <w:rPr>
          <w:rFonts w:ascii="Arial" w:hAnsi="Arial" w:cs="Arial"/>
        </w:rPr>
        <w:t xml:space="preserve">. World Health Organisation. Available at: </w:t>
      </w:r>
      <w:hyperlink r:id="rId77" w:history="1">
        <w:r w:rsidRPr="00EE5B19">
          <w:rPr>
            <w:rStyle w:val="Hyperlink"/>
            <w:rFonts w:ascii="Arial" w:hAnsi="Arial" w:cs="Arial"/>
          </w:rPr>
          <w:t>https://www.who.int/publications/i/item/9789240032705</w:t>
        </w:r>
      </w:hyperlink>
      <w:r w:rsidRPr="00EE5B19">
        <w:rPr>
          <w:rFonts w:ascii="Arial" w:hAnsi="Arial" w:cs="Arial"/>
        </w:rPr>
        <w:t xml:space="preserve"> (Accessed: 1 August 2026).</w:t>
      </w:r>
    </w:p>
    <w:p w14:paraId="752C64B3"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WHO (2021b) </w:t>
      </w:r>
      <w:r w:rsidRPr="00EE5B19">
        <w:rPr>
          <w:rFonts w:ascii="Arial" w:hAnsi="Arial" w:cs="Arial"/>
          <w:i/>
          <w:iCs/>
        </w:rPr>
        <w:t>Global Patient Safety Action Plan 2021-2030</w:t>
      </w:r>
      <w:r w:rsidRPr="00EE5B19">
        <w:rPr>
          <w:rFonts w:ascii="Arial" w:hAnsi="Arial" w:cs="Arial"/>
        </w:rPr>
        <w:t xml:space="preserve">. World Health Organisation, p. 86. Available at: </w:t>
      </w:r>
      <w:hyperlink r:id="rId78" w:history="1">
        <w:r w:rsidRPr="00EE5B19">
          <w:rPr>
            <w:rStyle w:val="Hyperlink"/>
            <w:rFonts w:ascii="Arial" w:hAnsi="Arial" w:cs="Arial"/>
          </w:rPr>
          <w:t>https://www.who.int/publications/i/item/9789240032705</w:t>
        </w:r>
      </w:hyperlink>
      <w:r w:rsidRPr="00EE5B19">
        <w:rPr>
          <w:rFonts w:ascii="Arial" w:hAnsi="Arial" w:cs="Arial"/>
        </w:rPr>
        <w:t xml:space="preserve"> (Accessed: 2 August 2026).</w:t>
      </w:r>
    </w:p>
    <w:p w14:paraId="43202FC6"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WHO (2024) </w:t>
      </w:r>
      <w:r w:rsidRPr="00EE5B19">
        <w:rPr>
          <w:rFonts w:ascii="Arial" w:hAnsi="Arial" w:cs="Arial"/>
          <w:i/>
          <w:iCs/>
        </w:rPr>
        <w:t>Medication without harm: Policy brief</w:t>
      </w:r>
      <w:r w:rsidRPr="00EE5B19">
        <w:rPr>
          <w:rFonts w:ascii="Arial" w:hAnsi="Arial" w:cs="Arial"/>
        </w:rPr>
        <w:t xml:space="preserve">. Available at: </w:t>
      </w:r>
      <w:hyperlink r:id="rId79" w:history="1">
        <w:r w:rsidRPr="00EE5B19">
          <w:rPr>
            <w:rStyle w:val="Hyperlink"/>
            <w:rFonts w:ascii="Arial" w:hAnsi="Arial" w:cs="Arial"/>
          </w:rPr>
          <w:t>https://www.who.int/publications/i/item/9789240062764</w:t>
        </w:r>
      </w:hyperlink>
      <w:r w:rsidRPr="00EE5B19">
        <w:rPr>
          <w:rFonts w:ascii="Arial" w:hAnsi="Arial" w:cs="Arial"/>
        </w:rPr>
        <w:t xml:space="preserve"> (Accessed: 1 August 2026).</w:t>
      </w:r>
    </w:p>
    <w:p w14:paraId="44D58570" w14:textId="15DB5DC3"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WHO (</w:t>
      </w:r>
      <w:r w:rsidR="000C4F97">
        <w:rPr>
          <w:rFonts w:ascii="Arial" w:hAnsi="Arial" w:cs="Arial"/>
        </w:rPr>
        <w:t>2017</w:t>
      </w:r>
      <w:r w:rsidRPr="00EE5B19">
        <w:rPr>
          <w:rFonts w:ascii="Arial" w:hAnsi="Arial" w:cs="Arial"/>
        </w:rPr>
        <w:t xml:space="preserve">) </w:t>
      </w:r>
      <w:r w:rsidRPr="00EE5B19">
        <w:rPr>
          <w:rFonts w:ascii="Arial" w:hAnsi="Arial" w:cs="Arial"/>
          <w:i/>
          <w:iCs/>
        </w:rPr>
        <w:t>Medication Without Harm</w:t>
      </w:r>
      <w:r w:rsidRPr="00EE5B19">
        <w:rPr>
          <w:rFonts w:ascii="Arial" w:hAnsi="Arial" w:cs="Arial"/>
        </w:rPr>
        <w:t xml:space="preserve">. Available at: </w:t>
      </w:r>
      <w:hyperlink r:id="rId80" w:history="1">
        <w:r w:rsidRPr="00EE5B19">
          <w:rPr>
            <w:rStyle w:val="Hyperlink"/>
            <w:rFonts w:ascii="Arial" w:hAnsi="Arial" w:cs="Arial"/>
          </w:rPr>
          <w:t>https://www.who.int/initiatives/medication-without-harm</w:t>
        </w:r>
      </w:hyperlink>
      <w:r w:rsidRPr="00EE5B19">
        <w:rPr>
          <w:rFonts w:ascii="Arial" w:hAnsi="Arial" w:cs="Arial"/>
        </w:rPr>
        <w:t xml:space="preserve"> (Accessed: 1 August 2026).</w:t>
      </w:r>
    </w:p>
    <w:p w14:paraId="7C12626F" w14:textId="3AB3E174" w:rsidR="003C51A5" w:rsidRPr="003C51A5" w:rsidRDefault="003C51A5" w:rsidP="002778F9">
      <w:pPr>
        <w:pStyle w:val="ListParagraph"/>
        <w:numPr>
          <w:ilvl w:val="0"/>
          <w:numId w:val="9"/>
        </w:numPr>
        <w:spacing w:line="360" w:lineRule="auto"/>
        <w:jc w:val="both"/>
        <w:rPr>
          <w:rFonts w:ascii="Arial" w:hAnsi="Arial" w:cs="Arial"/>
        </w:rPr>
      </w:pPr>
      <w:r w:rsidRPr="00EE5B19">
        <w:rPr>
          <w:rFonts w:ascii="Arial" w:hAnsi="Arial" w:cs="Arial"/>
        </w:rPr>
        <w:t xml:space="preserve">Yukl, G. and Gardner, W. (2020) </w:t>
      </w:r>
      <w:r w:rsidRPr="00EE5B19">
        <w:rPr>
          <w:rFonts w:ascii="Arial" w:hAnsi="Arial" w:cs="Arial"/>
          <w:i/>
          <w:iCs/>
        </w:rPr>
        <w:t>Leadership in Organizations (9th ed.). Pearson Education. - References - Scientific Research Publishing</w:t>
      </w:r>
      <w:r w:rsidRPr="00EE5B19">
        <w:rPr>
          <w:rFonts w:ascii="Arial" w:hAnsi="Arial" w:cs="Arial"/>
        </w:rPr>
        <w:t xml:space="preserve">. 9th edn. New York: Pearson. Available at: </w:t>
      </w:r>
      <w:hyperlink r:id="rId81" w:history="1">
        <w:r w:rsidRPr="00EE5B19">
          <w:rPr>
            <w:rStyle w:val="Hyperlink"/>
            <w:rFonts w:ascii="Arial" w:hAnsi="Arial" w:cs="Arial"/>
          </w:rPr>
          <w:t>https://www.scirp.org/reference/referencespapers?referenceid=3617394</w:t>
        </w:r>
      </w:hyperlink>
      <w:r w:rsidRPr="00EE5B19">
        <w:rPr>
          <w:rFonts w:ascii="Arial" w:hAnsi="Arial" w:cs="Arial"/>
        </w:rPr>
        <w:t xml:space="preserve"> (Accessed: 2 August 2026).</w:t>
      </w:r>
    </w:p>
    <w:sectPr w:rsidR="003C51A5" w:rsidRPr="003C51A5" w:rsidSect="00F25217">
      <w:pgSz w:w="11906" w:h="16838"/>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959D3"/>
    <w:multiLevelType w:val="hybridMultilevel"/>
    <w:tmpl w:val="99943A0C"/>
    <w:lvl w:ilvl="0" w:tplc="5FE2FBDE">
      <w:start w:val="1"/>
      <w:numFmt w:val="bullet"/>
      <w:lvlText w:val="•"/>
      <w:lvlJc w:val="left"/>
      <w:pPr>
        <w:tabs>
          <w:tab w:val="num" w:pos="720"/>
        </w:tabs>
        <w:ind w:left="720" w:hanging="360"/>
      </w:pPr>
      <w:rPr>
        <w:rFonts w:ascii="Arial" w:hAnsi="Arial" w:hint="default"/>
      </w:rPr>
    </w:lvl>
    <w:lvl w:ilvl="1" w:tplc="FD5421A2" w:tentative="1">
      <w:start w:val="1"/>
      <w:numFmt w:val="bullet"/>
      <w:lvlText w:val="•"/>
      <w:lvlJc w:val="left"/>
      <w:pPr>
        <w:tabs>
          <w:tab w:val="num" w:pos="1440"/>
        </w:tabs>
        <w:ind w:left="1440" w:hanging="360"/>
      </w:pPr>
      <w:rPr>
        <w:rFonts w:ascii="Arial" w:hAnsi="Arial" w:hint="default"/>
      </w:rPr>
    </w:lvl>
    <w:lvl w:ilvl="2" w:tplc="B25C1B4A" w:tentative="1">
      <w:start w:val="1"/>
      <w:numFmt w:val="bullet"/>
      <w:lvlText w:val="•"/>
      <w:lvlJc w:val="left"/>
      <w:pPr>
        <w:tabs>
          <w:tab w:val="num" w:pos="2160"/>
        </w:tabs>
        <w:ind w:left="2160" w:hanging="360"/>
      </w:pPr>
      <w:rPr>
        <w:rFonts w:ascii="Arial" w:hAnsi="Arial" w:hint="default"/>
      </w:rPr>
    </w:lvl>
    <w:lvl w:ilvl="3" w:tplc="4B5A1680" w:tentative="1">
      <w:start w:val="1"/>
      <w:numFmt w:val="bullet"/>
      <w:lvlText w:val="•"/>
      <w:lvlJc w:val="left"/>
      <w:pPr>
        <w:tabs>
          <w:tab w:val="num" w:pos="2880"/>
        </w:tabs>
        <w:ind w:left="2880" w:hanging="360"/>
      </w:pPr>
      <w:rPr>
        <w:rFonts w:ascii="Arial" w:hAnsi="Arial" w:hint="default"/>
      </w:rPr>
    </w:lvl>
    <w:lvl w:ilvl="4" w:tplc="B54259D8" w:tentative="1">
      <w:start w:val="1"/>
      <w:numFmt w:val="bullet"/>
      <w:lvlText w:val="•"/>
      <w:lvlJc w:val="left"/>
      <w:pPr>
        <w:tabs>
          <w:tab w:val="num" w:pos="3600"/>
        </w:tabs>
        <w:ind w:left="3600" w:hanging="360"/>
      </w:pPr>
      <w:rPr>
        <w:rFonts w:ascii="Arial" w:hAnsi="Arial" w:hint="default"/>
      </w:rPr>
    </w:lvl>
    <w:lvl w:ilvl="5" w:tplc="0E74BA5E" w:tentative="1">
      <w:start w:val="1"/>
      <w:numFmt w:val="bullet"/>
      <w:lvlText w:val="•"/>
      <w:lvlJc w:val="left"/>
      <w:pPr>
        <w:tabs>
          <w:tab w:val="num" w:pos="4320"/>
        </w:tabs>
        <w:ind w:left="4320" w:hanging="360"/>
      </w:pPr>
      <w:rPr>
        <w:rFonts w:ascii="Arial" w:hAnsi="Arial" w:hint="default"/>
      </w:rPr>
    </w:lvl>
    <w:lvl w:ilvl="6" w:tplc="4AE46D0E" w:tentative="1">
      <w:start w:val="1"/>
      <w:numFmt w:val="bullet"/>
      <w:lvlText w:val="•"/>
      <w:lvlJc w:val="left"/>
      <w:pPr>
        <w:tabs>
          <w:tab w:val="num" w:pos="5040"/>
        </w:tabs>
        <w:ind w:left="5040" w:hanging="360"/>
      </w:pPr>
      <w:rPr>
        <w:rFonts w:ascii="Arial" w:hAnsi="Arial" w:hint="default"/>
      </w:rPr>
    </w:lvl>
    <w:lvl w:ilvl="7" w:tplc="461C1448" w:tentative="1">
      <w:start w:val="1"/>
      <w:numFmt w:val="bullet"/>
      <w:lvlText w:val="•"/>
      <w:lvlJc w:val="left"/>
      <w:pPr>
        <w:tabs>
          <w:tab w:val="num" w:pos="5760"/>
        </w:tabs>
        <w:ind w:left="5760" w:hanging="360"/>
      </w:pPr>
      <w:rPr>
        <w:rFonts w:ascii="Arial" w:hAnsi="Arial" w:hint="default"/>
      </w:rPr>
    </w:lvl>
    <w:lvl w:ilvl="8" w:tplc="5B72803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17D3B81"/>
    <w:multiLevelType w:val="hybridMultilevel"/>
    <w:tmpl w:val="055C0E3A"/>
    <w:lvl w:ilvl="0" w:tplc="3B0A4FB4">
      <w:start w:val="1"/>
      <w:numFmt w:val="bullet"/>
      <w:lvlText w:val="•"/>
      <w:lvlJc w:val="left"/>
      <w:pPr>
        <w:tabs>
          <w:tab w:val="num" w:pos="720"/>
        </w:tabs>
        <w:ind w:left="720" w:hanging="360"/>
      </w:pPr>
      <w:rPr>
        <w:rFonts w:ascii="Arial" w:hAnsi="Arial" w:hint="default"/>
      </w:rPr>
    </w:lvl>
    <w:lvl w:ilvl="1" w:tplc="0556F394" w:tentative="1">
      <w:start w:val="1"/>
      <w:numFmt w:val="bullet"/>
      <w:lvlText w:val="•"/>
      <w:lvlJc w:val="left"/>
      <w:pPr>
        <w:tabs>
          <w:tab w:val="num" w:pos="1440"/>
        </w:tabs>
        <w:ind w:left="1440" w:hanging="360"/>
      </w:pPr>
      <w:rPr>
        <w:rFonts w:ascii="Arial" w:hAnsi="Arial" w:hint="default"/>
      </w:rPr>
    </w:lvl>
    <w:lvl w:ilvl="2" w:tplc="035C1AFE" w:tentative="1">
      <w:start w:val="1"/>
      <w:numFmt w:val="bullet"/>
      <w:lvlText w:val="•"/>
      <w:lvlJc w:val="left"/>
      <w:pPr>
        <w:tabs>
          <w:tab w:val="num" w:pos="2160"/>
        </w:tabs>
        <w:ind w:left="2160" w:hanging="360"/>
      </w:pPr>
      <w:rPr>
        <w:rFonts w:ascii="Arial" w:hAnsi="Arial" w:hint="default"/>
      </w:rPr>
    </w:lvl>
    <w:lvl w:ilvl="3" w:tplc="C7083B50" w:tentative="1">
      <w:start w:val="1"/>
      <w:numFmt w:val="bullet"/>
      <w:lvlText w:val="•"/>
      <w:lvlJc w:val="left"/>
      <w:pPr>
        <w:tabs>
          <w:tab w:val="num" w:pos="2880"/>
        </w:tabs>
        <w:ind w:left="2880" w:hanging="360"/>
      </w:pPr>
      <w:rPr>
        <w:rFonts w:ascii="Arial" w:hAnsi="Arial" w:hint="default"/>
      </w:rPr>
    </w:lvl>
    <w:lvl w:ilvl="4" w:tplc="F3FEF78E" w:tentative="1">
      <w:start w:val="1"/>
      <w:numFmt w:val="bullet"/>
      <w:lvlText w:val="•"/>
      <w:lvlJc w:val="left"/>
      <w:pPr>
        <w:tabs>
          <w:tab w:val="num" w:pos="3600"/>
        </w:tabs>
        <w:ind w:left="3600" w:hanging="360"/>
      </w:pPr>
      <w:rPr>
        <w:rFonts w:ascii="Arial" w:hAnsi="Arial" w:hint="default"/>
      </w:rPr>
    </w:lvl>
    <w:lvl w:ilvl="5" w:tplc="A4084F26" w:tentative="1">
      <w:start w:val="1"/>
      <w:numFmt w:val="bullet"/>
      <w:lvlText w:val="•"/>
      <w:lvlJc w:val="left"/>
      <w:pPr>
        <w:tabs>
          <w:tab w:val="num" w:pos="4320"/>
        </w:tabs>
        <w:ind w:left="4320" w:hanging="360"/>
      </w:pPr>
      <w:rPr>
        <w:rFonts w:ascii="Arial" w:hAnsi="Arial" w:hint="default"/>
      </w:rPr>
    </w:lvl>
    <w:lvl w:ilvl="6" w:tplc="C8248E64" w:tentative="1">
      <w:start w:val="1"/>
      <w:numFmt w:val="bullet"/>
      <w:lvlText w:val="•"/>
      <w:lvlJc w:val="left"/>
      <w:pPr>
        <w:tabs>
          <w:tab w:val="num" w:pos="5040"/>
        </w:tabs>
        <w:ind w:left="5040" w:hanging="360"/>
      </w:pPr>
      <w:rPr>
        <w:rFonts w:ascii="Arial" w:hAnsi="Arial" w:hint="default"/>
      </w:rPr>
    </w:lvl>
    <w:lvl w:ilvl="7" w:tplc="3E08405A" w:tentative="1">
      <w:start w:val="1"/>
      <w:numFmt w:val="bullet"/>
      <w:lvlText w:val="•"/>
      <w:lvlJc w:val="left"/>
      <w:pPr>
        <w:tabs>
          <w:tab w:val="num" w:pos="5760"/>
        </w:tabs>
        <w:ind w:left="5760" w:hanging="360"/>
      </w:pPr>
      <w:rPr>
        <w:rFonts w:ascii="Arial" w:hAnsi="Arial" w:hint="default"/>
      </w:rPr>
    </w:lvl>
    <w:lvl w:ilvl="8" w:tplc="52BAFDB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5C431BB"/>
    <w:multiLevelType w:val="hybridMultilevel"/>
    <w:tmpl w:val="FE02399A"/>
    <w:lvl w:ilvl="0" w:tplc="286C2244">
      <w:start w:val="1"/>
      <w:numFmt w:val="bullet"/>
      <w:lvlText w:val="•"/>
      <w:lvlJc w:val="left"/>
      <w:pPr>
        <w:tabs>
          <w:tab w:val="num" w:pos="720"/>
        </w:tabs>
        <w:ind w:left="720" w:hanging="360"/>
      </w:pPr>
      <w:rPr>
        <w:rFonts w:ascii="Arial" w:hAnsi="Arial" w:hint="default"/>
      </w:rPr>
    </w:lvl>
    <w:lvl w:ilvl="1" w:tplc="FE3E38BC" w:tentative="1">
      <w:start w:val="1"/>
      <w:numFmt w:val="bullet"/>
      <w:lvlText w:val="•"/>
      <w:lvlJc w:val="left"/>
      <w:pPr>
        <w:tabs>
          <w:tab w:val="num" w:pos="1440"/>
        </w:tabs>
        <w:ind w:left="1440" w:hanging="360"/>
      </w:pPr>
      <w:rPr>
        <w:rFonts w:ascii="Arial" w:hAnsi="Arial" w:hint="default"/>
      </w:rPr>
    </w:lvl>
    <w:lvl w:ilvl="2" w:tplc="F932BDF2" w:tentative="1">
      <w:start w:val="1"/>
      <w:numFmt w:val="bullet"/>
      <w:lvlText w:val="•"/>
      <w:lvlJc w:val="left"/>
      <w:pPr>
        <w:tabs>
          <w:tab w:val="num" w:pos="2160"/>
        </w:tabs>
        <w:ind w:left="2160" w:hanging="360"/>
      </w:pPr>
      <w:rPr>
        <w:rFonts w:ascii="Arial" w:hAnsi="Arial" w:hint="default"/>
      </w:rPr>
    </w:lvl>
    <w:lvl w:ilvl="3" w:tplc="8070DC60" w:tentative="1">
      <w:start w:val="1"/>
      <w:numFmt w:val="bullet"/>
      <w:lvlText w:val="•"/>
      <w:lvlJc w:val="left"/>
      <w:pPr>
        <w:tabs>
          <w:tab w:val="num" w:pos="2880"/>
        </w:tabs>
        <w:ind w:left="2880" w:hanging="360"/>
      </w:pPr>
      <w:rPr>
        <w:rFonts w:ascii="Arial" w:hAnsi="Arial" w:hint="default"/>
      </w:rPr>
    </w:lvl>
    <w:lvl w:ilvl="4" w:tplc="D5F25ED8" w:tentative="1">
      <w:start w:val="1"/>
      <w:numFmt w:val="bullet"/>
      <w:lvlText w:val="•"/>
      <w:lvlJc w:val="left"/>
      <w:pPr>
        <w:tabs>
          <w:tab w:val="num" w:pos="3600"/>
        </w:tabs>
        <w:ind w:left="3600" w:hanging="360"/>
      </w:pPr>
      <w:rPr>
        <w:rFonts w:ascii="Arial" w:hAnsi="Arial" w:hint="default"/>
      </w:rPr>
    </w:lvl>
    <w:lvl w:ilvl="5" w:tplc="1542D814" w:tentative="1">
      <w:start w:val="1"/>
      <w:numFmt w:val="bullet"/>
      <w:lvlText w:val="•"/>
      <w:lvlJc w:val="left"/>
      <w:pPr>
        <w:tabs>
          <w:tab w:val="num" w:pos="4320"/>
        </w:tabs>
        <w:ind w:left="4320" w:hanging="360"/>
      </w:pPr>
      <w:rPr>
        <w:rFonts w:ascii="Arial" w:hAnsi="Arial" w:hint="default"/>
      </w:rPr>
    </w:lvl>
    <w:lvl w:ilvl="6" w:tplc="157472E8" w:tentative="1">
      <w:start w:val="1"/>
      <w:numFmt w:val="bullet"/>
      <w:lvlText w:val="•"/>
      <w:lvlJc w:val="left"/>
      <w:pPr>
        <w:tabs>
          <w:tab w:val="num" w:pos="5040"/>
        </w:tabs>
        <w:ind w:left="5040" w:hanging="360"/>
      </w:pPr>
      <w:rPr>
        <w:rFonts w:ascii="Arial" w:hAnsi="Arial" w:hint="default"/>
      </w:rPr>
    </w:lvl>
    <w:lvl w:ilvl="7" w:tplc="CE44BC1C" w:tentative="1">
      <w:start w:val="1"/>
      <w:numFmt w:val="bullet"/>
      <w:lvlText w:val="•"/>
      <w:lvlJc w:val="left"/>
      <w:pPr>
        <w:tabs>
          <w:tab w:val="num" w:pos="5760"/>
        </w:tabs>
        <w:ind w:left="5760" w:hanging="360"/>
      </w:pPr>
      <w:rPr>
        <w:rFonts w:ascii="Arial" w:hAnsi="Arial" w:hint="default"/>
      </w:rPr>
    </w:lvl>
    <w:lvl w:ilvl="8" w:tplc="FDE02C4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A1C3BD8"/>
    <w:multiLevelType w:val="hybridMultilevel"/>
    <w:tmpl w:val="241A520E"/>
    <w:lvl w:ilvl="0" w:tplc="3A2045A2">
      <w:start w:val="1"/>
      <w:numFmt w:val="bullet"/>
      <w:lvlText w:val="•"/>
      <w:lvlJc w:val="left"/>
      <w:pPr>
        <w:tabs>
          <w:tab w:val="num" w:pos="720"/>
        </w:tabs>
        <w:ind w:left="720" w:hanging="360"/>
      </w:pPr>
      <w:rPr>
        <w:rFonts w:ascii="Arial" w:hAnsi="Arial" w:hint="default"/>
      </w:rPr>
    </w:lvl>
    <w:lvl w:ilvl="1" w:tplc="CCC43AC2" w:tentative="1">
      <w:start w:val="1"/>
      <w:numFmt w:val="bullet"/>
      <w:lvlText w:val="•"/>
      <w:lvlJc w:val="left"/>
      <w:pPr>
        <w:tabs>
          <w:tab w:val="num" w:pos="1440"/>
        </w:tabs>
        <w:ind w:left="1440" w:hanging="360"/>
      </w:pPr>
      <w:rPr>
        <w:rFonts w:ascii="Arial" w:hAnsi="Arial" w:hint="default"/>
      </w:rPr>
    </w:lvl>
    <w:lvl w:ilvl="2" w:tplc="78C21BD4" w:tentative="1">
      <w:start w:val="1"/>
      <w:numFmt w:val="bullet"/>
      <w:lvlText w:val="•"/>
      <w:lvlJc w:val="left"/>
      <w:pPr>
        <w:tabs>
          <w:tab w:val="num" w:pos="2160"/>
        </w:tabs>
        <w:ind w:left="2160" w:hanging="360"/>
      </w:pPr>
      <w:rPr>
        <w:rFonts w:ascii="Arial" w:hAnsi="Arial" w:hint="default"/>
      </w:rPr>
    </w:lvl>
    <w:lvl w:ilvl="3" w:tplc="E7A687A8" w:tentative="1">
      <w:start w:val="1"/>
      <w:numFmt w:val="bullet"/>
      <w:lvlText w:val="•"/>
      <w:lvlJc w:val="left"/>
      <w:pPr>
        <w:tabs>
          <w:tab w:val="num" w:pos="2880"/>
        </w:tabs>
        <w:ind w:left="2880" w:hanging="360"/>
      </w:pPr>
      <w:rPr>
        <w:rFonts w:ascii="Arial" w:hAnsi="Arial" w:hint="default"/>
      </w:rPr>
    </w:lvl>
    <w:lvl w:ilvl="4" w:tplc="A440CC26" w:tentative="1">
      <w:start w:val="1"/>
      <w:numFmt w:val="bullet"/>
      <w:lvlText w:val="•"/>
      <w:lvlJc w:val="left"/>
      <w:pPr>
        <w:tabs>
          <w:tab w:val="num" w:pos="3600"/>
        </w:tabs>
        <w:ind w:left="3600" w:hanging="360"/>
      </w:pPr>
      <w:rPr>
        <w:rFonts w:ascii="Arial" w:hAnsi="Arial" w:hint="default"/>
      </w:rPr>
    </w:lvl>
    <w:lvl w:ilvl="5" w:tplc="6318FEA0" w:tentative="1">
      <w:start w:val="1"/>
      <w:numFmt w:val="bullet"/>
      <w:lvlText w:val="•"/>
      <w:lvlJc w:val="left"/>
      <w:pPr>
        <w:tabs>
          <w:tab w:val="num" w:pos="4320"/>
        </w:tabs>
        <w:ind w:left="4320" w:hanging="360"/>
      </w:pPr>
      <w:rPr>
        <w:rFonts w:ascii="Arial" w:hAnsi="Arial" w:hint="default"/>
      </w:rPr>
    </w:lvl>
    <w:lvl w:ilvl="6" w:tplc="EDBE41E4" w:tentative="1">
      <w:start w:val="1"/>
      <w:numFmt w:val="bullet"/>
      <w:lvlText w:val="•"/>
      <w:lvlJc w:val="left"/>
      <w:pPr>
        <w:tabs>
          <w:tab w:val="num" w:pos="5040"/>
        </w:tabs>
        <w:ind w:left="5040" w:hanging="360"/>
      </w:pPr>
      <w:rPr>
        <w:rFonts w:ascii="Arial" w:hAnsi="Arial" w:hint="default"/>
      </w:rPr>
    </w:lvl>
    <w:lvl w:ilvl="7" w:tplc="522233C2" w:tentative="1">
      <w:start w:val="1"/>
      <w:numFmt w:val="bullet"/>
      <w:lvlText w:val="•"/>
      <w:lvlJc w:val="left"/>
      <w:pPr>
        <w:tabs>
          <w:tab w:val="num" w:pos="5760"/>
        </w:tabs>
        <w:ind w:left="5760" w:hanging="360"/>
      </w:pPr>
      <w:rPr>
        <w:rFonts w:ascii="Arial" w:hAnsi="Arial" w:hint="default"/>
      </w:rPr>
    </w:lvl>
    <w:lvl w:ilvl="8" w:tplc="06E6E65E"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5386726B"/>
    <w:multiLevelType w:val="hybridMultilevel"/>
    <w:tmpl w:val="91F858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6864014"/>
    <w:multiLevelType w:val="hybridMultilevel"/>
    <w:tmpl w:val="EACE8D24"/>
    <w:lvl w:ilvl="0" w:tplc="1966B0B4">
      <w:start w:val="1"/>
      <w:numFmt w:val="bullet"/>
      <w:lvlText w:val="•"/>
      <w:lvlJc w:val="left"/>
      <w:pPr>
        <w:tabs>
          <w:tab w:val="num" w:pos="720"/>
        </w:tabs>
        <w:ind w:left="720" w:hanging="360"/>
      </w:pPr>
      <w:rPr>
        <w:rFonts w:ascii="Arial" w:hAnsi="Arial" w:hint="default"/>
      </w:rPr>
    </w:lvl>
    <w:lvl w:ilvl="1" w:tplc="77E04C54" w:tentative="1">
      <w:start w:val="1"/>
      <w:numFmt w:val="bullet"/>
      <w:lvlText w:val="•"/>
      <w:lvlJc w:val="left"/>
      <w:pPr>
        <w:tabs>
          <w:tab w:val="num" w:pos="1440"/>
        </w:tabs>
        <w:ind w:left="1440" w:hanging="360"/>
      </w:pPr>
      <w:rPr>
        <w:rFonts w:ascii="Arial" w:hAnsi="Arial" w:hint="default"/>
      </w:rPr>
    </w:lvl>
    <w:lvl w:ilvl="2" w:tplc="B698605C" w:tentative="1">
      <w:start w:val="1"/>
      <w:numFmt w:val="bullet"/>
      <w:lvlText w:val="•"/>
      <w:lvlJc w:val="left"/>
      <w:pPr>
        <w:tabs>
          <w:tab w:val="num" w:pos="2160"/>
        </w:tabs>
        <w:ind w:left="2160" w:hanging="360"/>
      </w:pPr>
      <w:rPr>
        <w:rFonts w:ascii="Arial" w:hAnsi="Arial" w:hint="default"/>
      </w:rPr>
    </w:lvl>
    <w:lvl w:ilvl="3" w:tplc="249AAF9C" w:tentative="1">
      <w:start w:val="1"/>
      <w:numFmt w:val="bullet"/>
      <w:lvlText w:val="•"/>
      <w:lvlJc w:val="left"/>
      <w:pPr>
        <w:tabs>
          <w:tab w:val="num" w:pos="2880"/>
        </w:tabs>
        <w:ind w:left="2880" w:hanging="360"/>
      </w:pPr>
      <w:rPr>
        <w:rFonts w:ascii="Arial" w:hAnsi="Arial" w:hint="default"/>
      </w:rPr>
    </w:lvl>
    <w:lvl w:ilvl="4" w:tplc="8BC47F1E" w:tentative="1">
      <w:start w:val="1"/>
      <w:numFmt w:val="bullet"/>
      <w:lvlText w:val="•"/>
      <w:lvlJc w:val="left"/>
      <w:pPr>
        <w:tabs>
          <w:tab w:val="num" w:pos="3600"/>
        </w:tabs>
        <w:ind w:left="3600" w:hanging="360"/>
      </w:pPr>
      <w:rPr>
        <w:rFonts w:ascii="Arial" w:hAnsi="Arial" w:hint="default"/>
      </w:rPr>
    </w:lvl>
    <w:lvl w:ilvl="5" w:tplc="0240D27C" w:tentative="1">
      <w:start w:val="1"/>
      <w:numFmt w:val="bullet"/>
      <w:lvlText w:val="•"/>
      <w:lvlJc w:val="left"/>
      <w:pPr>
        <w:tabs>
          <w:tab w:val="num" w:pos="4320"/>
        </w:tabs>
        <w:ind w:left="4320" w:hanging="360"/>
      </w:pPr>
      <w:rPr>
        <w:rFonts w:ascii="Arial" w:hAnsi="Arial" w:hint="default"/>
      </w:rPr>
    </w:lvl>
    <w:lvl w:ilvl="6" w:tplc="61184F84" w:tentative="1">
      <w:start w:val="1"/>
      <w:numFmt w:val="bullet"/>
      <w:lvlText w:val="•"/>
      <w:lvlJc w:val="left"/>
      <w:pPr>
        <w:tabs>
          <w:tab w:val="num" w:pos="5040"/>
        </w:tabs>
        <w:ind w:left="5040" w:hanging="360"/>
      </w:pPr>
      <w:rPr>
        <w:rFonts w:ascii="Arial" w:hAnsi="Arial" w:hint="default"/>
      </w:rPr>
    </w:lvl>
    <w:lvl w:ilvl="7" w:tplc="E962DECC" w:tentative="1">
      <w:start w:val="1"/>
      <w:numFmt w:val="bullet"/>
      <w:lvlText w:val="•"/>
      <w:lvlJc w:val="left"/>
      <w:pPr>
        <w:tabs>
          <w:tab w:val="num" w:pos="5760"/>
        </w:tabs>
        <w:ind w:left="5760" w:hanging="360"/>
      </w:pPr>
      <w:rPr>
        <w:rFonts w:ascii="Arial" w:hAnsi="Arial" w:hint="default"/>
      </w:rPr>
    </w:lvl>
    <w:lvl w:ilvl="8" w:tplc="DB201AC6"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7B326DE3"/>
    <w:multiLevelType w:val="hybridMultilevel"/>
    <w:tmpl w:val="E444B92C"/>
    <w:lvl w:ilvl="0" w:tplc="69D8F908">
      <w:start w:val="1"/>
      <w:numFmt w:val="bullet"/>
      <w:lvlText w:val="•"/>
      <w:lvlJc w:val="left"/>
      <w:pPr>
        <w:tabs>
          <w:tab w:val="num" w:pos="720"/>
        </w:tabs>
        <w:ind w:left="720" w:hanging="360"/>
      </w:pPr>
      <w:rPr>
        <w:rFonts w:ascii="Arial" w:hAnsi="Arial" w:hint="default"/>
      </w:rPr>
    </w:lvl>
    <w:lvl w:ilvl="1" w:tplc="37AC414C" w:tentative="1">
      <w:start w:val="1"/>
      <w:numFmt w:val="bullet"/>
      <w:lvlText w:val="•"/>
      <w:lvlJc w:val="left"/>
      <w:pPr>
        <w:tabs>
          <w:tab w:val="num" w:pos="1440"/>
        </w:tabs>
        <w:ind w:left="1440" w:hanging="360"/>
      </w:pPr>
      <w:rPr>
        <w:rFonts w:ascii="Arial" w:hAnsi="Arial" w:hint="default"/>
      </w:rPr>
    </w:lvl>
    <w:lvl w:ilvl="2" w:tplc="59BE688A" w:tentative="1">
      <w:start w:val="1"/>
      <w:numFmt w:val="bullet"/>
      <w:lvlText w:val="•"/>
      <w:lvlJc w:val="left"/>
      <w:pPr>
        <w:tabs>
          <w:tab w:val="num" w:pos="2160"/>
        </w:tabs>
        <w:ind w:left="2160" w:hanging="360"/>
      </w:pPr>
      <w:rPr>
        <w:rFonts w:ascii="Arial" w:hAnsi="Arial" w:hint="default"/>
      </w:rPr>
    </w:lvl>
    <w:lvl w:ilvl="3" w:tplc="EEA86AF4" w:tentative="1">
      <w:start w:val="1"/>
      <w:numFmt w:val="bullet"/>
      <w:lvlText w:val="•"/>
      <w:lvlJc w:val="left"/>
      <w:pPr>
        <w:tabs>
          <w:tab w:val="num" w:pos="2880"/>
        </w:tabs>
        <w:ind w:left="2880" w:hanging="360"/>
      </w:pPr>
      <w:rPr>
        <w:rFonts w:ascii="Arial" w:hAnsi="Arial" w:hint="default"/>
      </w:rPr>
    </w:lvl>
    <w:lvl w:ilvl="4" w:tplc="7294050E" w:tentative="1">
      <w:start w:val="1"/>
      <w:numFmt w:val="bullet"/>
      <w:lvlText w:val="•"/>
      <w:lvlJc w:val="left"/>
      <w:pPr>
        <w:tabs>
          <w:tab w:val="num" w:pos="3600"/>
        </w:tabs>
        <w:ind w:left="3600" w:hanging="360"/>
      </w:pPr>
      <w:rPr>
        <w:rFonts w:ascii="Arial" w:hAnsi="Arial" w:hint="default"/>
      </w:rPr>
    </w:lvl>
    <w:lvl w:ilvl="5" w:tplc="667E4A58" w:tentative="1">
      <w:start w:val="1"/>
      <w:numFmt w:val="bullet"/>
      <w:lvlText w:val="•"/>
      <w:lvlJc w:val="left"/>
      <w:pPr>
        <w:tabs>
          <w:tab w:val="num" w:pos="4320"/>
        </w:tabs>
        <w:ind w:left="4320" w:hanging="360"/>
      </w:pPr>
      <w:rPr>
        <w:rFonts w:ascii="Arial" w:hAnsi="Arial" w:hint="default"/>
      </w:rPr>
    </w:lvl>
    <w:lvl w:ilvl="6" w:tplc="73121C22" w:tentative="1">
      <w:start w:val="1"/>
      <w:numFmt w:val="bullet"/>
      <w:lvlText w:val="•"/>
      <w:lvlJc w:val="left"/>
      <w:pPr>
        <w:tabs>
          <w:tab w:val="num" w:pos="5040"/>
        </w:tabs>
        <w:ind w:left="5040" w:hanging="360"/>
      </w:pPr>
      <w:rPr>
        <w:rFonts w:ascii="Arial" w:hAnsi="Arial" w:hint="default"/>
      </w:rPr>
    </w:lvl>
    <w:lvl w:ilvl="7" w:tplc="ADC60C74" w:tentative="1">
      <w:start w:val="1"/>
      <w:numFmt w:val="bullet"/>
      <w:lvlText w:val="•"/>
      <w:lvlJc w:val="left"/>
      <w:pPr>
        <w:tabs>
          <w:tab w:val="num" w:pos="5760"/>
        </w:tabs>
        <w:ind w:left="5760" w:hanging="360"/>
      </w:pPr>
      <w:rPr>
        <w:rFonts w:ascii="Arial" w:hAnsi="Arial" w:hint="default"/>
      </w:rPr>
    </w:lvl>
    <w:lvl w:ilvl="8" w:tplc="34E8319E"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7DB25EDB"/>
    <w:multiLevelType w:val="hybridMultilevel"/>
    <w:tmpl w:val="7EE46B24"/>
    <w:lvl w:ilvl="0" w:tplc="E20EDB2E">
      <w:start w:val="1"/>
      <w:numFmt w:val="bullet"/>
      <w:lvlText w:val="•"/>
      <w:lvlJc w:val="left"/>
      <w:pPr>
        <w:tabs>
          <w:tab w:val="num" w:pos="720"/>
        </w:tabs>
        <w:ind w:left="720" w:hanging="360"/>
      </w:pPr>
      <w:rPr>
        <w:rFonts w:ascii="Arial" w:hAnsi="Arial" w:hint="default"/>
      </w:rPr>
    </w:lvl>
    <w:lvl w:ilvl="1" w:tplc="070218E6" w:tentative="1">
      <w:start w:val="1"/>
      <w:numFmt w:val="bullet"/>
      <w:lvlText w:val="•"/>
      <w:lvlJc w:val="left"/>
      <w:pPr>
        <w:tabs>
          <w:tab w:val="num" w:pos="1440"/>
        </w:tabs>
        <w:ind w:left="1440" w:hanging="360"/>
      </w:pPr>
      <w:rPr>
        <w:rFonts w:ascii="Arial" w:hAnsi="Arial" w:hint="default"/>
      </w:rPr>
    </w:lvl>
    <w:lvl w:ilvl="2" w:tplc="89669680" w:tentative="1">
      <w:start w:val="1"/>
      <w:numFmt w:val="bullet"/>
      <w:lvlText w:val="•"/>
      <w:lvlJc w:val="left"/>
      <w:pPr>
        <w:tabs>
          <w:tab w:val="num" w:pos="2160"/>
        </w:tabs>
        <w:ind w:left="2160" w:hanging="360"/>
      </w:pPr>
      <w:rPr>
        <w:rFonts w:ascii="Arial" w:hAnsi="Arial" w:hint="default"/>
      </w:rPr>
    </w:lvl>
    <w:lvl w:ilvl="3" w:tplc="2C02B620" w:tentative="1">
      <w:start w:val="1"/>
      <w:numFmt w:val="bullet"/>
      <w:lvlText w:val="•"/>
      <w:lvlJc w:val="left"/>
      <w:pPr>
        <w:tabs>
          <w:tab w:val="num" w:pos="2880"/>
        </w:tabs>
        <w:ind w:left="2880" w:hanging="360"/>
      </w:pPr>
      <w:rPr>
        <w:rFonts w:ascii="Arial" w:hAnsi="Arial" w:hint="default"/>
      </w:rPr>
    </w:lvl>
    <w:lvl w:ilvl="4" w:tplc="82D497F8" w:tentative="1">
      <w:start w:val="1"/>
      <w:numFmt w:val="bullet"/>
      <w:lvlText w:val="•"/>
      <w:lvlJc w:val="left"/>
      <w:pPr>
        <w:tabs>
          <w:tab w:val="num" w:pos="3600"/>
        </w:tabs>
        <w:ind w:left="3600" w:hanging="360"/>
      </w:pPr>
      <w:rPr>
        <w:rFonts w:ascii="Arial" w:hAnsi="Arial" w:hint="default"/>
      </w:rPr>
    </w:lvl>
    <w:lvl w:ilvl="5" w:tplc="9C20E0A2" w:tentative="1">
      <w:start w:val="1"/>
      <w:numFmt w:val="bullet"/>
      <w:lvlText w:val="•"/>
      <w:lvlJc w:val="left"/>
      <w:pPr>
        <w:tabs>
          <w:tab w:val="num" w:pos="4320"/>
        </w:tabs>
        <w:ind w:left="4320" w:hanging="360"/>
      </w:pPr>
      <w:rPr>
        <w:rFonts w:ascii="Arial" w:hAnsi="Arial" w:hint="default"/>
      </w:rPr>
    </w:lvl>
    <w:lvl w:ilvl="6" w:tplc="2370D7AC" w:tentative="1">
      <w:start w:val="1"/>
      <w:numFmt w:val="bullet"/>
      <w:lvlText w:val="•"/>
      <w:lvlJc w:val="left"/>
      <w:pPr>
        <w:tabs>
          <w:tab w:val="num" w:pos="5040"/>
        </w:tabs>
        <w:ind w:left="5040" w:hanging="360"/>
      </w:pPr>
      <w:rPr>
        <w:rFonts w:ascii="Arial" w:hAnsi="Arial" w:hint="default"/>
      </w:rPr>
    </w:lvl>
    <w:lvl w:ilvl="7" w:tplc="8E386E00" w:tentative="1">
      <w:start w:val="1"/>
      <w:numFmt w:val="bullet"/>
      <w:lvlText w:val="•"/>
      <w:lvlJc w:val="left"/>
      <w:pPr>
        <w:tabs>
          <w:tab w:val="num" w:pos="5760"/>
        </w:tabs>
        <w:ind w:left="5760" w:hanging="360"/>
      </w:pPr>
      <w:rPr>
        <w:rFonts w:ascii="Arial" w:hAnsi="Arial" w:hint="default"/>
      </w:rPr>
    </w:lvl>
    <w:lvl w:ilvl="8" w:tplc="81A03918"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7F8731B4"/>
    <w:multiLevelType w:val="hybridMultilevel"/>
    <w:tmpl w:val="0F827236"/>
    <w:lvl w:ilvl="0" w:tplc="082CEE22">
      <w:start w:val="1"/>
      <w:numFmt w:val="bullet"/>
      <w:lvlText w:val="•"/>
      <w:lvlJc w:val="left"/>
      <w:pPr>
        <w:tabs>
          <w:tab w:val="num" w:pos="720"/>
        </w:tabs>
        <w:ind w:left="720" w:hanging="360"/>
      </w:pPr>
      <w:rPr>
        <w:rFonts w:ascii="Arial" w:hAnsi="Arial" w:hint="default"/>
      </w:rPr>
    </w:lvl>
    <w:lvl w:ilvl="1" w:tplc="3B88417A" w:tentative="1">
      <w:start w:val="1"/>
      <w:numFmt w:val="bullet"/>
      <w:lvlText w:val="•"/>
      <w:lvlJc w:val="left"/>
      <w:pPr>
        <w:tabs>
          <w:tab w:val="num" w:pos="1440"/>
        </w:tabs>
        <w:ind w:left="1440" w:hanging="360"/>
      </w:pPr>
      <w:rPr>
        <w:rFonts w:ascii="Arial" w:hAnsi="Arial" w:hint="default"/>
      </w:rPr>
    </w:lvl>
    <w:lvl w:ilvl="2" w:tplc="61B01D6A" w:tentative="1">
      <w:start w:val="1"/>
      <w:numFmt w:val="bullet"/>
      <w:lvlText w:val="•"/>
      <w:lvlJc w:val="left"/>
      <w:pPr>
        <w:tabs>
          <w:tab w:val="num" w:pos="2160"/>
        </w:tabs>
        <w:ind w:left="2160" w:hanging="360"/>
      </w:pPr>
      <w:rPr>
        <w:rFonts w:ascii="Arial" w:hAnsi="Arial" w:hint="default"/>
      </w:rPr>
    </w:lvl>
    <w:lvl w:ilvl="3" w:tplc="D84A30F2" w:tentative="1">
      <w:start w:val="1"/>
      <w:numFmt w:val="bullet"/>
      <w:lvlText w:val="•"/>
      <w:lvlJc w:val="left"/>
      <w:pPr>
        <w:tabs>
          <w:tab w:val="num" w:pos="2880"/>
        </w:tabs>
        <w:ind w:left="2880" w:hanging="360"/>
      </w:pPr>
      <w:rPr>
        <w:rFonts w:ascii="Arial" w:hAnsi="Arial" w:hint="default"/>
      </w:rPr>
    </w:lvl>
    <w:lvl w:ilvl="4" w:tplc="3BF20EAA" w:tentative="1">
      <w:start w:val="1"/>
      <w:numFmt w:val="bullet"/>
      <w:lvlText w:val="•"/>
      <w:lvlJc w:val="left"/>
      <w:pPr>
        <w:tabs>
          <w:tab w:val="num" w:pos="3600"/>
        </w:tabs>
        <w:ind w:left="3600" w:hanging="360"/>
      </w:pPr>
      <w:rPr>
        <w:rFonts w:ascii="Arial" w:hAnsi="Arial" w:hint="default"/>
      </w:rPr>
    </w:lvl>
    <w:lvl w:ilvl="5" w:tplc="12CED384" w:tentative="1">
      <w:start w:val="1"/>
      <w:numFmt w:val="bullet"/>
      <w:lvlText w:val="•"/>
      <w:lvlJc w:val="left"/>
      <w:pPr>
        <w:tabs>
          <w:tab w:val="num" w:pos="4320"/>
        </w:tabs>
        <w:ind w:left="4320" w:hanging="360"/>
      </w:pPr>
      <w:rPr>
        <w:rFonts w:ascii="Arial" w:hAnsi="Arial" w:hint="default"/>
      </w:rPr>
    </w:lvl>
    <w:lvl w:ilvl="6" w:tplc="1FF6A510" w:tentative="1">
      <w:start w:val="1"/>
      <w:numFmt w:val="bullet"/>
      <w:lvlText w:val="•"/>
      <w:lvlJc w:val="left"/>
      <w:pPr>
        <w:tabs>
          <w:tab w:val="num" w:pos="5040"/>
        </w:tabs>
        <w:ind w:left="5040" w:hanging="360"/>
      </w:pPr>
      <w:rPr>
        <w:rFonts w:ascii="Arial" w:hAnsi="Arial" w:hint="default"/>
      </w:rPr>
    </w:lvl>
    <w:lvl w:ilvl="7" w:tplc="C568DF9C" w:tentative="1">
      <w:start w:val="1"/>
      <w:numFmt w:val="bullet"/>
      <w:lvlText w:val="•"/>
      <w:lvlJc w:val="left"/>
      <w:pPr>
        <w:tabs>
          <w:tab w:val="num" w:pos="5760"/>
        </w:tabs>
        <w:ind w:left="5760" w:hanging="360"/>
      </w:pPr>
      <w:rPr>
        <w:rFonts w:ascii="Arial" w:hAnsi="Arial" w:hint="default"/>
      </w:rPr>
    </w:lvl>
    <w:lvl w:ilvl="8" w:tplc="E67A7A54" w:tentative="1">
      <w:start w:val="1"/>
      <w:numFmt w:val="bullet"/>
      <w:lvlText w:val="•"/>
      <w:lvlJc w:val="left"/>
      <w:pPr>
        <w:tabs>
          <w:tab w:val="num" w:pos="6480"/>
        </w:tabs>
        <w:ind w:left="6480" w:hanging="360"/>
      </w:pPr>
      <w:rPr>
        <w:rFonts w:ascii="Arial" w:hAnsi="Arial" w:hint="default"/>
      </w:rPr>
    </w:lvl>
  </w:abstractNum>
  <w:num w:numId="1" w16cid:durableId="1534804442">
    <w:abstractNumId w:val="1"/>
  </w:num>
  <w:num w:numId="2" w16cid:durableId="805901430">
    <w:abstractNumId w:val="5"/>
  </w:num>
  <w:num w:numId="3" w16cid:durableId="873230369">
    <w:abstractNumId w:val="3"/>
  </w:num>
  <w:num w:numId="4" w16cid:durableId="944576644">
    <w:abstractNumId w:val="8"/>
  </w:num>
  <w:num w:numId="5" w16cid:durableId="1607887705">
    <w:abstractNumId w:val="7"/>
  </w:num>
  <w:num w:numId="6" w16cid:durableId="2076195632">
    <w:abstractNumId w:val="2"/>
  </w:num>
  <w:num w:numId="7" w16cid:durableId="67775324">
    <w:abstractNumId w:val="0"/>
  </w:num>
  <w:num w:numId="8" w16cid:durableId="1835946689">
    <w:abstractNumId w:val="6"/>
  </w:num>
  <w:num w:numId="9" w16cid:durableId="47522299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76C6"/>
    <w:rsid w:val="00002DE8"/>
    <w:rsid w:val="00012245"/>
    <w:rsid w:val="00012C30"/>
    <w:rsid w:val="00013688"/>
    <w:rsid w:val="000259E0"/>
    <w:rsid w:val="00026580"/>
    <w:rsid w:val="000354B2"/>
    <w:rsid w:val="00035871"/>
    <w:rsid w:val="000378F5"/>
    <w:rsid w:val="0004167F"/>
    <w:rsid w:val="0006117C"/>
    <w:rsid w:val="00063A18"/>
    <w:rsid w:val="00082042"/>
    <w:rsid w:val="00085942"/>
    <w:rsid w:val="000905BF"/>
    <w:rsid w:val="000942FF"/>
    <w:rsid w:val="000A29A4"/>
    <w:rsid w:val="000A3F6E"/>
    <w:rsid w:val="000A4CA9"/>
    <w:rsid w:val="000B1C9B"/>
    <w:rsid w:val="000B2EEB"/>
    <w:rsid w:val="000C2502"/>
    <w:rsid w:val="000C4F97"/>
    <w:rsid w:val="000C657C"/>
    <w:rsid w:val="000C6982"/>
    <w:rsid w:val="000C6BC9"/>
    <w:rsid w:val="000D4BD9"/>
    <w:rsid w:val="000D504C"/>
    <w:rsid w:val="000E7EAE"/>
    <w:rsid w:val="000F20A4"/>
    <w:rsid w:val="000F5C8E"/>
    <w:rsid w:val="000F647C"/>
    <w:rsid w:val="00113861"/>
    <w:rsid w:val="00113A89"/>
    <w:rsid w:val="001141A4"/>
    <w:rsid w:val="00115774"/>
    <w:rsid w:val="00123233"/>
    <w:rsid w:val="00131C34"/>
    <w:rsid w:val="00132699"/>
    <w:rsid w:val="001346C8"/>
    <w:rsid w:val="001360A4"/>
    <w:rsid w:val="0015051C"/>
    <w:rsid w:val="00152F66"/>
    <w:rsid w:val="0016719F"/>
    <w:rsid w:val="001719EF"/>
    <w:rsid w:val="00171F84"/>
    <w:rsid w:val="00172EC9"/>
    <w:rsid w:val="00174AE6"/>
    <w:rsid w:val="00183102"/>
    <w:rsid w:val="001B453C"/>
    <w:rsid w:val="001C27C7"/>
    <w:rsid w:val="001D1335"/>
    <w:rsid w:val="001D14DF"/>
    <w:rsid w:val="001D2EC0"/>
    <w:rsid w:val="001D404D"/>
    <w:rsid w:val="001E1849"/>
    <w:rsid w:val="001E1A05"/>
    <w:rsid w:val="001F42A5"/>
    <w:rsid w:val="001F7879"/>
    <w:rsid w:val="00200A79"/>
    <w:rsid w:val="00204BF5"/>
    <w:rsid w:val="00207F5F"/>
    <w:rsid w:val="0021450C"/>
    <w:rsid w:val="00214CD6"/>
    <w:rsid w:val="002213EF"/>
    <w:rsid w:val="00223BCD"/>
    <w:rsid w:val="00227BB1"/>
    <w:rsid w:val="00236F4A"/>
    <w:rsid w:val="0024060B"/>
    <w:rsid w:val="00246327"/>
    <w:rsid w:val="002464C1"/>
    <w:rsid w:val="00250876"/>
    <w:rsid w:val="00252093"/>
    <w:rsid w:val="00260B6A"/>
    <w:rsid w:val="0026451B"/>
    <w:rsid w:val="002654F7"/>
    <w:rsid w:val="0026551A"/>
    <w:rsid w:val="0026677C"/>
    <w:rsid w:val="00267F40"/>
    <w:rsid w:val="00270D82"/>
    <w:rsid w:val="00274C98"/>
    <w:rsid w:val="002778F9"/>
    <w:rsid w:val="00281A32"/>
    <w:rsid w:val="00290214"/>
    <w:rsid w:val="002A3664"/>
    <w:rsid w:val="002A5986"/>
    <w:rsid w:val="002A76C6"/>
    <w:rsid w:val="002B0697"/>
    <w:rsid w:val="002B34A3"/>
    <w:rsid w:val="002B7EB8"/>
    <w:rsid w:val="002C5039"/>
    <w:rsid w:val="002D3078"/>
    <w:rsid w:val="002D5036"/>
    <w:rsid w:val="002D5B3A"/>
    <w:rsid w:val="002E452E"/>
    <w:rsid w:val="002E69FC"/>
    <w:rsid w:val="002F1708"/>
    <w:rsid w:val="002F54C8"/>
    <w:rsid w:val="002F6FB1"/>
    <w:rsid w:val="0030582E"/>
    <w:rsid w:val="00310446"/>
    <w:rsid w:val="00314D4F"/>
    <w:rsid w:val="00317577"/>
    <w:rsid w:val="0032269C"/>
    <w:rsid w:val="00333DFF"/>
    <w:rsid w:val="00336628"/>
    <w:rsid w:val="0033760F"/>
    <w:rsid w:val="00337E2C"/>
    <w:rsid w:val="00343777"/>
    <w:rsid w:val="003454A2"/>
    <w:rsid w:val="0035095B"/>
    <w:rsid w:val="00363607"/>
    <w:rsid w:val="0036725E"/>
    <w:rsid w:val="00372F4F"/>
    <w:rsid w:val="00376967"/>
    <w:rsid w:val="003859C8"/>
    <w:rsid w:val="00396D6D"/>
    <w:rsid w:val="003A234F"/>
    <w:rsid w:val="003A38BD"/>
    <w:rsid w:val="003B2EB5"/>
    <w:rsid w:val="003B79D0"/>
    <w:rsid w:val="003C1E30"/>
    <w:rsid w:val="003C51A5"/>
    <w:rsid w:val="003C5F15"/>
    <w:rsid w:val="003C602A"/>
    <w:rsid w:val="003C7765"/>
    <w:rsid w:val="003D07FB"/>
    <w:rsid w:val="003D6DC0"/>
    <w:rsid w:val="003E159B"/>
    <w:rsid w:val="003E3677"/>
    <w:rsid w:val="003E5438"/>
    <w:rsid w:val="00421C2E"/>
    <w:rsid w:val="00423239"/>
    <w:rsid w:val="00440C45"/>
    <w:rsid w:val="004418A9"/>
    <w:rsid w:val="0044601E"/>
    <w:rsid w:val="0044766A"/>
    <w:rsid w:val="00447CF9"/>
    <w:rsid w:val="00450428"/>
    <w:rsid w:val="00457A9F"/>
    <w:rsid w:val="00463298"/>
    <w:rsid w:val="00463D32"/>
    <w:rsid w:val="00485FB1"/>
    <w:rsid w:val="0049178E"/>
    <w:rsid w:val="00493D3D"/>
    <w:rsid w:val="0049511A"/>
    <w:rsid w:val="0049714F"/>
    <w:rsid w:val="004A46B1"/>
    <w:rsid w:val="004A4C14"/>
    <w:rsid w:val="004B1E1E"/>
    <w:rsid w:val="004B585B"/>
    <w:rsid w:val="004C7C2E"/>
    <w:rsid w:val="004D05BE"/>
    <w:rsid w:val="004D2B66"/>
    <w:rsid w:val="004D4660"/>
    <w:rsid w:val="004D63D2"/>
    <w:rsid w:val="004D6D7A"/>
    <w:rsid w:val="004E0036"/>
    <w:rsid w:val="004E79DA"/>
    <w:rsid w:val="00500448"/>
    <w:rsid w:val="00512D02"/>
    <w:rsid w:val="00513322"/>
    <w:rsid w:val="00517375"/>
    <w:rsid w:val="005276A7"/>
    <w:rsid w:val="0052799D"/>
    <w:rsid w:val="00533273"/>
    <w:rsid w:val="005347E1"/>
    <w:rsid w:val="00536D93"/>
    <w:rsid w:val="005403BB"/>
    <w:rsid w:val="0054389A"/>
    <w:rsid w:val="00544F19"/>
    <w:rsid w:val="0054553C"/>
    <w:rsid w:val="005475EE"/>
    <w:rsid w:val="0055324D"/>
    <w:rsid w:val="00571D58"/>
    <w:rsid w:val="005738A0"/>
    <w:rsid w:val="00576C94"/>
    <w:rsid w:val="00587BF2"/>
    <w:rsid w:val="005949D1"/>
    <w:rsid w:val="005A2BB7"/>
    <w:rsid w:val="005A5244"/>
    <w:rsid w:val="005B11AD"/>
    <w:rsid w:val="005B1AF8"/>
    <w:rsid w:val="005B24EE"/>
    <w:rsid w:val="005B47B1"/>
    <w:rsid w:val="005C165F"/>
    <w:rsid w:val="005C42D4"/>
    <w:rsid w:val="005C5025"/>
    <w:rsid w:val="005D0648"/>
    <w:rsid w:val="005D382E"/>
    <w:rsid w:val="005D7A7F"/>
    <w:rsid w:val="005E3C00"/>
    <w:rsid w:val="005E7F16"/>
    <w:rsid w:val="00600B11"/>
    <w:rsid w:val="00600DBE"/>
    <w:rsid w:val="00601341"/>
    <w:rsid w:val="00603A47"/>
    <w:rsid w:val="00617CDB"/>
    <w:rsid w:val="006224AA"/>
    <w:rsid w:val="00630D48"/>
    <w:rsid w:val="00631990"/>
    <w:rsid w:val="00632C66"/>
    <w:rsid w:val="0063517F"/>
    <w:rsid w:val="006400E4"/>
    <w:rsid w:val="0064251E"/>
    <w:rsid w:val="00660F94"/>
    <w:rsid w:val="0066108A"/>
    <w:rsid w:val="00665F62"/>
    <w:rsid w:val="006760B6"/>
    <w:rsid w:val="00676DF0"/>
    <w:rsid w:val="0068227C"/>
    <w:rsid w:val="00682312"/>
    <w:rsid w:val="00682BE5"/>
    <w:rsid w:val="00684CC5"/>
    <w:rsid w:val="00691FCF"/>
    <w:rsid w:val="00692E11"/>
    <w:rsid w:val="006942D4"/>
    <w:rsid w:val="006A0A16"/>
    <w:rsid w:val="006A7E08"/>
    <w:rsid w:val="006B092C"/>
    <w:rsid w:val="006C05F8"/>
    <w:rsid w:val="006C20A7"/>
    <w:rsid w:val="006D37ED"/>
    <w:rsid w:val="006D4147"/>
    <w:rsid w:val="006D4CE1"/>
    <w:rsid w:val="006E0E81"/>
    <w:rsid w:val="006F569C"/>
    <w:rsid w:val="00706D9F"/>
    <w:rsid w:val="00706E87"/>
    <w:rsid w:val="0071579D"/>
    <w:rsid w:val="00715B6A"/>
    <w:rsid w:val="00720AB3"/>
    <w:rsid w:val="0072120A"/>
    <w:rsid w:val="00724C37"/>
    <w:rsid w:val="00731789"/>
    <w:rsid w:val="007379CA"/>
    <w:rsid w:val="007418B1"/>
    <w:rsid w:val="007440FD"/>
    <w:rsid w:val="00746D47"/>
    <w:rsid w:val="007541D8"/>
    <w:rsid w:val="00756DAC"/>
    <w:rsid w:val="00762924"/>
    <w:rsid w:val="00763FF9"/>
    <w:rsid w:val="00775E0B"/>
    <w:rsid w:val="0078152C"/>
    <w:rsid w:val="00782E82"/>
    <w:rsid w:val="00787A4B"/>
    <w:rsid w:val="007965CB"/>
    <w:rsid w:val="007970E9"/>
    <w:rsid w:val="007A129E"/>
    <w:rsid w:val="007A19C3"/>
    <w:rsid w:val="007A282A"/>
    <w:rsid w:val="007B1D6C"/>
    <w:rsid w:val="007B1F89"/>
    <w:rsid w:val="007B6F92"/>
    <w:rsid w:val="007B7FA0"/>
    <w:rsid w:val="007C6FC0"/>
    <w:rsid w:val="007D1F08"/>
    <w:rsid w:val="007D3323"/>
    <w:rsid w:val="007D4181"/>
    <w:rsid w:val="007D46EA"/>
    <w:rsid w:val="007D4D2A"/>
    <w:rsid w:val="007D6A8D"/>
    <w:rsid w:val="007D7BB4"/>
    <w:rsid w:val="007E2332"/>
    <w:rsid w:val="007E4746"/>
    <w:rsid w:val="007E7FD9"/>
    <w:rsid w:val="0080256D"/>
    <w:rsid w:val="008108CB"/>
    <w:rsid w:val="008108E1"/>
    <w:rsid w:val="0081167E"/>
    <w:rsid w:val="00812F0D"/>
    <w:rsid w:val="00815280"/>
    <w:rsid w:val="0082770D"/>
    <w:rsid w:val="00830D82"/>
    <w:rsid w:val="0083283F"/>
    <w:rsid w:val="008352D2"/>
    <w:rsid w:val="00835B30"/>
    <w:rsid w:val="008461E1"/>
    <w:rsid w:val="00850F98"/>
    <w:rsid w:val="008519E9"/>
    <w:rsid w:val="0085387D"/>
    <w:rsid w:val="008561DE"/>
    <w:rsid w:val="00860786"/>
    <w:rsid w:val="00862149"/>
    <w:rsid w:val="008656D4"/>
    <w:rsid w:val="00866B5C"/>
    <w:rsid w:val="008703A5"/>
    <w:rsid w:val="0087096F"/>
    <w:rsid w:val="00873469"/>
    <w:rsid w:val="00891CEF"/>
    <w:rsid w:val="008929EE"/>
    <w:rsid w:val="00894DE7"/>
    <w:rsid w:val="008A2078"/>
    <w:rsid w:val="008A71D5"/>
    <w:rsid w:val="008B5138"/>
    <w:rsid w:val="008B7147"/>
    <w:rsid w:val="008E3A46"/>
    <w:rsid w:val="008E4208"/>
    <w:rsid w:val="008E668B"/>
    <w:rsid w:val="008F2DAC"/>
    <w:rsid w:val="00911903"/>
    <w:rsid w:val="009162AF"/>
    <w:rsid w:val="009241D0"/>
    <w:rsid w:val="009309FB"/>
    <w:rsid w:val="00930F60"/>
    <w:rsid w:val="0093697C"/>
    <w:rsid w:val="009418A9"/>
    <w:rsid w:val="00945995"/>
    <w:rsid w:val="0094715B"/>
    <w:rsid w:val="00956291"/>
    <w:rsid w:val="00964C4B"/>
    <w:rsid w:val="009776F7"/>
    <w:rsid w:val="0097779F"/>
    <w:rsid w:val="0098190D"/>
    <w:rsid w:val="00993010"/>
    <w:rsid w:val="0099322B"/>
    <w:rsid w:val="00993BFD"/>
    <w:rsid w:val="009969D1"/>
    <w:rsid w:val="009A0718"/>
    <w:rsid w:val="009A1824"/>
    <w:rsid w:val="009A2292"/>
    <w:rsid w:val="009B2028"/>
    <w:rsid w:val="009C229D"/>
    <w:rsid w:val="009C4A04"/>
    <w:rsid w:val="009D25FB"/>
    <w:rsid w:val="009E2958"/>
    <w:rsid w:val="009F67C2"/>
    <w:rsid w:val="009F6ACC"/>
    <w:rsid w:val="00A124E7"/>
    <w:rsid w:val="00A14592"/>
    <w:rsid w:val="00A25F64"/>
    <w:rsid w:val="00A2794D"/>
    <w:rsid w:val="00A43F89"/>
    <w:rsid w:val="00A44CB8"/>
    <w:rsid w:val="00A56B05"/>
    <w:rsid w:val="00A57692"/>
    <w:rsid w:val="00A61016"/>
    <w:rsid w:val="00A75110"/>
    <w:rsid w:val="00A762AB"/>
    <w:rsid w:val="00A8078F"/>
    <w:rsid w:val="00A843DB"/>
    <w:rsid w:val="00A93887"/>
    <w:rsid w:val="00AA32A0"/>
    <w:rsid w:val="00AA6FAA"/>
    <w:rsid w:val="00AB06BA"/>
    <w:rsid w:val="00AB0E3F"/>
    <w:rsid w:val="00AD2616"/>
    <w:rsid w:val="00AD2AA1"/>
    <w:rsid w:val="00AD676D"/>
    <w:rsid w:val="00AE087A"/>
    <w:rsid w:val="00AF03A5"/>
    <w:rsid w:val="00AF7C3F"/>
    <w:rsid w:val="00B002E6"/>
    <w:rsid w:val="00B009AE"/>
    <w:rsid w:val="00B148EC"/>
    <w:rsid w:val="00B15F98"/>
    <w:rsid w:val="00B1719F"/>
    <w:rsid w:val="00B22F75"/>
    <w:rsid w:val="00B23304"/>
    <w:rsid w:val="00B25308"/>
    <w:rsid w:val="00B25BB8"/>
    <w:rsid w:val="00B37BF4"/>
    <w:rsid w:val="00B47829"/>
    <w:rsid w:val="00B5212A"/>
    <w:rsid w:val="00B52EE3"/>
    <w:rsid w:val="00B54422"/>
    <w:rsid w:val="00B608DA"/>
    <w:rsid w:val="00B61D5C"/>
    <w:rsid w:val="00B712DB"/>
    <w:rsid w:val="00B748A8"/>
    <w:rsid w:val="00B749BC"/>
    <w:rsid w:val="00B823BF"/>
    <w:rsid w:val="00B83D28"/>
    <w:rsid w:val="00B85030"/>
    <w:rsid w:val="00B91471"/>
    <w:rsid w:val="00B91F67"/>
    <w:rsid w:val="00BA647F"/>
    <w:rsid w:val="00BB10F8"/>
    <w:rsid w:val="00BB1AE3"/>
    <w:rsid w:val="00BC28A5"/>
    <w:rsid w:val="00BC33D2"/>
    <w:rsid w:val="00BC661D"/>
    <w:rsid w:val="00BC7FB1"/>
    <w:rsid w:val="00BD24E1"/>
    <w:rsid w:val="00BD32CC"/>
    <w:rsid w:val="00BD34B1"/>
    <w:rsid w:val="00BD4EB4"/>
    <w:rsid w:val="00BD5657"/>
    <w:rsid w:val="00BD684D"/>
    <w:rsid w:val="00BE4635"/>
    <w:rsid w:val="00BE6AC2"/>
    <w:rsid w:val="00BF0B72"/>
    <w:rsid w:val="00BF37A4"/>
    <w:rsid w:val="00BF3BF4"/>
    <w:rsid w:val="00BF4CDD"/>
    <w:rsid w:val="00BF7079"/>
    <w:rsid w:val="00C106C4"/>
    <w:rsid w:val="00C109BC"/>
    <w:rsid w:val="00C16D60"/>
    <w:rsid w:val="00C17D5A"/>
    <w:rsid w:val="00C20060"/>
    <w:rsid w:val="00C27801"/>
    <w:rsid w:val="00C31159"/>
    <w:rsid w:val="00C43CC2"/>
    <w:rsid w:val="00C47AEB"/>
    <w:rsid w:val="00C50B0A"/>
    <w:rsid w:val="00C51778"/>
    <w:rsid w:val="00C605A2"/>
    <w:rsid w:val="00C62D19"/>
    <w:rsid w:val="00C636AB"/>
    <w:rsid w:val="00C71ED5"/>
    <w:rsid w:val="00C73EE2"/>
    <w:rsid w:val="00C9537F"/>
    <w:rsid w:val="00C95633"/>
    <w:rsid w:val="00C95A9A"/>
    <w:rsid w:val="00CA672B"/>
    <w:rsid w:val="00CB1E01"/>
    <w:rsid w:val="00CB70F8"/>
    <w:rsid w:val="00CB717E"/>
    <w:rsid w:val="00CB7427"/>
    <w:rsid w:val="00CC746A"/>
    <w:rsid w:val="00CD2897"/>
    <w:rsid w:val="00CD2E40"/>
    <w:rsid w:val="00CD4676"/>
    <w:rsid w:val="00CD66E4"/>
    <w:rsid w:val="00CF6F45"/>
    <w:rsid w:val="00D05A91"/>
    <w:rsid w:val="00D06221"/>
    <w:rsid w:val="00D16A6D"/>
    <w:rsid w:val="00D21967"/>
    <w:rsid w:val="00D2357F"/>
    <w:rsid w:val="00D27FDC"/>
    <w:rsid w:val="00D358A9"/>
    <w:rsid w:val="00D37F70"/>
    <w:rsid w:val="00D42FF7"/>
    <w:rsid w:val="00D44A35"/>
    <w:rsid w:val="00D56E59"/>
    <w:rsid w:val="00D56EBD"/>
    <w:rsid w:val="00D63B1B"/>
    <w:rsid w:val="00D711AD"/>
    <w:rsid w:val="00D730D9"/>
    <w:rsid w:val="00D7783C"/>
    <w:rsid w:val="00D806CF"/>
    <w:rsid w:val="00D8255F"/>
    <w:rsid w:val="00D830C5"/>
    <w:rsid w:val="00D85FE0"/>
    <w:rsid w:val="00D8662F"/>
    <w:rsid w:val="00D8726B"/>
    <w:rsid w:val="00D910C8"/>
    <w:rsid w:val="00D93889"/>
    <w:rsid w:val="00D97684"/>
    <w:rsid w:val="00DA0A20"/>
    <w:rsid w:val="00DB6732"/>
    <w:rsid w:val="00DE3C01"/>
    <w:rsid w:val="00DE7C34"/>
    <w:rsid w:val="00DF77DE"/>
    <w:rsid w:val="00E041B4"/>
    <w:rsid w:val="00E074D0"/>
    <w:rsid w:val="00E14BB9"/>
    <w:rsid w:val="00E26C1F"/>
    <w:rsid w:val="00E26E23"/>
    <w:rsid w:val="00E336E4"/>
    <w:rsid w:val="00E43576"/>
    <w:rsid w:val="00E5013C"/>
    <w:rsid w:val="00E6537A"/>
    <w:rsid w:val="00E725C7"/>
    <w:rsid w:val="00E73AF7"/>
    <w:rsid w:val="00E8759B"/>
    <w:rsid w:val="00E94AC9"/>
    <w:rsid w:val="00EA115E"/>
    <w:rsid w:val="00EA4CDD"/>
    <w:rsid w:val="00EA6FC0"/>
    <w:rsid w:val="00EA7E72"/>
    <w:rsid w:val="00EB7CB4"/>
    <w:rsid w:val="00ED2240"/>
    <w:rsid w:val="00ED2EE8"/>
    <w:rsid w:val="00ED6FBD"/>
    <w:rsid w:val="00EE02E4"/>
    <w:rsid w:val="00F01EEB"/>
    <w:rsid w:val="00F02C03"/>
    <w:rsid w:val="00F036E4"/>
    <w:rsid w:val="00F102FC"/>
    <w:rsid w:val="00F10B00"/>
    <w:rsid w:val="00F11758"/>
    <w:rsid w:val="00F16001"/>
    <w:rsid w:val="00F213F2"/>
    <w:rsid w:val="00F21C1E"/>
    <w:rsid w:val="00F25217"/>
    <w:rsid w:val="00F260BF"/>
    <w:rsid w:val="00F34F4B"/>
    <w:rsid w:val="00F40EA8"/>
    <w:rsid w:val="00F50403"/>
    <w:rsid w:val="00F51B79"/>
    <w:rsid w:val="00F55E17"/>
    <w:rsid w:val="00F714E1"/>
    <w:rsid w:val="00F71897"/>
    <w:rsid w:val="00F82040"/>
    <w:rsid w:val="00F9654A"/>
    <w:rsid w:val="00FA1F77"/>
    <w:rsid w:val="00FA29B8"/>
    <w:rsid w:val="00FA3ED9"/>
    <w:rsid w:val="00FA5E6E"/>
    <w:rsid w:val="00FA6D29"/>
    <w:rsid w:val="00FC19F2"/>
    <w:rsid w:val="00FC2FF1"/>
    <w:rsid w:val="00FC347A"/>
    <w:rsid w:val="00FD139E"/>
    <w:rsid w:val="00FD3151"/>
    <w:rsid w:val="00FD3C47"/>
    <w:rsid w:val="00FD3C57"/>
    <w:rsid w:val="00FE15C5"/>
    <w:rsid w:val="00FE166C"/>
    <w:rsid w:val="00FE29B9"/>
    <w:rsid w:val="00FE2C6A"/>
    <w:rsid w:val="00FE38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34C742"/>
  <w15:chartTrackingRefBased/>
  <w15:docId w15:val="{586CF902-792F-498E-B628-ACE25EE705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A76C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A76C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A76C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A76C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A76C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A76C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A76C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A76C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A76C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76C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A76C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A76C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A76C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A76C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A76C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A76C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A76C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A76C6"/>
    <w:rPr>
      <w:rFonts w:eastAsiaTheme="majorEastAsia" w:cstheme="majorBidi"/>
      <w:color w:val="272727" w:themeColor="text1" w:themeTint="D8"/>
    </w:rPr>
  </w:style>
  <w:style w:type="paragraph" w:styleId="Title">
    <w:name w:val="Title"/>
    <w:basedOn w:val="Normal"/>
    <w:next w:val="Normal"/>
    <w:link w:val="TitleChar"/>
    <w:uiPriority w:val="10"/>
    <w:qFormat/>
    <w:rsid w:val="002A76C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A76C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A76C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A76C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A76C6"/>
    <w:pPr>
      <w:spacing w:before="160"/>
      <w:jc w:val="center"/>
    </w:pPr>
    <w:rPr>
      <w:i/>
      <w:iCs/>
      <w:color w:val="404040" w:themeColor="text1" w:themeTint="BF"/>
    </w:rPr>
  </w:style>
  <w:style w:type="character" w:customStyle="1" w:styleId="QuoteChar">
    <w:name w:val="Quote Char"/>
    <w:basedOn w:val="DefaultParagraphFont"/>
    <w:link w:val="Quote"/>
    <w:uiPriority w:val="29"/>
    <w:rsid w:val="002A76C6"/>
    <w:rPr>
      <w:i/>
      <w:iCs/>
      <w:color w:val="404040" w:themeColor="text1" w:themeTint="BF"/>
    </w:rPr>
  </w:style>
  <w:style w:type="paragraph" w:styleId="ListParagraph">
    <w:name w:val="List Paragraph"/>
    <w:basedOn w:val="Normal"/>
    <w:uiPriority w:val="34"/>
    <w:qFormat/>
    <w:rsid w:val="002A76C6"/>
    <w:pPr>
      <w:ind w:left="720"/>
      <w:contextualSpacing/>
    </w:pPr>
  </w:style>
  <w:style w:type="character" w:styleId="IntenseEmphasis">
    <w:name w:val="Intense Emphasis"/>
    <w:basedOn w:val="DefaultParagraphFont"/>
    <w:uiPriority w:val="21"/>
    <w:qFormat/>
    <w:rsid w:val="002A76C6"/>
    <w:rPr>
      <w:i/>
      <w:iCs/>
      <w:color w:val="0F4761" w:themeColor="accent1" w:themeShade="BF"/>
    </w:rPr>
  </w:style>
  <w:style w:type="paragraph" w:styleId="IntenseQuote">
    <w:name w:val="Intense Quote"/>
    <w:basedOn w:val="Normal"/>
    <w:next w:val="Normal"/>
    <w:link w:val="IntenseQuoteChar"/>
    <w:uiPriority w:val="30"/>
    <w:qFormat/>
    <w:rsid w:val="002A76C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A76C6"/>
    <w:rPr>
      <w:i/>
      <w:iCs/>
      <w:color w:val="0F4761" w:themeColor="accent1" w:themeShade="BF"/>
    </w:rPr>
  </w:style>
  <w:style w:type="character" w:styleId="IntenseReference">
    <w:name w:val="Intense Reference"/>
    <w:basedOn w:val="DefaultParagraphFont"/>
    <w:uiPriority w:val="32"/>
    <w:qFormat/>
    <w:rsid w:val="002A76C6"/>
    <w:rPr>
      <w:b/>
      <w:bCs/>
      <w:smallCaps/>
      <w:color w:val="0F4761" w:themeColor="accent1" w:themeShade="BF"/>
      <w:spacing w:val="5"/>
    </w:rPr>
  </w:style>
  <w:style w:type="character" w:styleId="Hyperlink">
    <w:name w:val="Hyperlink"/>
    <w:basedOn w:val="DefaultParagraphFont"/>
    <w:uiPriority w:val="99"/>
    <w:unhideWhenUsed/>
    <w:rsid w:val="003C51A5"/>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136/bmjqs-2013-001947" TargetMode="External"/><Relationship Id="rId21" Type="http://schemas.openxmlformats.org/officeDocument/2006/relationships/hyperlink" Target="https://www.cqc.org.uk/publications/major-reports/cqc-insight-14-medicines-safety-nhs-trusts" TargetMode="External"/><Relationship Id="rId42" Type="http://schemas.openxmlformats.org/officeDocument/2006/relationships/hyperlink" Target="https://www.ihi.org/library/tools/patient-safety-essentials-toolkit" TargetMode="External"/><Relationship Id="rId47" Type="http://schemas.openxmlformats.org/officeDocument/2006/relationships/hyperlink" Target="https://www.gov.uk/drug-safety-update" TargetMode="External"/><Relationship Id="rId63" Type="http://schemas.openxmlformats.org/officeDocument/2006/relationships/hyperlink" Target="https://doi.org/10.1016/0007-6813(81)90031-8" TargetMode="External"/><Relationship Id="rId68" Type="http://schemas.openxmlformats.org/officeDocument/2006/relationships/hyperlink" Target="https://doi.org/10.1136/bmj.320.7237.730" TargetMode="External"/><Relationship Id="rId16" Type="http://schemas.openxmlformats.org/officeDocument/2006/relationships/hyperlink" Target="https://www.bmj.com/company/newsroom/237-million-medication-errors-made-every-year-in-england/" TargetMode="External"/><Relationship Id="rId11" Type="http://schemas.openxmlformats.org/officeDocument/2006/relationships/hyperlink" Target="https://www.bmj.com/content/391/bmj.r2374/rr-0" TargetMode="External"/><Relationship Id="rId32" Type="http://schemas.openxmlformats.org/officeDocument/2006/relationships/hyperlink" Target="https://www.gmc-uk.org/professional-standards/the-professional-standards/good-practice-in-prescribing-and-managing-medicines-and-devices/keeping-up-to-date-and-ensuring-safe-prescribing" TargetMode="External"/><Relationship Id="rId37" Type="http://schemas.openxmlformats.org/officeDocument/2006/relationships/hyperlink" Target="https://doi.org/10.1136/bmjopen-2021-050283" TargetMode="External"/><Relationship Id="rId53" Type="http://schemas.openxmlformats.org/officeDocument/2006/relationships/hyperlink" Target="https://www.england.nhs.uk/aac/wp-content/uploads/2020/08/190708_Patient_Safety_Strategy_for_website_v4.pdf" TargetMode="External"/><Relationship Id="rId58" Type="http://schemas.openxmlformats.org/officeDocument/2006/relationships/hyperlink" Target="https://www.england.nhs.uk/long-read/patient-safety-incident-response-framework/" TargetMode="External"/><Relationship Id="rId74" Type="http://schemas.openxmlformats.org/officeDocument/2006/relationships/hyperlink" Target="https://doi.org/10.1007/978-3-319-25559-0" TargetMode="External"/><Relationship Id="rId79" Type="http://schemas.openxmlformats.org/officeDocument/2006/relationships/hyperlink" Target="https://www.who.int/publications/i/item/9789240062764" TargetMode="External"/><Relationship Id="rId5" Type="http://schemas.openxmlformats.org/officeDocument/2006/relationships/image" Target="media/image1.png"/><Relationship Id="rId61" Type="http://schemas.openxmlformats.org/officeDocument/2006/relationships/hyperlink" Target="https://uk.sagepub.com/en-gb/eur/leadership/book283944" TargetMode="External"/><Relationship Id="rId82" Type="http://schemas.openxmlformats.org/officeDocument/2006/relationships/fontTable" Target="fontTable.xml"/><Relationship Id="rId19" Type="http://schemas.openxmlformats.org/officeDocument/2006/relationships/hyperlink" Target="https://doi.org/10.1136/bmjopen-2025-104863" TargetMode="External"/><Relationship Id="rId14" Type="http://schemas.openxmlformats.org/officeDocument/2006/relationships/hyperlink" Target="https://doi.org/10.1016/j.rcsop.2024.100531" TargetMode="External"/><Relationship Id="rId22" Type="http://schemas.openxmlformats.org/officeDocument/2006/relationships/hyperlink" Target="https://www.cqc.org.uk/publications/major-report/state-care/2023-2024" TargetMode="External"/><Relationship Id="rId27" Type="http://schemas.openxmlformats.org/officeDocument/2006/relationships/hyperlink" Target="https://www.hbs.edu/faculty/Pages/item.aspx?num=54851&amp;" TargetMode="External"/><Relationship Id="rId30" Type="http://schemas.openxmlformats.org/officeDocument/2006/relationships/hyperlink" Target="https://doi.org/10.1007/s10111-015-0345-z" TargetMode="External"/><Relationship Id="rId35" Type="http://schemas.openxmlformats.org/officeDocument/2006/relationships/hyperlink" Target="https://www.pharmacyregulation.org/pharmacists/standards-and-guidance-pharmacy-professionals/standards-pharmacy-professionals" TargetMode="External"/><Relationship Id="rId43" Type="http://schemas.openxmlformats.org/officeDocument/2006/relationships/hyperlink" Target="http://www.ncbi.nlm.nih.gov/books/NBK225182/" TargetMode="External"/><Relationship Id="rId48" Type="http://schemas.openxmlformats.org/officeDocument/2006/relationships/hyperlink" Target="https://doi.org/10.1007/978-3-032-16657-9_20" TargetMode="External"/><Relationship Id="rId56" Type="http://schemas.openxmlformats.org/officeDocument/2006/relationships/hyperlink" Target="https://www.gov.uk/government/publications/10-year-health-plan-for-england-fit-for-the-future" TargetMode="External"/><Relationship Id="rId64" Type="http://schemas.openxmlformats.org/officeDocument/2006/relationships/hyperlink" Target="http://www.ncbi.nlm.nih.gov/books/NBK570638/" TargetMode="External"/><Relationship Id="rId69" Type="http://schemas.openxmlformats.org/officeDocument/2006/relationships/hyperlink" Target="https://www.sps.nhs.uk/articles/preventing-errors-on-the-medicine-journey/" TargetMode="External"/><Relationship Id="rId77" Type="http://schemas.openxmlformats.org/officeDocument/2006/relationships/hyperlink" Target="https://www.who.int/publications/i/item/9789240032705" TargetMode="External"/><Relationship Id="rId8" Type="http://schemas.openxmlformats.org/officeDocument/2006/relationships/image" Target="media/image4.png"/><Relationship Id="rId51" Type="http://schemas.openxmlformats.org/officeDocument/2006/relationships/hyperlink" Target="https://www.england.nhs.uk/integratedcare/what-is-integrated-care/" TargetMode="External"/><Relationship Id="rId72" Type="http://schemas.openxmlformats.org/officeDocument/2006/relationships/hyperlink" Target="https://doi.org/10.1136/archdischild-2024-327558" TargetMode="External"/><Relationship Id="rId80" Type="http://schemas.openxmlformats.org/officeDocument/2006/relationships/hyperlink" Target="https://www.who.int/initiatives/medication-without-harm" TargetMode="External"/><Relationship Id="rId3" Type="http://schemas.openxmlformats.org/officeDocument/2006/relationships/settings" Target="settings.xml"/><Relationship Id="rId12" Type="http://schemas.openxmlformats.org/officeDocument/2006/relationships/hyperlink" Target="https://doi.org/10.1136/bmjoq-2023-002651" TargetMode="External"/><Relationship Id="rId17" Type="http://schemas.openxmlformats.org/officeDocument/2006/relationships/hyperlink" Target="https://doi.org/10.1186/s12916-018-1057-z" TargetMode="External"/><Relationship Id="rId25" Type="http://schemas.openxmlformats.org/officeDocument/2006/relationships/hyperlink" Target="https://doi.org/10.1111/inr.70166" TargetMode="External"/><Relationship Id="rId33" Type="http://schemas.openxmlformats.org/officeDocument/2006/relationships/hyperlink" Target="https://doi.org/10.4324/9781315250601" TargetMode="External"/><Relationship Id="rId38" Type="http://schemas.openxmlformats.org/officeDocument/2006/relationships/hyperlink" Target="https://www.kingsfund.org.uk/insight-and-analysis/reports/reforming-nhs-within" TargetMode="External"/><Relationship Id="rId46" Type="http://schemas.openxmlformats.org/officeDocument/2006/relationships/hyperlink" Target="https://doi.org/10.5334/ijic.4192" TargetMode="External"/><Relationship Id="rId59" Type="http://schemas.openxmlformats.org/officeDocument/2006/relationships/hyperlink" Target="https://www.leadershipacademy.nhs.uk/healthcare-leadership-model/" TargetMode="External"/><Relationship Id="rId67" Type="http://schemas.openxmlformats.org/officeDocument/2006/relationships/hyperlink" Target="https://doi.org/10.1002/14651858.CD000072.pub3" TargetMode="External"/><Relationship Id="rId20" Type="http://schemas.openxmlformats.org/officeDocument/2006/relationships/hyperlink" Target="https://doi.org/10.1007/978-1-84882-809-4_5" TargetMode="External"/><Relationship Id="rId41" Type="http://schemas.openxmlformats.org/officeDocument/2006/relationships/hyperlink" Target="http://www.ncbi.nlm.nih.gov/books/NBK2656/" TargetMode="External"/><Relationship Id="rId54" Type="http://schemas.openxmlformats.org/officeDocument/2006/relationships/hyperlink" Target="https://www.england.nhs.uk/patient-safety/the-nhs-patient-safety-strategy/" TargetMode="External"/><Relationship Id="rId62" Type="http://schemas.openxmlformats.org/officeDocument/2006/relationships/hyperlink" Target="https://doi.org/10.1787/5a9858cd-en" TargetMode="External"/><Relationship Id="rId70" Type="http://schemas.openxmlformats.org/officeDocument/2006/relationships/hyperlink" Target="https://hbr.org/1973/05/how-to-choose-a-leadership-pattern" TargetMode="External"/><Relationship Id="rId75" Type="http://schemas.openxmlformats.org/officeDocument/2006/relationships/hyperlink" Target="https://www.kingsfund.org.uk/insight-and-analysis/reports/caring-change" TargetMode="External"/><Relationship Id="rId83"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5" Type="http://schemas.openxmlformats.org/officeDocument/2006/relationships/hyperlink" Target="https://www.gov.uk/government/publications/berwick-review-into-patient-safety" TargetMode="External"/><Relationship Id="rId23" Type="http://schemas.openxmlformats.org/officeDocument/2006/relationships/hyperlink" Target="https://doi.org/10.2147/JHL.S520534" TargetMode="External"/><Relationship Id="rId28" Type="http://schemas.openxmlformats.org/officeDocument/2006/relationships/hyperlink" Target="https://doi.org/10.1136/bmjqs-2019-010206" TargetMode="External"/><Relationship Id="rId36" Type="http://schemas.openxmlformats.org/officeDocument/2006/relationships/hyperlink" Target="https://doi.org/10.1111/j.0887-378X.2004.00325.x" TargetMode="External"/><Relationship Id="rId49" Type="http://schemas.openxmlformats.org/officeDocument/2006/relationships/hyperlink" Target="https://doi.org/10.1016/j.colegn.2021.07.004" TargetMode="External"/><Relationship Id="rId57" Type="http://schemas.openxmlformats.org/officeDocument/2006/relationships/hyperlink" Target="https://www.gov.uk/government/statistics/2024-national-nhs-staff-survey-results" TargetMode="External"/><Relationship Id="rId10" Type="http://schemas.openxmlformats.org/officeDocument/2006/relationships/image" Target="media/image6.png"/><Relationship Id="rId31" Type="http://schemas.openxmlformats.org/officeDocument/2006/relationships/hyperlink" Target="https://doi.org/10.1186/s12913-020-05403-2" TargetMode="External"/><Relationship Id="rId44" Type="http://schemas.openxmlformats.org/officeDocument/2006/relationships/hyperlink" Target="https://www.ismp.org/sites/default/files/attachments/2020-02/2020-2021%20TMSBP-%20FINAL_1.pdf" TargetMode="External"/><Relationship Id="rId52" Type="http://schemas.openxmlformats.org/officeDocument/2006/relationships/hyperlink" Target="https://www.england.nhs.uk/patient-safety/the-nhs-patient-safety-strategy/" TargetMode="External"/><Relationship Id="rId60" Type="http://schemas.openxmlformats.org/officeDocument/2006/relationships/hyperlink" Target="https://doi.org/10.1186/s13012-015-0242-0" TargetMode="External"/><Relationship Id="rId65" Type="http://schemas.openxmlformats.org/officeDocument/2006/relationships/hyperlink" Target="https://doi.org/10.1111/jep.12718" TargetMode="External"/><Relationship Id="rId73" Type="http://schemas.openxmlformats.org/officeDocument/2006/relationships/hyperlink" Target="https://doi.org/10.3390/pharmacy14010002" TargetMode="External"/><Relationship Id="rId78" Type="http://schemas.openxmlformats.org/officeDocument/2006/relationships/hyperlink" Target="https://www.who.int/publications/i/item/9789240032705" TargetMode="External"/><Relationship Id="rId81" Type="http://schemas.openxmlformats.org/officeDocument/2006/relationships/hyperlink" Target="https://www.scirp.org/reference/referencespapers?referenceid=3617394" TargetMode="External"/><Relationship Id="rId4" Type="http://schemas.openxmlformats.org/officeDocument/2006/relationships/webSettings" Target="webSettings.xml"/><Relationship Id="rId9" Type="http://schemas.openxmlformats.org/officeDocument/2006/relationships/image" Target="media/image5.png"/><Relationship Id="rId13" Type="http://schemas.openxmlformats.org/officeDocument/2006/relationships/hyperlink" Target="https://doi.org/10.17265/2328-2185/2020.06.005" TargetMode="External"/><Relationship Id="rId18" Type="http://schemas.openxmlformats.org/officeDocument/2006/relationships/hyperlink" Target="https://doi.org/10.1377/hlthaff.2018.0723" TargetMode="External"/><Relationship Id="rId39" Type="http://schemas.openxmlformats.org/officeDocument/2006/relationships/hyperlink" Target="https://doi.org/10.1177/21582440221106172" TargetMode="External"/><Relationship Id="rId34" Type="http://schemas.openxmlformats.org/officeDocument/2006/relationships/hyperlink" Target="https://doi.org/10.1007/978-3-319-56103-5_1" TargetMode="External"/><Relationship Id="rId50" Type="http://schemas.openxmlformats.org/officeDocument/2006/relationships/hyperlink" Target="https://nationalguardian.org.uk/" TargetMode="External"/><Relationship Id="rId55" Type="http://schemas.openxmlformats.org/officeDocument/2006/relationships/hyperlink" Target="https://www.england.nhs.uk/long-read/nhs-long-term-workforce-plan/" TargetMode="External"/><Relationship Id="rId76" Type="http://schemas.openxmlformats.org/officeDocument/2006/relationships/hyperlink" Target="https://www.who.int/initiatives/medication-without-harm" TargetMode="External"/><Relationship Id="rId7" Type="http://schemas.openxmlformats.org/officeDocument/2006/relationships/image" Target="media/image3.png"/><Relationship Id="rId71" Type="http://schemas.openxmlformats.org/officeDocument/2006/relationships/hyperlink" Target="https://doi.org/10.12968/bjon.2023.32.18.908" TargetMode="External"/><Relationship Id="rId2" Type="http://schemas.openxmlformats.org/officeDocument/2006/relationships/styles" Target="styles.xml"/><Relationship Id="rId29" Type="http://schemas.openxmlformats.org/officeDocument/2006/relationships/hyperlink" Target="https://academic.oup.com/heapol/article/23/5/318/615803" TargetMode="External"/><Relationship Id="rId24" Type="http://schemas.openxmlformats.org/officeDocument/2006/relationships/hyperlink" Target="https://assets.publishing.service.gov.uk/media/686bd5d52cfe301b5fb6780c/dhsc-review-of_patient-safety-across-the-health-and-care-landscape.pdf" TargetMode="External"/><Relationship Id="rId40" Type="http://schemas.openxmlformats.org/officeDocument/2006/relationships/hyperlink" Target="https://doi.org/10.1201/9781315607511" TargetMode="External"/><Relationship Id="rId45" Type="http://schemas.openxmlformats.org/officeDocument/2006/relationships/hyperlink" Target="https://doi.org/10.13140/RG.2.2.17776.02565" TargetMode="External"/><Relationship Id="rId66" Type="http://schemas.openxmlformats.org/officeDocument/2006/relationships/hyperlink" Target="https://doi.org/10.1136/bmj.320.7237.76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8453</TotalTime>
  <Pages>28</Pages>
  <Words>9785</Words>
  <Characters>55780</Characters>
  <Application>Microsoft Office Word</Application>
  <DocSecurity>0</DocSecurity>
  <Lines>464</Lines>
  <Paragraphs>130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Ishrat Rehman (2118374)</dc:creator>
  <cp:keywords/>
  <dc:description/>
  <cp:lastModifiedBy>Ishrat Rehman (2118374)</cp:lastModifiedBy>
  <cp:revision>512</cp:revision>
  <dcterms:created xsi:type="dcterms:W3CDTF">2026-07-17T18:31:00Z</dcterms:created>
  <dcterms:modified xsi:type="dcterms:W3CDTF">2026-08-02T23:04:00Z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52e793f5-644c-4340-82d3-8181f4a55c5e</vt:lpwstr>
  </property>
</Properties>
</file>