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Calibri"/>
          <w:b/>
          <w:bCs/>
          <w:color w:val="000000"/>
          <w:sz w:val="56"/>
          <w:szCs w:val="56"/>
          <w:shd w:val="clear" w:color="auto" w:fill="FBFBFB"/>
        </w:rPr>
      </w:pPr>
      <w:r>
        <w:rPr>
          <w:rFonts w:ascii="Times New Roman" w:hAnsi="Times New Roman" w:eastAsia="Calibri"/>
          <w:b/>
          <w:bCs/>
          <w:color w:val="000000"/>
          <w:sz w:val="56"/>
          <w:szCs w:val="56"/>
          <w:shd w:val="clear" w:color="auto" w:fill="FBFBFB"/>
        </w:rPr>
        <w:t>PROJECT MANAGEMENT</w:t>
      </w:r>
    </w:p>
    <w:p>
      <w:pPr>
        <w:jc w:val="center"/>
        <w:rPr>
          <w:rFonts w:ascii="Times New Roman" w:hAnsi="Times New Roman" w:eastAsia="Calibri"/>
          <w:b/>
          <w:bCs/>
          <w:color w:val="000000"/>
          <w:sz w:val="32"/>
          <w:szCs w:val="32"/>
          <w:shd w:val="clear" w:color="auto" w:fill="FBFBFB"/>
        </w:rPr>
      </w:pPr>
      <w:r>
        <w:rPr>
          <w:rFonts w:ascii="Times New Roman" w:hAnsi="Times New Roman" w:eastAsia="Calibri"/>
          <w:b/>
          <w:bCs/>
          <w:color w:val="000000"/>
          <w:sz w:val="32"/>
          <w:szCs w:val="32"/>
          <w:shd w:val="clear" w:color="auto" w:fill="FBFBFB"/>
        </w:rPr>
        <w:t>ASSESSMENT 1</w:t>
      </w:r>
    </w:p>
    <w:p>
      <w:pPr>
        <w:spacing w:before="240" w:after="240" w:line="360" w:lineRule="auto"/>
        <w:jc w:val="center"/>
        <w:rPr>
          <w:rFonts w:ascii="Times New Roman" w:hAnsi="Times New Roman" w:cs="Times New Roman"/>
          <w:b/>
          <w:color w:val="000000" w:themeColor="text1"/>
          <w:sz w:val="32"/>
          <w:szCs w:val="24"/>
          <w14:textFill>
            <w14:solidFill>
              <w14:schemeClr w14:val="tx1"/>
            </w14:solidFill>
          </w14:textFill>
        </w:rPr>
      </w:pPr>
      <w:r>
        <w:rPr>
          <w:rFonts w:ascii="Times New Roman" w:hAnsi="Times New Roman" w:cs="Times New Roman"/>
          <w:b/>
          <w:color w:val="000000" w:themeColor="text1"/>
          <w:sz w:val="32"/>
          <w:szCs w:val="24"/>
          <w14:textFill>
            <w14:solidFill>
              <w14:schemeClr w14:val="tx1"/>
            </w14:solidFill>
          </w14:textFill>
        </w:rPr>
        <w:t>Anca Vasile</w:t>
      </w:r>
    </w:p>
    <w:p>
      <w:pPr>
        <w:pStyle w:val="9"/>
        <w:spacing w:line="360" w:lineRule="auto"/>
        <w:jc w:val="center"/>
        <w:rPr>
          <w:rFonts w:ascii="Times New Roman" w:hAnsi="Times New Roman" w:eastAsia="Times New Roman" w:cs="Times New Roman"/>
          <w:b/>
          <w:sz w:val="32"/>
          <w:szCs w:val="24"/>
          <w:lang w:val="en-GB"/>
        </w:rPr>
      </w:pPr>
      <w:r>
        <w:rPr>
          <w:rFonts w:ascii="Times New Roman" w:hAnsi="Times New Roman" w:cs="Times New Roman"/>
          <w:b/>
          <w:color w:val="000000" w:themeColor="text1"/>
          <w:sz w:val="32"/>
          <w:szCs w:val="24"/>
          <w14:textFill>
            <w14:solidFill>
              <w14:schemeClr w14:val="tx1"/>
            </w14:solidFill>
          </w14:textFill>
        </w:rPr>
        <w:t>Student id:2018716</w:t>
      </w:r>
    </w:p>
    <w:p>
      <w:pPr>
        <w:jc w:val="center"/>
        <w:rPr>
          <w:rFonts w:ascii="Times New Roman" w:hAnsi="Times New Roman" w:eastAsia="Calibri"/>
          <w:b/>
          <w:bCs/>
          <w:color w:val="000000"/>
          <w:sz w:val="32"/>
          <w:szCs w:val="32"/>
          <w:shd w:val="clear" w:color="auto" w:fill="FBFBFB"/>
        </w:rPr>
      </w:pPr>
      <w:bookmarkStart w:id="0" w:name="_GoBack"/>
      <w:bookmarkEnd w:id="0"/>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jc w:val="center"/>
        <w:rPr>
          <w:rFonts w:ascii="Times New Roman" w:hAnsi="Times New Roman" w:eastAsia="Calibri"/>
          <w:b/>
          <w:bCs/>
          <w:color w:val="000000"/>
          <w:shd w:val="clear" w:color="auto" w:fill="FBFBFB"/>
        </w:rPr>
      </w:pPr>
    </w:p>
    <w:p>
      <w:pPr>
        <w:rPr>
          <w:rFonts w:ascii="Times New Roman" w:hAnsi="Times New Roman" w:eastAsia="Calibri"/>
        </w:rPr>
      </w:pPr>
    </w:p>
    <w:p>
      <w:pPr>
        <w:rPr>
          <w:rFonts w:ascii="Times New Roman" w:hAnsi="Times New Roman" w:eastAsia="Calibri"/>
        </w:rPr>
      </w:pPr>
      <w:r>
        <w:rPr>
          <w:rFonts w:ascii="Times New Roman" w:hAnsi="Times New Roman" w:eastAsia="Calibri"/>
        </w:rPr>
        <w:t xml:space="preserve"> </w:t>
      </w:r>
    </w:p>
    <w:p>
      <w:pPr>
        <w:rPr>
          <w:rFonts w:ascii="Times New Roman" w:hAnsi="Times New Roman" w:eastAsia="Calibri"/>
        </w:rPr>
      </w:pPr>
      <w:r>
        <w:rPr>
          <w:rFonts w:ascii="Times New Roman" w:hAnsi="Times New Roman" w:eastAsia="Calibri"/>
        </w:rPr>
        <w:t xml:space="preserve"> </w:t>
      </w:r>
    </w:p>
    <w:p>
      <w:pPr>
        <w:spacing w:line="360" w:lineRule="auto"/>
        <w:jc w:val="center"/>
        <w:rPr>
          <w:rFonts w:ascii="Arial" w:hAnsi="Arial" w:cs="Arial"/>
          <w:b/>
          <w:bCs/>
          <w:color w:val="000000"/>
          <w:sz w:val="22"/>
          <w:szCs w:val="22"/>
        </w:rPr>
      </w:pPr>
      <w:r>
        <w:rPr>
          <w:rFonts w:ascii="Arial" w:hAnsi="Arial" w:cs="Arial"/>
          <w:b/>
          <w:bCs/>
          <w:color w:val="000000"/>
          <w:sz w:val="22"/>
          <w:szCs w:val="22"/>
        </w:rPr>
        <w:t>Table of Contents</w:t>
      </w:r>
    </w:p>
    <w:p>
      <w:pPr>
        <w:pStyle w:val="3"/>
        <w:rPr>
          <w:rFonts w:eastAsia="Arial"/>
          <w:color w:val="000000"/>
          <w:shd w:val="clear" w:color="auto" w:fill="FBFBFB"/>
        </w:rPr>
      </w:pPr>
      <w:r>
        <w:rPr>
          <w:rFonts w:eastAsia="Arial"/>
          <w:shd w:val="clear" w:color="auto" w:fill="FBFBFB"/>
        </w:rPr>
        <w:t>1.Introduction……………………………………………………………………………3</w:t>
      </w:r>
    </w:p>
    <w:p>
      <w:pPr>
        <w:pStyle w:val="3"/>
        <w:rPr>
          <w:rFonts w:eastAsia="Arial"/>
          <w:shd w:val="clear" w:color="auto" w:fill="FBFBFB"/>
        </w:rPr>
      </w:pPr>
      <w:r>
        <w:fldChar w:fldCharType="begin"/>
      </w:r>
      <w:r>
        <w:instrText xml:space="preserve"> HYPERLINK \l "_Toc109923744" </w:instrText>
      </w:r>
      <w:r>
        <w:fldChar w:fldCharType="separate"/>
      </w:r>
      <w:r>
        <w:rPr>
          <w:rStyle w:val="7"/>
          <w:color w:val="000000" w:themeColor="text1"/>
          <w14:textFill>
            <w14:solidFill>
              <w14:schemeClr w14:val="tx1"/>
            </w14:solidFill>
          </w14:textFill>
        </w:rPr>
        <w:t>2. Critical evaluation of Crossrail project</w:t>
      </w:r>
      <w:r>
        <w:rPr>
          <w:rStyle w:val="6"/>
          <w:rFonts w:eastAsia="Arial"/>
          <w:color w:val="000000" w:themeColor="text1"/>
          <w14:textFill>
            <w14:solidFill>
              <w14:schemeClr w14:val="tx1"/>
            </w14:solidFill>
          </w14:textFill>
        </w:rPr>
        <w:tab/>
      </w:r>
      <w:r>
        <w:rPr>
          <w:rStyle w:val="6"/>
          <w:rFonts w:eastAsia="Arial"/>
          <w:color w:val="000000" w:themeColor="text1"/>
          <w14:textFill>
            <w14:solidFill>
              <w14:schemeClr w14:val="tx1"/>
            </w14:solidFill>
          </w14:textFill>
        </w:rPr>
        <w:t>……………………………………………………………….3</w:t>
      </w:r>
      <w:r>
        <w:rPr>
          <w:rStyle w:val="6"/>
          <w:rFonts w:eastAsia="Arial"/>
          <w:color w:val="000000" w:themeColor="text1"/>
          <w14:textFill>
            <w14:solidFill>
              <w14:schemeClr w14:val="tx1"/>
            </w14:solidFill>
          </w14:textFill>
        </w:rPr>
        <w:fldChar w:fldCharType="end"/>
      </w:r>
    </w:p>
    <w:p>
      <w:pPr>
        <w:pStyle w:val="3"/>
        <w:rPr>
          <w:rFonts w:eastAsia="Arial"/>
          <w:shd w:val="clear" w:color="auto" w:fill="FBFBFB"/>
        </w:rPr>
      </w:pPr>
      <w:r>
        <w:fldChar w:fldCharType="begin"/>
      </w:r>
      <w:r>
        <w:instrText xml:space="preserve"> HYPERLINK \l "_Toc109923745" </w:instrText>
      </w:r>
      <w:r>
        <w:fldChar w:fldCharType="separate"/>
      </w:r>
      <w:r>
        <w:rPr>
          <w:rStyle w:val="7"/>
          <w:color w:val="000000"/>
        </w:rPr>
        <w:t xml:space="preserve">3. Conclusion and recommendations </w:t>
      </w:r>
      <w:r>
        <w:rPr>
          <w:rStyle w:val="6"/>
          <w:rFonts w:eastAsia="Arial"/>
          <w:color w:val="000000"/>
        </w:rPr>
        <w:tab/>
      </w:r>
      <w:r>
        <w:rPr>
          <w:rStyle w:val="6"/>
          <w:rFonts w:eastAsia="Arial"/>
          <w:color w:val="000000"/>
        </w:rPr>
        <w:t>……………………………………………………………….7</w:t>
      </w:r>
      <w:r>
        <w:rPr>
          <w:rStyle w:val="6"/>
          <w:rFonts w:eastAsia="Arial"/>
          <w:color w:val="000000"/>
        </w:rPr>
        <w:fldChar w:fldCharType="end"/>
      </w:r>
    </w:p>
    <w:p>
      <w:r>
        <w:fldChar w:fldCharType="begin"/>
      </w:r>
      <w:r>
        <w:instrText xml:space="preserve"> HYPERLINK \l "_Toc109923746" </w:instrText>
      </w:r>
      <w:r>
        <w:fldChar w:fldCharType="separate"/>
      </w:r>
      <w:r>
        <w:rPr>
          <w:rStyle w:val="7"/>
          <w:rFonts w:ascii="Times New Roman" w:hAnsi="Times New Roman"/>
          <w:color w:val="000000"/>
          <w:shd w:val="clear" w:color="auto" w:fill="FBFBFB"/>
        </w:rPr>
        <w:t>Reference</w:t>
      </w:r>
      <w:r>
        <w:rPr>
          <w:rStyle w:val="6"/>
          <w:rFonts w:ascii="Times New Roman" w:hAnsi="Times New Roman" w:eastAsia="Arial"/>
          <w:color w:val="000000"/>
        </w:rPr>
        <w:tab/>
      </w:r>
      <w:r>
        <w:rPr>
          <w:rStyle w:val="6"/>
          <w:rFonts w:ascii="Times New Roman" w:hAnsi="Times New Roman" w:eastAsia="Arial"/>
          <w:color w:val="000000"/>
        </w:rPr>
        <w:t>……………………………………………………………………………8</w:t>
      </w:r>
      <w:r>
        <w:rPr>
          <w:rStyle w:val="6"/>
          <w:rFonts w:ascii="Times New Roman" w:hAnsi="Times New Roman" w:eastAsia="Arial"/>
          <w:color w:val="000000"/>
        </w:rPr>
        <w:fldChar w:fldCharType="end"/>
      </w:r>
    </w:p>
    <w:p/>
    <w:p/>
    <w:p/>
    <w:p/>
    <w:p/>
    <w:p/>
    <w:p/>
    <w:p/>
    <w:p/>
    <w:p/>
    <w:p/>
    <w:p/>
    <w:p/>
    <w:p/>
    <w:p/>
    <w:p/>
    <w:p/>
    <w:p/>
    <w:p/>
    <w:p/>
    <w:p/>
    <w:p/>
    <w:p/>
    <w:p/>
    <w:p/>
    <w:p/>
    <w:p/>
    <w:p/>
    <w:p/>
    <w:p/>
    <w:p/>
    <w:p/>
    <w:p/>
    <w:p/>
    <w:p/>
    <w:p>
      <w:pPr>
        <w:rPr>
          <w:sz w:val="28"/>
          <w:szCs w:val="28"/>
        </w:rPr>
      </w:pPr>
      <w:r>
        <w:rPr>
          <w:rFonts w:ascii="Times New Roman" w:hAnsi="Times New Roman" w:eastAsia="Calibri"/>
          <w:b/>
          <w:bCs/>
          <w:sz w:val="28"/>
          <w:szCs w:val="28"/>
        </w:rPr>
        <w:t>1.</w:t>
      </w:r>
      <w:r>
        <w:rPr>
          <w:rFonts w:ascii="Times New Roman" w:hAnsi="Times New Roman" w:eastAsia="Calibri"/>
          <w:sz w:val="28"/>
          <w:szCs w:val="28"/>
        </w:rPr>
        <w:t xml:space="preserve"> </w:t>
      </w:r>
      <w:r>
        <w:rPr>
          <w:rFonts w:ascii="Times New Roman" w:hAnsi="Times New Roman" w:eastAsia="Calibri"/>
          <w:b/>
          <w:bCs/>
          <w:sz w:val="28"/>
          <w:szCs w:val="28"/>
        </w:rPr>
        <w:t>Introduction</w:t>
      </w:r>
    </w:p>
    <w:p>
      <w:pPr>
        <w:rPr>
          <w:rFonts w:ascii="Times New Roman" w:hAnsi="Times New Roman"/>
        </w:rPr>
      </w:pPr>
    </w:p>
    <w:p>
      <w:pPr>
        <w:rPr>
          <w:rFonts w:ascii="Times New Roman" w:hAnsi="Times New Roman"/>
        </w:rPr>
      </w:pPr>
      <w:r>
        <w:rPr>
          <w:rFonts w:ascii="Times New Roman" w:hAnsi="Times New Roman"/>
        </w:rPr>
        <w:t>Project management consists of two primary parts: planning and overseeing the execution of the project. It entails keeping a project on track by careful planning and monitoring at all stages of its lifecycle. Planning for project management will begin from the beginning and continue until the completion of the project. There are five primary phases in project management: inception, planning, implementation, monitoring, and completion. Many aspects of the Crossrail project, as seen through the lens of the project management framework, are the subject of this piece. The causes of the project's delays and budget overruns will be explored in this paper alongside other contributing elements. Crossrail is the United Kingdom's most ambitious transportation project (Sweet, 2019). In an effort to revitalise and speed up the commercial office and retail sector, this project was conceived. The economic climate of the country will greatly benefit from these measures.</w:t>
      </w:r>
    </w:p>
    <w:p>
      <w:pPr>
        <w:rPr>
          <w:rFonts w:ascii="Times New Roman" w:hAnsi="Times New Roman"/>
        </w:rPr>
      </w:pPr>
      <w:r>
        <w:rPr>
          <w:rFonts w:ascii="Times New Roman" w:hAnsi="Times New Roman"/>
        </w:rPr>
        <w:t>Such efforts will address a wide range of causes, including the introduction of innovative project management techniques. Its association with Crossrail enabled Bentley Systems to fingerprint it. The concept of railway projects is developed using the technologies associated with Building Information Modeling (BIM) and Common Data Environment (CDE) (Medeossi and Nash, 2020). It has been observed that a thorough approach is applied to guarantee its longevity. The economic benefits of the cross rail project have also been defended in this article. The government's reasoning has been found wanting in several respects, including the location of risks and programmes. Many cautions that should be taken seriously are ignored. It's common knowledge that there are issues with the projects. Inflationary pressures and project funding</w:t>
      </w:r>
    </w:p>
    <w:p>
      <w:pPr>
        <w:rPr>
          <w:rFonts w:ascii="Times New Roman" w:hAnsi="Times New Roman"/>
        </w:rPr>
      </w:pPr>
    </w:p>
    <w:p>
      <w:pPr>
        <w:rPr>
          <w:rFonts w:ascii="Times New Roman" w:hAnsi="Times New Roman"/>
        </w:rPr>
      </w:pPr>
    </w:p>
    <w:p>
      <w:pPr>
        <w:rPr>
          <w:rFonts w:ascii="Times New Roman" w:hAnsi="Times New Roman"/>
          <w:b/>
          <w:bCs/>
          <w:sz w:val="28"/>
          <w:szCs w:val="28"/>
        </w:rPr>
      </w:pPr>
      <w:r>
        <w:rPr>
          <w:rFonts w:ascii="Times New Roman" w:hAnsi="Times New Roman"/>
          <w:b/>
          <w:bCs/>
          <w:sz w:val="28"/>
          <w:szCs w:val="28"/>
        </w:rPr>
        <w:t>2</w:t>
      </w:r>
      <w:r>
        <w:rPr>
          <w:rFonts w:ascii="Times New Roman" w:hAnsi="Times New Roman"/>
        </w:rPr>
        <w:t>.</w:t>
      </w:r>
      <w:r>
        <w:rPr>
          <w:rFonts w:ascii="Times New Roman" w:hAnsi="Times New Roman"/>
          <w:b/>
          <w:bCs/>
          <w:sz w:val="28"/>
          <w:szCs w:val="28"/>
        </w:rPr>
        <w:t>Analyzing the Crossrail Project Critically</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The Elizabeth line, often known as the Crossrail Project, is the city of London's greatest and most ambitious construction endeavour to date. It is the complex plan that will link Heathrow Airport in the west to Reading in the east, and then on to Abbey Wood in the south, and Shenfield in the north of London and Essex. With all of the planned stops throughout its 73-mile route, the train will be rather lengthy. When it begins service, it will be integrated into TfL's system. In 2008, construction started with an initial investment of $15.6 billion, and completion was anticipated in 2019. (Medeossi and Nash, 2020). However, progress is still being made on the undertaking. Crossrail will reduce overcrowding on trains and in the existing underground system, increase rail capacity by 10 percent, and shorten journey times between different parts of London via a number of different measures. Crossrail is projected to serve over 200 million passengers annually. To connect the eight new subterranean stops, engineers are planning 21 kilometres of twin-bore tunnels. This cross-rail will play a huge role in connecting major metropolitan areas and will have a profound impact on the economy, industry, and transportation networks.</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The initial budget for the project was $19.2 billion. The funding for this project has come from a number of different sources (Crossrail.co.uk, 2022). Crossrail is a real government-funded project, but it is managed and run by a privately held, publicly listed company. The Crossrail project has awarded 23 framework design contracts, with the majority of the work focusing on the design and planning phases. In addition, 80 contracts in the areas of construction and logistics have been awarded. Health and safety, business, quality, the environment, social sustainability, and community linkages are the six delivery responsibilities that stand to gain from the new organisational structure. The initiative has made advantage of digital innovation. The digital iteration of the project enables investigation of the railway's crucial operating operations as well as its planning and construction stages. The first important challenge for the railway organisation has been establishing communication between the 56 logistics and construction contracts, the 23 design contracts, and the 34 enabled work contracts (Crossrail.co.uk, 2022). However, administration made an attempt to back the work by using technological innovation to facilitate simple information exchange for the development of novel information deliverables.</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Crossrail hopes that its expansion strategy will become synonymous with sustainability. Sustainable goals were established for the project's completion by Transport of London and the Transportation Department. This effort will help promote social, environmental, and economic sustainability. The best possible economic sustainability will be attained by this Crossrail project amassing a net value of £42 billion during its 60-year operating lifespan (Gsd.harvard.edu, 2022). (Gsd.harvard.edu, 2022). As traffic will be less congested, locations will be more accessible, and travel times will be shorter, competitiveness factors will rise. This construction project began off by effectively producing over 55000 job prospects and decreasing the unemployment rate. To the tune of £10.6 billion, the value of property will increase. All the excavated materials were supposed to be used again in the construction of wetlands, industrial sites, and recreational facilities with sustainability in mind. Due to the installation of emission controls on every instrument, the construction's pollution was decreased by 83 percent. The project successfully met all of the additional relevant criteria that had been established at the outset. An eighteen percent reduction in carbon emissions has been achieved (Parliament.uk, 2022). LED illumination has been deployed all along the construction tunnel to assist conserve power.</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The delay in the project's completion, however, has been blamed on a variety of factors. The project was supposed to be finished by 2019, however it has now been postponed until 2021. The official organisation started its trial run on May 21. Issues with cost overruns, delays in the track's opening, and failing to get one's money's worth have all been raised as sources of concern. However, it was concluded in April 2019 that the project was not possible and a new budget and timeframe would need to be developed. There are many factors contributing to this hold up. After assembling a new magnet team, management had to begin the procedure from scratch. New challenges emerge on a regular basis, compelling management to adjust their approach while keeping output at a positive level of expectation. Crossrail Ltd. has put the project on hold for nine weeks after the March 2020 closure notice. The estimated cost is directly affected by 15 percent due to lockdown and the Covid 19 pandemic (Parliament.uk, 2022). Also, strict limitations on personal space after the lockdown have slowed progress on projects. Strategic working tactics, including the deployment of blockades, have been implemented.</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Moreover, the time invested in ensuring the security of different assets was substantial. More than 500,000 pieces of hardware and software were integrated into the train system. Materials derived from these sources are used in fire and security alarm systems. The delay of the Crossrail project was exacerbated by the need to fill key positions with fresh employees. After unexpected price increases and delays, the responsible authorities had a hard time getting the line operational. Passenger service launches include a wide range of organisations after the completion of operation and maintenance. However, due to shifts in authority within the sanctioning body, modifications have been made to the operating schedule. A new risk for schedule and operational expenses arises once trial running and trial operation has been completed. The cost of the programme is too high for the company to bear at this time. Crossrail Ltd. estimates an increase in spending of £800 million to £1.1 billion between August 2020 and now. As of the year 2022, according to the website Nao.org.uk. Cost estimates continue to rise as contractors discover more tasks and procedures that must be completed.</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However, as was mentioned before in this essay, the Elizabeth line is linked to critical environmental concerns. However, there have been concerns raised, one of which is their potential profitability. The Elizabeth line was built to connect several areas and facilitate communication. Demand projections for 2011 and 2015 have informed the planning process. The passenger flight record has been updated for 2015-2016. Furthermore, travel habits changed both before and after Covid. Therefore, there are outcomes associated with careful financial planning. More refined statistical data predicts an 18% drop in rail demand by 2031. The UK government is also expected to lose significantly in the economy if their growth rate remains low.</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The risk assessment and mitigation phases make up the backbone of the project management lifecycle. Numerous accidents that occurred during the Crossrail construction project demonstrate a flaw in the risk assessment procedures. In November of 2019, a fire broke out at a nearby electrical substation. Several failures, including a sluggish power supply to the core tunnels, have been implicated in these explosions. It may have slowed down comprehensive testing of a number of systems. This catastrophe has disrupted our well laid plans for the next three months. The explosion was blamed, although it was pointed out that it was not the primary reason for the projects' delays (Bensalah et al. 2019). The working team did not have a strong understanding of what was being done, and when a new leader was appointed in November of 2018, this became obvious. After that point, it was recognised as potentially hazardous because of problems with assessing, identifying, mitigating, or reporting associated with the work. Consequently, it has triggered a rash of like incidents. Team members representing the project have not been efficient in handling delivery duties that must be accomplished right away in order to meet the deadline.</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Crossrail claims that there have been no coding errors. However, it has been stressed that the company did not understand the magnitude of the project. There was a delay in the project's completion because station construction in 2016 diverged from its planned timeline and had to be rescheduled again. The peer pressure of missing the deadline of the project, as well as the issues that are typically produced in the programme technique, led to an optimistic bias of concentrating on what would be achieved first and avoiding further delays in the completion of the project (Bensalah et al. 2019). Risk assessments are seldom taken seriously. The Department has also recognised the need of doing a more thorough analysis of the commissioning of problems associated with meeting the needs of complex programmes.</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When communicating the project's critical information, such as the monitoring strategy and functional testing, it is important to identify the person responsible for each action (Gsd.harvard.edu, 2022). The London Department of Transportation (TfL) has to develop a benefits realisation strategy that places a focus on the line's expected benefits, the selected construction technique, monitoring benefits through time, and clearly defined governance structures. Many of the most advanced methods used on complex projects like Crossrail today have their roots in earlier iterations. As has been previously noted, megaprojects do not make use of innovative approaches to cutting costs and lowering risk.</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Crossrail Ltd. has not factored in the whole amount of risk associated with the project. For this reason, it is recommended that the committee keep in touch to make sure that the necessary transparency in the internal process is observed. The programming teams and project timelines should have been changed and reassessed after having an open and respectful discourse with the committee. Neither Crossrail nor the government has been expected to reveal the project's real state or identify the primary cause of the delay. Inadequate regard for the worth of public money may have resulted in price rises of up to £3 billion (Rahimzadeh, 2018). Recognizing the gravity of the situation and acting accordingly is crucial. The rescheduling of the assignment caused more delays to the project, however they were unconnected to any discussions with the appropriate committee.</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According to the aforementioned assessment, there was a serious void in the supervision of this gigantic undertaking. Discussion of Henry Fayol's five functions of management may be appropriate here. Important parts of the project are its preparation, organisation, leadership, coordination, and management. A key aspect of planning is developing a metastructure for the undertaking. Organizing requires doing things like stocking up on materials you'll need. Concerning the Elizabeth line specifically, it has been reported that important posts have not been filled in a timely fashion, resulting to skill shortages. The management will figure out how to hire qualified staff and get the most out of each person (Galli, 2022). But other employees, the management claims, don't have the proper knowledge to do their tasks. The Elizabeth line project was delayed and over budget because the last two phases—coordination and control—were skipped. Scientific management theory is a key concept for creating a methodical strategy for any task in the construction business. It is recommended that this idea be implemented in the workplace to ensure maximum productivity (Müller, 2019). Another theory that may be used here is the notion of system management. To achieve their goals, megaprojects need the simultaneous completion of several activities.</w:t>
      </w:r>
    </w:p>
    <w:p>
      <w:pPr>
        <w:rPr>
          <w:rFonts w:ascii="Times New Roman" w:hAnsi="Times New Roman"/>
        </w:rPr>
      </w:pPr>
    </w:p>
    <w:p>
      <w:pPr>
        <w:rPr>
          <w:rFonts w:ascii="Times New Roman" w:hAnsi="Times New Roman"/>
        </w:rPr>
      </w:pPr>
    </w:p>
    <w:p>
      <w:pPr>
        <w:rPr>
          <w:rFonts w:ascii="Times New Roman" w:hAnsi="Times New Roman"/>
          <w:b/>
          <w:bCs/>
          <w:sz w:val="28"/>
          <w:szCs w:val="28"/>
        </w:rPr>
      </w:pPr>
    </w:p>
    <w:p>
      <w:pPr>
        <w:rPr>
          <w:rFonts w:ascii="Times New Roman" w:hAnsi="Times New Roman"/>
          <w:b/>
          <w:bCs/>
          <w:sz w:val="28"/>
          <w:szCs w:val="28"/>
        </w:rPr>
      </w:pPr>
      <w:r>
        <w:rPr>
          <w:rFonts w:ascii="Times New Roman" w:hAnsi="Times New Roman"/>
          <w:b/>
          <w:bCs/>
          <w:sz w:val="28"/>
          <w:szCs w:val="28"/>
        </w:rPr>
        <w:t>Conclusion</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As this article has shown, proper project management is essential for finishing a project on schedule and with all the desired results. The preceding article analyses many factors, such as budget overruns and schedule slips. Accordingly, this essay may place an emphasis on the project's role in maintaining a positive outlook. There has been extensive examination of such factors as team member communication, risk management, improved planning, document sharing and access, expanded resource management, and process standardisation. There is a close relationship between each part, and they all contributed to the whole. In addition, the successful operation of the project working criteria would be supported by the proper implementation of all components of project management. Because of this, project teams are able to devote more time to the tasks at hand. Given the current state of affairs with respect to delays and cost inflation, it may be recommended that Transport for London locate efficient personnel and talents that will assist in keeping the program's value intact. If Crossrail is in charge of this project for RfLi, then extra precautions will be taken to ensure that it is completed successfully.</w:t>
      </w:r>
    </w:p>
    <w:p>
      <w:pPr>
        <w:rPr>
          <w:rFonts w:ascii="Times New Roman" w:hAnsi="Times New Roman"/>
        </w:rPr>
      </w:pPr>
    </w:p>
    <w:p>
      <w:pPr>
        <w:rPr>
          <w:rFonts w:ascii="Times New Roman" w:hAnsi="Times New Roman"/>
        </w:rPr>
      </w:pPr>
    </w:p>
    <w:p>
      <w:pPr>
        <w:rPr>
          <w:rFonts w:ascii="Times New Roman" w:hAnsi="Times New Roman"/>
        </w:rPr>
      </w:pPr>
    </w:p>
    <w:p>
      <w:pPr>
        <w:rPr>
          <w:rFonts w:ascii="Times New Roman" w:hAnsi="Times New Roman"/>
        </w:rPr>
      </w:pPr>
      <w:r>
        <w:rPr>
          <w:rFonts w:ascii="Times New Roman" w:hAnsi="Times New Roman"/>
        </w:rPr>
        <w:t>Weaknesses in the Elizabeth line's project management have been revealed in this article. Multiple dimensions of sustainability, both economic and environmental, have been related to Crossrail's projects. Ecological and economic viability have been preserved. All environmental criterion have been met successfully. On top of that, it has opened up a plethora of new work opportunities. Issues with cost overruns, delays in the track's opening, and failing to get one's money's worth have all been raised as sources of concern. New challenges emerge on a regular basis, compelling management to adjust their approach while keeping output at a positive level of expectation. The delay of the Crossrail project was exacerbated by the need to fill key positions with fresh employees. After unexpected price increases and delays, the responsible authorities had a hard time getting the line operational. The process of trying to guarantee the security of diverse assets was laborious and time-consuming. When it came to the scope and complexity of the project, the organisation was caught off guard. This is proof that Crossrail Ltd. completely disregarded the first rule of project management.</w:t>
      </w:r>
    </w:p>
    <w:p>
      <w:pPr>
        <w:jc w:val="center"/>
        <w:rPr>
          <w:rFonts w:ascii="Times New Roman" w:hAnsi="Times New Roman" w:eastAsia="Calibri"/>
          <w:b/>
          <w:bCs/>
          <w:color w:val="000000"/>
          <w:shd w:val="clear" w:color="auto" w:fill="FBFBFB"/>
        </w:rPr>
      </w:pPr>
    </w:p>
    <w:p/>
    <w:p/>
    <w:p/>
    <w:p/>
    <w:p/>
    <w:p/>
    <w:p/>
    <w:p/>
    <w:p/>
    <w:p/>
    <w:p/>
    <w:p/>
    <w:p>
      <w:pPr>
        <w:pStyle w:val="2"/>
        <w:rPr>
          <w:rFonts w:ascii="Times New Roman" w:hAnsi="Times New Roman"/>
          <w:b/>
          <w:bCs/>
          <w:i/>
          <w:iCs/>
          <w:color w:val="000000"/>
          <w:kern w:val="36"/>
          <w:shd w:val="clear" w:color="auto" w:fill="FBFBFB"/>
        </w:rPr>
      </w:pPr>
      <w:r>
        <w:rPr>
          <w:rFonts w:ascii="Times New Roman" w:hAnsi="Times New Roman"/>
          <w:b/>
          <w:bCs/>
          <w:i/>
          <w:iCs/>
          <w:color w:val="000000"/>
          <w:kern w:val="36"/>
          <w:shd w:val="clear" w:color="auto" w:fill="FBFBFB"/>
        </w:rPr>
        <w:t>Reference</w:t>
      </w:r>
    </w:p>
    <w:p>
      <w:pPr>
        <w:spacing w:line="360" w:lineRule="auto"/>
        <w:rPr>
          <w:rFonts w:ascii="Times New Roman" w:hAnsi="Times New Roman" w:eastAsia="Arial"/>
          <w:b/>
          <w:bCs/>
          <w:color w:val="000000"/>
        </w:rPr>
      </w:pPr>
      <w:r>
        <w:rPr>
          <w:rFonts w:ascii="Times New Roman" w:hAnsi="Times New Roman" w:eastAsia="Arial"/>
          <w:b/>
          <w:bCs/>
          <w:color w:val="000000"/>
        </w:rPr>
        <w:t>Journals</w:t>
      </w:r>
    </w:p>
    <w:p>
      <w:pPr>
        <w:shd w:val="clear" w:color="auto" w:fill="FFFFFF"/>
        <w:spacing w:line="360" w:lineRule="auto"/>
        <w:jc w:val="both"/>
        <w:rPr>
          <w:rFonts w:ascii="Times New Roman" w:hAnsi="Times New Roman" w:eastAsia="Arial"/>
          <w:color w:val="000000"/>
          <w:shd w:val="clear" w:color="auto" w:fill="FFFFFF"/>
        </w:rPr>
      </w:pPr>
      <w:r>
        <w:rPr>
          <w:rFonts w:ascii="Times New Roman" w:hAnsi="Times New Roman" w:eastAsia="Arial"/>
          <w:color w:val="000000"/>
          <w:shd w:val="clear" w:color="auto" w:fill="FFFFFF"/>
        </w:rPr>
        <w:t xml:space="preserve">Bensalah, M., Elouadi, A. and Mharzi, H., 2019. Overview: the opportunity of BIM in railway. </w:t>
      </w:r>
      <w:r>
        <w:rPr>
          <w:rFonts w:ascii="Times New Roman" w:hAnsi="Times New Roman" w:eastAsia="Arial"/>
          <w:i/>
          <w:iCs/>
          <w:color w:val="000000"/>
          <w:shd w:val="clear" w:color="auto" w:fill="FFFFFF"/>
        </w:rPr>
        <w:t>Smart and Sustainable Built Environment</w:t>
      </w:r>
      <w:r>
        <w:rPr>
          <w:rFonts w:ascii="Times New Roman" w:hAnsi="Times New Roman" w:eastAsia="Arial"/>
          <w:color w:val="000000"/>
          <w:shd w:val="clear" w:color="auto" w:fill="FFFFFF"/>
        </w:rPr>
        <w:t>.</w:t>
      </w:r>
    </w:p>
    <w:p>
      <w:pPr>
        <w:shd w:val="clear" w:color="auto" w:fill="FFFFFF"/>
        <w:spacing w:line="360" w:lineRule="auto"/>
        <w:jc w:val="both"/>
        <w:rPr>
          <w:rFonts w:ascii="Times New Roman" w:hAnsi="Times New Roman" w:eastAsia="Arial"/>
          <w:color w:val="000000"/>
          <w:shd w:val="clear" w:color="auto" w:fill="FFFFFF"/>
        </w:rPr>
      </w:pPr>
      <w:r>
        <w:rPr>
          <w:rFonts w:ascii="Times New Roman" w:hAnsi="Times New Roman" w:eastAsia="Arial"/>
          <w:color w:val="000000"/>
          <w:shd w:val="clear" w:color="auto" w:fill="FFFFFF"/>
        </w:rPr>
        <w:t xml:space="preserve">Galli, B.J., 2022. Effective Motivation Theories and Strategies for Project Management Environments. </w:t>
      </w:r>
      <w:r>
        <w:rPr>
          <w:rFonts w:ascii="Times New Roman" w:hAnsi="Times New Roman" w:eastAsia="Arial"/>
          <w:i/>
          <w:iCs/>
          <w:color w:val="000000"/>
          <w:shd w:val="clear" w:color="auto" w:fill="FFFFFF"/>
        </w:rPr>
        <w:t>International Journal of Applied Logistics (IJAL)</w:t>
      </w:r>
      <w:r>
        <w:rPr>
          <w:rFonts w:ascii="Times New Roman" w:hAnsi="Times New Roman" w:eastAsia="Arial"/>
          <w:color w:val="000000"/>
          <w:shd w:val="clear" w:color="auto" w:fill="FFFFFF"/>
        </w:rPr>
        <w:t xml:space="preserve">, </w:t>
      </w:r>
      <w:r>
        <w:rPr>
          <w:rFonts w:ascii="Times New Roman" w:hAnsi="Times New Roman" w:eastAsia="Arial"/>
          <w:i/>
          <w:iCs/>
          <w:color w:val="000000"/>
          <w:shd w:val="clear" w:color="auto" w:fill="FFFFFF"/>
        </w:rPr>
        <w:t>12</w:t>
      </w:r>
      <w:r>
        <w:rPr>
          <w:rFonts w:ascii="Times New Roman" w:hAnsi="Times New Roman" w:eastAsia="Arial"/>
          <w:color w:val="000000"/>
          <w:shd w:val="clear" w:color="auto" w:fill="FFFFFF"/>
        </w:rPr>
        <w:t>(1), pp.1-18.</w:t>
      </w:r>
    </w:p>
    <w:p>
      <w:pPr>
        <w:shd w:val="clear" w:color="auto" w:fill="FFFFFF"/>
        <w:spacing w:line="360" w:lineRule="auto"/>
        <w:jc w:val="both"/>
        <w:rPr>
          <w:rFonts w:ascii="Times New Roman" w:hAnsi="Times New Roman" w:eastAsia="Arial"/>
          <w:color w:val="000000"/>
          <w:shd w:val="clear" w:color="auto" w:fill="FFFFFF"/>
        </w:rPr>
      </w:pPr>
      <w:r>
        <w:rPr>
          <w:rFonts w:ascii="Times New Roman" w:hAnsi="Times New Roman" w:eastAsia="Arial"/>
          <w:color w:val="000000"/>
          <w:shd w:val="clear" w:color="auto" w:fill="FFFFFF"/>
        </w:rPr>
        <w:t xml:space="preserve">Medeossi, G. and Nash, A., 2020. Reducing Delays on High-Density Railway Lines: London–Shenfield Case Study. </w:t>
      </w:r>
      <w:r>
        <w:rPr>
          <w:rFonts w:ascii="Times New Roman" w:hAnsi="Times New Roman" w:eastAsia="Arial"/>
          <w:i/>
          <w:iCs/>
          <w:color w:val="000000"/>
          <w:shd w:val="clear" w:color="auto" w:fill="FFFFFF"/>
        </w:rPr>
        <w:t>Transportation Research Record</w:t>
      </w:r>
      <w:r>
        <w:rPr>
          <w:rFonts w:ascii="Times New Roman" w:hAnsi="Times New Roman" w:eastAsia="Arial"/>
          <w:color w:val="000000"/>
          <w:shd w:val="clear" w:color="auto" w:fill="FFFFFF"/>
        </w:rPr>
        <w:t xml:space="preserve">, </w:t>
      </w:r>
      <w:r>
        <w:rPr>
          <w:rFonts w:ascii="Times New Roman" w:hAnsi="Times New Roman" w:eastAsia="Arial"/>
          <w:i/>
          <w:iCs/>
          <w:color w:val="000000"/>
          <w:shd w:val="clear" w:color="auto" w:fill="FFFFFF"/>
        </w:rPr>
        <w:t>2674</w:t>
      </w:r>
      <w:r>
        <w:rPr>
          <w:rFonts w:ascii="Times New Roman" w:hAnsi="Times New Roman" w:eastAsia="Arial"/>
          <w:color w:val="000000"/>
          <w:shd w:val="clear" w:color="auto" w:fill="FFFFFF"/>
        </w:rPr>
        <w:t>(7), pp.193-205.</w:t>
      </w:r>
    </w:p>
    <w:p>
      <w:pPr>
        <w:shd w:val="clear" w:color="auto" w:fill="FFFFFF"/>
        <w:spacing w:line="360" w:lineRule="auto"/>
        <w:jc w:val="both"/>
        <w:rPr>
          <w:rFonts w:ascii="Times New Roman" w:hAnsi="Times New Roman" w:eastAsia="Arial"/>
          <w:color w:val="000000"/>
          <w:shd w:val="clear" w:color="auto" w:fill="FFFFFF"/>
        </w:rPr>
      </w:pPr>
      <w:r>
        <w:rPr>
          <w:rFonts w:ascii="Times New Roman" w:hAnsi="Times New Roman" w:eastAsia="Arial"/>
          <w:color w:val="000000"/>
          <w:shd w:val="clear" w:color="auto" w:fill="FFFFFF"/>
        </w:rPr>
        <w:t xml:space="preserve">Müller, R., Drouin, N. and Sankaran, S., 2019. Modeling organizational project management. </w:t>
      </w:r>
      <w:r>
        <w:rPr>
          <w:rFonts w:ascii="Times New Roman" w:hAnsi="Times New Roman" w:eastAsia="Arial"/>
          <w:i/>
          <w:iCs/>
          <w:color w:val="000000"/>
          <w:shd w:val="clear" w:color="auto" w:fill="FFFFFF"/>
        </w:rPr>
        <w:t>Project Management Journal</w:t>
      </w:r>
      <w:r>
        <w:rPr>
          <w:rFonts w:ascii="Times New Roman" w:hAnsi="Times New Roman" w:eastAsia="Arial"/>
          <w:color w:val="000000"/>
          <w:shd w:val="clear" w:color="auto" w:fill="FFFFFF"/>
        </w:rPr>
        <w:t xml:space="preserve">, </w:t>
      </w:r>
      <w:r>
        <w:rPr>
          <w:rFonts w:ascii="Times New Roman" w:hAnsi="Times New Roman" w:eastAsia="Arial"/>
          <w:i/>
          <w:iCs/>
          <w:color w:val="000000"/>
          <w:shd w:val="clear" w:color="auto" w:fill="FFFFFF"/>
        </w:rPr>
        <w:t>50</w:t>
      </w:r>
      <w:r>
        <w:rPr>
          <w:rFonts w:ascii="Times New Roman" w:hAnsi="Times New Roman" w:eastAsia="Arial"/>
          <w:color w:val="000000"/>
          <w:shd w:val="clear" w:color="auto" w:fill="FFFFFF"/>
        </w:rPr>
        <w:t>(4), pp.499-513.</w:t>
      </w:r>
    </w:p>
    <w:p>
      <w:pPr>
        <w:shd w:val="clear" w:color="auto" w:fill="FFFFFF"/>
        <w:spacing w:line="360" w:lineRule="auto"/>
        <w:jc w:val="both"/>
        <w:rPr>
          <w:rFonts w:ascii="Times New Roman" w:hAnsi="Times New Roman" w:eastAsia="Arial"/>
          <w:color w:val="000000"/>
          <w:shd w:val="clear" w:color="auto" w:fill="FFFFFF"/>
        </w:rPr>
      </w:pPr>
      <w:r>
        <w:rPr>
          <w:rFonts w:ascii="Times New Roman" w:hAnsi="Times New Roman" w:eastAsia="Arial"/>
          <w:color w:val="000000"/>
          <w:shd w:val="clear" w:color="auto" w:fill="FFFFFF"/>
        </w:rPr>
        <w:t xml:space="preserve">Rahimzadeh, A., Tang, W., Sher, W. and Davis, P., 2018, January. Management of excavated material in infrastructure construction-a critical review of literature. In </w:t>
      </w:r>
      <w:r>
        <w:rPr>
          <w:rFonts w:ascii="Times New Roman" w:hAnsi="Times New Roman" w:eastAsia="Arial"/>
          <w:i/>
          <w:iCs/>
          <w:color w:val="000000"/>
          <w:shd w:val="clear" w:color="auto" w:fill="FFFFFF"/>
        </w:rPr>
        <w:t>International Conference on Architecture and Civil Engineering, Sydney, Australia</w:t>
      </w:r>
      <w:r>
        <w:rPr>
          <w:rFonts w:ascii="Times New Roman" w:hAnsi="Times New Roman" w:eastAsia="Arial"/>
          <w:color w:val="000000"/>
          <w:shd w:val="clear" w:color="auto" w:fill="FFFFFF"/>
        </w:rPr>
        <w:t>.</w:t>
      </w:r>
    </w:p>
    <w:p>
      <w:pPr>
        <w:shd w:val="clear" w:color="auto" w:fill="FFFFFF"/>
        <w:spacing w:line="360" w:lineRule="auto"/>
        <w:jc w:val="both"/>
        <w:rPr>
          <w:rFonts w:ascii="Times New Roman" w:hAnsi="Times New Roman" w:eastAsia="Arial"/>
          <w:color w:val="000000"/>
          <w:shd w:val="clear" w:color="auto" w:fill="FFFFFF"/>
        </w:rPr>
      </w:pPr>
      <w:r>
        <w:rPr>
          <w:rFonts w:ascii="Times New Roman" w:hAnsi="Times New Roman" w:eastAsia="Arial"/>
          <w:color w:val="000000"/>
          <w:shd w:val="clear" w:color="auto" w:fill="FFFFFF"/>
        </w:rPr>
        <w:t xml:space="preserve">Sweet, R., 2019. Damned if they did: A defence of Crossrail. </w:t>
      </w:r>
      <w:r>
        <w:rPr>
          <w:rFonts w:ascii="Times New Roman" w:hAnsi="Times New Roman" w:eastAsia="Arial"/>
          <w:i/>
          <w:iCs/>
          <w:color w:val="000000"/>
          <w:shd w:val="clear" w:color="auto" w:fill="FFFFFF"/>
        </w:rPr>
        <w:t>Construction Research and Innovation</w:t>
      </w:r>
      <w:r>
        <w:rPr>
          <w:rFonts w:ascii="Times New Roman" w:hAnsi="Times New Roman" w:eastAsia="Arial"/>
          <w:color w:val="000000"/>
          <w:shd w:val="clear" w:color="auto" w:fill="FFFFFF"/>
        </w:rPr>
        <w:t xml:space="preserve">, </w:t>
      </w:r>
      <w:r>
        <w:rPr>
          <w:rFonts w:ascii="Times New Roman" w:hAnsi="Times New Roman" w:eastAsia="Arial"/>
          <w:i/>
          <w:iCs/>
          <w:color w:val="000000"/>
          <w:shd w:val="clear" w:color="auto" w:fill="FFFFFF"/>
        </w:rPr>
        <w:t>10</w:t>
      </w:r>
      <w:r>
        <w:rPr>
          <w:rFonts w:ascii="Times New Roman" w:hAnsi="Times New Roman" w:eastAsia="Arial"/>
          <w:color w:val="000000"/>
          <w:shd w:val="clear" w:color="auto" w:fill="FFFFFF"/>
        </w:rPr>
        <w:t>(2), pp.32-38.</w:t>
      </w:r>
    </w:p>
    <w:p>
      <w:pPr>
        <w:spacing w:line="360" w:lineRule="auto"/>
        <w:rPr>
          <w:rFonts w:ascii="Times New Roman" w:hAnsi="Times New Roman" w:eastAsia="Arial"/>
          <w:b/>
          <w:bCs/>
          <w:color w:val="000000"/>
        </w:rPr>
      </w:pPr>
      <w:r>
        <w:rPr>
          <w:rFonts w:ascii="Times New Roman" w:hAnsi="Times New Roman" w:eastAsia="Arial"/>
          <w:b/>
          <w:bCs/>
          <w:color w:val="000000"/>
        </w:rPr>
        <w:t>Website</w:t>
      </w:r>
    </w:p>
    <w:p>
      <w:pPr>
        <w:shd w:val="clear" w:color="auto" w:fill="FFFFFF"/>
        <w:spacing w:line="360" w:lineRule="auto"/>
        <w:jc w:val="both"/>
        <w:rPr>
          <w:rFonts w:ascii="Times New Roman" w:hAnsi="Times New Roman"/>
          <w:color w:val="000000"/>
        </w:rPr>
      </w:pPr>
      <w:r>
        <w:rPr>
          <w:rFonts w:ascii="Times New Roman" w:hAnsi="Times New Roman" w:eastAsia="Calibri"/>
          <w:color w:val="000000"/>
        </w:rPr>
        <w:t xml:space="preserve">Crossrail.co.uk, 2022 </w:t>
      </w:r>
      <w:r>
        <w:rPr>
          <w:rFonts w:ascii="Times New Roman" w:hAnsi="Times New Roman" w:eastAsia="Calibri"/>
          <w:i/>
          <w:iCs/>
          <w:color w:val="000000"/>
        </w:rPr>
        <w:t>Crossrail Review</w:t>
      </w:r>
      <w:r>
        <w:rPr>
          <w:rFonts w:ascii="Times New Roman" w:hAnsi="Times New Roman" w:eastAsia="Calibri"/>
          <w:color w:val="000000"/>
        </w:rPr>
        <w:t xml:space="preserve"> Available at: https://learninglegacy.crossrail.co.uk [Accessed on 27</w:t>
      </w:r>
      <w:r>
        <w:rPr>
          <w:rFonts w:ascii="Times New Roman" w:hAnsi="Times New Roman" w:eastAsia="Calibri"/>
          <w:color w:val="000000"/>
          <w:vertAlign w:val="superscript"/>
        </w:rPr>
        <w:t>th</w:t>
      </w:r>
      <w:r>
        <w:rPr>
          <w:rFonts w:ascii="Times New Roman" w:hAnsi="Times New Roman" w:eastAsia="Calibri"/>
          <w:color w:val="000000"/>
        </w:rPr>
        <w:t xml:space="preserve"> July]</w:t>
      </w:r>
    </w:p>
    <w:p>
      <w:pPr>
        <w:shd w:val="clear" w:color="auto" w:fill="FFFFFF"/>
        <w:spacing w:line="360" w:lineRule="auto"/>
        <w:jc w:val="both"/>
        <w:rPr>
          <w:rFonts w:ascii="Times New Roman" w:hAnsi="Times New Roman" w:eastAsia="Calibri"/>
          <w:color w:val="000000"/>
        </w:rPr>
      </w:pPr>
      <w:r>
        <w:rPr>
          <w:rFonts w:ascii="Times New Roman" w:hAnsi="Times New Roman" w:eastAsia="Calibri"/>
          <w:color w:val="000000"/>
        </w:rPr>
        <w:t xml:space="preserve">Gsd.harvard.edu, 2022 </w:t>
      </w:r>
      <w:r>
        <w:rPr>
          <w:rFonts w:ascii="Times New Roman" w:hAnsi="Times New Roman" w:eastAsia="Calibri"/>
          <w:i/>
          <w:iCs/>
          <w:color w:val="000000"/>
        </w:rPr>
        <w:t>Crossrail -Elizabeth Line London, UK</w:t>
      </w:r>
      <w:r>
        <w:rPr>
          <w:rFonts w:ascii="Times New Roman" w:hAnsi="Times New Roman" w:eastAsia="Calibri"/>
          <w:color w:val="000000"/>
        </w:rPr>
        <w:t xml:space="preserve">  Available at: https://research.gsd.harvard.edu [Accessed on 27</w:t>
      </w:r>
      <w:r>
        <w:rPr>
          <w:rFonts w:ascii="Times New Roman" w:hAnsi="Times New Roman" w:eastAsia="Calibri"/>
          <w:color w:val="000000"/>
          <w:vertAlign w:val="superscript"/>
        </w:rPr>
        <w:t>th</w:t>
      </w:r>
      <w:r>
        <w:rPr>
          <w:rFonts w:ascii="Times New Roman" w:hAnsi="Times New Roman" w:eastAsia="Calibri"/>
          <w:color w:val="000000"/>
        </w:rPr>
        <w:t xml:space="preserve"> July]</w:t>
      </w:r>
    </w:p>
    <w:p>
      <w:pPr>
        <w:shd w:val="clear" w:color="auto" w:fill="FFFFFF"/>
        <w:spacing w:line="360" w:lineRule="auto"/>
        <w:jc w:val="both"/>
        <w:rPr>
          <w:rFonts w:ascii="Times New Roman" w:hAnsi="Times New Roman" w:eastAsia="Calibri"/>
          <w:color w:val="000000"/>
        </w:rPr>
      </w:pPr>
      <w:r>
        <w:rPr>
          <w:rFonts w:ascii="Times New Roman" w:hAnsi="Times New Roman" w:eastAsia="Calibri"/>
          <w:color w:val="000000"/>
        </w:rPr>
        <w:t>Nao.org.uk, 2022</w:t>
      </w:r>
      <w:r>
        <w:rPr>
          <w:rFonts w:ascii="Times New Roman" w:hAnsi="Times New Roman" w:eastAsia="Calibri"/>
          <w:i/>
          <w:iCs/>
          <w:color w:val="000000"/>
        </w:rPr>
        <w:t>Crossrail – a progress update (Summary) - National Audit Office</w:t>
      </w:r>
      <w:r>
        <w:rPr>
          <w:rFonts w:ascii="Times New Roman" w:hAnsi="Times New Roman" w:eastAsia="Calibri"/>
          <w:color w:val="000000"/>
        </w:rPr>
        <w:t xml:space="preserve"> Available at: https://www.nao.org.uk [Accessed on 27</w:t>
      </w:r>
      <w:r>
        <w:rPr>
          <w:rFonts w:ascii="Times New Roman" w:hAnsi="Times New Roman" w:eastAsia="Calibri"/>
          <w:color w:val="000000"/>
          <w:vertAlign w:val="superscript"/>
        </w:rPr>
        <w:t>th</w:t>
      </w:r>
      <w:r>
        <w:rPr>
          <w:rFonts w:ascii="Times New Roman" w:hAnsi="Times New Roman" w:eastAsia="Calibri"/>
          <w:color w:val="000000"/>
        </w:rPr>
        <w:t xml:space="preserve"> July]</w:t>
      </w:r>
    </w:p>
    <w:p>
      <w:pPr>
        <w:shd w:val="clear" w:color="auto" w:fill="FFFFFF"/>
        <w:spacing w:line="360" w:lineRule="auto"/>
        <w:jc w:val="both"/>
        <w:rPr>
          <w:rFonts w:ascii="Times New Roman" w:hAnsi="Times New Roman" w:eastAsia="Calibri"/>
          <w:color w:val="000000"/>
        </w:rPr>
      </w:pPr>
      <w:r>
        <w:rPr>
          <w:rFonts w:ascii="Times New Roman" w:hAnsi="Times New Roman" w:eastAsia="Calibri"/>
          <w:color w:val="000000"/>
        </w:rPr>
        <w:t xml:space="preserve">Parliament.uk, 2022 </w:t>
      </w:r>
      <w:r>
        <w:rPr>
          <w:rFonts w:ascii="Times New Roman" w:hAnsi="Times New Roman" w:eastAsia="Calibri"/>
          <w:i/>
          <w:iCs/>
          <w:color w:val="000000"/>
        </w:rPr>
        <w:t>Crossrail: progress review - Parliament (publications</w:t>
      </w:r>
      <w:r>
        <w:rPr>
          <w:rFonts w:ascii="Times New Roman" w:hAnsi="Times New Roman" w:eastAsia="Calibri"/>
          <w:color w:val="000000"/>
        </w:rPr>
        <w:t>) Available at: https://publications.parliament.uk[Accessed on 27</w:t>
      </w:r>
      <w:r>
        <w:rPr>
          <w:rFonts w:ascii="Times New Roman" w:hAnsi="Times New Roman" w:eastAsia="Calibri"/>
          <w:color w:val="000000"/>
          <w:vertAlign w:val="superscript"/>
        </w:rPr>
        <w:t>th</w:t>
      </w:r>
      <w:r>
        <w:rPr>
          <w:rFonts w:ascii="Times New Roman" w:hAnsi="Times New Roman" w:eastAsia="Calibri"/>
          <w:color w:val="000000"/>
        </w:rPr>
        <w:t xml:space="preserve"> July]</w:t>
      </w:r>
    </w:p>
    <w:p/>
    <w:p/>
    <w:p/>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Calibri">
    <w:altName w:val="Helvetica Neue"/>
    <w:panose1 w:val="00000000000000000000"/>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w:panose1 w:val="020B0604020202090204"/>
    <w:charset w:val="86"/>
    <w:family w:val="swiss"/>
    <w:pitch w:val="default"/>
    <w:sig w:usb0="E0000AFF" w:usb1="00007843" w:usb2="00000001" w:usb3="00000000" w:csb0="400001BF" w:csb1="DFF70000"/>
  </w:font>
  <w:font w:name="Tahoma">
    <w:panose1 w:val="020B0604030504040204"/>
    <w:charset w:val="00"/>
    <w:family w:val="swiss"/>
    <w:pitch w:val="default"/>
    <w:sig w:usb0="E1002AFF" w:usb1="C000605B" w:usb2="00000029" w:usb3="00000000" w:csb0="200101FF" w:csb1="20280000"/>
  </w:font>
  <w:font w:name="Hiragino Sans GB">
    <w:panose1 w:val="020B0300000000000000"/>
    <w:charset w:val="86"/>
    <w:family w:val="auto"/>
    <w:pitch w:val="default"/>
    <w:sig w:usb0="A00002BF" w:usb1="1ACF7CFA" w:usb2="00000016" w:usb3="00000000" w:csb0="00060007"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80000087" w:usb1="00002068" w:usb2="00000000"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4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59B"/>
    <w:rsid w:val="000F359B"/>
    <w:rsid w:val="001D0399"/>
    <w:rsid w:val="003A0DD9"/>
    <w:rsid w:val="0093593A"/>
    <w:rsid w:val="00C959C7"/>
    <w:rsid w:val="3E3958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9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Calibri" w:hAnsi="Calibri" w:eastAsia="Times New Roman" w:cs="Times New Roman"/>
      <w:sz w:val="24"/>
      <w:szCs w:val="24"/>
      <w:lang w:val="en-GB" w:eastAsia="en-GB" w:bidi="ar-SA"/>
    </w:rPr>
  </w:style>
  <w:style w:type="paragraph" w:styleId="2">
    <w:name w:val="heading 1"/>
    <w:basedOn w:val="1"/>
    <w:next w:val="1"/>
    <w:link w:val="8"/>
    <w:qFormat/>
    <w:uiPriority w:val="99"/>
    <w:pPr>
      <w:keepNext/>
      <w:keepLines/>
      <w:widowControl w:val="0"/>
      <w:spacing w:before="240" w:after="100" w:afterAutospacing="1"/>
      <w:outlineLvl w:val="0"/>
    </w:pPr>
    <w:rPr>
      <w:rFonts w:ascii="Calibri Light" w:hAnsi="Calibri Light" w:eastAsia="Calibri"/>
      <w:color w:val="2F5496"/>
      <w:sz w:val="32"/>
      <w:szCs w:val="32"/>
    </w:rPr>
  </w:style>
  <w:style w:type="character" w:default="1" w:styleId="4">
    <w:name w:val="Default Paragraph Font"/>
    <w:unhideWhenUsed/>
    <w:qFormat/>
    <w:uiPriority w:val="1"/>
  </w:style>
  <w:style w:type="table" w:default="1" w:styleId="5">
    <w:name w:val="Normal Table"/>
    <w:unhideWhenUsed/>
    <w:qFormat/>
    <w:uiPriority w:val="99"/>
    <w:tblPr>
      <w:tblCellMar>
        <w:top w:w="0" w:type="dxa"/>
        <w:left w:w="108" w:type="dxa"/>
        <w:bottom w:w="0" w:type="dxa"/>
        <w:right w:w="108" w:type="dxa"/>
      </w:tblCellMar>
    </w:tblPr>
  </w:style>
  <w:style w:type="paragraph" w:styleId="3">
    <w:name w:val="toc 1"/>
    <w:basedOn w:val="1"/>
    <w:next w:val="1"/>
    <w:unhideWhenUsed/>
    <w:qFormat/>
    <w:uiPriority w:val="99"/>
    <w:pPr>
      <w:shd w:val="clear" w:color="auto" w:fill="FBFBFB"/>
      <w:spacing w:before="100" w:beforeAutospacing="1" w:after="100" w:line="360" w:lineRule="auto"/>
    </w:pPr>
    <w:rPr>
      <w:rFonts w:ascii="Times New Roman" w:hAnsi="Times New Roman"/>
      <w:color w:val="000000" w:themeColor="text1"/>
      <w14:textFill>
        <w14:solidFill>
          <w14:schemeClr w14:val="tx1"/>
        </w14:solidFill>
      </w14:textFill>
    </w:rPr>
  </w:style>
  <w:style w:type="character" w:customStyle="1" w:styleId="6">
    <w:name w:val="15"/>
    <w:basedOn w:val="4"/>
    <w:qFormat/>
    <w:uiPriority w:val="0"/>
    <w:rPr>
      <w:rFonts w:hint="default" w:ascii="Calibri" w:hAnsi="Calibri" w:cs="Calibri"/>
      <w:color w:val="0000FF"/>
      <w:u w:val="single"/>
    </w:rPr>
  </w:style>
  <w:style w:type="character" w:customStyle="1" w:styleId="7">
    <w:name w:val="16"/>
    <w:basedOn w:val="4"/>
    <w:qFormat/>
    <w:uiPriority w:val="0"/>
    <w:rPr>
      <w:rFonts w:hint="default" w:ascii="Arial" w:hAnsi="Arial" w:cs="Arial"/>
      <w:color w:val="0000FF"/>
      <w:u w:val="single"/>
    </w:rPr>
  </w:style>
  <w:style w:type="character" w:customStyle="1" w:styleId="8">
    <w:name w:val="Heading 1 Char"/>
    <w:basedOn w:val="4"/>
    <w:link w:val="2"/>
    <w:qFormat/>
    <w:uiPriority w:val="99"/>
    <w:rPr>
      <w:rFonts w:ascii="Calibri Light" w:hAnsi="Calibri Light" w:eastAsia="Calibri" w:cs="Times New Roman"/>
      <w:color w:val="2F5496"/>
      <w:sz w:val="32"/>
      <w:szCs w:val="32"/>
      <w:lang w:eastAsia="en-GB"/>
    </w:rPr>
  </w:style>
  <w:style w:type="paragraph" w:customStyle="1" w:styleId="9">
    <w:name w:val="normal"/>
    <w:qFormat/>
    <w:uiPriority w:val="0"/>
    <w:pPr>
      <w:spacing w:line="276" w:lineRule="auto"/>
    </w:pPr>
    <w:rPr>
      <w:rFonts w:ascii="Arial" w:hAnsi="Arial" w:eastAsia="Arial" w:cs="Arial"/>
      <w:sz w:val="22"/>
      <w:szCs w:val="22"/>
      <w:lang w:val="en-US" w:eastAsia="en-US"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2748</Words>
  <Characters>15670</Characters>
  <Lines>130</Lines>
  <Paragraphs>36</Paragraphs>
  <TotalTime>0</TotalTime>
  <ScaleCrop>false</ScaleCrop>
  <LinksUpToDate>false</LinksUpToDate>
  <CharactersWithSpaces>18382</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2022-08-06T09:45:00Z</dcterms:created>
  <dc:creator>Alina Craciun</dc:creator>
  <cp:lastModifiedBy>owner</cp:lastModifiedBy>
  <dcterms:modified xsi:type="dcterms:W3CDTF">2022-08-06T09:52:54Z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