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0"/>
              <w:szCs w:val="4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6C4E6D97" w:rsidR="007D1947" w:rsidRPr="00A6475B" w:rsidRDefault="00A6475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0"/>
                  <w:szCs w:val="40"/>
                </w:rPr>
              </w:pPr>
              <w:r w:rsidRPr="00A6475B">
                <w:rPr>
                  <w:rFonts w:asciiTheme="majorHAnsi" w:eastAsiaTheme="majorEastAsia" w:hAnsiTheme="majorHAnsi" w:cstheme="majorBidi"/>
                  <w:caps/>
                  <w:color w:val="5B9BD5" w:themeColor="accent1"/>
                  <w:sz w:val="40"/>
                  <w:szCs w:val="40"/>
                </w:rPr>
                <w:t xml:space="preserve">principles and concepts of </w:t>
              </w:r>
              <w:r>
                <w:rPr>
                  <w:rFonts w:asciiTheme="majorHAnsi" w:eastAsiaTheme="majorEastAsia" w:hAnsiTheme="majorHAnsi" w:cstheme="majorBidi"/>
                  <w:caps/>
                  <w:color w:val="5B9BD5" w:themeColor="accent1"/>
                  <w:sz w:val="40"/>
                  <w:szCs w:val="40"/>
                </w:rPr>
                <w:t>finance blue thread ltd</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CEA090E" w:rsidR="007D1947" w:rsidRDefault="00A6475B">
              <w:pPr>
                <w:pStyle w:val="NoSpacing"/>
                <w:jc w:val="center"/>
                <w:rPr>
                  <w:color w:val="5B9BD5" w:themeColor="accent1"/>
                  <w:sz w:val="28"/>
                  <w:szCs w:val="28"/>
                </w:rPr>
              </w:pPr>
              <w:r>
                <w:rPr>
                  <w:color w:val="5B9BD5" w:themeColor="accent1"/>
                  <w:sz w:val="28"/>
                  <w:szCs w:val="28"/>
                </w:rPr>
                <w:t xml:space="preserve">Iosif-Ionut </w:t>
              </w:r>
              <w:proofErr w:type="spellStart"/>
              <w:r>
                <w:rPr>
                  <w:color w:val="5B9BD5" w:themeColor="accent1"/>
                  <w:sz w:val="28"/>
                  <w:szCs w:val="28"/>
                </w:rPr>
                <w:t>Carpaci</w:t>
              </w:r>
              <w:proofErr w:type="spellEnd"/>
              <w:r>
                <w:rPr>
                  <w:color w:val="5B9BD5" w:themeColor="accent1"/>
                  <w:sz w:val="28"/>
                  <w:szCs w:val="28"/>
                </w:rPr>
                <w:t xml:space="preserve"> 1922471</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Content>
                                  <w:p w14:paraId="52BAF8D9" w14:textId="7751662F" w:rsidR="007D1947" w:rsidRDefault="00A6475B">
                                    <w:pPr>
                                      <w:pStyle w:val="NoSpacing"/>
                                      <w:spacing w:after="40"/>
                                      <w:jc w:val="center"/>
                                      <w:rPr>
                                        <w:caps/>
                                        <w:color w:val="5B9BD5" w:themeColor="accent1"/>
                                        <w:sz w:val="28"/>
                                        <w:szCs w:val="28"/>
                                      </w:rPr>
                                    </w:pPr>
                                    <w:r>
                                      <w:rPr>
                                        <w:caps/>
                                        <w:color w:val="5B9BD5" w:themeColor="accent1"/>
                                        <w:sz w:val="28"/>
                                        <w:szCs w:val="28"/>
                                      </w:rPr>
                                      <w:t>March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Content>
                            <w:p w14:paraId="52BAF8D9" w14:textId="7751662F" w:rsidR="007D1947" w:rsidRDefault="00A6475B">
                              <w:pPr>
                                <w:pStyle w:val="NoSpacing"/>
                                <w:spacing w:after="40"/>
                                <w:jc w:val="center"/>
                                <w:rPr>
                                  <w:caps/>
                                  <w:color w:val="5B9BD5" w:themeColor="accent1"/>
                                  <w:sz w:val="28"/>
                                  <w:szCs w:val="28"/>
                                </w:rPr>
                              </w:pPr>
                              <w:r>
                                <w:rPr>
                                  <w:caps/>
                                  <w:color w:val="5B9BD5" w:themeColor="accent1"/>
                                  <w:sz w:val="28"/>
                                  <w:szCs w:val="28"/>
                                </w:rPr>
                                <w:t>March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4057091"/>
          <w:r>
            <w:lastRenderedPageBreak/>
            <w:t>Executive Summary</w:t>
          </w:r>
          <w:bookmarkEnd w:id="0"/>
        </w:p>
        <w:p w14:paraId="62AB7F7D" w14:textId="77777777" w:rsidR="007D1947" w:rsidRDefault="007D1947"/>
        <w:p w14:paraId="6846CF66" w14:textId="655B580B" w:rsidR="007D1947" w:rsidRDefault="00604404">
          <w:r>
            <w:t xml:space="preserve">This report presents the importance of management accounting trough a budgeting exercise, its analysis and decision that management of an organisation can make based on the forecast. The example we have in this report is the organisation Blue Thread Ltd, a company that sales high-quality clothing. We also find in this report analyses the condition that an organisation should present for budgeting system and to be implemented successfully, also </w:t>
          </w:r>
          <w:r w:rsidR="00B17406">
            <w:t>for management</w:t>
          </w:r>
          <w:r>
            <w:t xml:space="preserve"> when introducing these systems. </w:t>
          </w:r>
          <w:r w:rsidR="00B17406">
            <w:t xml:space="preserve"> And there is presented the budgetary control system and types of budgets, such as the incremental budgeting system, the zero-based-budgeting (ZBB) and the beyond budgeting system. These </w:t>
          </w:r>
          <w:r w:rsidR="005636FC">
            <w:t xml:space="preserve">are alternatives budgeting system that emerged over time, as the traditional budgeting system were found to be not useful for today’s business environment. The report shows at the end analysis of the traditional approaches to the budgeting, their challenge and the reasons why the new system </w:t>
          </w:r>
          <w:proofErr w:type="gramStart"/>
          <w:r w:rsidR="005636FC">
            <w:t>has to</w:t>
          </w:r>
          <w:proofErr w:type="gramEnd"/>
          <w:r w:rsidR="005636FC">
            <w:t xml:space="preserve"> be implemented by an organisation in order to survive in today’s competitive environment.</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35966CEF" w14:textId="77777777" w:rsidR="007D1947" w:rsidRDefault="007D1947"/>
        <w:p w14:paraId="3F39129E" w14:textId="77777777" w:rsidR="007A71B6" w:rsidRDefault="007A71B6"/>
        <w:p w14:paraId="144527F4" w14:textId="77777777" w:rsidR="007A71B6" w:rsidRDefault="007A71B6"/>
        <w:p w14:paraId="5C1A4F99" w14:textId="77777777" w:rsidR="007A71B6" w:rsidRDefault="007A71B6"/>
        <w:p w14:paraId="7481B453" w14:textId="77777777" w:rsidR="007A71B6" w:rsidRDefault="007A71B6"/>
        <w:p w14:paraId="42AF6D6D" w14:textId="77777777" w:rsidR="007A71B6" w:rsidRDefault="007A71B6"/>
        <w:p w14:paraId="7A46751C" w14:textId="77777777" w:rsidR="007A71B6" w:rsidRDefault="007A71B6"/>
        <w:p w14:paraId="4BF83863" w14:textId="77777777" w:rsidR="007A71B6" w:rsidRDefault="007A71B6"/>
        <w:p w14:paraId="3F1FBF21" w14:textId="77777777" w:rsidR="007A71B6" w:rsidRDefault="007A71B6"/>
        <w:p w14:paraId="15AF8CF3" w14:textId="77777777" w:rsidR="007A71B6" w:rsidRDefault="007A71B6"/>
        <w:p w14:paraId="5CAB2555" w14:textId="77777777" w:rsidR="007A71B6" w:rsidRDefault="007A71B6"/>
        <w:p w14:paraId="7C1A7974" w14:textId="77777777" w:rsidR="007A71B6" w:rsidRDefault="007A71B6"/>
        <w:p w14:paraId="3B4C1707" w14:textId="77777777" w:rsidR="007A71B6" w:rsidRDefault="007A71B6"/>
        <w:p w14:paraId="60D1E321" w14:textId="77777777" w:rsidR="007A71B6" w:rsidRDefault="007A71B6"/>
        <w:p w14:paraId="6EA2A898" w14:textId="77777777" w:rsidR="007A71B6" w:rsidRDefault="007A71B6"/>
        <w:p w14:paraId="109848AD" w14:textId="77777777" w:rsidR="007A71B6" w:rsidRDefault="007A71B6"/>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0AFC518" w14:textId="70DFDC0E" w:rsidR="00CE2610"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057091" w:history="1">
                <w:r w:rsidR="00CE2610" w:rsidRPr="00FD3779">
                  <w:rPr>
                    <w:rStyle w:val="Hyperlink"/>
                    <w:noProof/>
                  </w:rPr>
                  <w:t>Executive Summary</w:t>
                </w:r>
                <w:r w:rsidR="00CE2610">
                  <w:rPr>
                    <w:noProof/>
                    <w:webHidden/>
                  </w:rPr>
                  <w:tab/>
                </w:r>
                <w:r w:rsidR="00CE2610">
                  <w:rPr>
                    <w:noProof/>
                    <w:webHidden/>
                  </w:rPr>
                  <w:fldChar w:fldCharType="begin"/>
                </w:r>
                <w:r w:rsidR="00CE2610">
                  <w:rPr>
                    <w:noProof/>
                    <w:webHidden/>
                  </w:rPr>
                  <w:instrText xml:space="preserve"> PAGEREF _Toc194057091 \h </w:instrText>
                </w:r>
                <w:r w:rsidR="00CE2610">
                  <w:rPr>
                    <w:noProof/>
                    <w:webHidden/>
                  </w:rPr>
                </w:r>
                <w:r w:rsidR="00CE2610">
                  <w:rPr>
                    <w:noProof/>
                    <w:webHidden/>
                  </w:rPr>
                  <w:fldChar w:fldCharType="separate"/>
                </w:r>
                <w:r w:rsidR="00CE2610">
                  <w:rPr>
                    <w:noProof/>
                    <w:webHidden/>
                  </w:rPr>
                  <w:t>1</w:t>
                </w:r>
                <w:r w:rsidR="00CE2610">
                  <w:rPr>
                    <w:noProof/>
                    <w:webHidden/>
                  </w:rPr>
                  <w:fldChar w:fldCharType="end"/>
                </w:r>
              </w:hyperlink>
            </w:p>
            <w:p w14:paraId="22290EA6" w14:textId="485128B2" w:rsidR="00CE2610" w:rsidRDefault="00CE2610">
              <w:pPr>
                <w:pStyle w:val="TOC1"/>
                <w:tabs>
                  <w:tab w:val="right" w:leader="dot" w:pos="9016"/>
                </w:tabs>
                <w:rPr>
                  <w:rFonts w:eastAsiaTheme="minorEastAsia"/>
                  <w:noProof/>
                  <w:kern w:val="2"/>
                  <w:sz w:val="24"/>
                  <w:szCs w:val="24"/>
                  <w:lang w:eastAsia="en-GB"/>
                  <w14:ligatures w14:val="standardContextual"/>
                </w:rPr>
              </w:pPr>
              <w:hyperlink w:anchor="_Toc194057092" w:history="1">
                <w:r w:rsidRPr="00FD3779">
                  <w:rPr>
                    <w:rStyle w:val="Hyperlink"/>
                    <w:noProof/>
                  </w:rPr>
                  <w:t>Introduction</w:t>
                </w:r>
                <w:r>
                  <w:rPr>
                    <w:noProof/>
                    <w:webHidden/>
                  </w:rPr>
                  <w:tab/>
                </w:r>
                <w:r>
                  <w:rPr>
                    <w:noProof/>
                    <w:webHidden/>
                  </w:rPr>
                  <w:fldChar w:fldCharType="begin"/>
                </w:r>
                <w:r>
                  <w:rPr>
                    <w:noProof/>
                    <w:webHidden/>
                  </w:rPr>
                  <w:instrText xml:space="preserve"> PAGEREF _Toc194057092 \h </w:instrText>
                </w:r>
                <w:r>
                  <w:rPr>
                    <w:noProof/>
                    <w:webHidden/>
                  </w:rPr>
                </w:r>
                <w:r>
                  <w:rPr>
                    <w:noProof/>
                    <w:webHidden/>
                  </w:rPr>
                  <w:fldChar w:fldCharType="separate"/>
                </w:r>
                <w:r>
                  <w:rPr>
                    <w:noProof/>
                    <w:webHidden/>
                  </w:rPr>
                  <w:t>3</w:t>
                </w:r>
                <w:r>
                  <w:rPr>
                    <w:noProof/>
                    <w:webHidden/>
                  </w:rPr>
                  <w:fldChar w:fldCharType="end"/>
                </w:r>
              </w:hyperlink>
            </w:p>
            <w:p w14:paraId="1C23C38F" w14:textId="04704DC8" w:rsidR="00CE2610" w:rsidRDefault="00CE2610">
              <w:pPr>
                <w:pStyle w:val="TOC1"/>
                <w:tabs>
                  <w:tab w:val="right" w:leader="dot" w:pos="9016"/>
                </w:tabs>
                <w:rPr>
                  <w:rFonts w:eastAsiaTheme="minorEastAsia"/>
                  <w:noProof/>
                  <w:kern w:val="2"/>
                  <w:sz w:val="24"/>
                  <w:szCs w:val="24"/>
                  <w:lang w:eastAsia="en-GB"/>
                  <w14:ligatures w14:val="standardContextual"/>
                </w:rPr>
              </w:pPr>
              <w:hyperlink w:anchor="_Toc194057093" w:history="1">
                <w:r w:rsidRPr="00FD3779">
                  <w:rPr>
                    <w:rStyle w:val="Hyperlink"/>
                    <w:noProof/>
                  </w:rPr>
                  <w:t>Main Findings</w:t>
                </w:r>
                <w:r>
                  <w:rPr>
                    <w:noProof/>
                    <w:webHidden/>
                  </w:rPr>
                  <w:tab/>
                </w:r>
                <w:r>
                  <w:rPr>
                    <w:noProof/>
                    <w:webHidden/>
                  </w:rPr>
                  <w:fldChar w:fldCharType="begin"/>
                </w:r>
                <w:r>
                  <w:rPr>
                    <w:noProof/>
                    <w:webHidden/>
                  </w:rPr>
                  <w:instrText xml:space="preserve"> PAGEREF _Toc194057093 \h </w:instrText>
                </w:r>
                <w:r>
                  <w:rPr>
                    <w:noProof/>
                    <w:webHidden/>
                  </w:rPr>
                </w:r>
                <w:r>
                  <w:rPr>
                    <w:noProof/>
                    <w:webHidden/>
                  </w:rPr>
                  <w:fldChar w:fldCharType="separate"/>
                </w:r>
                <w:r>
                  <w:rPr>
                    <w:noProof/>
                    <w:webHidden/>
                  </w:rPr>
                  <w:t>4</w:t>
                </w:r>
                <w:r>
                  <w:rPr>
                    <w:noProof/>
                    <w:webHidden/>
                  </w:rPr>
                  <w:fldChar w:fldCharType="end"/>
                </w:r>
              </w:hyperlink>
            </w:p>
            <w:p w14:paraId="231202D8" w14:textId="001D64A8" w:rsidR="00CE2610" w:rsidRDefault="00CE2610">
              <w:pPr>
                <w:pStyle w:val="TOC1"/>
                <w:tabs>
                  <w:tab w:val="left" w:pos="480"/>
                  <w:tab w:val="right" w:leader="dot" w:pos="9016"/>
                </w:tabs>
                <w:rPr>
                  <w:rFonts w:eastAsiaTheme="minorEastAsia"/>
                  <w:noProof/>
                  <w:kern w:val="2"/>
                  <w:sz w:val="24"/>
                  <w:szCs w:val="24"/>
                  <w:lang w:eastAsia="en-GB"/>
                  <w14:ligatures w14:val="standardContextual"/>
                </w:rPr>
              </w:pPr>
              <w:hyperlink w:anchor="_Toc194057094" w:history="1">
                <w:r w:rsidRPr="00FD3779">
                  <w:rPr>
                    <w:rStyle w:val="Hyperlink"/>
                    <w:b/>
                    <w:bCs/>
                    <w:noProof/>
                  </w:rPr>
                  <w:t>2.</w:t>
                </w:r>
                <w:r>
                  <w:rPr>
                    <w:rFonts w:eastAsiaTheme="minorEastAsia"/>
                    <w:noProof/>
                    <w:kern w:val="2"/>
                    <w:sz w:val="24"/>
                    <w:szCs w:val="24"/>
                    <w:lang w:eastAsia="en-GB"/>
                    <w14:ligatures w14:val="standardContextual"/>
                  </w:rPr>
                  <w:tab/>
                </w:r>
                <w:r w:rsidRPr="00FD3779">
                  <w:rPr>
                    <w:rStyle w:val="Hyperlink"/>
                    <w:b/>
                    <w:bCs/>
                    <w:noProof/>
                  </w:rPr>
                  <w:t>The Problem and indication of Blue Thread Ltd.</w:t>
                </w:r>
                <w:r>
                  <w:rPr>
                    <w:noProof/>
                    <w:webHidden/>
                  </w:rPr>
                  <w:tab/>
                </w:r>
                <w:r>
                  <w:rPr>
                    <w:noProof/>
                    <w:webHidden/>
                  </w:rPr>
                  <w:fldChar w:fldCharType="begin"/>
                </w:r>
                <w:r>
                  <w:rPr>
                    <w:noProof/>
                    <w:webHidden/>
                  </w:rPr>
                  <w:instrText xml:space="preserve"> PAGEREF _Toc194057094 \h </w:instrText>
                </w:r>
                <w:r>
                  <w:rPr>
                    <w:noProof/>
                    <w:webHidden/>
                  </w:rPr>
                </w:r>
                <w:r>
                  <w:rPr>
                    <w:noProof/>
                    <w:webHidden/>
                  </w:rPr>
                  <w:fldChar w:fldCharType="separate"/>
                </w:r>
                <w:r>
                  <w:rPr>
                    <w:noProof/>
                    <w:webHidden/>
                  </w:rPr>
                  <w:t>5</w:t>
                </w:r>
                <w:r>
                  <w:rPr>
                    <w:noProof/>
                    <w:webHidden/>
                  </w:rPr>
                  <w:fldChar w:fldCharType="end"/>
                </w:r>
              </w:hyperlink>
            </w:p>
            <w:p w14:paraId="0503CD4C" w14:textId="7D7458A8" w:rsidR="00CE2610" w:rsidRDefault="00CE2610">
              <w:pPr>
                <w:pStyle w:val="TOC1"/>
                <w:tabs>
                  <w:tab w:val="right" w:leader="dot" w:pos="9016"/>
                </w:tabs>
                <w:rPr>
                  <w:rFonts w:eastAsiaTheme="minorEastAsia"/>
                  <w:noProof/>
                  <w:kern w:val="2"/>
                  <w:sz w:val="24"/>
                  <w:szCs w:val="24"/>
                  <w:lang w:eastAsia="en-GB"/>
                  <w14:ligatures w14:val="standardContextual"/>
                </w:rPr>
              </w:pPr>
              <w:hyperlink w:anchor="_Toc194057095" w:history="1">
                <w:r w:rsidRPr="00FD3779">
                  <w:rPr>
                    <w:rStyle w:val="Hyperlink"/>
                    <w:noProof/>
                  </w:rPr>
                  <w:t>Bibliography</w:t>
                </w:r>
                <w:r>
                  <w:rPr>
                    <w:noProof/>
                    <w:webHidden/>
                  </w:rPr>
                  <w:tab/>
                </w:r>
                <w:r>
                  <w:rPr>
                    <w:noProof/>
                    <w:webHidden/>
                  </w:rPr>
                  <w:fldChar w:fldCharType="begin"/>
                </w:r>
                <w:r>
                  <w:rPr>
                    <w:noProof/>
                    <w:webHidden/>
                  </w:rPr>
                  <w:instrText xml:space="preserve"> PAGEREF _Toc194057095 \h </w:instrText>
                </w:r>
                <w:r>
                  <w:rPr>
                    <w:noProof/>
                    <w:webHidden/>
                  </w:rPr>
                </w:r>
                <w:r>
                  <w:rPr>
                    <w:noProof/>
                    <w:webHidden/>
                  </w:rPr>
                  <w:fldChar w:fldCharType="separate"/>
                </w:r>
                <w:r>
                  <w:rPr>
                    <w:noProof/>
                    <w:webHidden/>
                  </w:rPr>
                  <w:t>10</w:t>
                </w:r>
                <w:r>
                  <w:rPr>
                    <w:noProof/>
                    <w:webHidden/>
                  </w:rPr>
                  <w:fldChar w:fldCharType="end"/>
                </w:r>
              </w:hyperlink>
            </w:p>
            <w:p w14:paraId="05194699" w14:textId="7DE79241" w:rsidR="007D1947" w:rsidRDefault="007D1947">
              <w:r>
                <w:rPr>
                  <w:b/>
                  <w:bCs/>
                  <w:noProof/>
                </w:rPr>
                <w:fldChar w:fldCharType="end"/>
              </w:r>
              <w:r w:rsidR="005636FC">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0ED321E6" w14:textId="040786A7" w:rsidR="007D1947" w:rsidRDefault="007D1947" w:rsidP="00A12B58">
          <w:pPr>
            <w:pStyle w:val="Heading1"/>
          </w:pPr>
          <w:bookmarkStart w:id="1" w:name="_Toc194057092"/>
          <w:r>
            <w:lastRenderedPageBreak/>
            <w:t>Introduction</w:t>
          </w:r>
          <w:bookmarkEnd w:id="1"/>
          <w:r w:rsidR="00480872">
            <w:t xml:space="preserve"> </w:t>
          </w:r>
        </w:p>
        <w:p w14:paraId="63BE38B9" w14:textId="4D09BB40" w:rsidR="004A11F6" w:rsidRDefault="008E2B5A" w:rsidP="007D1947">
          <w:r>
            <w:t>Accounting is a language that communicates economic information to various parties (known as stakeholders) who have an interest in the organization. Stakeholders fall into several groups (e.g. managers, shareholders and potential investors, employees, suppliers and customers, creditors and the government) and each of these groups has its own requirements for information. (Drury, 2020, p5</w:t>
          </w:r>
          <w:r w:rsidR="007D1553" w:rsidRPr="007D1553">
            <w:t>). Accounting and financial information are extremely important for any organisation or household and for the government, as they can be used when making decisions and setting the way forward (Dyson, 2020).</w:t>
          </w:r>
          <w:r w:rsidR="009C79B0" w:rsidRPr="009C79B0">
            <w:t xml:space="preserve"> Accounting concepts are the principles underpinning the preparation of accounting information relating to the ethical rules, boundary rules, and recording and measurement rules of accounting. Ethical rules, or principles, are to do with limiting the amount of judgement (or indeed creativity) that may be used in the reporting of financial information. Boundary rules are to do with which types of data, and the amounts of each, that should be held by organisations, and which elements of financial information should be reported. Recording and measurement rules of accounting relate to how the different types of data should be recorded and measured by the organisation.</w:t>
          </w:r>
          <w:r w:rsidR="009C79B0">
            <w:t xml:space="preserve"> (Davies, 2011, p9).                                                                                         </w:t>
          </w:r>
        </w:p>
        <w:p w14:paraId="1392FEFB" w14:textId="2CA03208" w:rsidR="004A11F6" w:rsidRDefault="009C79B0" w:rsidP="007D1947">
          <w:r>
            <w:t xml:space="preserve">Budgeting is a process that an organisation can create financial plans and income review for every year. Budgeting </w:t>
          </w:r>
          <w:r w:rsidR="0007058B">
            <w:t>helps</w:t>
          </w:r>
          <w:r>
            <w:t xml:space="preserve"> an organisation to identify funds for its operational cost, salaries</w:t>
          </w:r>
          <w:r w:rsidR="0007058B">
            <w:t xml:space="preserve">, or cost of marketing. Budgeting are critical tools for an organisation, which the tool helps an organisation to understand what they can plan for future or monitor performance. So, they can achieve their objectives more effectively. A budgeting system it </w:t>
          </w:r>
          <w:r w:rsidR="00C539AD">
            <w:t>provides</w:t>
          </w:r>
          <w:r w:rsidR="0007058B">
            <w:t xml:space="preserve"> a structured informal framework for managing financial resources and help to align operational </w:t>
          </w:r>
          <w:r w:rsidR="00C539AD">
            <w:t>activities with the organisation goals. The importance of budgeting in an organisation can var</w:t>
          </w:r>
          <w:r w:rsidR="00337FC4">
            <w:t xml:space="preserve">ies </w:t>
          </w:r>
          <w:r w:rsidR="00C539AD">
            <w:t xml:space="preserve">from different perspective: strategic planning, financial management, decision making and evaluation, performance improvements, efficient resource usage, corporate </w:t>
          </w:r>
          <w:r w:rsidR="00337FC4">
            <w:t>governance and internal control.</w:t>
          </w:r>
          <w:r w:rsidR="00337FC4" w:rsidRPr="00337FC4">
            <w:t xml:space="preserve"> </w:t>
          </w:r>
          <w:r w:rsidR="00337FC4">
            <w:t xml:space="preserve"> </w:t>
          </w:r>
          <w:r w:rsidR="00337FC4" w:rsidRPr="00337FC4">
            <w:t xml:space="preserve">Management accounting presents information measuring the achievement of the objectives of an organisation and appraising the conduct of its internal affairs in that process. In order that further action can be taken, based on this information, the accountability concept </w:t>
          </w:r>
          <w:proofErr w:type="gramStart"/>
          <w:r w:rsidR="00337FC4" w:rsidRPr="00337FC4">
            <w:t>makes it necessary at all times</w:t>
          </w:r>
          <w:proofErr w:type="gramEnd"/>
          <w:r w:rsidR="00337FC4" w:rsidRPr="00337FC4">
            <w:t xml:space="preserve"> to identify the responsibilities and key results of individuals within the organisation.</w:t>
          </w:r>
          <w:r w:rsidR="00337FC4">
            <w:t xml:space="preserve"> (Davies, 2011, p359).</w:t>
          </w:r>
        </w:p>
        <w:p w14:paraId="1E39578A" w14:textId="7F5CD629" w:rsidR="00337FC4" w:rsidRDefault="00627DBA" w:rsidP="007D1947">
          <w:r w:rsidRPr="00627DBA">
            <w:t>The English word budget is derived from the Latin word “</w:t>
          </w:r>
          <w:proofErr w:type="spellStart"/>
          <w:r w:rsidRPr="00627DBA">
            <w:t>bulga</w:t>
          </w:r>
          <w:proofErr w:type="spellEnd"/>
          <w:r w:rsidRPr="00627DBA">
            <w:t>” meaning a leather bag or knapsack used for carrying supplies of food. Later, budget was extended to mean not merely the container but also the thing it contained. The budget began in England. As early as 1760, the Chancellor of the Exchequer presented the national budget to Parliament at the beginning of each fiscal year. The purpose was to check the king’s power to levy burdensome taxes and control spending of money by public officials. In 1837 the budget was made effective by the Reform Act</w:t>
          </w:r>
          <w:r>
            <w:t>. (Jonathan, 2024)</w:t>
          </w:r>
        </w:p>
        <w:p w14:paraId="0EBC01C7" w14:textId="64F3C294" w:rsidR="00627DBA" w:rsidRDefault="00627DBA" w:rsidP="007D1947">
          <w:r>
            <w:t>Blue Thread Ltd is a company that sells high-quality clothing with a chain of 10 stores. At the beginning of June, the business had an overdraft of £25,000, and the bank requested to be eliminated by the end of November. A stock budget and a cash budget for six months and a profit and loss, are described below.</w:t>
          </w:r>
        </w:p>
        <w:p w14:paraId="390C9232" w14:textId="77777777" w:rsidR="00337FC4" w:rsidRDefault="00337FC4"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46C20232" w14:textId="1BDAFFCC" w:rsidR="00E85D6F" w:rsidRDefault="00480872" w:rsidP="00E85D6F">
          <w:pPr>
            <w:pStyle w:val="Heading1"/>
          </w:pPr>
          <w:bookmarkStart w:id="2" w:name="_Toc194057093"/>
          <w:r>
            <w:lastRenderedPageBreak/>
            <w:t>Main Findings</w:t>
          </w:r>
          <w:bookmarkEnd w:id="2"/>
        </w:p>
        <w:p w14:paraId="34B2639C" w14:textId="48233F3A" w:rsidR="0014534A" w:rsidRDefault="0014534A" w:rsidP="0014534A"/>
        <w:p w14:paraId="4F6C0CC8" w14:textId="04DB153C" w:rsidR="0014534A" w:rsidRPr="0014534A" w:rsidRDefault="0014534A" w:rsidP="0014534A">
          <w:pPr>
            <w:pStyle w:val="ListParagraph"/>
            <w:numPr>
              <w:ilvl w:val="0"/>
              <w:numId w:val="2"/>
            </w:numPr>
            <w:rPr>
              <w:b/>
              <w:bCs/>
              <w:color w:val="5B9BD5" w:themeColor="accent1"/>
              <w:sz w:val="24"/>
              <w:szCs w:val="24"/>
            </w:rPr>
          </w:pPr>
          <w:r w:rsidRPr="0014534A">
            <w:rPr>
              <w:b/>
              <w:bCs/>
              <w:color w:val="5B9BD5" w:themeColor="accent1"/>
              <w:sz w:val="24"/>
              <w:szCs w:val="24"/>
            </w:rPr>
            <w:t xml:space="preserve">Blue Thread Ltd Six Months Stock Budget </w:t>
          </w:r>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3FA3694" w:rsidR="008F4B79" w:rsidRDefault="008F4B79" w:rsidP="00097CA9">
                <w:pPr>
                  <w:rPr>
                    <w:rFonts w:ascii="Arial" w:hAnsi="Arial" w:cs="Arial"/>
                  </w:rPr>
                </w:pPr>
                <w:r>
                  <w:rPr>
                    <w:rFonts w:ascii="Arial" w:hAnsi="Arial" w:cs="Arial"/>
                  </w:rPr>
                  <w:t>Opening balance</w:t>
                </w:r>
                <w:r w:rsidR="007E7100">
                  <w:rPr>
                    <w:rFonts w:ascii="Arial" w:hAnsi="Arial" w:cs="Arial"/>
                  </w:rPr>
                  <w:t xml:space="preserve">.               </w:t>
                </w:r>
              </w:p>
            </w:tc>
            <w:tc>
              <w:tcPr>
                <w:tcW w:w="992" w:type="dxa"/>
              </w:tcPr>
              <w:p w14:paraId="1A8CCF64" w14:textId="78052FBD" w:rsidR="008F4B79" w:rsidRDefault="0028587A" w:rsidP="00097CA9">
                <w:pPr>
                  <w:jc w:val="right"/>
                  <w:rPr>
                    <w:rFonts w:ascii="Arial" w:hAnsi="Arial" w:cs="Arial"/>
                  </w:rPr>
                </w:pPr>
                <w:r>
                  <w:rPr>
                    <w:rFonts w:ascii="Arial" w:hAnsi="Arial" w:cs="Arial"/>
                    <w:color w:val="FF0000"/>
                  </w:rPr>
                  <w:t>90</w:t>
                </w:r>
              </w:p>
            </w:tc>
            <w:tc>
              <w:tcPr>
                <w:tcW w:w="992" w:type="dxa"/>
              </w:tcPr>
              <w:p w14:paraId="26FCFE01" w14:textId="5B2D989D" w:rsidR="008F4B79" w:rsidRDefault="00A90639" w:rsidP="00097CA9">
                <w:pPr>
                  <w:jc w:val="right"/>
                  <w:rPr>
                    <w:rFonts w:ascii="Arial" w:hAnsi="Arial" w:cs="Arial"/>
                  </w:rPr>
                </w:pPr>
                <w:r>
                  <w:rPr>
                    <w:rFonts w:ascii="Arial" w:hAnsi="Arial" w:cs="Arial"/>
                  </w:rPr>
                  <w:t>1</w:t>
                </w:r>
                <w:r w:rsidR="00A63E7D">
                  <w:rPr>
                    <w:rFonts w:ascii="Arial" w:hAnsi="Arial" w:cs="Arial"/>
                  </w:rPr>
                  <w:t>10</w:t>
                </w:r>
              </w:p>
            </w:tc>
            <w:tc>
              <w:tcPr>
                <w:tcW w:w="964" w:type="dxa"/>
              </w:tcPr>
              <w:p w14:paraId="52A93B90" w14:textId="5376FF06" w:rsidR="008F4B79" w:rsidRDefault="00CB008E" w:rsidP="00097CA9">
                <w:pPr>
                  <w:jc w:val="right"/>
                  <w:rPr>
                    <w:rFonts w:ascii="Arial" w:hAnsi="Arial" w:cs="Arial"/>
                  </w:rPr>
                </w:pPr>
                <w:r>
                  <w:rPr>
                    <w:rFonts w:ascii="Arial" w:hAnsi="Arial" w:cs="Arial"/>
                  </w:rPr>
                  <w:t>134</w:t>
                </w:r>
              </w:p>
            </w:tc>
            <w:tc>
              <w:tcPr>
                <w:tcW w:w="993" w:type="dxa"/>
              </w:tcPr>
              <w:p w14:paraId="415EDCED" w14:textId="4E879B09" w:rsidR="008F4B79" w:rsidRDefault="00CB008E" w:rsidP="00097CA9">
                <w:pPr>
                  <w:jc w:val="right"/>
                  <w:rPr>
                    <w:rFonts w:ascii="Arial" w:hAnsi="Arial" w:cs="Arial"/>
                  </w:rPr>
                </w:pPr>
                <w:r>
                  <w:rPr>
                    <w:rFonts w:ascii="Arial" w:hAnsi="Arial" w:cs="Arial"/>
                  </w:rPr>
                  <w:t>188</w:t>
                </w:r>
              </w:p>
            </w:tc>
            <w:tc>
              <w:tcPr>
                <w:tcW w:w="992" w:type="dxa"/>
              </w:tcPr>
              <w:p w14:paraId="6F4E533A" w14:textId="2A85D015" w:rsidR="008F4B79" w:rsidRDefault="00CB008E" w:rsidP="00097CA9">
                <w:pPr>
                  <w:jc w:val="right"/>
                  <w:rPr>
                    <w:rFonts w:ascii="Arial" w:hAnsi="Arial" w:cs="Arial"/>
                  </w:rPr>
                </w:pPr>
                <w:r>
                  <w:rPr>
                    <w:rFonts w:ascii="Arial" w:hAnsi="Arial" w:cs="Arial"/>
                  </w:rPr>
                  <w:t>205</w:t>
                </w:r>
              </w:p>
            </w:tc>
            <w:tc>
              <w:tcPr>
                <w:tcW w:w="992" w:type="dxa"/>
              </w:tcPr>
              <w:p w14:paraId="2ADBBDD3" w14:textId="14D73D89" w:rsidR="008F4B79" w:rsidRDefault="00CB008E" w:rsidP="00097CA9">
                <w:pPr>
                  <w:jc w:val="right"/>
                  <w:rPr>
                    <w:rFonts w:ascii="Arial" w:hAnsi="Arial" w:cs="Arial"/>
                  </w:rPr>
                </w:pPr>
                <w:r>
                  <w:rPr>
                    <w:rFonts w:ascii="Arial" w:hAnsi="Arial" w:cs="Arial"/>
                  </w:rPr>
                  <w:t>256</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5075A3F2" w:rsidR="008F4B79" w:rsidRPr="00BC19FF" w:rsidRDefault="00075E8A" w:rsidP="00097CA9">
                <w:pPr>
                  <w:jc w:val="right"/>
                  <w:rPr>
                    <w:rFonts w:ascii="Arial" w:hAnsi="Arial" w:cs="Arial"/>
                    <w:u w:val="single"/>
                  </w:rPr>
                </w:pPr>
                <w:r>
                  <w:rPr>
                    <w:rFonts w:ascii="Arial" w:hAnsi="Arial" w:cs="Arial"/>
                    <w:u w:val="single"/>
                  </w:rPr>
                  <w:t>150</w:t>
                </w:r>
                <w:r w:rsidR="008F4B79">
                  <w:rPr>
                    <w:rFonts w:ascii="Arial" w:hAnsi="Arial" w:cs="Arial"/>
                    <w:u w:val="single"/>
                  </w:rPr>
                  <w:t xml:space="preserve"> </w:t>
                </w:r>
              </w:p>
            </w:tc>
            <w:tc>
              <w:tcPr>
                <w:tcW w:w="992" w:type="dxa"/>
              </w:tcPr>
              <w:p w14:paraId="3063B113" w14:textId="5DF04C07" w:rsidR="008F4B79" w:rsidRPr="00BC19FF" w:rsidRDefault="00075E8A"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64" w:type="dxa"/>
              </w:tcPr>
              <w:p w14:paraId="7B8CE271" w14:textId="1F6E29D5" w:rsidR="008F4B79" w:rsidRPr="00BC19FF" w:rsidRDefault="00075E8A" w:rsidP="00097CA9">
                <w:pPr>
                  <w:jc w:val="right"/>
                  <w:rPr>
                    <w:rFonts w:ascii="Arial" w:hAnsi="Arial" w:cs="Arial"/>
                    <w:u w:val="single"/>
                  </w:rPr>
                </w:pPr>
                <w:r>
                  <w:rPr>
                    <w:rFonts w:ascii="Arial" w:hAnsi="Arial" w:cs="Arial"/>
                    <w:u w:val="single"/>
                  </w:rPr>
                  <w:t>190</w:t>
                </w:r>
                <w:r w:rsidR="008F4B79">
                  <w:rPr>
                    <w:rFonts w:ascii="Arial" w:hAnsi="Arial" w:cs="Arial"/>
                    <w:u w:val="single"/>
                  </w:rPr>
                  <w:t xml:space="preserve"> </w:t>
                </w:r>
              </w:p>
            </w:tc>
            <w:tc>
              <w:tcPr>
                <w:tcW w:w="993" w:type="dxa"/>
              </w:tcPr>
              <w:p w14:paraId="66D80042" w14:textId="638089C7" w:rsidR="008F4B79" w:rsidRPr="00BC19FF" w:rsidRDefault="00075E8A" w:rsidP="00097CA9">
                <w:pPr>
                  <w:jc w:val="right"/>
                  <w:rPr>
                    <w:rFonts w:ascii="Arial" w:hAnsi="Arial" w:cs="Arial"/>
                    <w:u w:val="single"/>
                  </w:rPr>
                </w:pPr>
                <w:r>
                  <w:rPr>
                    <w:rFonts w:ascii="Arial" w:hAnsi="Arial" w:cs="Arial"/>
                    <w:u w:val="single"/>
                  </w:rPr>
                  <w:t>160</w:t>
                </w:r>
                <w:r w:rsidR="008F4B79">
                  <w:rPr>
                    <w:rFonts w:ascii="Arial" w:hAnsi="Arial" w:cs="Arial"/>
                    <w:u w:val="single"/>
                  </w:rPr>
                  <w:t xml:space="preserve"> </w:t>
                </w:r>
              </w:p>
            </w:tc>
            <w:tc>
              <w:tcPr>
                <w:tcW w:w="992" w:type="dxa"/>
              </w:tcPr>
              <w:p w14:paraId="078EE3E2" w14:textId="4E98404D" w:rsidR="008F4B79" w:rsidRPr="00BC19FF" w:rsidRDefault="00075E8A"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FC90AE7" w14:textId="202E99D4" w:rsidR="008F4B79" w:rsidRPr="00BC19FF" w:rsidRDefault="00075E8A" w:rsidP="00097CA9">
                <w:pPr>
                  <w:jc w:val="right"/>
                  <w:rPr>
                    <w:rFonts w:ascii="Arial" w:hAnsi="Arial" w:cs="Arial"/>
                    <w:u w:val="single"/>
                  </w:rPr>
                </w:pPr>
                <w:r>
                  <w:rPr>
                    <w:rFonts w:ascii="Arial" w:hAnsi="Arial" w:cs="Arial"/>
                    <w:u w:val="single"/>
                  </w:rPr>
                  <w:t>210</w:t>
                </w:r>
                <w:r w:rsidR="008F4B79">
                  <w:rPr>
                    <w:rFonts w:ascii="Arial" w:hAnsi="Arial" w:cs="Arial"/>
                    <w:u w:val="single"/>
                  </w:rPr>
                  <w:t xml:space="preserve"> </w:t>
                </w:r>
              </w:p>
            </w:tc>
          </w:tr>
          <w:tr w:rsidR="008F4B79" w14:paraId="5CA577E1" w14:textId="77777777" w:rsidTr="00097CA9">
            <w:tc>
              <w:tcPr>
                <w:tcW w:w="2551" w:type="dxa"/>
              </w:tcPr>
              <w:p w14:paraId="4AF45FB0" w14:textId="6A916E21" w:rsidR="008F4B79" w:rsidRDefault="008F4B79" w:rsidP="00097CA9">
                <w:pPr>
                  <w:rPr>
                    <w:rFonts w:ascii="Arial" w:hAnsi="Arial" w:cs="Arial"/>
                  </w:rPr>
                </w:pPr>
              </w:p>
            </w:tc>
            <w:tc>
              <w:tcPr>
                <w:tcW w:w="992" w:type="dxa"/>
              </w:tcPr>
              <w:p w14:paraId="1C07BCC7" w14:textId="17017FC5" w:rsidR="008F4B79" w:rsidRDefault="00A90639" w:rsidP="00097CA9">
                <w:pPr>
                  <w:jc w:val="right"/>
                  <w:rPr>
                    <w:rFonts w:ascii="Arial" w:hAnsi="Arial" w:cs="Arial"/>
                  </w:rPr>
                </w:pPr>
                <w:r>
                  <w:rPr>
                    <w:rFonts w:ascii="Arial" w:hAnsi="Arial" w:cs="Arial"/>
                  </w:rPr>
                  <w:t>240</w:t>
                </w:r>
                <w:r w:rsidR="008F4B79">
                  <w:rPr>
                    <w:rFonts w:ascii="Arial" w:hAnsi="Arial" w:cs="Arial"/>
                  </w:rPr>
                  <w:t xml:space="preserve"> </w:t>
                </w:r>
              </w:p>
            </w:tc>
            <w:tc>
              <w:tcPr>
                <w:tcW w:w="992" w:type="dxa"/>
              </w:tcPr>
              <w:p w14:paraId="6FE1EFF6" w14:textId="45CE7742" w:rsidR="008F4B79" w:rsidRDefault="00CB008E" w:rsidP="00097CA9">
                <w:pPr>
                  <w:jc w:val="right"/>
                  <w:rPr>
                    <w:rFonts w:ascii="Arial" w:hAnsi="Arial" w:cs="Arial"/>
                  </w:rPr>
                </w:pPr>
                <w:r>
                  <w:rPr>
                    <w:rFonts w:ascii="Arial" w:hAnsi="Arial" w:cs="Arial"/>
                  </w:rPr>
                  <w:t>290</w:t>
                </w:r>
                <w:r w:rsidR="008F4B79">
                  <w:rPr>
                    <w:rFonts w:ascii="Arial" w:hAnsi="Arial" w:cs="Arial"/>
                  </w:rPr>
                  <w:t xml:space="preserve">  </w:t>
                </w:r>
              </w:p>
            </w:tc>
            <w:tc>
              <w:tcPr>
                <w:tcW w:w="964" w:type="dxa"/>
              </w:tcPr>
              <w:p w14:paraId="49BFB01F" w14:textId="6BC0C106" w:rsidR="008F4B79" w:rsidRDefault="00CB008E" w:rsidP="00097CA9">
                <w:pPr>
                  <w:jc w:val="right"/>
                  <w:rPr>
                    <w:rFonts w:ascii="Arial" w:hAnsi="Arial" w:cs="Arial"/>
                  </w:rPr>
                </w:pPr>
                <w:r>
                  <w:rPr>
                    <w:rFonts w:ascii="Arial" w:hAnsi="Arial" w:cs="Arial"/>
                  </w:rPr>
                  <w:t>324</w:t>
                </w:r>
                <w:r w:rsidR="008F4B79">
                  <w:rPr>
                    <w:rFonts w:ascii="Arial" w:hAnsi="Arial" w:cs="Arial"/>
                  </w:rPr>
                  <w:t xml:space="preserve"> </w:t>
                </w:r>
              </w:p>
            </w:tc>
            <w:tc>
              <w:tcPr>
                <w:tcW w:w="993" w:type="dxa"/>
              </w:tcPr>
              <w:p w14:paraId="59D4638F" w14:textId="397015DA" w:rsidR="008F4B79" w:rsidRDefault="00CB008E" w:rsidP="00097CA9">
                <w:pPr>
                  <w:jc w:val="right"/>
                  <w:rPr>
                    <w:rFonts w:ascii="Arial" w:hAnsi="Arial" w:cs="Arial"/>
                  </w:rPr>
                </w:pPr>
                <w:r>
                  <w:rPr>
                    <w:rFonts w:ascii="Arial" w:hAnsi="Arial" w:cs="Arial"/>
                  </w:rPr>
                  <w:t>348</w:t>
                </w:r>
                <w:r w:rsidR="008F4B79">
                  <w:rPr>
                    <w:rFonts w:ascii="Arial" w:hAnsi="Arial" w:cs="Arial"/>
                  </w:rPr>
                  <w:t xml:space="preserve"> </w:t>
                </w:r>
              </w:p>
            </w:tc>
            <w:tc>
              <w:tcPr>
                <w:tcW w:w="992" w:type="dxa"/>
              </w:tcPr>
              <w:p w14:paraId="43FC5E09" w14:textId="5B02769F" w:rsidR="008F4B79" w:rsidRDefault="00CB008E" w:rsidP="00097CA9">
                <w:pPr>
                  <w:jc w:val="right"/>
                  <w:rPr>
                    <w:rFonts w:ascii="Arial" w:hAnsi="Arial" w:cs="Arial"/>
                  </w:rPr>
                </w:pPr>
                <w:r>
                  <w:rPr>
                    <w:rFonts w:ascii="Arial" w:hAnsi="Arial" w:cs="Arial"/>
                  </w:rPr>
                  <w:t>405</w:t>
                </w:r>
                <w:r w:rsidR="008F4B79">
                  <w:rPr>
                    <w:rFonts w:ascii="Arial" w:hAnsi="Arial" w:cs="Arial"/>
                  </w:rPr>
                  <w:t xml:space="preserve"> </w:t>
                </w:r>
              </w:p>
            </w:tc>
            <w:tc>
              <w:tcPr>
                <w:tcW w:w="992" w:type="dxa"/>
              </w:tcPr>
              <w:p w14:paraId="43B04720" w14:textId="176A1943" w:rsidR="008F4B79" w:rsidRDefault="00CB008E" w:rsidP="00097CA9">
                <w:pPr>
                  <w:jc w:val="right"/>
                  <w:rPr>
                    <w:rFonts w:ascii="Arial" w:hAnsi="Arial" w:cs="Arial"/>
                  </w:rPr>
                </w:pPr>
                <w:r>
                  <w:rPr>
                    <w:rFonts w:ascii="Arial" w:hAnsi="Arial" w:cs="Arial"/>
                  </w:rPr>
                  <w:t>466</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77777777" w:rsidR="008F4B79" w:rsidRDefault="008F4B79" w:rsidP="00097CA9">
                <w:pPr>
                  <w:jc w:val="right"/>
                  <w:rPr>
                    <w:rFonts w:ascii="Arial" w:hAnsi="Arial" w:cs="Arial"/>
                  </w:rPr>
                </w:pPr>
              </w:p>
            </w:tc>
            <w:tc>
              <w:tcPr>
                <w:tcW w:w="992" w:type="dxa"/>
              </w:tcPr>
              <w:p w14:paraId="71DD69FF" w14:textId="77777777" w:rsidR="008F4B79" w:rsidRDefault="008F4B79" w:rsidP="00097CA9">
                <w:pPr>
                  <w:jc w:val="right"/>
                  <w:rPr>
                    <w:rFonts w:ascii="Arial" w:hAnsi="Arial" w:cs="Arial"/>
                  </w:rPr>
                </w:pPr>
              </w:p>
            </w:tc>
            <w:tc>
              <w:tcPr>
                <w:tcW w:w="964" w:type="dxa"/>
              </w:tcPr>
              <w:p w14:paraId="56384A61" w14:textId="77777777" w:rsidR="008F4B79" w:rsidRDefault="008F4B79" w:rsidP="00097CA9">
                <w:pPr>
                  <w:jc w:val="right"/>
                  <w:rPr>
                    <w:rFonts w:ascii="Arial" w:hAnsi="Arial" w:cs="Arial"/>
                  </w:rPr>
                </w:pPr>
              </w:p>
            </w:tc>
            <w:tc>
              <w:tcPr>
                <w:tcW w:w="993" w:type="dxa"/>
              </w:tcPr>
              <w:p w14:paraId="488A570F" w14:textId="77777777" w:rsidR="008F4B79" w:rsidRDefault="008F4B79" w:rsidP="00097CA9">
                <w:pPr>
                  <w:jc w:val="right"/>
                  <w:rPr>
                    <w:rFonts w:ascii="Arial" w:hAnsi="Arial" w:cs="Arial"/>
                  </w:rPr>
                </w:pPr>
              </w:p>
            </w:tc>
            <w:tc>
              <w:tcPr>
                <w:tcW w:w="992" w:type="dxa"/>
              </w:tcPr>
              <w:p w14:paraId="7E3AC2E5" w14:textId="77777777" w:rsidR="008F4B79" w:rsidRDefault="008F4B79" w:rsidP="00097CA9">
                <w:pPr>
                  <w:jc w:val="right"/>
                  <w:rPr>
                    <w:rFonts w:ascii="Arial" w:hAnsi="Arial" w:cs="Arial"/>
                  </w:rPr>
                </w:pPr>
              </w:p>
            </w:tc>
            <w:tc>
              <w:tcPr>
                <w:tcW w:w="992" w:type="dxa"/>
              </w:tcPr>
              <w:p w14:paraId="2F53D356" w14:textId="77777777" w:rsidR="008F4B79" w:rsidRDefault="008F4B79" w:rsidP="00097CA9">
                <w:pPr>
                  <w:jc w:val="right"/>
                  <w:rPr>
                    <w:rFonts w:ascii="Arial" w:hAnsi="Arial" w:cs="Arial"/>
                  </w:rPr>
                </w:pPr>
              </w:p>
            </w:tc>
          </w:tr>
          <w:tr w:rsidR="008F4B79" w14:paraId="42432D2F" w14:textId="77777777" w:rsidTr="00097CA9">
            <w:tc>
              <w:tcPr>
                <w:tcW w:w="2551" w:type="dxa"/>
              </w:tcPr>
              <w:p w14:paraId="3E4E8875" w14:textId="77777777" w:rsidR="008F4B79" w:rsidRDefault="008F4B79" w:rsidP="00097CA9">
                <w:pPr>
                  <w:rPr>
                    <w:rFonts w:ascii="Arial" w:hAnsi="Arial" w:cs="Arial"/>
                  </w:rPr>
                </w:pPr>
                <w:r>
                  <w:rPr>
                    <w:rFonts w:ascii="Arial" w:hAnsi="Arial" w:cs="Arial"/>
                  </w:rPr>
                  <w:t>(60% of sales)</w:t>
                </w:r>
              </w:p>
            </w:tc>
            <w:tc>
              <w:tcPr>
                <w:tcW w:w="992" w:type="dxa"/>
              </w:tcPr>
              <w:p w14:paraId="65D5BBF4" w14:textId="7F3536BC" w:rsidR="008F4B79" w:rsidRPr="00BC19FF" w:rsidRDefault="008F4B79" w:rsidP="00097CA9">
                <w:pPr>
                  <w:jc w:val="right"/>
                  <w:rPr>
                    <w:rFonts w:ascii="Arial" w:hAnsi="Arial" w:cs="Arial"/>
                    <w:u w:val="single"/>
                  </w:rPr>
                </w:pPr>
                <w:r>
                  <w:rPr>
                    <w:rFonts w:ascii="Arial" w:hAnsi="Arial" w:cs="Arial"/>
                    <w:u w:val="single"/>
                  </w:rPr>
                  <w:t>(</w:t>
                </w:r>
                <w:r w:rsidR="00A63E7D">
                  <w:rPr>
                    <w:rFonts w:ascii="Arial" w:hAnsi="Arial" w:cs="Arial"/>
                    <w:u w:val="single"/>
                  </w:rPr>
                  <w:t>130</w:t>
                </w:r>
                <w:r>
                  <w:rPr>
                    <w:rFonts w:ascii="Arial" w:hAnsi="Arial" w:cs="Arial"/>
                    <w:u w:val="single"/>
                  </w:rPr>
                  <w:t>)</w:t>
                </w:r>
              </w:p>
            </w:tc>
            <w:tc>
              <w:tcPr>
                <w:tcW w:w="992" w:type="dxa"/>
              </w:tcPr>
              <w:p w14:paraId="53987C78" w14:textId="303F32E5" w:rsidR="008F4B79" w:rsidRPr="00BC19FF" w:rsidRDefault="007E7100" w:rsidP="00097CA9">
                <w:pPr>
                  <w:jc w:val="right"/>
                  <w:rPr>
                    <w:rFonts w:ascii="Arial" w:hAnsi="Arial" w:cs="Arial"/>
                    <w:u w:val="single"/>
                  </w:rPr>
                </w:pPr>
                <w:r>
                  <w:rPr>
                    <w:rFonts w:ascii="Arial" w:hAnsi="Arial" w:cs="Arial"/>
                    <w:u w:val="single"/>
                  </w:rPr>
                  <w:t>(</w:t>
                </w:r>
                <w:r w:rsidR="00CB008E">
                  <w:rPr>
                    <w:rFonts w:ascii="Arial" w:hAnsi="Arial" w:cs="Arial"/>
                    <w:u w:val="single"/>
                  </w:rPr>
                  <w:t>156</w:t>
                </w:r>
                <w:r>
                  <w:rPr>
                    <w:rFonts w:ascii="Arial" w:hAnsi="Arial" w:cs="Arial"/>
                    <w:u w:val="single"/>
                  </w:rPr>
                  <w:t>)</w:t>
                </w:r>
              </w:p>
            </w:tc>
            <w:tc>
              <w:tcPr>
                <w:tcW w:w="964" w:type="dxa"/>
              </w:tcPr>
              <w:p w14:paraId="1BEBF8F6" w14:textId="33474836" w:rsidR="008F4B79" w:rsidRPr="00BC19FF" w:rsidRDefault="007E7100" w:rsidP="00097CA9">
                <w:pPr>
                  <w:jc w:val="right"/>
                  <w:rPr>
                    <w:rFonts w:ascii="Arial" w:hAnsi="Arial" w:cs="Arial"/>
                    <w:u w:val="single"/>
                  </w:rPr>
                </w:pPr>
                <w:r>
                  <w:rPr>
                    <w:rFonts w:ascii="Arial" w:hAnsi="Arial" w:cs="Arial"/>
                    <w:u w:val="single"/>
                  </w:rPr>
                  <w:t>(</w:t>
                </w:r>
                <w:r w:rsidR="00075E8A">
                  <w:rPr>
                    <w:rFonts w:ascii="Arial" w:hAnsi="Arial" w:cs="Arial"/>
                    <w:u w:val="single"/>
                  </w:rPr>
                  <w:t>1</w:t>
                </w:r>
                <w:r w:rsidR="00CB008E">
                  <w:rPr>
                    <w:rFonts w:ascii="Arial" w:hAnsi="Arial" w:cs="Arial"/>
                    <w:u w:val="single"/>
                  </w:rPr>
                  <w:t>36</w:t>
                </w:r>
                <w:r>
                  <w:rPr>
                    <w:rFonts w:ascii="Arial" w:hAnsi="Arial" w:cs="Arial"/>
                    <w:u w:val="single"/>
                  </w:rPr>
                  <w:t>)</w:t>
                </w:r>
              </w:p>
            </w:tc>
            <w:tc>
              <w:tcPr>
                <w:tcW w:w="993" w:type="dxa"/>
              </w:tcPr>
              <w:p w14:paraId="46BAC863" w14:textId="33E9AAFD" w:rsidR="008F4B79" w:rsidRPr="00BC19FF" w:rsidRDefault="008F4B79" w:rsidP="00097CA9">
                <w:pPr>
                  <w:jc w:val="right"/>
                  <w:rPr>
                    <w:rFonts w:ascii="Arial" w:hAnsi="Arial" w:cs="Arial"/>
                    <w:u w:val="single"/>
                  </w:rPr>
                </w:pPr>
                <w:r>
                  <w:rPr>
                    <w:rFonts w:ascii="Arial" w:hAnsi="Arial" w:cs="Arial"/>
                    <w:u w:val="single"/>
                  </w:rPr>
                  <w:t>(</w:t>
                </w:r>
                <w:r w:rsidR="00CB008E">
                  <w:rPr>
                    <w:rFonts w:ascii="Arial" w:hAnsi="Arial" w:cs="Arial"/>
                    <w:u w:val="single"/>
                  </w:rPr>
                  <w:t>143</w:t>
                </w:r>
                <w:r>
                  <w:rPr>
                    <w:rFonts w:ascii="Arial" w:hAnsi="Arial" w:cs="Arial"/>
                    <w:u w:val="single"/>
                  </w:rPr>
                  <w:t>)</w:t>
                </w:r>
              </w:p>
            </w:tc>
            <w:tc>
              <w:tcPr>
                <w:tcW w:w="992" w:type="dxa"/>
              </w:tcPr>
              <w:p w14:paraId="06A661B3" w14:textId="7645E6D7" w:rsidR="008F4B79" w:rsidRPr="00BC19FF" w:rsidRDefault="008F4B79" w:rsidP="00097CA9">
                <w:pPr>
                  <w:jc w:val="right"/>
                  <w:rPr>
                    <w:rFonts w:ascii="Arial" w:hAnsi="Arial" w:cs="Arial"/>
                    <w:u w:val="single"/>
                  </w:rPr>
                </w:pPr>
                <w:r>
                  <w:rPr>
                    <w:rFonts w:ascii="Arial" w:hAnsi="Arial" w:cs="Arial"/>
                    <w:u w:val="single"/>
                  </w:rPr>
                  <w:t>(</w:t>
                </w:r>
                <w:r w:rsidR="00075E8A">
                  <w:rPr>
                    <w:rFonts w:ascii="Arial" w:hAnsi="Arial" w:cs="Arial"/>
                    <w:u w:val="single"/>
                  </w:rPr>
                  <w:t>1</w:t>
                </w:r>
                <w:r w:rsidR="00CB008E">
                  <w:rPr>
                    <w:rFonts w:ascii="Arial" w:hAnsi="Arial" w:cs="Arial"/>
                    <w:u w:val="single"/>
                  </w:rPr>
                  <w:t>49</w:t>
                </w:r>
                <w:r>
                  <w:rPr>
                    <w:rFonts w:ascii="Arial" w:hAnsi="Arial" w:cs="Arial"/>
                    <w:u w:val="single"/>
                  </w:rPr>
                  <w:t>)</w:t>
                </w:r>
              </w:p>
            </w:tc>
            <w:tc>
              <w:tcPr>
                <w:tcW w:w="992" w:type="dxa"/>
              </w:tcPr>
              <w:p w14:paraId="37FEBA70" w14:textId="4E9156A3" w:rsidR="008F4B79" w:rsidRPr="00BC19FF" w:rsidRDefault="008F4B79" w:rsidP="00097CA9">
                <w:pPr>
                  <w:jc w:val="right"/>
                  <w:rPr>
                    <w:rFonts w:ascii="Arial" w:hAnsi="Arial" w:cs="Arial"/>
                    <w:u w:val="single"/>
                  </w:rPr>
                </w:pPr>
                <w:r>
                  <w:rPr>
                    <w:rFonts w:ascii="Arial" w:hAnsi="Arial" w:cs="Arial"/>
                    <w:u w:val="single"/>
                  </w:rPr>
                  <w:t>(</w:t>
                </w:r>
                <w:r w:rsidR="00CB008E">
                  <w:rPr>
                    <w:rFonts w:ascii="Arial" w:hAnsi="Arial" w:cs="Arial"/>
                    <w:u w:val="single"/>
                  </w:rPr>
                  <w:t>162</w:t>
                </w:r>
                <w:r>
                  <w:rPr>
                    <w:rFonts w:ascii="Arial" w:hAnsi="Arial" w:cs="Arial"/>
                    <w:u w:val="single"/>
                  </w:rPr>
                  <w:t>)</w:t>
                </w:r>
              </w:p>
            </w:tc>
          </w:tr>
          <w:tr w:rsidR="008F4B79" w14:paraId="1A4C0D6B" w14:textId="77777777" w:rsidTr="00097CA9">
            <w:tc>
              <w:tcPr>
                <w:tcW w:w="2551" w:type="dxa"/>
              </w:tcPr>
              <w:p w14:paraId="26293D64" w14:textId="1D4532D1" w:rsidR="008F4B79" w:rsidRDefault="00B64298" w:rsidP="00097CA9">
                <w:pPr>
                  <w:rPr>
                    <w:rFonts w:ascii="Arial" w:hAnsi="Arial" w:cs="Arial"/>
                  </w:rPr>
                </w:pPr>
                <w:r>
                  <w:rPr>
                    <w:rFonts w:ascii="Arial" w:hAnsi="Arial" w:cs="Arial"/>
                  </w:rPr>
                  <w:t xml:space="preserve">Therefore, </w:t>
                </w:r>
                <w:r w:rsidR="008F4B79">
                  <w:rPr>
                    <w:rFonts w:ascii="Arial" w:hAnsi="Arial" w:cs="Arial"/>
                  </w:rPr>
                  <w:t>Closing stock</w:t>
                </w:r>
              </w:p>
            </w:tc>
            <w:tc>
              <w:tcPr>
                <w:tcW w:w="992" w:type="dxa"/>
              </w:tcPr>
              <w:p w14:paraId="1724EC96" w14:textId="48911C96" w:rsidR="008F4B79" w:rsidRPr="00BC19FF" w:rsidRDefault="00A90639" w:rsidP="00097CA9">
                <w:pPr>
                  <w:jc w:val="right"/>
                  <w:rPr>
                    <w:rFonts w:ascii="Arial" w:hAnsi="Arial" w:cs="Arial"/>
                    <w:u w:val="single"/>
                  </w:rPr>
                </w:pPr>
                <w:r>
                  <w:rPr>
                    <w:rFonts w:ascii="Arial" w:hAnsi="Arial" w:cs="Arial"/>
                    <w:u w:val="single"/>
                  </w:rPr>
                  <w:t>1</w:t>
                </w:r>
                <w:r w:rsidR="00A63E7D">
                  <w:rPr>
                    <w:rFonts w:ascii="Arial" w:hAnsi="Arial" w:cs="Arial"/>
                    <w:u w:val="single"/>
                  </w:rPr>
                  <w:t>10</w:t>
                </w:r>
                <w:r w:rsidR="008F4B79">
                  <w:rPr>
                    <w:rFonts w:ascii="Arial" w:hAnsi="Arial" w:cs="Arial"/>
                    <w:u w:val="single"/>
                  </w:rPr>
                  <w:t xml:space="preserve">   </w:t>
                </w:r>
              </w:p>
            </w:tc>
            <w:tc>
              <w:tcPr>
                <w:tcW w:w="992" w:type="dxa"/>
              </w:tcPr>
              <w:p w14:paraId="7E95065D" w14:textId="7705C438" w:rsidR="008F4B79" w:rsidRPr="00BC19FF" w:rsidRDefault="00CB008E" w:rsidP="00097CA9">
                <w:pPr>
                  <w:jc w:val="right"/>
                  <w:rPr>
                    <w:rFonts w:ascii="Arial" w:hAnsi="Arial" w:cs="Arial"/>
                    <w:u w:val="single"/>
                  </w:rPr>
                </w:pPr>
                <w:r>
                  <w:rPr>
                    <w:rFonts w:ascii="Arial" w:hAnsi="Arial" w:cs="Arial"/>
                    <w:u w:val="single"/>
                  </w:rPr>
                  <w:t>134</w:t>
                </w:r>
                <w:r w:rsidR="008F4B79">
                  <w:rPr>
                    <w:rFonts w:ascii="Arial" w:hAnsi="Arial" w:cs="Arial"/>
                    <w:u w:val="single"/>
                  </w:rPr>
                  <w:t xml:space="preserve">   </w:t>
                </w:r>
              </w:p>
            </w:tc>
            <w:tc>
              <w:tcPr>
                <w:tcW w:w="964" w:type="dxa"/>
              </w:tcPr>
              <w:p w14:paraId="36220FC1" w14:textId="75AD6C9F" w:rsidR="008F4B79" w:rsidRPr="00BC19FF" w:rsidRDefault="00CB008E" w:rsidP="00097CA9">
                <w:pPr>
                  <w:jc w:val="right"/>
                  <w:rPr>
                    <w:rFonts w:ascii="Arial" w:hAnsi="Arial" w:cs="Arial"/>
                    <w:u w:val="single"/>
                  </w:rPr>
                </w:pPr>
                <w:r>
                  <w:rPr>
                    <w:rFonts w:ascii="Arial" w:hAnsi="Arial" w:cs="Arial"/>
                    <w:u w:val="single"/>
                  </w:rPr>
                  <w:t>188</w:t>
                </w:r>
                <w:r w:rsidR="008F4B79">
                  <w:rPr>
                    <w:rFonts w:ascii="Arial" w:hAnsi="Arial" w:cs="Arial"/>
                    <w:u w:val="single"/>
                  </w:rPr>
                  <w:t xml:space="preserve">     </w:t>
                </w:r>
              </w:p>
            </w:tc>
            <w:tc>
              <w:tcPr>
                <w:tcW w:w="993" w:type="dxa"/>
              </w:tcPr>
              <w:p w14:paraId="53C31D3A" w14:textId="0FF35932" w:rsidR="008F4B79" w:rsidRPr="00BC19FF" w:rsidRDefault="00CB008E" w:rsidP="00097CA9">
                <w:pPr>
                  <w:jc w:val="right"/>
                  <w:rPr>
                    <w:rFonts w:ascii="Arial" w:hAnsi="Arial" w:cs="Arial"/>
                    <w:u w:val="single"/>
                  </w:rPr>
                </w:pPr>
                <w:r>
                  <w:rPr>
                    <w:rFonts w:ascii="Arial" w:hAnsi="Arial" w:cs="Arial"/>
                    <w:u w:val="single"/>
                  </w:rPr>
                  <w:t>205</w:t>
                </w:r>
                <w:r w:rsidR="008F4B79">
                  <w:rPr>
                    <w:rFonts w:ascii="Arial" w:hAnsi="Arial" w:cs="Arial"/>
                    <w:u w:val="single"/>
                  </w:rPr>
                  <w:t xml:space="preserve"> </w:t>
                </w:r>
              </w:p>
            </w:tc>
            <w:tc>
              <w:tcPr>
                <w:tcW w:w="992" w:type="dxa"/>
              </w:tcPr>
              <w:p w14:paraId="7F452A29" w14:textId="4E84237C" w:rsidR="008F4B79" w:rsidRPr="00BC19FF" w:rsidRDefault="00CB008E" w:rsidP="00097CA9">
                <w:pPr>
                  <w:jc w:val="right"/>
                  <w:rPr>
                    <w:rFonts w:ascii="Arial" w:hAnsi="Arial" w:cs="Arial"/>
                    <w:u w:val="single"/>
                  </w:rPr>
                </w:pPr>
                <w:r>
                  <w:rPr>
                    <w:rFonts w:ascii="Arial" w:hAnsi="Arial" w:cs="Arial"/>
                    <w:u w:val="single"/>
                  </w:rPr>
                  <w:t>256</w:t>
                </w:r>
                <w:r w:rsidR="008F4B79">
                  <w:rPr>
                    <w:rFonts w:ascii="Arial" w:hAnsi="Arial" w:cs="Arial"/>
                    <w:u w:val="single"/>
                  </w:rPr>
                  <w:t xml:space="preserve"> </w:t>
                </w:r>
              </w:p>
            </w:tc>
            <w:tc>
              <w:tcPr>
                <w:tcW w:w="992" w:type="dxa"/>
              </w:tcPr>
              <w:p w14:paraId="1B6F5CE9" w14:textId="53BB8D61" w:rsidR="008F4B79" w:rsidRPr="00BC19FF" w:rsidRDefault="00CB008E" w:rsidP="00097CA9">
                <w:pPr>
                  <w:jc w:val="right"/>
                  <w:rPr>
                    <w:rFonts w:ascii="Arial" w:hAnsi="Arial" w:cs="Arial"/>
                    <w:u w:val="single"/>
                  </w:rPr>
                </w:pPr>
                <w:r>
                  <w:rPr>
                    <w:rFonts w:ascii="Arial" w:hAnsi="Arial" w:cs="Arial"/>
                    <w:u w:val="single"/>
                  </w:rPr>
                  <w:t>304</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0B5B15B2" w:rsidR="008F4B79" w:rsidRDefault="008F4B79" w:rsidP="00097CA9">
                <w:pPr>
                  <w:rPr>
                    <w:rFonts w:ascii="Arial" w:hAnsi="Arial" w:cs="Arial"/>
                  </w:rPr>
                </w:pPr>
                <w:r>
                  <w:rPr>
                    <w:rFonts w:ascii="Arial" w:hAnsi="Arial" w:cs="Arial"/>
                  </w:rPr>
                  <w:t xml:space="preserve">Sales net </w:t>
                </w:r>
                <w:r w:rsidR="00B64298">
                  <w:rPr>
                    <w:rFonts w:ascii="Arial" w:hAnsi="Arial" w:cs="Arial"/>
                  </w:rPr>
                  <w:t>of 0.3</w:t>
                </w:r>
                <w:r w:rsidR="00E27EF8">
                  <w:rPr>
                    <w:rFonts w:ascii="Arial" w:hAnsi="Arial" w:cs="Arial"/>
                  </w:rPr>
                  <w:t xml:space="preserve"> x 3%</w:t>
                </w:r>
              </w:p>
            </w:tc>
            <w:tc>
              <w:tcPr>
                <w:tcW w:w="992" w:type="dxa"/>
              </w:tcPr>
              <w:p w14:paraId="7CC417E8" w14:textId="5899C70A" w:rsidR="008F4B79" w:rsidRDefault="008F4B79" w:rsidP="00097CA9">
                <w:pPr>
                  <w:jc w:val="center"/>
                  <w:rPr>
                    <w:rFonts w:ascii="Arial" w:hAnsi="Arial" w:cs="Arial"/>
                  </w:rPr>
                </w:pPr>
              </w:p>
              <w:p w14:paraId="09D61F7D" w14:textId="13B812C5" w:rsidR="008F4B79" w:rsidRDefault="00A6475B" w:rsidP="00097CA9">
                <w:pPr>
                  <w:jc w:val="center"/>
                  <w:rPr>
                    <w:rFonts w:ascii="Arial" w:hAnsi="Arial" w:cs="Arial"/>
                  </w:rPr>
                </w:pPr>
                <w:r>
                  <w:rPr>
                    <w:rFonts w:ascii="Arial" w:hAnsi="Arial" w:cs="Arial"/>
                  </w:rPr>
                  <w:t>198</w:t>
                </w:r>
                <w:r w:rsidR="008F4B79">
                  <w:rPr>
                    <w:rFonts w:ascii="Arial" w:hAnsi="Arial" w:cs="Arial"/>
                  </w:rPr>
                  <w:t xml:space="preserve"> </w:t>
                </w:r>
              </w:p>
            </w:tc>
            <w:tc>
              <w:tcPr>
                <w:tcW w:w="992" w:type="dxa"/>
              </w:tcPr>
              <w:p w14:paraId="7682A9CA" w14:textId="77777777" w:rsidR="008F4B79" w:rsidRDefault="008F4B79" w:rsidP="00097CA9">
                <w:pPr>
                  <w:jc w:val="center"/>
                  <w:rPr>
                    <w:rFonts w:ascii="Arial" w:hAnsi="Arial" w:cs="Arial"/>
                  </w:rPr>
                </w:pPr>
              </w:p>
              <w:p w14:paraId="0DB8B11B" w14:textId="72D598CA" w:rsidR="008F4B79" w:rsidRDefault="00E27EF8" w:rsidP="00097CA9">
                <w:pPr>
                  <w:jc w:val="center"/>
                  <w:rPr>
                    <w:rFonts w:ascii="Arial" w:hAnsi="Arial" w:cs="Arial"/>
                  </w:rPr>
                </w:pPr>
                <w:r>
                  <w:rPr>
                    <w:rFonts w:ascii="Arial" w:hAnsi="Arial" w:cs="Arial"/>
                  </w:rPr>
                  <w:t>238</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2044741C" w:rsidR="008F4B79" w:rsidRDefault="00E27EF8" w:rsidP="00097CA9">
                <w:pPr>
                  <w:jc w:val="center"/>
                  <w:rPr>
                    <w:rFonts w:ascii="Arial" w:hAnsi="Arial" w:cs="Arial"/>
                  </w:rPr>
                </w:pPr>
                <w:r>
                  <w:rPr>
                    <w:rFonts w:ascii="Arial" w:hAnsi="Arial" w:cs="Arial"/>
                  </w:rPr>
                  <w:t>208</w:t>
                </w:r>
                <w:r w:rsidR="008F4B79">
                  <w:rPr>
                    <w:rFonts w:ascii="Arial" w:hAnsi="Arial" w:cs="Arial"/>
                  </w:rPr>
                  <w:t xml:space="preserve"> </w:t>
                </w:r>
              </w:p>
            </w:tc>
            <w:tc>
              <w:tcPr>
                <w:tcW w:w="992" w:type="dxa"/>
              </w:tcPr>
              <w:p w14:paraId="7D2BD5F3" w14:textId="77777777" w:rsidR="008F4B79" w:rsidRDefault="008F4B79" w:rsidP="00097CA9">
                <w:pPr>
                  <w:jc w:val="center"/>
                  <w:rPr>
                    <w:rFonts w:ascii="Arial" w:hAnsi="Arial" w:cs="Arial"/>
                  </w:rPr>
                </w:pPr>
              </w:p>
              <w:p w14:paraId="15BBCA2C" w14:textId="5A8DCA25" w:rsidR="008F4B79" w:rsidRDefault="00E27EF8" w:rsidP="00097CA9">
                <w:pPr>
                  <w:jc w:val="center"/>
                  <w:rPr>
                    <w:rFonts w:ascii="Arial" w:hAnsi="Arial" w:cs="Arial"/>
                  </w:rPr>
                </w:pPr>
                <w:r>
                  <w:rPr>
                    <w:rFonts w:ascii="Arial" w:hAnsi="Arial" w:cs="Arial"/>
                  </w:rPr>
                  <w:t>218</w:t>
                </w:r>
                <w:r w:rsidR="008F4B79">
                  <w:rPr>
                    <w:rFonts w:ascii="Arial" w:hAnsi="Arial" w:cs="Arial"/>
                  </w:rPr>
                  <w:t xml:space="preserve"> </w:t>
                </w:r>
              </w:p>
            </w:tc>
            <w:tc>
              <w:tcPr>
                <w:tcW w:w="992" w:type="dxa"/>
              </w:tcPr>
              <w:p w14:paraId="6047B1A8" w14:textId="77777777" w:rsidR="008F4B79" w:rsidRDefault="008F4B79" w:rsidP="00097CA9">
                <w:pPr>
                  <w:jc w:val="center"/>
                  <w:rPr>
                    <w:rFonts w:ascii="Arial" w:hAnsi="Arial" w:cs="Arial"/>
                  </w:rPr>
                </w:pPr>
              </w:p>
              <w:p w14:paraId="3977524C" w14:textId="6C08630D" w:rsidR="008F4B79" w:rsidRDefault="008F4B79" w:rsidP="00097CA9">
                <w:pPr>
                  <w:jc w:val="center"/>
                  <w:rPr>
                    <w:rFonts w:ascii="Arial" w:hAnsi="Arial" w:cs="Arial"/>
                  </w:rPr>
                </w:pPr>
                <w:r>
                  <w:rPr>
                    <w:rFonts w:ascii="Arial" w:hAnsi="Arial" w:cs="Arial"/>
                  </w:rPr>
                  <w:t xml:space="preserve"> </w:t>
                </w:r>
                <w:r w:rsidR="00E27EF8">
                  <w:rPr>
                    <w:rFonts w:ascii="Arial" w:hAnsi="Arial" w:cs="Arial"/>
                  </w:rPr>
                  <w:t>228</w:t>
                </w:r>
              </w:p>
            </w:tc>
            <w:tc>
              <w:tcPr>
                <w:tcW w:w="992" w:type="dxa"/>
              </w:tcPr>
              <w:p w14:paraId="319D0667" w14:textId="77777777" w:rsidR="008F4B79" w:rsidRDefault="008F4B79" w:rsidP="00097CA9">
                <w:pPr>
                  <w:jc w:val="center"/>
                  <w:rPr>
                    <w:rFonts w:ascii="Arial" w:hAnsi="Arial" w:cs="Arial"/>
                  </w:rPr>
                </w:pPr>
              </w:p>
              <w:p w14:paraId="700B5A42" w14:textId="1B6474F9" w:rsidR="008F4B79" w:rsidRDefault="00E27EF8" w:rsidP="00097CA9">
                <w:pPr>
                  <w:jc w:val="center"/>
                  <w:rPr>
                    <w:rFonts w:ascii="Arial" w:hAnsi="Arial" w:cs="Arial"/>
                  </w:rPr>
                </w:pPr>
                <w:r>
                  <w:rPr>
                    <w:rFonts w:ascii="Arial" w:hAnsi="Arial" w:cs="Arial"/>
                  </w:rPr>
                  <w:t>248</w:t>
                </w:r>
                <w:r w:rsidR="008F4B79">
                  <w:rPr>
                    <w:rFonts w:ascii="Arial" w:hAnsi="Arial" w:cs="Arial"/>
                  </w:rPr>
                  <w:t xml:space="preserve"> </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43290420" w:rsidR="008F4B79" w:rsidRDefault="00B64298" w:rsidP="00097CA9">
                <w:pPr>
                  <w:jc w:val="center"/>
                  <w:rPr>
                    <w:rFonts w:ascii="Arial" w:hAnsi="Arial" w:cs="Arial"/>
                  </w:rPr>
                </w:pPr>
                <w:r>
                  <w:rPr>
                    <w:rFonts w:ascii="Arial" w:hAnsi="Arial" w:cs="Arial"/>
                  </w:rPr>
                  <w:t>(17</w:t>
                </w:r>
                <w:r w:rsidR="008F4B79">
                  <w:rPr>
                    <w:rFonts w:ascii="Arial" w:hAnsi="Arial" w:cs="Arial"/>
                  </w:rPr>
                  <w:t>)</w:t>
                </w:r>
              </w:p>
            </w:tc>
            <w:tc>
              <w:tcPr>
                <w:tcW w:w="992" w:type="dxa"/>
                <w:vAlign w:val="center"/>
              </w:tcPr>
              <w:p w14:paraId="53656A68" w14:textId="0C75585B" w:rsidR="008F4B79" w:rsidRDefault="00B64298" w:rsidP="00097CA9">
                <w:pPr>
                  <w:jc w:val="center"/>
                  <w:rPr>
                    <w:rFonts w:ascii="Arial" w:hAnsi="Arial" w:cs="Arial"/>
                  </w:rPr>
                </w:pPr>
                <w:r>
                  <w:rPr>
                    <w:rFonts w:ascii="Arial" w:hAnsi="Arial" w:cs="Arial"/>
                  </w:rPr>
                  <w:t>(18</w:t>
                </w:r>
                <w:r w:rsidR="008F4B79">
                  <w:rPr>
                    <w:rFonts w:ascii="Arial" w:hAnsi="Arial" w:cs="Arial"/>
                  </w:rPr>
                  <w:t>)</w:t>
                </w:r>
              </w:p>
            </w:tc>
            <w:tc>
              <w:tcPr>
                <w:tcW w:w="993" w:type="dxa"/>
                <w:vAlign w:val="center"/>
              </w:tcPr>
              <w:p w14:paraId="74AFF97C" w14:textId="3D2B9AB9" w:rsidR="008F4B79" w:rsidRDefault="00B64298" w:rsidP="00097CA9">
                <w:pPr>
                  <w:jc w:val="center"/>
                  <w:rPr>
                    <w:rFonts w:ascii="Arial" w:hAnsi="Arial" w:cs="Arial"/>
                  </w:rPr>
                </w:pPr>
                <w:r>
                  <w:rPr>
                    <w:rFonts w:ascii="Arial" w:hAnsi="Arial" w:cs="Arial"/>
                  </w:rPr>
                  <w:t>(19</w:t>
                </w:r>
                <w:r w:rsidR="008F4B79">
                  <w:rPr>
                    <w:rFonts w:ascii="Arial" w:hAnsi="Arial" w:cs="Arial"/>
                  </w:rPr>
                  <w:t>)</w:t>
                </w:r>
              </w:p>
            </w:tc>
            <w:tc>
              <w:tcPr>
                <w:tcW w:w="992" w:type="dxa"/>
                <w:vAlign w:val="center"/>
              </w:tcPr>
              <w:p w14:paraId="1E0304DB" w14:textId="16222BB6" w:rsidR="008F4B79" w:rsidRDefault="00B64298" w:rsidP="00097CA9">
                <w:pPr>
                  <w:jc w:val="center"/>
                  <w:rPr>
                    <w:rFonts w:ascii="Arial" w:hAnsi="Arial" w:cs="Arial"/>
                  </w:rPr>
                </w:pPr>
                <w:r>
                  <w:rPr>
                    <w:rFonts w:ascii="Arial" w:hAnsi="Arial" w:cs="Arial"/>
                  </w:rPr>
                  <w:t>(20</w:t>
                </w:r>
                <w:r w:rsidR="008F4B79">
                  <w:rPr>
                    <w:rFonts w:ascii="Arial" w:hAnsi="Arial" w:cs="Arial"/>
                  </w:rPr>
                  <w:t>)</w:t>
                </w:r>
              </w:p>
            </w:tc>
            <w:tc>
              <w:tcPr>
                <w:tcW w:w="992" w:type="dxa"/>
                <w:vAlign w:val="center"/>
              </w:tcPr>
              <w:p w14:paraId="74DE144E" w14:textId="48C47D93" w:rsidR="008F4B79" w:rsidRDefault="00B64298" w:rsidP="00097CA9">
                <w:pPr>
                  <w:jc w:val="center"/>
                  <w:rPr>
                    <w:rFonts w:ascii="Arial" w:hAnsi="Arial" w:cs="Arial"/>
                  </w:rPr>
                </w:pPr>
                <w:r>
                  <w:rPr>
                    <w:rFonts w:ascii="Arial" w:hAnsi="Arial" w:cs="Arial"/>
                  </w:rPr>
                  <w:t>(21</w:t>
                </w:r>
                <w:r w:rsidR="00FF60CB">
                  <w:rPr>
                    <w:rFonts w:ascii="Arial" w:hAnsi="Arial" w:cs="Arial"/>
                  </w:rPr>
                  <w:t>)</w:t>
                </w:r>
              </w:p>
            </w:tc>
            <w:tc>
              <w:tcPr>
                <w:tcW w:w="992" w:type="dxa"/>
                <w:vAlign w:val="center"/>
              </w:tcPr>
              <w:p w14:paraId="06BDF0DF" w14:textId="5EE0D15F" w:rsidR="008F4B79" w:rsidRDefault="00B64298" w:rsidP="00097CA9">
                <w:pPr>
                  <w:jc w:val="center"/>
                  <w:rPr>
                    <w:rFonts w:ascii="Arial" w:hAnsi="Arial" w:cs="Arial"/>
                  </w:rPr>
                </w:pPr>
                <w:r>
                  <w:rPr>
                    <w:rFonts w:ascii="Arial" w:hAnsi="Arial" w:cs="Arial"/>
                  </w:rPr>
                  <w:t>(22</w:t>
                </w:r>
                <w:r w:rsidR="00FF60CB">
                  <w:rPr>
                    <w:rFonts w:ascii="Arial" w:hAnsi="Arial" w:cs="Arial"/>
                  </w:rPr>
                  <w:t>)</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49242F03" w:rsidR="008F4B79" w:rsidRDefault="008F4B79" w:rsidP="00097CA9">
                <w:pPr>
                  <w:jc w:val="center"/>
                  <w:rPr>
                    <w:rFonts w:ascii="Arial" w:hAnsi="Arial" w:cs="Arial"/>
                  </w:rPr>
                </w:pPr>
                <w:r>
                  <w:rPr>
                    <w:rFonts w:ascii="Arial" w:hAnsi="Arial" w:cs="Arial"/>
                  </w:rPr>
                  <w:t>(</w:t>
                </w:r>
                <w:r w:rsidR="00FF60CB">
                  <w:rPr>
                    <w:rFonts w:ascii="Arial" w:hAnsi="Arial" w:cs="Arial"/>
                  </w:rPr>
                  <w:t>170</w:t>
                </w:r>
                <w:r>
                  <w:rPr>
                    <w:rFonts w:ascii="Arial" w:hAnsi="Arial" w:cs="Arial"/>
                  </w:rPr>
                  <w:t>)</w:t>
                </w:r>
              </w:p>
            </w:tc>
            <w:tc>
              <w:tcPr>
                <w:tcW w:w="992" w:type="dxa"/>
              </w:tcPr>
              <w:p w14:paraId="16DBE0B1" w14:textId="55521609" w:rsidR="008F4B79" w:rsidRDefault="008F4B79" w:rsidP="00097CA9">
                <w:pPr>
                  <w:jc w:val="center"/>
                  <w:rPr>
                    <w:rFonts w:ascii="Arial" w:hAnsi="Arial" w:cs="Arial"/>
                  </w:rPr>
                </w:pPr>
                <w:r>
                  <w:rPr>
                    <w:rFonts w:ascii="Arial" w:hAnsi="Arial" w:cs="Arial"/>
                  </w:rPr>
                  <w:t>(</w:t>
                </w:r>
                <w:r w:rsidR="00FF60CB">
                  <w:rPr>
                    <w:rFonts w:ascii="Arial" w:hAnsi="Arial" w:cs="Arial"/>
                  </w:rPr>
                  <w:t>150</w:t>
                </w:r>
                <w:r>
                  <w:rPr>
                    <w:rFonts w:ascii="Arial" w:hAnsi="Arial" w:cs="Arial"/>
                  </w:rPr>
                  <w:t>)</w:t>
                </w:r>
              </w:p>
            </w:tc>
            <w:tc>
              <w:tcPr>
                <w:tcW w:w="993" w:type="dxa"/>
              </w:tcPr>
              <w:p w14:paraId="0C479117" w14:textId="541CC5DC" w:rsidR="008F4B79" w:rsidRDefault="00FF60CB" w:rsidP="00097CA9">
                <w:pPr>
                  <w:jc w:val="center"/>
                  <w:rPr>
                    <w:rFonts w:ascii="Arial" w:hAnsi="Arial" w:cs="Arial"/>
                  </w:rPr>
                </w:pPr>
                <w:r>
                  <w:rPr>
                    <w:rFonts w:ascii="Arial" w:hAnsi="Arial" w:cs="Arial"/>
                  </w:rPr>
                  <w:t>(180</w:t>
                </w:r>
                <w:r w:rsidR="008F4B79">
                  <w:rPr>
                    <w:rFonts w:ascii="Arial" w:hAnsi="Arial" w:cs="Arial"/>
                  </w:rPr>
                  <w:t>)</w:t>
                </w:r>
              </w:p>
            </w:tc>
            <w:tc>
              <w:tcPr>
                <w:tcW w:w="992" w:type="dxa"/>
              </w:tcPr>
              <w:p w14:paraId="3095C7F8" w14:textId="1032578A" w:rsidR="008F4B79" w:rsidRDefault="008F4B79" w:rsidP="00097CA9">
                <w:pPr>
                  <w:jc w:val="center"/>
                  <w:rPr>
                    <w:rFonts w:ascii="Arial" w:hAnsi="Arial" w:cs="Arial"/>
                  </w:rPr>
                </w:pPr>
                <w:r>
                  <w:rPr>
                    <w:rFonts w:ascii="Arial" w:hAnsi="Arial" w:cs="Arial"/>
                  </w:rPr>
                  <w:t>(</w:t>
                </w:r>
                <w:r w:rsidR="00FF60CB">
                  <w:rPr>
                    <w:rFonts w:ascii="Arial" w:hAnsi="Arial" w:cs="Arial"/>
                  </w:rPr>
                  <w:t>190</w:t>
                </w:r>
                <w:r>
                  <w:rPr>
                    <w:rFonts w:ascii="Arial" w:hAnsi="Arial" w:cs="Arial"/>
                  </w:rPr>
                  <w:t>)</w:t>
                </w:r>
              </w:p>
            </w:tc>
            <w:tc>
              <w:tcPr>
                <w:tcW w:w="992" w:type="dxa"/>
              </w:tcPr>
              <w:p w14:paraId="7D2539CD" w14:textId="0D908DEE" w:rsidR="008F4B79" w:rsidRDefault="008F4B79" w:rsidP="00097CA9">
                <w:pPr>
                  <w:jc w:val="center"/>
                  <w:rPr>
                    <w:rFonts w:ascii="Arial" w:hAnsi="Arial" w:cs="Arial"/>
                  </w:rPr>
                </w:pPr>
                <w:r>
                  <w:rPr>
                    <w:rFonts w:ascii="Arial" w:hAnsi="Arial" w:cs="Arial"/>
                  </w:rPr>
                  <w:t>(</w:t>
                </w:r>
                <w:r w:rsidR="00FF60CB">
                  <w:rPr>
                    <w:rFonts w:ascii="Arial" w:hAnsi="Arial" w:cs="Arial"/>
                  </w:rPr>
                  <w:t>160</w:t>
                </w:r>
                <w:r>
                  <w:rPr>
                    <w:rFonts w:ascii="Arial" w:hAnsi="Arial" w:cs="Arial"/>
                  </w:rPr>
                  <w:t>)</w:t>
                </w:r>
              </w:p>
            </w:tc>
            <w:tc>
              <w:tcPr>
                <w:tcW w:w="992" w:type="dxa"/>
              </w:tcPr>
              <w:p w14:paraId="18275CF8" w14:textId="4589B8A4" w:rsidR="008F4B79" w:rsidRDefault="008F4B79" w:rsidP="00097CA9">
                <w:pPr>
                  <w:jc w:val="center"/>
                  <w:rPr>
                    <w:rFonts w:ascii="Arial" w:hAnsi="Arial" w:cs="Arial"/>
                  </w:rPr>
                </w:pPr>
                <w:r>
                  <w:rPr>
                    <w:rFonts w:ascii="Arial" w:hAnsi="Arial" w:cs="Arial"/>
                  </w:rPr>
                  <w:t>(</w:t>
                </w:r>
                <w:r w:rsidR="00FF60CB">
                  <w:rPr>
                    <w:rFonts w:ascii="Arial" w:hAnsi="Arial" w:cs="Arial"/>
                  </w:rPr>
                  <w:t>200</w:t>
                </w:r>
                <w:r>
                  <w:rPr>
                    <w:rFonts w:ascii="Arial" w:hAnsi="Arial" w:cs="Arial"/>
                  </w:rPr>
                  <w:t>)</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144F2D9F" w:rsidR="008F4B79" w:rsidRDefault="00BE2B58" w:rsidP="00097CA9">
                <w:pPr>
                  <w:jc w:val="center"/>
                  <w:rPr>
                    <w:rFonts w:ascii="Arial" w:hAnsi="Arial" w:cs="Arial"/>
                  </w:rPr>
                </w:pPr>
                <w:r>
                  <w:rPr>
                    <w:rFonts w:ascii="Arial" w:hAnsi="Arial" w:cs="Arial"/>
                  </w:rPr>
                  <w:t>(</w:t>
                </w:r>
                <w:r w:rsidR="00FF60CB">
                  <w:rPr>
                    <w:rFonts w:ascii="Arial" w:hAnsi="Arial" w:cs="Arial"/>
                  </w:rPr>
                  <w:t>4</w:t>
                </w:r>
                <w:r w:rsidR="008F4B79">
                  <w:rPr>
                    <w:rFonts w:ascii="Arial" w:hAnsi="Arial" w:cs="Arial"/>
                  </w:rPr>
                  <w:t>)</w:t>
                </w:r>
              </w:p>
            </w:tc>
            <w:tc>
              <w:tcPr>
                <w:tcW w:w="992" w:type="dxa"/>
              </w:tcPr>
              <w:p w14:paraId="33A9D8A7" w14:textId="07D21230" w:rsidR="008F4B79" w:rsidRDefault="00BE2B58" w:rsidP="00097CA9">
                <w:pPr>
                  <w:jc w:val="center"/>
                  <w:rPr>
                    <w:rFonts w:ascii="Arial" w:hAnsi="Arial" w:cs="Arial"/>
                  </w:rPr>
                </w:pPr>
                <w:r>
                  <w:rPr>
                    <w:rFonts w:ascii="Arial" w:hAnsi="Arial" w:cs="Arial"/>
                  </w:rPr>
                  <w:t>(</w:t>
                </w:r>
                <w:r w:rsidR="00FF60CB">
                  <w:rPr>
                    <w:rFonts w:ascii="Arial" w:hAnsi="Arial" w:cs="Arial"/>
                  </w:rPr>
                  <w:t>4</w:t>
                </w:r>
                <w:r w:rsidR="008F4B79">
                  <w:rPr>
                    <w:rFonts w:ascii="Arial" w:hAnsi="Arial" w:cs="Arial"/>
                  </w:rPr>
                  <w:t>)</w:t>
                </w:r>
              </w:p>
            </w:tc>
            <w:tc>
              <w:tcPr>
                <w:tcW w:w="993" w:type="dxa"/>
              </w:tcPr>
              <w:p w14:paraId="15E94208" w14:textId="73C3BF19" w:rsidR="008F4B79" w:rsidRDefault="008F4B79" w:rsidP="00097CA9">
                <w:pPr>
                  <w:jc w:val="center"/>
                  <w:rPr>
                    <w:rFonts w:ascii="Arial" w:hAnsi="Arial" w:cs="Arial"/>
                  </w:rPr>
                </w:pPr>
                <w:r>
                  <w:rPr>
                    <w:rFonts w:ascii="Arial" w:hAnsi="Arial" w:cs="Arial"/>
                  </w:rPr>
                  <w:t>(</w:t>
                </w:r>
                <w:r w:rsidR="00FF60CB">
                  <w:rPr>
                    <w:rFonts w:ascii="Arial" w:hAnsi="Arial" w:cs="Arial"/>
                  </w:rPr>
                  <w:t>4</w:t>
                </w:r>
                <w:r>
                  <w:rPr>
                    <w:rFonts w:ascii="Arial" w:hAnsi="Arial" w:cs="Arial"/>
                  </w:rPr>
                  <w:t>)</w:t>
                </w:r>
              </w:p>
            </w:tc>
            <w:tc>
              <w:tcPr>
                <w:tcW w:w="992" w:type="dxa"/>
              </w:tcPr>
              <w:p w14:paraId="3096EBB3" w14:textId="1B14D2EE" w:rsidR="008F4B79" w:rsidRDefault="008F4B79" w:rsidP="00097CA9">
                <w:pPr>
                  <w:jc w:val="center"/>
                  <w:rPr>
                    <w:rFonts w:ascii="Arial" w:hAnsi="Arial" w:cs="Arial"/>
                  </w:rPr>
                </w:pPr>
                <w:r>
                  <w:rPr>
                    <w:rFonts w:ascii="Arial" w:hAnsi="Arial" w:cs="Arial"/>
                  </w:rPr>
                  <w:t>(</w:t>
                </w:r>
                <w:r w:rsidR="00FF60CB">
                  <w:rPr>
                    <w:rFonts w:ascii="Arial" w:hAnsi="Arial" w:cs="Arial"/>
                  </w:rPr>
                  <w:t>4</w:t>
                </w:r>
                <w:r>
                  <w:rPr>
                    <w:rFonts w:ascii="Arial" w:hAnsi="Arial" w:cs="Arial"/>
                  </w:rPr>
                  <w:t>)</w:t>
                </w:r>
              </w:p>
            </w:tc>
            <w:tc>
              <w:tcPr>
                <w:tcW w:w="992" w:type="dxa"/>
              </w:tcPr>
              <w:p w14:paraId="28DCEDBF" w14:textId="43176678" w:rsidR="008F4B79" w:rsidRDefault="008F4B79" w:rsidP="00097CA9">
                <w:pPr>
                  <w:jc w:val="center"/>
                  <w:rPr>
                    <w:rFonts w:ascii="Arial" w:hAnsi="Arial" w:cs="Arial"/>
                  </w:rPr>
                </w:pPr>
                <w:r>
                  <w:rPr>
                    <w:rFonts w:ascii="Arial" w:hAnsi="Arial" w:cs="Arial"/>
                  </w:rPr>
                  <w:t>(</w:t>
                </w:r>
                <w:r w:rsidR="00FF60CB">
                  <w:rPr>
                    <w:rFonts w:ascii="Arial" w:hAnsi="Arial" w:cs="Arial"/>
                  </w:rPr>
                  <w:t>4</w:t>
                </w:r>
                <w:r>
                  <w:rPr>
                    <w:rFonts w:ascii="Arial" w:hAnsi="Arial" w:cs="Arial"/>
                  </w:rPr>
                  <w:t>)</w:t>
                </w:r>
              </w:p>
            </w:tc>
            <w:tc>
              <w:tcPr>
                <w:tcW w:w="992" w:type="dxa"/>
              </w:tcPr>
              <w:p w14:paraId="3E99894F" w14:textId="47741E54" w:rsidR="008F4B79" w:rsidRDefault="008F4B79" w:rsidP="00097CA9">
                <w:pPr>
                  <w:jc w:val="center"/>
                  <w:rPr>
                    <w:rFonts w:ascii="Arial" w:hAnsi="Arial" w:cs="Arial"/>
                  </w:rPr>
                </w:pPr>
                <w:r>
                  <w:rPr>
                    <w:rFonts w:ascii="Arial" w:hAnsi="Arial" w:cs="Arial"/>
                  </w:rPr>
                  <w:t>(</w:t>
                </w:r>
                <w:r w:rsidR="00FF60CB">
                  <w:rPr>
                    <w:rFonts w:ascii="Arial" w:hAnsi="Arial" w:cs="Arial"/>
                  </w:rPr>
                  <w:t>4</w:t>
                </w:r>
                <w:r>
                  <w:rPr>
                    <w:rFonts w:ascii="Arial" w:hAnsi="Arial" w:cs="Arial"/>
                  </w:rPr>
                  <w:t>)</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59E2CFA7" w:rsidR="008F4B79" w:rsidRDefault="008F4B79" w:rsidP="00097CA9">
                <w:pPr>
                  <w:jc w:val="center"/>
                  <w:rPr>
                    <w:rFonts w:ascii="Arial" w:hAnsi="Arial" w:cs="Arial"/>
                  </w:rPr>
                </w:pPr>
                <w:r>
                  <w:rPr>
                    <w:rFonts w:ascii="Arial" w:hAnsi="Arial" w:cs="Arial"/>
                  </w:rPr>
                  <w:t>(</w:t>
                </w:r>
                <w:r w:rsidR="00BE2B58">
                  <w:rPr>
                    <w:rFonts w:ascii="Arial" w:hAnsi="Arial" w:cs="Arial"/>
                  </w:rPr>
                  <w:t>5</w:t>
                </w:r>
                <w:r>
                  <w:rPr>
                    <w:rFonts w:ascii="Arial" w:hAnsi="Arial" w:cs="Arial"/>
                  </w:rPr>
                  <w:t>)</w:t>
                </w:r>
              </w:p>
            </w:tc>
            <w:tc>
              <w:tcPr>
                <w:tcW w:w="992" w:type="dxa"/>
              </w:tcPr>
              <w:p w14:paraId="4505E924" w14:textId="1649D05D" w:rsidR="008F4B79" w:rsidRDefault="008F4B79" w:rsidP="00097CA9">
                <w:pPr>
                  <w:jc w:val="center"/>
                  <w:rPr>
                    <w:rFonts w:ascii="Arial" w:hAnsi="Arial" w:cs="Arial"/>
                  </w:rPr>
                </w:pPr>
                <w:r>
                  <w:rPr>
                    <w:rFonts w:ascii="Arial" w:hAnsi="Arial" w:cs="Arial"/>
                  </w:rPr>
                  <w:t>(</w:t>
                </w:r>
                <w:r w:rsidR="00BE2B58">
                  <w:rPr>
                    <w:rFonts w:ascii="Arial" w:hAnsi="Arial" w:cs="Arial"/>
                  </w:rPr>
                  <w:t>6</w:t>
                </w:r>
                <w:r>
                  <w:rPr>
                    <w:rFonts w:ascii="Arial" w:hAnsi="Arial" w:cs="Arial"/>
                  </w:rPr>
                  <w:t>)</w:t>
                </w:r>
              </w:p>
            </w:tc>
            <w:tc>
              <w:tcPr>
                <w:tcW w:w="993" w:type="dxa"/>
              </w:tcPr>
              <w:p w14:paraId="0ECDD2D6" w14:textId="4A31930E" w:rsidR="008F4B79" w:rsidRDefault="008F4B79" w:rsidP="00097CA9">
                <w:pPr>
                  <w:jc w:val="center"/>
                  <w:rPr>
                    <w:rFonts w:ascii="Arial" w:hAnsi="Arial" w:cs="Arial"/>
                  </w:rPr>
                </w:pPr>
                <w:r>
                  <w:rPr>
                    <w:rFonts w:ascii="Arial" w:hAnsi="Arial" w:cs="Arial"/>
                  </w:rPr>
                  <w:t>(</w:t>
                </w:r>
                <w:r w:rsidR="00BE2B58">
                  <w:rPr>
                    <w:rFonts w:ascii="Arial" w:hAnsi="Arial" w:cs="Arial"/>
                  </w:rPr>
                  <w:t>7</w:t>
                </w:r>
                <w:r>
                  <w:rPr>
                    <w:rFonts w:ascii="Arial" w:hAnsi="Arial" w:cs="Arial"/>
                  </w:rPr>
                  <w:t>)</w:t>
                </w:r>
              </w:p>
            </w:tc>
            <w:tc>
              <w:tcPr>
                <w:tcW w:w="992" w:type="dxa"/>
              </w:tcPr>
              <w:p w14:paraId="091E1D88" w14:textId="3B8C9A0C" w:rsidR="008F4B79" w:rsidRDefault="008F4B79" w:rsidP="00097CA9">
                <w:pPr>
                  <w:jc w:val="center"/>
                  <w:rPr>
                    <w:rFonts w:ascii="Arial" w:hAnsi="Arial" w:cs="Arial"/>
                  </w:rPr>
                </w:pPr>
                <w:r>
                  <w:rPr>
                    <w:rFonts w:ascii="Arial" w:hAnsi="Arial" w:cs="Arial"/>
                  </w:rPr>
                  <w:t>(</w:t>
                </w:r>
                <w:r w:rsidR="00BE2B58">
                  <w:rPr>
                    <w:rFonts w:ascii="Arial" w:hAnsi="Arial" w:cs="Arial"/>
                  </w:rPr>
                  <w:t>8</w:t>
                </w:r>
                <w:r>
                  <w:rPr>
                    <w:rFonts w:ascii="Arial" w:hAnsi="Arial" w:cs="Arial"/>
                  </w:rPr>
                  <w:t>)</w:t>
                </w:r>
              </w:p>
            </w:tc>
            <w:tc>
              <w:tcPr>
                <w:tcW w:w="992" w:type="dxa"/>
              </w:tcPr>
              <w:p w14:paraId="635FB050" w14:textId="0F91E03F" w:rsidR="008F4B79" w:rsidRDefault="008F4B79" w:rsidP="00097CA9">
                <w:pPr>
                  <w:jc w:val="center"/>
                  <w:rPr>
                    <w:rFonts w:ascii="Arial" w:hAnsi="Arial" w:cs="Arial"/>
                  </w:rPr>
                </w:pPr>
                <w:r>
                  <w:rPr>
                    <w:rFonts w:ascii="Arial" w:hAnsi="Arial" w:cs="Arial"/>
                  </w:rPr>
                  <w:t>(</w:t>
                </w:r>
                <w:r w:rsidR="00BE2B58">
                  <w:rPr>
                    <w:rFonts w:ascii="Arial" w:hAnsi="Arial" w:cs="Arial"/>
                  </w:rPr>
                  <w:t>9</w:t>
                </w:r>
                <w:r>
                  <w:rPr>
                    <w:rFonts w:ascii="Arial" w:hAnsi="Arial" w:cs="Arial"/>
                  </w:rPr>
                  <w:t>)</w:t>
                </w:r>
              </w:p>
            </w:tc>
            <w:tc>
              <w:tcPr>
                <w:tcW w:w="992" w:type="dxa"/>
              </w:tcPr>
              <w:p w14:paraId="68FBD8F5" w14:textId="6C2C7C56" w:rsidR="008F4B79" w:rsidRDefault="008F4B79" w:rsidP="00097CA9">
                <w:pPr>
                  <w:jc w:val="center"/>
                  <w:rPr>
                    <w:rFonts w:ascii="Arial" w:hAnsi="Arial" w:cs="Arial"/>
                  </w:rPr>
                </w:pPr>
                <w:r>
                  <w:rPr>
                    <w:rFonts w:ascii="Arial" w:hAnsi="Arial" w:cs="Arial"/>
                  </w:rPr>
                  <w:t>(</w:t>
                </w:r>
                <w:r w:rsidR="00BE2B58">
                  <w:rPr>
                    <w:rFonts w:ascii="Arial" w:hAnsi="Arial" w:cs="Arial"/>
                  </w:rPr>
                  <w:t>6</w:t>
                </w:r>
                <w:r>
                  <w:rPr>
                    <w:rFonts w:ascii="Arial" w:hAnsi="Arial" w:cs="Arial"/>
                  </w:rPr>
                  <w:t>)</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0A5265FB" w:rsidR="008F4B79" w:rsidRDefault="008F4B79" w:rsidP="00097CA9">
                <w:pPr>
                  <w:jc w:val="center"/>
                  <w:rPr>
                    <w:rFonts w:ascii="Arial" w:hAnsi="Arial" w:cs="Arial"/>
                  </w:rPr>
                </w:pPr>
                <w:r>
                  <w:rPr>
                    <w:rFonts w:ascii="Arial" w:hAnsi="Arial" w:cs="Arial"/>
                  </w:rPr>
                  <w:t>(</w:t>
                </w:r>
                <w:r w:rsidR="00BE2B58">
                  <w:rPr>
                    <w:rFonts w:ascii="Arial" w:hAnsi="Arial" w:cs="Arial"/>
                  </w:rPr>
                  <w:t>15</w:t>
                </w:r>
                <w:r>
                  <w:rPr>
                    <w:rFonts w:ascii="Arial" w:hAnsi="Arial" w:cs="Arial"/>
                  </w:rPr>
                  <w:t>)</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20A5ABB4"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2" w:type="dxa"/>
              </w:tcPr>
              <w:p w14:paraId="26B80DA6" w14:textId="00D22FB5"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3" w:type="dxa"/>
              </w:tcPr>
              <w:p w14:paraId="7DF05DDC" w14:textId="3FDAB1F6"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2" w:type="dxa"/>
              </w:tcPr>
              <w:p w14:paraId="094DC8D8" w14:textId="78E81930"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2" w:type="dxa"/>
              </w:tcPr>
              <w:p w14:paraId="081ECD21" w14:textId="488CDC77"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2" w:type="dxa"/>
              </w:tcPr>
              <w:p w14:paraId="20B0297B" w14:textId="089408D3"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2D1ABA18" w14:textId="2EF85367"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BE2B58">
                  <w:rPr>
                    <w:rFonts w:ascii="Arial" w:hAnsi="Arial" w:cs="Arial"/>
                    <w:u w:val="single"/>
                  </w:rPr>
                  <w:t>12</w:t>
                </w:r>
                <w:r w:rsidRPr="007A65C7">
                  <w:rPr>
                    <w:rFonts w:ascii="Arial" w:hAnsi="Arial" w:cs="Arial"/>
                    <w:u w:val="single"/>
                  </w:rPr>
                  <w:t>)</w:t>
                </w:r>
              </w:p>
            </w:tc>
            <w:tc>
              <w:tcPr>
                <w:tcW w:w="993" w:type="dxa"/>
              </w:tcPr>
              <w:p w14:paraId="7561F86B" w14:textId="091A9A2B"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BE2B58">
                  <w:rPr>
                    <w:rFonts w:ascii="Arial" w:hAnsi="Arial" w:cs="Arial"/>
                    <w:u w:val="single"/>
                  </w:rPr>
                  <w:t>10</w:t>
                </w:r>
                <w:r w:rsidRPr="007A65C7">
                  <w:rPr>
                    <w:rFonts w:ascii="Arial" w:hAnsi="Arial" w:cs="Arial"/>
                    <w:u w:val="single"/>
                  </w:rPr>
                  <w:t>)</w:t>
                </w:r>
              </w:p>
            </w:tc>
            <w:tc>
              <w:tcPr>
                <w:tcW w:w="992" w:type="dxa"/>
              </w:tcPr>
              <w:p w14:paraId="4A840892" w14:textId="4BE0BB3A"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BE2B58">
                  <w:rPr>
                    <w:rFonts w:ascii="Arial" w:hAnsi="Arial" w:cs="Arial"/>
                    <w:u w:val="single"/>
                  </w:rPr>
                  <w:t>14</w:t>
                </w:r>
                <w:r w:rsidRPr="007A65C7">
                  <w:rPr>
                    <w:rFonts w:ascii="Arial" w:hAnsi="Arial" w:cs="Arial"/>
                    <w:u w:val="single"/>
                  </w:rPr>
                  <w:t>)</w:t>
                </w:r>
                <w:r w:rsidR="00BE2B58">
                  <w:rPr>
                    <w:rFonts w:ascii="Arial" w:hAnsi="Arial" w:cs="Arial"/>
                    <w:u w:val="single"/>
                  </w:rPr>
                  <w:t xml:space="preserve">  </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0F5F05F7" w:rsidR="008F4B79" w:rsidRDefault="00995AFA" w:rsidP="00097CA9">
                <w:pPr>
                  <w:jc w:val="center"/>
                  <w:rPr>
                    <w:rFonts w:ascii="Arial" w:hAnsi="Arial" w:cs="Arial"/>
                  </w:rPr>
                </w:pPr>
                <w:r>
                  <w:rPr>
                    <w:rFonts w:ascii="Arial" w:hAnsi="Arial" w:cs="Arial"/>
                  </w:rPr>
                  <w:t>1</w:t>
                </w:r>
                <w:r w:rsidR="008F4B79">
                  <w:rPr>
                    <w:rFonts w:ascii="Arial" w:hAnsi="Arial" w:cs="Arial"/>
                  </w:rPr>
                  <w:t xml:space="preserve"> </w:t>
                </w:r>
              </w:p>
            </w:tc>
            <w:tc>
              <w:tcPr>
                <w:tcW w:w="992" w:type="dxa"/>
              </w:tcPr>
              <w:p w14:paraId="68F74097" w14:textId="5254D702" w:rsidR="008F4B79" w:rsidRDefault="00995AFA" w:rsidP="00097CA9">
                <w:pPr>
                  <w:jc w:val="center"/>
                  <w:rPr>
                    <w:rFonts w:ascii="Arial" w:hAnsi="Arial" w:cs="Arial"/>
                  </w:rPr>
                </w:pPr>
                <w:r>
                  <w:rPr>
                    <w:rFonts w:ascii="Arial" w:hAnsi="Arial" w:cs="Arial"/>
                  </w:rPr>
                  <w:t>47</w:t>
                </w:r>
                <w:r w:rsidR="008F4B79">
                  <w:rPr>
                    <w:rFonts w:ascii="Arial" w:hAnsi="Arial" w:cs="Arial"/>
                  </w:rPr>
                  <w:t xml:space="preserve"> </w:t>
                </w:r>
              </w:p>
            </w:tc>
            <w:tc>
              <w:tcPr>
                <w:tcW w:w="993" w:type="dxa"/>
              </w:tcPr>
              <w:p w14:paraId="7075DF1B" w14:textId="62CF39A9" w:rsidR="008F4B79" w:rsidRDefault="00995AFA" w:rsidP="00097CA9">
                <w:pPr>
                  <w:jc w:val="center"/>
                  <w:rPr>
                    <w:rFonts w:ascii="Arial" w:hAnsi="Arial" w:cs="Arial"/>
                  </w:rPr>
                </w:pPr>
                <w:r>
                  <w:rPr>
                    <w:rFonts w:ascii="Arial" w:hAnsi="Arial" w:cs="Arial"/>
                  </w:rPr>
                  <w:t>(28)</w:t>
                </w:r>
                <w:r w:rsidR="008F4B79">
                  <w:rPr>
                    <w:rFonts w:ascii="Arial" w:hAnsi="Arial" w:cs="Arial"/>
                  </w:rPr>
                  <w:t xml:space="preserve"> </w:t>
                </w:r>
              </w:p>
            </w:tc>
            <w:tc>
              <w:tcPr>
                <w:tcW w:w="992" w:type="dxa"/>
              </w:tcPr>
              <w:p w14:paraId="74FD117B" w14:textId="18244FC5" w:rsidR="008F4B79" w:rsidRDefault="008F4B79" w:rsidP="00097CA9">
                <w:pPr>
                  <w:jc w:val="center"/>
                  <w:rPr>
                    <w:rFonts w:ascii="Arial" w:hAnsi="Arial" w:cs="Arial"/>
                  </w:rPr>
                </w:pPr>
                <w:r>
                  <w:rPr>
                    <w:rFonts w:ascii="Arial" w:hAnsi="Arial" w:cs="Arial"/>
                  </w:rPr>
                  <w:t xml:space="preserve"> </w:t>
                </w:r>
                <w:r w:rsidR="00995AFA">
                  <w:rPr>
                    <w:rFonts w:ascii="Arial" w:hAnsi="Arial" w:cs="Arial"/>
                  </w:rPr>
                  <w:t>(19)</w:t>
                </w:r>
              </w:p>
            </w:tc>
            <w:tc>
              <w:tcPr>
                <w:tcW w:w="992" w:type="dxa"/>
              </w:tcPr>
              <w:p w14:paraId="2B94937F" w14:textId="750E8CDE" w:rsidR="008F4B79" w:rsidRDefault="00995AFA" w:rsidP="00097CA9">
                <w:pPr>
                  <w:jc w:val="center"/>
                  <w:rPr>
                    <w:rFonts w:ascii="Arial" w:hAnsi="Arial" w:cs="Arial"/>
                  </w:rPr>
                </w:pPr>
                <w:r>
                  <w:rPr>
                    <w:rFonts w:ascii="Arial" w:hAnsi="Arial" w:cs="Arial"/>
                  </w:rPr>
                  <w:t>33</w:t>
                </w:r>
                <w:r w:rsidR="008F4B79">
                  <w:rPr>
                    <w:rFonts w:ascii="Arial" w:hAnsi="Arial" w:cs="Arial"/>
                  </w:rPr>
                  <w:t xml:space="preserve"> </w:t>
                </w:r>
              </w:p>
            </w:tc>
            <w:tc>
              <w:tcPr>
                <w:tcW w:w="992" w:type="dxa"/>
              </w:tcPr>
              <w:p w14:paraId="7DEB33B1" w14:textId="717D6CB8" w:rsidR="008F4B79" w:rsidRDefault="00995AFA" w:rsidP="00097CA9">
                <w:pPr>
                  <w:jc w:val="center"/>
                  <w:rPr>
                    <w:rFonts w:ascii="Arial" w:hAnsi="Arial" w:cs="Arial"/>
                  </w:rPr>
                </w:pPr>
                <w:r>
                  <w:rPr>
                    <w:rFonts w:ascii="Arial" w:hAnsi="Arial" w:cs="Arial"/>
                  </w:rPr>
                  <w:t>15</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1AAB98C3" w:rsidR="008F4B79" w:rsidRPr="007A65C7" w:rsidRDefault="00995AFA" w:rsidP="00097CA9">
                <w:pPr>
                  <w:jc w:val="center"/>
                  <w:rPr>
                    <w:rFonts w:ascii="Arial" w:hAnsi="Arial" w:cs="Arial"/>
                    <w:u w:val="single"/>
                  </w:rPr>
                </w:pPr>
                <w:r>
                  <w:rPr>
                    <w:rFonts w:ascii="Arial" w:hAnsi="Arial" w:cs="Arial"/>
                    <w:u w:val="single"/>
                  </w:rPr>
                  <w:t>(25)</w:t>
                </w:r>
                <w:r w:rsidR="008F4B79">
                  <w:rPr>
                    <w:rFonts w:ascii="Arial" w:hAnsi="Arial" w:cs="Arial"/>
                    <w:u w:val="single"/>
                  </w:rPr>
                  <w:t xml:space="preserve"> </w:t>
                </w:r>
              </w:p>
            </w:tc>
            <w:tc>
              <w:tcPr>
                <w:tcW w:w="992" w:type="dxa"/>
              </w:tcPr>
              <w:p w14:paraId="26255FCA" w14:textId="3B010CD4" w:rsidR="008F4B79" w:rsidRPr="007A65C7" w:rsidRDefault="00707F9E" w:rsidP="00097CA9">
                <w:pPr>
                  <w:jc w:val="center"/>
                  <w:rPr>
                    <w:rFonts w:ascii="Arial" w:hAnsi="Arial" w:cs="Arial"/>
                    <w:u w:val="single"/>
                  </w:rPr>
                </w:pPr>
                <w:r>
                  <w:rPr>
                    <w:rFonts w:ascii="Arial" w:hAnsi="Arial" w:cs="Arial"/>
                    <w:u w:val="single"/>
                  </w:rPr>
                  <w:t>(24)</w:t>
                </w:r>
                <w:r w:rsidR="008F4B79">
                  <w:rPr>
                    <w:rFonts w:ascii="Arial" w:hAnsi="Arial" w:cs="Arial"/>
                    <w:u w:val="single"/>
                  </w:rPr>
                  <w:t xml:space="preserve"> </w:t>
                </w:r>
              </w:p>
            </w:tc>
            <w:tc>
              <w:tcPr>
                <w:tcW w:w="993" w:type="dxa"/>
              </w:tcPr>
              <w:p w14:paraId="02D8836E" w14:textId="70B89152" w:rsidR="008F4B79" w:rsidRPr="007A65C7" w:rsidRDefault="008F4B79" w:rsidP="00097CA9">
                <w:pPr>
                  <w:jc w:val="center"/>
                  <w:rPr>
                    <w:rFonts w:ascii="Arial" w:hAnsi="Arial" w:cs="Arial"/>
                    <w:u w:val="single"/>
                  </w:rPr>
                </w:pPr>
                <w:r>
                  <w:rPr>
                    <w:rFonts w:ascii="Arial" w:hAnsi="Arial" w:cs="Arial"/>
                    <w:u w:val="single"/>
                  </w:rPr>
                  <w:t xml:space="preserve"> </w:t>
                </w:r>
                <w:r w:rsidR="00707F9E">
                  <w:rPr>
                    <w:rFonts w:ascii="Arial" w:hAnsi="Arial" w:cs="Arial"/>
                    <w:u w:val="single"/>
                  </w:rPr>
                  <w:t>23</w:t>
                </w:r>
              </w:p>
            </w:tc>
            <w:tc>
              <w:tcPr>
                <w:tcW w:w="992" w:type="dxa"/>
              </w:tcPr>
              <w:p w14:paraId="4736CB88" w14:textId="5805F742" w:rsidR="008F4B79" w:rsidRPr="007A65C7" w:rsidRDefault="00613F14" w:rsidP="00097CA9">
                <w:pPr>
                  <w:jc w:val="center"/>
                  <w:rPr>
                    <w:rFonts w:ascii="Arial" w:hAnsi="Arial" w:cs="Arial"/>
                    <w:u w:val="single"/>
                  </w:rPr>
                </w:pPr>
                <w:r>
                  <w:rPr>
                    <w:rFonts w:ascii="Arial" w:hAnsi="Arial" w:cs="Arial"/>
                    <w:u w:val="single"/>
                  </w:rPr>
                  <w:t>(</w:t>
                </w:r>
                <w:r w:rsidR="00707F9E">
                  <w:rPr>
                    <w:rFonts w:ascii="Arial" w:hAnsi="Arial" w:cs="Arial"/>
                    <w:u w:val="single"/>
                  </w:rPr>
                  <w:t>5</w:t>
                </w:r>
                <w:r>
                  <w:rPr>
                    <w:rFonts w:ascii="Arial" w:hAnsi="Arial" w:cs="Arial"/>
                    <w:u w:val="single"/>
                  </w:rPr>
                  <w:t>)</w:t>
                </w:r>
                <w:r w:rsidR="008F4B79">
                  <w:rPr>
                    <w:rFonts w:ascii="Arial" w:hAnsi="Arial" w:cs="Arial"/>
                    <w:u w:val="single"/>
                  </w:rPr>
                  <w:t xml:space="preserve"> </w:t>
                </w:r>
              </w:p>
            </w:tc>
            <w:tc>
              <w:tcPr>
                <w:tcW w:w="992" w:type="dxa"/>
              </w:tcPr>
              <w:p w14:paraId="1C2AFF92" w14:textId="01241F86" w:rsidR="008F4B79" w:rsidRPr="007A65C7" w:rsidRDefault="00707F9E" w:rsidP="00097CA9">
                <w:pPr>
                  <w:jc w:val="center"/>
                  <w:rPr>
                    <w:rFonts w:ascii="Arial" w:hAnsi="Arial" w:cs="Arial"/>
                    <w:u w:val="single"/>
                  </w:rPr>
                </w:pPr>
                <w:r>
                  <w:rPr>
                    <w:rFonts w:ascii="Arial" w:hAnsi="Arial" w:cs="Arial"/>
                    <w:u w:val="single"/>
                  </w:rPr>
                  <w:t>(14)</w:t>
                </w:r>
                <w:r w:rsidR="008F4B79">
                  <w:rPr>
                    <w:rFonts w:ascii="Arial" w:hAnsi="Arial" w:cs="Arial"/>
                    <w:u w:val="single"/>
                  </w:rPr>
                  <w:t xml:space="preserve"> </w:t>
                </w:r>
              </w:p>
            </w:tc>
            <w:tc>
              <w:tcPr>
                <w:tcW w:w="992" w:type="dxa"/>
              </w:tcPr>
              <w:p w14:paraId="389B4261" w14:textId="13C2B73B" w:rsidR="008F4B79" w:rsidRPr="007A65C7" w:rsidRDefault="00613F14" w:rsidP="00097CA9">
                <w:pPr>
                  <w:jc w:val="center"/>
                  <w:rPr>
                    <w:rFonts w:ascii="Arial" w:hAnsi="Arial" w:cs="Arial"/>
                    <w:u w:val="single"/>
                  </w:rPr>
                </w:pPr>
                <w:r>
                  <w:rPr>
                    <w:rFonts w:ascii="Arial" w:hAnsi="Arial" w:cs="Arial"/>
                    <w:u w:val="single"/>
                  </w:rPr>
                  <w:t>19</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39458C8B" w:rsidR="008F4B79" w:rsidRPr="007A65C7" w:rsidRDefault="00707F9E" w:rsidP="00097CA9">
                <w:pPr>
                  <w:jc w:val="center"/>
                  <w:rPr>
                    <w:rFonts w:ascii="Arial" w:hAnsi="Arial" w:cs="Arial"/>
                  </w:rPr>
                </w:pPr>
                <w:r>
                  <w:rPr>
                    <w:rFonts w:ascii="Arial" w:hAnsi="Arial" w:cs="Arial"/>
                  </w:rPr>
                  <w:t>(24)</w:t>
                </w:r>
                <w:r w:rsidR="008F4B79">
                  <w:rPr>
                    <w:rFonts w:ascii="Arial" w:hAnsi="Arial" w:cs="Arial"/>
                  </w:rPr>
                  <w:t xml:space="preserve"> </w:t>
                </w:r>
              </w:p>
            </w:tc>
            <w:tc>
              <w:tcPr>
                <w:tcW w:w="992" w:type="dxa"/>
              </w:tcPr>
              <w:p w14:paraId="1DFCB9F8" w14:textId="25468F19" w:rsidR="008F4B79" w:rsidRPr="007A65C7" w:rsidRDefault="00707F9E" w:rsidP="00097CA9">
                <w:pPr>
                  <w:jc w:val="center"/>
                  <w:rPr>
                    <w:rFonts w:ascii="Arial" w:hAnsi="Arial" w:cs="Arial"/>
                  </w:rPr>
                </w:pPr>
                <w:r>
                  <w:rPr>
                    <w:rFonts w:ascii="Arial" w:hAnsi="Arial" w:cs="Arial"/>
                  </w:rPr>
                  <w:t>23</w:t>
                </w:r>
                <w:r w:rsidR="008F4B79">
                  <w:rPr>
                    <w:rFonts w:ascii="Arial" w:hAnsi="Arial" w:cs="Arial"/>
                  </w:rPr>
                  <w:t xml:space="preserve"> </w:t>
                </w:r>
              </w:p>
            </w:tc>
            <w:tc>
              <w:tcPr>
                <w:tcW w:w="993" w:type="dxa"/>
              </w:tcPr>
              <w:p w14:paraId="03772FA5" w14:textId="6BC0EEAD" w:rsidR="008F4B79" w:rsidRPr="007A65C7" w:rsidRDefault="00613F14" w:rsidP="00097CA9">
                <w:pPr>
                  <w:jc w:val="center"/>
                  <w:rPr>
                    <w:rFonts w:ascii="Arial" w:hAnsi="Arial" w:cs="Arial"/>
                  </w:rPr>
                </w:pPr>
                <w:r>
                  <w:rPr>
                    <w:rFonts w:ascii="Arial" w:hAnsi="Arial" w:cs="Arial"/>
                  </w:rPr>
                  <w:t>(</w:t>
                </w:r>
                <w:r w:rsidR="00707F9E">
                  <w:rPr>
                    <w:rFonts w:ascii="Arial" w:hAnsi="Arial" w:cs="Arial"/>
                  </w:rPr>
                  <w:t>5</w:t>
                </w:r>
                <w:r>
                  <w:rPr>
                    <w:rFonts w:ascii="Arial" w:hAnsi="Arial" w:cs="Arial"/>
                  </w:rPr>
                  <w:t>)</w:t>
                </w:r>
                <w:r w:rsidR="008F4B79">
                  <w:rPr>
                    <w:rFonts w:ascii="Arial" w:hAnsi="Arial" w:cs="Arial"/>
                  </w:rPr>
                  <w:t xml:space="preserve"> </w:t>
                </w:r>
              </w:p>
            </w:tc>
            <w:tc>
              <w:tcPr>
                <w:tcW w:w="992" w:type="dxa"/>
              </w:tcPr>
              <w:p w14:paraId="0E6B8A89" w14:textId="03EA421A" w:rsidR="008F4B79" w:rsidRPr="007A65C7" w:rsidRDefault="00707F9E" w:rsidP="00097CA9">
                <w:pPr>
                  <w:jc w:val="center"/>
                  <w:rPr>
                    <w:rFonts w:ascii="Arial" w:hAnsi="Arial" w:cs="Arial"/>
                  </w:rPr>
                </w:pPr>
                <w:r>
                  <w:rPr>
                    <w:rFonts w:ascii="Arial" w:hAnsi="Arial" w:cs="Arial"/>
                  </w:rPr>
                  <w:t>(14)</w:t>
                </w:r>
                <w:r w:rsidR="008F4B79">
                  <w:rPr>
                    <w:rFonts w:ascii="Arial" w:hAnsi="Arial" w:cs="Arial"/>
                  </w:rPr>
                  <w:t xml:space="preserve"> </w:t>
                </w:r>
              </w:p>
            </w:tc>
            <w:tc>
              <w:tcPr>
                <w:tcW w:w="992" w:type="dxa"/>
              </w:tcPr>
              <w:p w14:paraId="4EAE6915" w14:textId="036F6047" w:rsidR="008F4B79" w:rsidRPr="007A65C7" w:rsidRDefault="00707F9E" w:rsidP="00097CA9">
                <w:pPr>
                  <w:jc w:val="center"/>
                  <w:rPr>
                    <w:rFonts w:ascii="Arial" w:hAnsi="Arial" w:cs="Arial"/>
                  </w:rPr>
                </w:pPr>
                <w:r>
                  <w:rPr>
                    <w:rFonts w:ascii="Arial" w:hAnsi="Arial" w:cs="Arial"/>
                  </w:rPr>
                  <w:t>19</w:t>
                </w:r>
                <w:r w:rsidR="008F4B79">
                  <w:rPr>
                    <w:rFonts w:ascii="Arial" w:hAnsi="Arial" w:cs="Arial"/>
                  </w:rPr>
                  <w:t xml:space="preserve"> </w:t>
                </w:r>
              </w:p>
            </w:tc>
            <w:tc>
              <w:tcPr>
                <w:tcW w:w="992" w:type="dxa"/>
              </w:tcPr>
              <w:p w14:paraId="14023721" w14:textId="290E9B7A" w:rsidR="008F4B79" w:rsidRPr="007A65C7" w:rsidRDefault="00613F14" w:rsidP="00097CA9">
                <w:pPr>
                  <w:jc w:val="center"/>
                  <w:rPr>
                    <w:rFonts w:ascii="Arial" w:hAnsi="Arial" w:cs="Arial"/>
                  </w:rPr>
                </w:pPr>
                <w:r>
                  <w:rPr>
                    <w:rFonts w:ascii="Arial" w:hAnsi="Arial" w:cs="Arial"/>
                  </w:rPr>
                  <w:t>34</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2E2FCEEE" w:rsidR="008F4B79" w:rsidRDefault="00082ABC" w:rsidP="00097CA9">
                <w:pPr>
                  <w:jc w:val="right"/>
                  <w:rPr>
                    <w:rFonts w:ascii="Arial" w:hAnsi="Arial" w:cs="Arial"/>
                  </w:rPr>
                </w:pPr>
                <w:r>
                  <w:rPr>
                    <w:rFonts w:ascii="Arial" w:hAnsi="Arial" w:cs="Arial"/>
                  </w:rPr>
                  <w:t>1,350</w:t>
                </w:r>
                <w:r w:rsidR="008F4B79">
                  <w:rPr>
                    <w:rFonts w:ascii="Arial" w:hAnsi="Arial" w:cs="Arial"/>
                  </w:rPr>
                  <w:t xml:space="preserve"> </w:t>
                </w:r>
              </w:p>
            </w:tc>
            <w:tc>
              <w:tcPr>
                <w:tcW w:w="3544" w:type="dxa"/>
              </w:tcPr>
              <w:p w14:paraId="25687ABE" w14:textId="374D317F" w:rsidR="008F4B79" w:rsidRDefault="00082ABC" w:rsidP="00097CA9">
                <w:pPr>
                  <w:rPr>
                    <w:rFonts w:ascii="Arial" w:hAnsi="Arial" w:cs="Arial"/>
                  </w:rPr>
                </w:pPr>
                <w:r>
                  <w:rPr>
                    <w:rFonts w:ascii="Arial" w:hAnsi="Arial" w:cs="Arial"/>
                  </w:rPr>
                  <w:t>200+240+210+220+230+250</w:t>
                </w:r>
                <w:r w:rsidR="008F4B79">
                  <w:rPr>
                    <w:rFonts w:ascii="Arial" w:hAnsi="Arial" w:cs="Arial"/>
                  </w:rPr>
                  <w:t xml:space="preserve"> </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31E5CB45" w:rsidR="008F4B79" w:rsidRPr="00F71675" w:rsidRDefault="008F4B79" w:rsidP="00097CA9">
                <w:pPr>
                  <w:jc w:val="right"/>
                  <w:rPr>
                    <w:rFonts w:ascii="Arial" w:hAnsi="Arial" w:cs="Arial"/>
                    <w:u w:val="single"/>
                  </w:rPr>
                </w:pPr>
                <w:r w:rsidRPr="00F71675">
                  <w:rPr>
                    <w:rFonts w:ascii="Arial" w:hAnsi="Arial" w:cs="Arial"/>
                    <w:u w:val="single"/>
                  </w:rPr>
                  <w:t>(</w:t>
                </w:r>
                <w:r w:rsidR="00082ABC">
                  <w:rPr>
                    <w:rFonts w:ascii="Arial" w:hAnsi="Arial" w:cs="Arial"/>
                    <w:u w:val="single"/>
                  </w:rPr>
                  <w:t>878</w:t>
                </w:r>
                <w:r w:rsidRPr="00F71675">
                  <w:rPr>
                    <w:rFonts w:ascii="Arial" w:hAnsi="Arial" w:cs="Arial"/>
                    <w:u w:val="single"/>
                  </w:rPr>
                  <w:t>)</w:t>
                </w:r>
              </w:p>
            </w:tc>
            <w:tc>
              <w:tcPr>
                <w:tcW w:w="3544" w:type="dxa"/>
              </w:tcPr>
              <w:p w14:paraId="42F2775D" w14:textId="51609DB1" w:rsidR="008F4B79" w:rsidRPr="00010117" w:rsidRDefault="00B64298" w:rsidP="00097CA9">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1,350</w:t>
                </w:r>
                <w:r w:rsidR="00082ABC">
                  <w:rPr>
                    <w:rFonts w:ascii="Arial" w:hAnsi="Arial" w:cs="Arial"/>
                  </w:rPr>
                  <w:t>x65%</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585CB5D4" w:rsidR="008F4B79" w:rsidRDefault="00082ABC" w:rsidP="00097CA9">
                <w:pPr>
                  <w:jc w:val="right"/>
                  <w:rPr>
                    <w:rFonts w:ascii="Arial" w:hAnsi="Arial" w:cs="Arial"/>
                  </w:rPr>
                </w:pPr>
                <w:r>
                  <w:rPr>
                    <w:rFonts w:ascii="Arial" w:hAnsi="Arial" w:cs="Arial"/>
                  </w:rPr>
                  <w:t xml:space="preserve">473  </w:t>
                </w:r>
                <w:r w:rsidR="008F4B79">
                  <w:rPr>
                    <w:rFonts w:ascii="Arial" w:hAnsi="Arial" w:cs="Arial"/>
                  </w:rPr>
                  <w:t xml:space="preserve"> </w:t>
                </w:r>
              </w:p>
            </w:tc>
            <w:tc>
              <w:tcPr>
                <w:tcW w:w="3544" w:type="dxa"/>
              </w:tcPr>
              <w:p w14:paraId="7B851978" w14:textId="42E046BF" w:rsidR="008F4B79" w:rsidRDefault="008F4B79" w:rsidP="00097CA9">
                <w:pPr>
                  <w:rPr>
                    <w:rFonts w:ascii="Arial" w:hAnsi="Arial" w:cs="Arial"/>
                  </w:rPr>
                </w:pPr>
                <w:r>
                  <w:rPr>
                    <w:rFonts w:ascii="Arial" w:hAnsi="Arial" w:cs="Arial"/>
                  </w:rPr>
                  <w:t xml:space="preserve"> </w:t>
                </w:r>
                <w:r w:rsidR="00082ABC">
                  <w:rPr>
                    <w:rFonts w:ascii="Arial" w:hAnsi="Arial" w:cs="Arial"/>
                  </w:rPr>
                  <w:t>35% X 1,350</w:t>
                </w: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7CD55D7D" w:rsidR="008F4B79" w:rsidRDefault="008F4B79" w:rsidP="00097CA9">
                <w:pPr>
                  <w:jc w:val="right"/>
                  <w:rPr>
                    <w:rFonts w:ascii="Arial" w:hAnsi="Arial" w:cs="Arial"/>
                  </w:rPr>
                </w:pPr>
                <w:r>
                  <w:rPr>
                    <w:rFonts w:ascii="Arial" w:hAnsi="Arial" w:cs="Arial"/>
                  </w:rPr>
                  <w:t>(</w:t>
                </w:r>
                <w:r w:rsidR="003D655D">
                  <w:rPr>
                    <w:rFonts w:ascii="Arial" w:hAnsi="Arial" w:cs="Arial"/>
                  </w:rPr>
                  <w:t>43</w:t>
                </w:r>
                <w:r>
                  <w:rPr>
                    <w:rFonts w:ascii="Arial" w:hAnsi="Arial" w:cs="Arial"/>
                  </w:rPr>
                  <w:t>)</w:t>
                </w:r>
              </w:p>
            </w:tc>
            <w:tc>
              <w:tcPr>
                <w:tcW w:w="3544" w:type="dxa"/>
              </w:tcPr>
              <w:p w14:paraId="5A2B35F0" w14:textId="2D0F1960" w:rsidR="008F4B79" w:rsidRDefault="008F4B79" w:rsidP="00097CA9">
                <w:pPr>
                  <w:rPr>
                    <w:rFonts w:ascii="Arial" w:hAnsi="Arial" w:cs="Arial"/>
                  </w:rPr>
                </w:pPr>
                <w:r>
                  <w:rPr>
                    <w:rFonts w:ascii="Arial" w:hAnsi="Arial" w:cs="Arial"/>
                  </w:rPr>
                  <w:t xml:space="preserve"> </w:t>
                </w:r>
                <w:r w:rsidR="00082ABC">
                  <w:rPr>
                    <w:rFonts w:ascii="Arial" w:hAnsi="Arial" w:cs="Arial"/>
                  </w:rPr>
                  <w:t>6+7+</w:t>
                </w:r>
                <w:r w:rsidR="003D655D">
                  <w:rPr>
                    <w:rFonts w:ascii="Arial" w:hAnsi="Arial" w:cs="Arial"/>
                  </w:rPr>
                  <w:t>8+9+6+7</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lastRenderedPageBreak/>
                  <w:t>Admin Expenses</w:t>
                </w:r>
              </w:p>
            </w:tc>
            <w:tc>
              <w:tcPr>
                <w:tcW w:w="1134" w:type="dxa"/>
              </w:tcPr>
              <w:p w14:paraId="44C8344C" w14:textId="13D1454B" w:rsidR="008F4B79" w:rsidRDefault="003D655D" w:rsidP="00097CA9">
                <w:pPr>
                  <w:jc w:val="right"/>
                  <w:rPr>
                    <w:rFonts w:ascii="Arial" w:hAnsi="Arial" w:cs="Arial"/>
                  </w:rPr>
                </w:pPr>
                <w:r>
                  <w:rPr>
                    <w:rFonts w:ascii="Arial" w:hAnsi="Arial" w:cs="Arial"/>
                  </w:rPr>
                  <w:t>(153</w:t>
                </w:r>
                <w:r w:rsidR="008F4B79">
                  <w:rPr>
                    <w:rFonts w:ascii="Arial" w:hAnsi="Arial" w:cs="Arial"/>
                  </w:rPr>
                  <w:t>)</w:t>
                </w:r>
              </w:p>
            </w:tc>
            <w:tc>
              <w:tcPr>
                <w:tcW w:w="3544" w:type="dxa"/>
              </w:tcPr>
              <w:p w14:paraId="4F8B0E91" w14:textId="51591285" w:rsidR="008F4B79" w:rsidRDefault="008F4B79" w:rsidP="00097CA9">
                <w:pPr>
                  <w:rPr>
                    <w:rFonts w:ascii="Arial" w:hAnsi="Arial" w:cs="Arial"/>
                  </w:rPr>
                </w:pPr>
                <w:r>
                  <w:rPr>
                    <w:rFonts w:ascii="Arial" w:hAnsi="Arial" w:cs="Arial"/>
                  </w:rPr>
                  <w:t xml:space="preserve"> </w:t>
                </w:r>
                <w:r w:rsidR="003D655D">
                  <w:rPr>
                    <w:rFonts w:ascii="Arial" w:hAnsi="Arial" w:cs="Arial"/>
                  </w:rPr>
                  <w:t>23+24+25+26+27+28</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2FCAF995" w:rsidR="008F4B79" w:rsidRPr="00F71675" w:rsidRDefault="008F4B79" w:rsidP="00097CA9">
                <w:pPr>
                  <w:jc w:val="right"/>
                  <w:rPr>
                    <w:rFonts w:ascii="Arial" w:hAnsi="Arial" w:cs="Arial"/>
                    <w:u w:val="single"/>
                  </w:rPr>
                </w:pPr>
                <w:r>
                  <w:rPr>
                    <w:rFonts w:ascii="Arial" w:hAnsi="Arial" w:cs="Arial"/>
                    <w:u w:val="single"/>
                  </w:rPr>
                  <w:t xml:space="preserve"> </w:t>
                </w:r>
                <w:r w:rsidR="003D655D">
                  <w:rPr>
                    <w:rFonts w:ascii="Arial" w:hAnsi="Arial" w:cs="Arial"/>
                    <w:u w:val="single"/>
                  </w:rPr>
                  <w:t>(12</w:t>
                </w:r>
                <w:r w:rsidRPr="00F71675">
                  <w:rPr>
                    <w:rFonts w:ascii="Arial" w:hAnsi="Arial" w:cs="Arial"/>
                    <w:u w:val="single"/>
                  </w:rPr>
                  <w:t>)</w:t>
                </w:r>
              </w:p>
            </w:tc>
            <w:tc>
              <w:tcPr>
                <w:tcW w:w="3544" w:type="dxa"/>
              </w:tcPr>
              <w:p w14:paraId="34EBE199" w14:textId="5651A4B2" w:rsidR="008F4B79" w:rsidRPr="007A65C7" w:rsidRDefault="008F4B79" w:rsidP="00097CA9">
                <w:pPr>
                  <w:rPr>
                    <w:rFonts w:ascii="Arial" w:hAnsi="Arial" w:cs="Arial"/>
                  </w:rPr>
                </w:pPr>
                <w:r>
                  <w:rPr>
                    <w:rFonts w:ascii="Arial" w:hAnsi="Arial" w:cs="Arial"/>
                  </w:rPr>
                  <w:t xml:space="preserve"> </w:t>
                </w:r>
                <w:r w:rsidR="003D655D">
                  <w:rPr>
                    <w:rFonts w:ascii="Arial" w:hAnsi="Arial" w:cs="Arial"/>
                  </w:rPr>
                  <w:t>1,350 x 30% x 3%</w:t>
                </w:r>
                <w:r>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79ACCB23" w:rsidR="008F4B79" w:rsidRDefault="003D655D" w:rsidP="00097CA9">
                <w:pPr>
                  <w:jc w:val="right"/>
                  <w:rPr>
                    <w:rFonts w:ascii="Arial" w:hAnsi="Arial" w:cs="Arial"/>
                  </w:rPr>
                </w:pPr>
                <w:r>
                  <w:rPr>
                    <w:rFonts w:ascii="Arial" w:hAnsi="Arial" w:cs="Arial"/>
                  </w:rPr>
                  <w:t>265</w:t>
                </w:r>
                <w:r w:rsidR="008F4B79">
                  <w:rPr>
                    <w:rFonts w:ascii="Arial" w:hAnsi="Arial" w:cs="Arial"/>
                  </w:rPr>
                  <w:t xml:space="preserve"> </w:t>
                </w:r>
              </w:p>
            </w:tc>
            <w:tc>
              <w:tcPr>
                <w:tcW w:w="3544" w:type="dxa"/>
              </w:tcPr>
              <w:p w14:paraId="6B4CA0B2" w14:textId="2AB622F8" w:rsidR="008F4B79" w:rsidRDefault="00B64298" w:rsidP="00097CA9">
                <w:pPr>
                  <w:rPr>
                    <w:rFonts w:ascii="Arial" w:hAnsi="Arial" w:cs="Arial"/>
                  </w:rPr>
                </w:pPr>
                <w:r>
                  <w:rPr>
                    <w:rFonts w:ascii="Arial" w:hAnsi="Arial" w:cs="Arial"/>
                  </w:rPr>
                  <w:t xml:space="preserve">  </w:t>
                </w: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t>Interest payable</w:t>
                </w:r>
              </w:p>
            </w:tc>
            <w:tc>
              <w:tcPr>
                <w:tcW w:w="1134" w:type="dxa"/>
              </w:tcPr>
              <w:p w14:paraId="49DBB5D6" w14:textId="3CC331C0"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B64298">
                  <w:rPr>
                    <w:rFonts w:ascii="Arial" w:hAnsi="Arial" w:cs="Arial"/>
                    <w:u w:val="single"/>
                  </w:rPr>
                  <w:t>6</w:t>
                </w:r>
                <w:r w:rsidRPr="00F71675">
                  <w:rPr>
                    <w:rFonts w:ascii="Arial" w:hAnsi="Arial" w:cs="Arial"/>
                    <w:u w:val="single"/>
                  </w:rPr>
                  <w:t>)</w:t>
                </w:r>
              </w:p>
            </w:tc>
            <w:tc>
              <w:tcPr>
                <w:tcW w:w="3544" w:type="dxa"/>
              </w:tcPr>
              <w:p w14:paraId="0CDBB14E" w14:textId="150094EA" w:rsidR="008F4B79" w:rsidRPr="007A65C7" w:rsidRDefault="008F4B79" w:rsidP="00097CA9">
                <w:pPr>
                  <w:rPr>
                    <w:rFonts w:ascii="Arial" w:hAnsi="Arial" w:cs="Arial"/>
                  </w:rPr>
                </w:pPr>
                <w:r>
                  <w:rPr>
                    <w:rFonts w:ascii="Arial" w:hAnsi="Arial" w:cs="Arial"/>
                  </w:rPr>
                  <w:t xml:space="preserve">  </w:t>
                </w:r>
                <w:r w:rsidR="00B64298">
                  <w:rPr>
                    <w:rFonts w:ascii="Arial" w:hAnsi="Arial" w:cs="Arial"/>
                  </w:rPr>
                  <w:t>6 (Months)</w:t>
                </w:r>
                <w:r>
                  <w:rPr>
                    <w:rFonts w:ascii="Arial" w:hAnsi="Arial" w:cs="Arial"/>
                  </w:rPr>
                  <w:t xml:space="preserve"> </w:t>
                </w:r>
                <w:r w:rsidR="00B64298">
                  <w:rPr>
                    <w:rFonts w:ascii="Arial" w:hAnsi="Arial" w:cs="Arial"/>
                  </w:rPr>
                  <w:t>x 4000 x 25%</w:t>
                </w:r>
                <w:r>
                  <w:rPr>
                    <w:rFonts w:ascii="Arial" w:hAnsi="Arial" w:cs="Arial"/>
                  </w:rPr>
                  <w:t xml:space="preserve">                                      </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2D775070" w:rsidR="008F4B79" w:rsidRPr="00F71675" w:rsidRDefault="00B64298" w:rsidP="00097CA9">
                <w:pPr>
                  <w:jc w:val="right"/>
                  <w:rPr>
                    <w:rFonts w:ascii="Arial" w:hAnsi="Arial" w:cs="Arial"/>
                    <w:u w:val="single"/>
                  </w:rPr>
                </w:pPr>
                <w:r>
                  <w:rPr>
                    <w:rFonts w:ascii="Arial" w:hAnsi="Arial" w:cs="Arial"/>
                    <w:u w:val="single"/>
                  </w:rPr>
                  <w:t>259</w:t>
                </w:r>
                <w:r w:rsidR="008F4B79">
                  <w:rPr>
                    <w:rFonts w:ascii="Arial" w:hAnsi="Arial" w:cs="Arial"/>
                    <w:u w:val="single"/>
                  </w:rPr>
                  <w:t xml:space="preserve"> </w:t>
                </w:r>
              </w:p>
            </w:tc>
            <w:tc>
              <w:tcPr>
                <w:tcW w:w="3544" w:type="dxa"/>
              </w:tcPr>
              <w:p w14:paraId="78D127A9" w14:textId="77777777" w:rsidR="008F4B79" w:rsidRDefault="008F4B79" w:rsidP="00097CA9">
                <w:pPr>
                  <w:rPr>
                    <w:rFonts w:ascii="Arial" w:hAnsi="Arial" w:cs="Arial"/>
                    <w:u w:val="single"/>
                  </w:rPr>
                </w:pPr>
              </w:p>
            </w:tc>
          </w:tr>
        </w:tbl>
        <w:p w14:paraId="7D4FC40A" w14:textId="23A9619E" w:rsidR="00480872" w:rsidRPr="00AC7DF2" w:rsidRDefault="00BA0477" w:rsidP="00BA0477">
          <w:pPr>
            <w:pStyle w:val="Heading1"/>
            <w:numPr>
              <w:ilvl w:val="0"/>
              <w:numId w:val="2"/>
            </w:numPr>
            <w:rPr>
              <w:b/>
              <w:bCs/>
            </w:rPr>
          </w:pPr>
          <w:bookmarkStart w:id="5" w:name="_Toc194057094"/>
          <w:r w:rsidRPr="00AC7DF2">
            <w:rPr>
              <w:b/>
              <w:bCs/>
            </w:rPr>
            <w:t xml:space="preserve">The Problem </w:t>
          </w:r>
          <w:proofErr w:type="spellStart"/>
          <w:r w:rsidRPr="00AC7DF2">
            <w:rPr>
              <w:b/>
              <w:bCs/>
            </w:rPr>
            <w:t>and</w:t>
          </w:r>
          <w:proofErr w:type="spellEnd"/>
          <w:r w:rsidRPr="00AC7DF2">
            <w:rPr>
              <w:b/>
              <w:bCs/>
            </w:rPr>
            <w:t xml:space="preserve"> indication of Blue Thread Ltd.</w:t>
          </w:r>
          <w:bookmarkEnd w:id="5"/>
        </w:p>
        <w:p w14:paraId="3D79452C" w14:textId="1A8A370E" w:rsidR="00AC7DF2" w:rsidRDefault="00BA0477" w:rsidP="00BA0477">
          <w:r>
            <w:t xml:space="preserve">Blue Thread had an overdraft of £25,000 at the beginning of June, and the bank asked for this to be cleared by the end of November. By looking at the budgeting forecast, not just the overdraft was cleared but </w:t>
          </w:r>
          <w:r w:rsidR="001248E6">
            <w:t>also,</w:t>
          </w:r>
          <w:r>
            <w:t xml:space="preserve"> they had left of £9,000. The business could improve the closing balance by trying to cut the cost from shop refurbishment by at least 25% so that then they can have another</w:t>
          </w:r>
          <w:r w:rsidR="001248E6">
            <w:t xml:space="preserve"> £9,000 extra so they can overcome the time when</w:t>
          </w:r>
          <w:r w:rsidR="00A378EA">
            <w:t xml:space="preserve"> there are</w:t>
          </w:r>
          <w:r w:rsidR="001248E6">
            <w:t xml:space="preserve"> not enough sales. The good thing is that the company had a positive closing balance. But they could improve the closing balance by cutting the cost for the shop refurbishment, also they could have </w:t>
          </w:r>
          <w:r w:rsidR="00A378EA">
            <w:t>renegotiated with</w:t>
          </w:r>
          <w:r w:rsidR="001248E6">
            <w:t xml:space="preserve"> the bank so that they can reduce the bank loan in the months of June and August when the sales are dropped and then they could increase the closing balance. </w:t>
          </w:r>
          <w:r w:rsidR="00A378EA">
            <w:t>Management team should look at different ways of reducing costs and improve the closing balance so they can be covered the cost for the months that the sales are dropped. Or renegotiate contracts whit different stock providers and try to cut the cost of administration stock.</w:t>
          </w:r>
          <w:r w:rsidR="00BC3EF1">
            <w:t xml:space="preserve"> </w:t>
          </w:r>
          <w:r w:rsidR="00BC3EF1" w:rsidRPr="00BC3EF1">
            <w:t>Clothing retailing revenue is forecast to fall at a compound annual rate of 0.8% over the five years through 2024-25 to £47.3 billion. This decline predominantly stems from weak performance in 2020-21 thanks to the pandemic. Since then, clothing sales have been propped up by the dramatic increase in photos and videos posted online; strong demand for fast, affordable fashion; and the introduction of credit and financing services like buy-now-pay-later platforms, which have allowed consumers to better manage their budgets and splash the cash on new clothes.</w:t>
          </w:r>
          <w:r w:rsidR="00F04588">
            <w:t xml:space="preserve"> (Gaetana Mak, 2025). As a big company as Blue Thread Ltd by having 10 stores they should implement an online store for each location they got and by doing so they might increase the profit. </w:t>
          </w:r>
          <w:r w:rsidR="00C211A8">
            <w:t>Also,</w:t>
          </w:r>
          <w:r w:rsidR="00F04588">
            <w:t xml:space="preserve"> by having online store will bring more opportunities to more sales in those months (June and </w:t>
          </w:r>
          <w:r w:rsidR="00826DCD">
            <w:t>August)</w:t>
          </w:r>
          <w:r w:rsidR="00F04588">
            <w:t xml:space="preserve"> when there are not many sales. They can reduce the cost of producing more stock by </w:t>
          </w:r>
          <w:r w:rsidR="00826DCD">
            <w:t xml:space="preserve">when the stock is low increase the price and sell less products for more and then there can be an increase in profit and selling less stock. If they do so, then cost of bills will be deducted and cost of labouring. Managers should also renegotiate the credit card charges for the period that is lack of sales only from 3% to 2% for the June </w:t>
          </w:r>
          <w:r w:rsidR="00C211A8">
            <w:t>and August</w:t>
          </w:r>
          <w:r w:rsidR="00826DCD">
            <w:t xml:space="preserve"> and then they might be able to increase the profit by cutting the charges and other expenses.</w:t>
          </w:r>
          <w:r w:rsidR="00826DCD" w:rsidRPr="00826DCD">
            <w:t xml:space="preserve"> Depending on these factors and on the card used, processing fees can range from 1% to 4%. At the top end, the credit card company can be taking a large part of your bottom line away, and when margins are tight these fees can mean the difference between enjoying a profit or slipping into the red.</w:t>
          </w:r>
          <w:r w:rsidR="00C211A8">
            <w:t xml:space="preserve"> (</w:t>
          </w:r>
          <w:proofErr w:type="spellStart"/>
          <w:r w:rsidR="00C211A8">
            <w:t>Goldwins</w:t>
          </w:r>
          <w:proofErr w:type="spellEnd"/>
          <w:r w:rsidR="00C211A8">
            <w:t xml:space="preserve">, 2025). The decision of a manager is making </w:t>
          </w:r>
          <w:r w:rsidR="007E3C28">
            <w:t>impact in many departments in an organisation such as: Marketing, Production, research development, financial. If there is no communication to the managers about the budget is available</w:t>
          </w:r>
          <w:r w:rsidR="00900FA8">
            <w:t>, the decision that a manager may take it could affect the organisation.</w:t>
          </w:r>
          <w:r w:rsidR="007E3C28">
            <w:t xml:space="preserve"> </w:t>
          </w:r>
          <w:r w:rsidR="00900FA8">
            <w:t xml:space="preserve">(Drury, 2020). For example, Blue Thread managers may decide to expand the business and open another store, and then the profit will be dropped, and by the time the shop will be up and running will be already gone the profit of the company for a big mistake such as that. Budget stock information is extremely important in an organisation. It offers you control over the stock is owned by the organisation and helps managers to take the right decision for the business. </w:t>
          </w:r>
          <w:r w:rsidR="00760DCF">
            <w:t>Also,</w:t>
          </w:r>
          <w:r w:rsidR="00900FA8">
            <w:t xml:space="preserve"> by having the stock budget a </w:t>
          </w:r>
          <w:r w:rsidR="00760DCF">
            <w:t>business can</w:t>
          </w:r>
          <w:r w:rsidR="00900FA8">
            <w:t xml:space="preserve"> become more profitable by track the spending and having more control over the spending</w:t>
          </w:r>
          <w:r w:rsidR="00760DCF">
            <w:t xml:space="preserve">. The stock reduces </w:t>
          </w:r>
          <w:r w:rsidR="00760DCF">
            <w:lastRenderedPageBreak/>
            <w:t xml:space="preserve">the cashflow, or the lack of stock may decrease the number of your customer as you </w:t>
          </w:r>
          <w:r w:rsidR="0019138C">
            <w:t>do not meet</w:t>
          </w:r>
          <w:r w:rsidR="00760DCF">
            <w:t xml:space="preserve"> the customer needs. There are benefits by having stock management: stock management help you </w:t>
          </w:r>
          <w:proofErr w:type="spellStart"/>
          <w:r w:rsidR="00760DCF">
            <w:t>to</w:t>
          </w:r>
          <w:proofErr w:type="spellEnd"/>
          <w:r w:rsidR="00760DCF">
            <w:t xml:space="preserve"> can save money. </w:t>
          </w:r>
          <w:r w:rsidR="00760DCF" w:rsidRPr="00760DCF">
            <w:t>less stock means less inventory costs and keeping the right amount of stock prevents the products from becoming obsolete); they improve cash flow and keeps customers satisfied (Jenkins, 2020).</w:t>
          </w:r>
          <w:r w:rsidR="0019138C">
            <w:t xml:space="preserve"> Blue Threads should adopt the following </w:t>
          </w:r>
          <w:proofErr w:type="gramStart"/>
          <w:r w:rsidR="0019138C">
            <w:t>in order to</w:t>
          </w:r>
          <w:proofErr w:type="gramEnd"/>
          <w:r w:rsidR="0019138C">
            <w:t xml:space="preserve"> manage cash effectively and ensure that the have the right reserve in cash liquidity in case of needs to be cover in the months that are less sales. </w:t>
          </w:r>
          <w:r w:rsidR="0019138C" w:rsidRPr="0019138C">
            <w:t>No matter the size of your company or the industry you’re working in, managing cash is a key ingredient in running a successful business. Beyond ensuring that you have enough money to cover your costs and fund your operations, cash management can play an essential role in growing your company and setting you up for a successful future.</w:t>
          </w:r>
          <w:r w:rsidR="0019138C">
            <w:t xml:space="preserve"> (Angelena, 2024).</w:t>
          </w:r>
        </w:p>
        <w:p w14:paraId="12417238" w14:textId="77777777" w:rsidR="00AC7DF2" w:rsidRDefault="00AC7DF2" w:rsidP="00BA0477"/>
        <w:p w14:paraId="0C94495C" w14:textId="3D9CAAD6" w:rsidR="00AC7DF2" w:rsidRDefault="00AC7DF2" w:rsidP="00AC7DF2">
          <w:pPr>
            <w:pStyle w:val="ListParagraph"/>
            <w:numPr>
              <w:ilvl w:val="0"/>
              <w:numId w:val="2"/>
            </w:numPr>
            <w:rPr>
              <w:b/>
              <w:bCs/>
              <w:color w:val="5B9BD5" w:themeColor="accent1"/>
            </w:rPr>
          </w:pPr>
          <w:r w:rsidRPr="00AC7DF2">
            <w:rPr>
              <w:b/>
              <w:bCs/>
              <w:color w:val="5B9BD5" w:themeColor="accent1"/>
            </w:rPr>
            <w:t>Budgeting and budgetary controls</w:t>
          </w:r>
        </w:p>
        <w:p w14:paraId="2DCB72CA" w14:textId="61CDF7B6" w:rsidR="00AC7DF2" w:rsidRDefault="00F01B91" w:rsidP="00AC7DF2">
          <w:pPr>
            <w:rPr>
              <w:color w:val="000000" w:themeColor="text1"/>
            </w:rPr>
          </w:pPr>
          <w:r w:rsidRPr="00F01B91">
            <w:rPr>
              <w:color w:val="000000" w:themeColor="text1"/>
            </w:rPr>
            <w:t xml:space="preserve">These budgets are initially prepared at the departmental/responsibility centre level (i.e. a unit or department within an organization where a manager is held responsible for performance) and </w:t>
          </w:r>
          <w:proofErr w:type="gramStart"/>
          <w:r w:rsidRPr="00F01B91">
            <w:rPr>
              <w:color w:val="000000" w:themeColor="text1"/>
            </w:rPr>
            <w:t>merged together</w:t>
          </w:r>
          <w:proofErr w:type="gramEnd"/>
          <w:r w:rsidRPr="00F01B91">
            <w:rPr>
              <w:color w:val="000000" w:themeColor="text1"/>
            </w:rPr>
            <w:t xml:space="preserve"> into a single unifying statement for the organization as a whole that specifies the organization’s expectations for future periods. This statement is known as a master budget and consists of budgeted profit and cash flow statements. The budgeting process communicates to everyone in the organization the part that they are expected to play in implementing management’s decisions.</w:t>
          </w:r>
          <w:r>
            <w:rPr>
              <w:color w:val="000000" w:themeColor="text1"/>
            </w:rPr>
            <w:t xml:space="preserve"> </w:t>
          </w:r>
          <w:proofErr w:type="gramStart"/>
          <w:r>
            <w:rPr>
              <w:color w:val="000000" w:themeColor="text1"/>
            </w:rPr>
            <w:t>( Drury</w:t>
          </w:r>
          <w:proofErr w:type="gramEnd"/>
          <w:r>
            <w:rPr>
              <w:color w:val="000000" w:themeColor="text1"/>
            </w:rPr>
            <w:t xml:space="preserve">, 2020, p10). </w:t>
          </w:r>
          <w:r w:rsidRPr="00F01B91">
            <w:rPr>
              <w:color w:val="000000" w:themeColor="text1"/>
            </w:rPr>
            <w:t>Budgetary control systems can have positive or negative influences on managers, or they could react to them with indifference. If managers react favourably, then the budgets they create are likely to be correct and relevant. However, if managers are not invested in creating accurate budgets, they might prepare budgets that are inaccurate or irrelevant. Both managers and subordinates become more productive when their personal goals align with the goals of the organisation (Simons, 2019).</w:t>
          </w:r>
          <w:r>
            <w:rPr>
              <w:color w:val="000000" w:themeColor="text1"/>
            </w:rPr>
            <w:t xml:space="preserve"> </w:t>
          </w:r>
          <w:r w:rsidR="00FC4345">
            <w:rPr>
              <w:color w:val="000000" w:themeColor="text1"/>
            </w:rPr>
            <w:t>For a budgetary system to work should be present the following elements.</w:t>
          </w:r>
        </w:p>
        <w:p w14:paraId="14A0EA71" w14:textId="70920AB2" w:rsidR="00FC4345" w:rsidRDefault="00FC4345" w:rsidP="00FC4345">
          <w:pPr>
            <w:rPr>
              <w:color w:val="000000" w:themeColor="text1"/>
            </w:rPr>
          </w:pPr>
          <w:r>
            <w:rPr>
              <w:color w:val="000000" w:themeColor="text1"/>
            </w:rPr>
            <w:t>-S</w:t>
          </w:r>
          <w:r w:rsidRPr="00FC4345">
            <w:rPr>
              <w:color w:val="000000" w:themeColor="text1"/>
            </w:rPr>
            <w:t>hould</w:t>
          </w:r>
          <w:r>
            <w:rPr>
              <w:color w:val="000000" w:themeColor="text1"/>
            </w:rPr>
            <w:t xml:space="preserve"> have clear objective and strategies, budget must be aligned with the profit goals. </w:t>
          </w:r>
        </w:p>
        <w:p w14:paraId="4818D177" w14:textId="2200F9B1" w:rsidR="00FC4345" w:rsidRDefault="00FC4345" w:rsidP="00FC4345">
          <w:pPr>
            <w:rPr>
              <w:color w:val="000000" w:themeColor="text1"/>
            </w:rPr>
          </w:pPr>
          <w:r>
            <w:rPr>
              <w:color w:val="000000" w:themeColor="text1"/>
            </w:rPr>
            <w:t>-Involve manager in budgeting process and try to achieve the targets.</w:t>
          </w:r>
        </w:p>
        <w:p w14:paraId="2831D01B" w14:textId="043742E7" w:rsidR="00FC4345" w:rsidRDefault="00FC4345" w:rsidP="00FC4345">
          <w:pPr>
            <w:rPr>
              <w:color w:val="000000" w:themeColor="text1"/>
            </w:rPr>
          </w:pPr>
          <w:r>
            <w:rPr>
              <w:color w:val="000000" w:themeColor="text1"/>
            </w:rPr>
            <w:t>-Consultation- managers should be there when the budget is created and installing a control system</w:t>
          </w:r>
        </w:p>
        <w:p w14:paraId="59A31C8B" w14:textId="1AECDE9A" w:rsidR="00FC4345" w:rsidRPr="00FC4345" w:rsidRDefault="00FC4345" w:rsidP="00FC4345">
          <w:pPr>
            <w:rPr>
              <w:color w:val="000000" w:themeColor="text1"/>
            </w:rPr>
          </w:pPr>
          <w:r>
            <w:rPr>
              <w:color w:val="000000" w:themeColor="text1"/>
            </w:rPr>
            <w:t>-</w:t>
          </w:r>
          <w:r w:rsidR="00AE3EAB">
            <w:rPr>
              <w:color w:val="000000" w:themeColor="text1"/>
            </w:rPr>
            <w:t>Independence – managers should be given the opportunity to choose their own budgets.</w:t>
          </w:r>
        </w:p>
        <w:p w14:paraId="78AC8D29" w14:textId="44738DB3" w:rsidR="0019138C" w:rsidRDefault="00AE3EAB" w:rsidP="00BA0477">
          <w:r>
            <w:t>-Communication and regular feedback- regular updates and keep communicate a clear information may result success</w:t>
          </w:r>
        </w:p>
        <w:p w14:paraId="68F4E917" w14:textId="387D94D2" w:rsidR="00AE3EAB" w:rsidRDefault="00AE3EAB" w:rsidP="00BA0477">
          <w:r>
            <w:t xml:space="preserve">-Non- disciplinary </w:t>
          </w:r>
          <w:r w:rsidR="00BF7D00">
            <w:t>–</w:t>
          </w:r>
          <w:r>
            <w:t xml:space="preserve"> </w:t>
          </w:r>
          <w:r w:rsidR="00BF7D00">
            <w:t xml:space="preserve">budgetary should not be used as a disciplinary tool to discipline the managers for any variances, unless that the variances are </w:t>
          </w:r>
          <w:r w:rsidR="00C36011">
            <w:t>used</w:t>
          </w:r>
          <w:r w:rsidR="00BF7D00">
            <w:t xml:space="preserve"> without negligence, </w:t>
          </w:r>
          <w:r w:rsidR="00C36011">
            <w:t>this system</w:t>
          </w:r>
          <w:r w:rsidR="00BF7D00">
            <w:t xml:space="preserve"> should be </w:t>
          </w:r>
          <w:proofErr w:type="gramStart"/>
          <w:r w:rsidR="00BF7D00">
            <w:t>use</w:t>
          </w:r>
          <w:proofErr w:type="gramEnd"/>
          <w:r w:rsidR="00BF7D00">
            <w:t xml:space="preserve"> to analyse why variances happened.</w:t>
          </w:r>
        </w:p>
        <w:p w14:paraId="3789C72E" w14:textId="52D0DA76" w:rsidR="00BF7D00" w:rsidRPr="00BA0477" w:rsidRDefault="00BF7D00" w:rsidP="00BA0477">
          <w:r w:rsidRPr="00BF7D00">
            <w:t>-Resistance to change – employees might fear the new measures and might not understand how they could affect their jobs. They might also feel like they are under scrutiny and that they are given too much responsibility. Managers must communicate and explain the changes to the staff, they must provide training and involve the employees in the development and implementation process (Lawrence, 2023).</w:t>
          </w:r>
        </w:p>
        <w:p w14:paraId="3568DCEE" w14:textId="442E6CDB" w:rsidR="00BF7D00" w:rsidRDefault="00BF7D00" w:rsidP="00BF7D00">
          <w:pPr>
            <w:spacing w:after="0"/>
            <w:jc w:val="both"/>
          </w:pPr>
          <w:r>
            <w:t xml:space="preserve">- Information sharing and collaboration – </w:t>
          </w:r>
          <w:proofErr w:type="gramStart"/>
          <w:r>
            <w:t>in order to</w:t>
          </w:r>
          <w:proofErr w:type="gramEnd"/>
          <w:r>
            <w:t xml:space="preserve"> have effective budgetary controls, all departments within an organisation need to share information accurately and in a timely manner, </w:t>
          </w:r>
          <w:r>
            <w:lastRenderedPageBreak/>
            <w:t>otherwise collaboration can be hindered. Management should encourage a culture of openness and collaboration. Building trust and a sense of responsibility can help achieve budgetary goals</w:t>
          </w:r>
          <w:sdt>
            <w:sdtPr>
              <w:id w:val="136160039"/>
              <w:citation/>
            </w:sdtPr>
            <w:sdtContent>
              <w:r>
                <w:fldChar w:fldCharType="begin"/>
              </w:r>
              <w:r>
                <w:instrText xml:space="preserve"> CITATION Mun06 \l 2057 </w:instrText>
              </w:r>
              <w:r>
                <w:fldChar w:fldCharType="separate"/>
              </w:r>
              <w:r>
                <w:rPr>
                  <w:noProof/>
                </w:rPr>
                <w:t xml:space="preserve"> </w:t>
              </w:r>
              <w:r w:rsidRPr="00785853">
                <w:rPr>
                  <w:noProof/>
                </w:rPr>
                <w:t>(Munoz, et al., 2006)</w:t>
              </w:r>
              <w:r>
                <w:rPr>
                  <w:noProof/>
                </w:rPr>
                <w:fldChar w:fldCharType="end"/>
              </w:r>
            </w:sdtContent>
          </w:sdt>
          <w:r>
            <w:t>.</w:t>
          </w:r>
          <w:r w:rsidR="002E6070">
            <w:t xml:space="preserve"> </w:t>
          </w:r>
          <w:r w:rsidR="002E6070" w:rsidRPr="002E6070">
            <w:t xml:space="preserve">According to Marr (2012), managers really need to pay attention to KPIs to see if their companies on track.  Without them, decision-making would be </w:t>
          </w:r>
          <w:r w:rsidR="002E6070">
            <w:t>chaos</w:t>
          </w:r>
          <w:r w:rsidR="002E6070" w:rsidRPr="002E6070">
            <w:t>.  Business ratios are also key – they set targets and help with strategic planning, which is super important in this ever-changing business world.  Getting all the managers to understand them makes departments work better together (Walsh, 2008)</w:t>
          </w:r>
          <w:r w:rsidR="002E6070">
            <w:t>.</w:t>
          </w:r>
        </w:p>
        <w:p w14:paraId="21BED70F" w14:textId="77777777" w:rsidR="009037D9" w:rsidRPr="009037D9" w:rsidRDefault="009037D9" w:rsidP="00BF7D00">
          <w:pPr>
            <w:spacing w:after="0"/>
            <w:jc w:val="both"/>
            <w:rPr>
              <w:b/>
              <w:bCs/>
              <w:color w:val="5B9BD5" w:themeColor="accent1"/>
            </w:rPr>
          </w:pPr>
        </w:p>
        <w:p w14:paraId="75835E9A" w14:textId="279BC010" w:rsidR="009037D9" w:rsidRDefault="009037D9" w:rsidP="009037D9">
          <w:pPr>
            <w:pStyle w:val="ListParagraph"/>
            <w:numPr>
              <w:ilvl w:val="0"/>
              <w:numId w:val="2"/>
            </w:numPr>
            <w:spacing w:after="0"/>
            <w:jc w:val="both"/>
            <w:rPr>
              <w:b/>
              <w:bCs/>
              <w:color w:val="5B9BD5" w:themeColor="accent1"/>
            </w:rPr>
          </w:pPr>
          <w:r w:rsidRPr="009037D9">
            <w:rPr>
              <w:b/>
              <w:bCs/>
              <w:color w:val="5B9BD5" w:themeColor="accent1"/>
            </w:rPr>
            <w:t>Evaluation of traditional approaches to budgeting</w:t>
          </w:r>
        </w:p>
        <w:p w14:paraId="5FBC53AB" w14:textId="74AE4685" w:rsidR="009037D9" w:rsidRPr="00BA0477" w:rsidRDefault="003F68EA" w:rsidP="00BA0477">
          <w:r>
            <w:rPr>
              <w:color w:val="000000" w:themeColor="text1"/>
            </w:rPr>
            <w:t xml:space="preserve">Many </w:t>
          </w:r>
          <w:r w:rsidR="00045904">
            <w:rPr>
              <w:color w:val="000000" w:themeColor="text1"/>
            </w:rPr>
            <w:t>businesses</w:t>
          </w:r>
          <w:r>
            <w:rPr>
              <w:color w:val="000000" w:themeColor="text1"/>
            </w:rPr>
            <w:t xml:space="preserve"> try to change constantly as there is huge competition, especially in economic conditions, customer needs, competitors. The budget management information should be flexible enough </w:t>
          </w:r>
          <w:proofErr w:type="gramStart"/>
          <w:r>
            <w:rPr>
              <w:color w:val="000000" w:themeColor="text1"/>
            </w:rPr>
            <w:t>in order to</w:t>
          </w:r>
          <w:proofErr w:type="gramEnd"/>
          <w:r>
            <w:rPr>
              <w:color w:val="000000" w:themeColor="text1"/>
            </w:rPr>
            <w:t xml:space="preserve"> get the necessary data as there needs to be taken a decision in any organisation. </w:t>
          </w:r>
          <w:r w:rsidRPr="003F68EA">
            <w:rPr>
              <w:color w:val="000000" w:themeColor="text1"/>
            </w:rPr>
            <w:t>The changes appeared in the past three decades: intensified competition led to lower prices, higher quality and more choices, new technologies (Seal, et al., 2019)</w:t>
          </w:r>
          <w:r>
            <w:rPr>
              <w:color w:val="000000" w:themeColor="text1"/>
            </w:rPr>
            <w:t xml:space="preserve">. </w:t>
          </w:r>
          <w:r w:rsidRPr="003F68EA">
            <w:rPr>
              <w:color w:val="000000" w:themeColor="text1"/>
            </w:rPr>
            <w:t>Other changes that have occurred are the growth of the service sector, the emergence of new industries, the growth of e-commerce, product innovation, the growth of outsourcing. All these changes pose huge challenges for the management accountant (</w:t>
          </w:r>
          <w:proofErr w:type="spellStart"/>
          <w:r w:rsidRPr="003F68EA">
            <w:rPr>
              <w:color w:val="000000" w:themeColor="text1"/>
            </w:rPr>
            <w:t>Atrill</w:t>
          </w:r>
          <w:proofErr w:type="spellEnd"/>
          <w:r w:rsidRPr="003F68EA">
            <w:rPr>
              <w:color w:val="000000" w:themeColor="text1"/>
            </w:rPr>
            <w:t xml:space="preserve"> &amp; McLaney, 2021). </w:t>
          </w:r>
          <w:r w:rsidR="00045904">
            <w:rPr>
              <w:color w:val="000000" w:themeColor="text1"/>
            </w:rPr>
            <w:t xml:space="preserve">Budgeting encourages managers to </w:t>
          </w:r>
          <w:proofErr w:type="gramStart"/>
          <w:r w:rsidR="00045904">
            <w:rPr>
              <w:color w:val="000000" w:themeColor="text1"/>
            </w:rPr>
            <w:t>plan ahead</w:t>
          </w:r>
          <w:proofErr w:type="gramEnd"/>
          <w:r w:rsidR="00045904">
            <w:rPr>
              <w:color w:val="000000" w:themeColor="text1"/>
            </w:rPr>
            <w:t xml:space="preserve">, but there is always a criticism in budgeting becoming a mechanical exercise. Managers don’t have enough </w:t>
          </w:r>
          <w:r w:rsidR="00045904">
            <w:t xml:space="preserve">time to create and analyse budgets. </w:t>
          </w:r>
          <w:r w:rsidR="00045904" w:rsidRPr="00045904">
            <w:t>Some believe that many of the problems can be solved by better budgeting systems such as activity-based budgeting and zero-based budgeting, while others believe that a more radical solution is needed (</w:t>
          </w:r>
          <w:proofErr w:type="spellStart"/>
          <w:r w:rsidR="00045904" w:rsidRPr="00045904">
            <w:t>Atrill</w:t>
          </w:r>
          <w:proofErr w:type="spellEnd"/>
          <w:r w:rsidR="00045904" w:rsidRPr="00045904">
            <w:t xml:space="preserve"> &amp; McLaney, 2021).</w:t>
          </w:r>
          <w:r w:rsidR="00045904">
            <w:t xml:space="preserve"> </w:t>
          </w:r>
          <w:r w:rsidR="004071A7">
            <w:t>Traditional budgeting</w:t>
          </w:r>
          <w:r w:rsidR="00045904">
            <w:t xml:space="preserve"> might be incremental budgeting or zero- based budgeting (ZBB), there is limitation when it comes to the </w:t>
          </w:r>
          <w:r w:rsidR="004071A7">
            <w:t xml:space="preserve">allocation of cost and resources. The incremental budgeting is a system that allows to make slightly changes in a budget, the new budget can be higher or lower than the original one. And previous budget will be use for the starting in the next year. Some </w:t>
          </w:r>
          <w:r w:rsidR="00954B6C">
            <w:t>organisations</w:t>
          </w:r>
          <w:r w:rsidR="004071A7">
            <w:t xml:space="preserve"> might benefit from this type of budgeting, because they have </w:t>
          </w:r>
          <w:r w:rsidR="00954B6C">
            <w:t>funds,</w:t>
          </w:r>
          <w:r w:rsidR="004071A7">
            <w:t xml:space="preserve"> and they can handle minor fluctuations. The advantage of using this system in an organisation is </w:t>
          </w:r>
          <w:r w:rsidR="00954B6C">
            <w:t>that</w:t>
          </w:r>
          <w:r w:rsidR="004071A7">
            <w:t xml:space="preserve"> it is easy to use,</w:t>
          </w:r>
          <w:r w:rsidR="00954B6C">
            <w:t xml:space="preserve"> it doesn’t require to make complicate calculations, and there is continuous funding. Also, the budget is stable as every department has the same amount allocated. There </w:t>
          </w:r>
          <w:r w:rsidR="0080615C">
            <w:t>is</w:t>
          </w:r>
          <w:r w:rsidR="00954B6C">
            <w:t xml:space="preserve"> criticism </w:t>
          </w:r>
          <w:proofErr w:type="gramStart"/>
          <w:r w:rsidR="00954B6C">
            <w:t>in order for</w:t>
          </w:r>
          <w:proofErr w:type="gramEnd"/>
          <w:r w:rsidR="00954B6C">
            <w:t xml:space="preserve"> </w:t>
          </w:r>
          <w:r w:rsidR="0080615C">
            <w:t>these systems</w:t>
          </w:r>
          <w:r w:rsidR="00954B6C">
            <w:t xml:space="preserve"> as there might be overspread the funds as the funds are available to managers to use. Also, another criticism can be found is that the budgeting can be </w:t>
          </w:r>
          <w:proofErr w:type="gramStart"/>
          <w:r w:rsidR="00954B6C">
            <w:t>lead</w:t>
          </w:r>
          <w:proofErr w:type="gramEnd"/>
          <w:r w:rsidR="00954B6C">
            <w:t xml:space="preserve"> to building a lower revenue growth with higher expenses g</w:t>
          </w:r>
          <w:r w:rsidR="0080615C">
            <w:t xml:space="preserve">rowth. </w:t>
          </w:r>
          <w:r w:rsidR="0080615C" w:rsidRPr="0080615C">
            <w:t>The estimated budget could also be different from the actual budget. It can also promote a non-innovative mindset, by being overly focused on cutting costs (ACCA Global, 2024).</w:t>
          </w:r>
          <w:r w:rsidR="0080615C">
            <w:t xml:space="preserve"> The zero-based budgeting appears in 1960’s. with this kind of budgeting the budget starts from zero, unlikely to incremental budgeting which it always uses the last year budget for next year staring budget. This type of system tries to allocate budget only for the parts that business needs the most. Managers </w:t>
          </w:r>
          <w:proofErr w:type="gramStart"/>
          <w:r w:rsidR="0080615C">
            <w:t>has to</w:t>
          </w:r>
          <w:proofErr w:type="gramEnd"/>
          <w:r w:rsidR="0080615C">
            <w:t xml:space="preserve"> explain why they are needing the allocation always they need to justify their activity and decision in order to get the allocation. If they cannot justify, then they will not get the allocations. There are many benefits with ZBB since every year starts from zero,</w:t>
          </w:r>
          <w:r w:rsidR="005A7588">
            <w:t xml:space="preserve"> and </w:t>
          </w:r>
          <w:r w:rsidR="00604404">
            <w:t>all activities</w:t>
          </w:r>
          <w:r w:rsidR="005A7588">
            <w:t xml:space="preserve"> will be </w:t>
          </w:r>
          <w:proofErr w:type="gramStart"/>
          <w:r w:rsidR="005A7588">
            <w:t>analyse</w:t>
          </w:r>
          <w:proofErr w:type="gramEnd"/>
          <w:r w:rsidR="005A7588">
            <w:t xml:space="preserve"> and if there is one that is wasteful then its removed. It also helps managers to be more critical constantly, they ask more question regarding is there is any benefits if the take certain decision, and it increase the </w:t>
          </w:r>
          <w:r w:rsidR="00604404">
            <w:t>employee’s</w:t>
          </w:r>
          <w:r w:rsidR="005A7588">
            <w:t xml:space="preserve"> motivation. It may also take in consideration if there is to take any changes in the organisation. But the downside of this </w:t>
          </w:r>
          <w:proofErr w:type="gramStart"/>
          <w:r w:rsidR="005A7588">
            <w:t>is;</w:t>
          </w:r>
          <w:proofErr w:type="gramEnd"/>
          <w:r w:rsidR="005A7588">
            <w:t xml:space="preserve"> that managers might not be skilled enough in order to make their own correct decision, and to train managers will be cost effective. The ZBB system is not appropriate for a large organisation, with a large scale of activities as there it will be needed a large amount of paper works</w:t>
          </w:r>
          <w:r w:rsidR="006B47F5">
            <w:t xml:space="preserve"> and paper will not be easily managed. Also, this kind of system is difficult to implement as there it needs to be taken to many </w:t>
          </w:r>
          <w:r w:rsidR="00BC57A8">
            <w:t>decisions</w:t>
          </w:r>
          <w:r w:rsidR="006B47F5">
            <w:t xml:space="preserve"> </w:t>
          </w:r>
          <w:proofErr w:type="gramStart"/>
          <w:r w:rsidR="006B47F5">
            <w:t>in order to</w:t>
          </w:r>
          <w:proofErr w:type="gramEnd"/>
          <w:r w:rsidR="006B47F5">
            <w:t xml:space="preserve"> create the activities. Which managers are known that they don’t have a </w:t>
          </w:r>
          <w:r w:rsidR="00BC57A8">
            <w:t>lot of</w:t>
          </w:r>
          <w:r w:rsidR="006B47F5">
            <w:t xml:space="preserve"> spare time. Another </w:t>
          </w:r>
          <w:r w:rsidR="006B47F5">
            <w:lastRenderedPageBreak/>
            <w:t xml:space="preserve">alternative to traditional budgeting is, the Beyond Conventional Budgeting. With this system rolling budgets and KPI’s such as market share, </w:t>
          </w:r>
          <w:r w:rsidR="00BC57A8">
            <w:t xml:space="preserve">customer satisfaction and innovation. This model promotes participative approach to managing the business as the opposite to the traditional hierarchical structure. It also encourages employees to have more attitude as there is a reward linked to the targets based on improvements rather than meeting the budget. </w:t>
          </w:r>
          <w:r w:rsidR="00BC57A8" w:rsidRPr="00BC57A8">
            <w:t>While the traditional model has fixed targets, the ‘Beyond Conventional Budgeting’ promotes stretch targets that can be adapted (ACCA Global, 2024).</w:t>
          </w:r>
          <w:r w:rsidR="00BC57A8">
            <w:t xml:space="preserve"> The advantages of this system </w:t>
          </w:r>
          <w:proofErr w:type="gramStart"/>
          <w:r w:rsidR="00476B24">
            <w:t>are:</w:t>
          </w:r>
          <w:proofErr w:type="gramEnd"/>
          <w:r w:rsidR="00476B24">
            <w:t xml:space="preserve"> </w:t>
          </w:r>
          <w:r w:rsidR="00BC57A8">
            <w:t xml:space="preserve">flexibility and responsiveness to changes, which it help the organisation to adapt much more quickly to the market and customers needs. </w:t>
          </w:r>
          <w:r w:rsidR="00476B24">
            <w:t xml:space="preserve">It focuses on strategic objectives and term goals and offer enhanced accountability, which can lead to increased ownership of performance targets and gather motivation to archive the results needed. It also </w:t>
          </w:r>
          <w:r w:rsidR="00D23B91">
            <w:t>helps</w:t>
          </w:r>
          <w:r w:rsidR="00476B24">
            <w:t xml:space="preserve"> to improve the decision making. Some disadvantages </w:t>
          </w:r>
          <w:proofErr w:type="gramStart"/>
          <w:r w:rsidR="00476B24">
            <w:t>are:</w:t>
          </w:r>
          <w:proofErr w:type="gramEnd"/>
          <w:r w:rsidR="00476B24">
            <w:t xml:space="preserve"> the lack of predictability. Budgetary system, they are essential for planning and control, also present the challenges the budget is facing. A not clear </w:t>
          </w:r>
          <w:r w:rsidR="00D23B91">
            <w:t xml:space="preserve">or inaccurate budget they are time consuming for management team as they can results to inflexibility, as they focus more on results and forecast. </w:t>
          </w:r>
          <w:r w:rsidR="00D23B91" w:rsidRPr="00D23B91">
            <w:t>Addressing these challenges requires organisations to adopt a more dynamic, adaptive approach to budgeting that embraces flexibility, transparency and alignment with strategic goals. By leveraging technology, fostering collaboration and promoting a culture of continuous improvement, organisations can enhance the effectiveness of their budgetary systems and achieve better financial outcomes (Malina, 2018).</w:t>
          </w:r>
        </w:p>
        <w:p w14:paraId="7820AD2A" w14:textId="77777777" w:rsidR="00480872" w:rsidRDefault="00480872" w:rsidP="00AA2A91">
          <w:pPr>
            <w:pStyle w:val="Heading1"/>
          </w:pPr>
        </w:p>
        <w:p w14:paraId="18A01614" w14:textId="77777777" w:rsidR="00480872" w:rsidRDefault="00480872" w:rsidP="00AA2A91">
          <w:pPr>
            <w:pStyle w:val="Heading1"/>
          </w:pPr>
        </w:p>
        <w:p w14:paraId="507BAD72" w14:textId="77777777" w:rsidR="00480872" w:rsidRDefault="00480872" w:rsidP="00AA2A91">
          <w:pPr>
            <w:pStyle w:val="Heading1"/>
          </w:pPr>
        </w:p>
        <w:p w14:paraId="781664DC" w14:textId="77777777" w:rsidR="00480872" w:rsidRDefault="00480872" w:rsidP="00AA2A91">
          <w:pPr>
            <w:pStyle w:val="Heading1"/>
          </w:pPr>
        </w:p>
        <w:p w14:paraId="7F110E3F" w14:textId="77777777" w:rsidR="00D23B91" w:rsidRPr="00D23B91" w:rsidRDefault="00D23B91" w:rsidP="00D23B91"/>
        <w:p w14:paraId="0E285665" w14:textId="77777777" w:rsidR="00480872" w:rsidRDefault="00480872" w:rsidP="00AA2A91">
          <w:pPr>
            <w:pStyle w:val="Heading1"/>
          </w:pPr>
        </w:p>
        <w:p w14:paraId="3C870794" w14:textId="77777777" w:rsidR="00480872" w:rsidRDefault="00480872" w:rsidP="00AA2A91">
          <w:pPr>
            <w:pStyle w:val="Heading1"/>
          </w:pPr>
        </w:p>
        <w:p w14:paraId="233A9D06" w14:textId="77777777" w:rsidR="00480872" w:rsidRDefault="00480872" w:rsidP="00AA2A91">
          <w:pPr>
            <w:pStyle w:val="Heading1"/>
          </w:pPr>
        </w:p>
        <w:p w14:paraId="7ACC47A4" w14:textId="77777777" w:rsidR="00D23B91" w:rsidRDefault="00D23B91" w:rsidP="00AA2A91">
          <w:pPr>
            <w:pStyle w:val="Heading1"/>
          </w:pPr>
        </w:p>
        <w:p w14:paraId="5C67928C" w14:textId="63863E77" w:rsidR="00AA2A91" w:rsidRDefault="00D23B91" w:rsidP="00AA2A91">
          <w:pPr>
            <w:pStyle w:val="Heading1"/>
          </w:pPr>
          <w:r>
            <w:t xml:space="preserve">  </w:t>
          </w:r>
        </w:p>
        <w:p w14:paraId="334DECDE" w14:textId="77777777" w:rsidR="00C36011" w:rsidRPr="00C36011" w:rsidRDefault="00C36011" w:rsidP="00C36011"/>
        <w:p w14:paraId="0C6DEB97" w14:textId="77777777" w:rsidR="00AA2A91" w:rsidRDefault="00AA2A91" w:rsidP="00AA2A91"/>
        <w:p w14:paraId="485EE056" w14:textId="77777777" w:rsidR="005636FC" w:rsidRDefault="005636FC" w:rsidP="00AA2A91">
          <w:pPr>
            <w:rPr>
              <w:color w:val="5B9BD5" w:themeColor="accent1"/>
              <w:sz w:val="32"/>
              <w:szCs w:val="32"/>
            </w:rPr>
          </w:pPr>
        </w:p>
        <w:p w14:paraId="45C8241C" w14:textId="77777777" w:rsidR="005636FC" w:rsidRDefault="005636FC" w:rsidP="00AA2A91">
          <w:pPr>
            <w:rPr>
              <w:color w:val="5B9BD5" w:themeColor="accent1"/>
              <w:sz w:val="32"/>
              <w:szCs w:val="32"/>
            </w:rPr>
          </w:pPr>
        </w:p>
        <w:p w14:paraId="6FF3B474" w14:textId="7AD12D6A" w:rsidR="00AA2A91" w:rsidRPr="00D23B91" w:rsidRDefault="00D23B91" w:rsidP="00AA2A91">
          <w:pPr>
            <w:rPr>
              <w:color w:val="5B9BD5" w:themeColor="accent1"/>
              <w:sz w:val="32"/>
              <w:szCs w:val="32"/>
            </w:rPr>
          </w:pPr>
          <w:r w:rsidRPr="00D23B91">
            <w:rPr>
              <w:color w:val="5B9BD5" w:themeColor="accent1"/>
              <w:sz w:val="32"/>
              <w:szCs w:val="32"/>
            </w:rPr>
            <w:lastRenderedPageBreak/>
            <w:t xml:space="preserve">Conclusion </w:t>
          </w:r>
        </w:p>
        <w:p w14:paraId="735EB39C" w14:textId="77777777" w:rsidR="00AA2A91" w:rsidRDefault="00AA2A91" w:rsidP="00AA2A91"/>
        <w:p w14:paraId="4FD318A1" w14:textId="77777777" w:rsidR="00D23B91" w:rsidRDefault="00D23B91" w:rsidP="00D23B91">
          <w:r>
            <w:t xml:space="preserve">      Budgetary systems are indispensable tools for organisations seeking to achieve financial discipline, strategic alignment performance improvement, and informed decision-making. By integrating budgeting processes into their overall management practices, organisations can enhance their ability to plan, allocate resources, monitor performance and ultimately achieve their desired outcomes (Jayalakshmi, et al., 2023).</w:t>
          </w:r>
        </w:p>
        <w:p w14:paraId="7064C129" w14:textId="4DC20338" w:rsidR="00D23B91" w:rsidRDefault="00D23B91" w:rsidP="00D23B91">
          <w:r>
            <w:t xml:space="preserve">      The traditional budgeting systems have been heavily criticised because they encourage rigid planning and incremental thinking (a ‘last year plus x’ approach), it is time consuming for managers and it ignores key drivers like innovation, developing new products and markets (Drury, 2020). Traditional budgeting systems cannot deal with rapid change, they encourage a ‘top-down’ management style, protect rather than lower costs and they promote ‘sharp’ practice among managers (lower sales targets </w:t>
          </w:r>
          <w:proofErr w:type="gramStart"/>
          <w:r>
            <w:t>in order to</w:t>
          </w:r>
          <w:proofErr w:type="gramEnd"/>
          <w:r>
            <w:t xml:space="preserve"> hit targets) (Liyanage, 2021). The criticism of the traditional budgeting systems started in the 1990’s because of the following reasons: business numbers do not stop at the end of the </w:t>
          </w:r>
          <w:r w:rsidR="00604404">
            <w:t>year;</w:t>
          </w:r>
          <w:r>
            <w:t xml:space="preserve"> annual budgets can become irrelevant or out of date even three months after they are </w:t>
          </w:r>
          <w:r w:rsidR="00720305">
            <w:t>created,</w:t>
          </w:r>
          <w:r>
            <w:t xml:space="preserve"> and they can promote gaming targets. Because of all these reasons, organisations started to employ alternative systems, such as the ‘beyond budgeting’ system (Richard, 2023).</w:t>
          </w:r>
        </w:p>
        <w:p w14:paraId="131D500D" w14:textId="0F75F97C" w:rsidR="00AA2A91" w:rsidRDefault="00D23B91" w:rsidP="00D23B91">
          <w:r>
            <w:t xml:space="preserve">       Budgeting systems are critical parts of the finance function of organisations. When combined with more flexible and new techniques, organisations can ensure that their cash and investments are managed correctly and they can prevent the collapse of businesses during financial crisis (Seal, et al., 2018). The Blue Thread Ltd </w:t>
          </w:r>
          <w:r w:rsidR="0067590F">
            <w:t xml:space="preserve">case analysis shows the six months forecast  it will help management team to understand if there needs more improvements in the budget as there is always something to improve the profit but the management team need the accurate information and to be communicate in time as management has to take action and analyse the earning in which months can be more or less sales. As we can see the goal of Blue Thread Ltd was to eliminate the overdraft of £25,000 by the end of November, they did </w:t>
          </w:r>
          <w:r w:rsidR="00604404">
            <w:t>eliminate</w:t>
          </w:r>
          <w:r w:rsidR="0067590F">
            <w:t xml:space="preserve"> the overdraft but as we can see from the forecast there is in some months lack of sales and they need to take actions for </w:t>
          </w:r>
          <w:r w:rsidR="00720305">
            <w:t>these moths</w:t>
          </w:r>
          <w:r w:rsidR="0067590F">
            <w:t xml:space="preserve"> so that they can increase the profitability.</w:t>
          </w:r>
        </w:p>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7202FDFC" w14:textId="71B687E3" w:rsidR="00AA2A91" w:rsidRDefault="00AA2A91" w:rsidP="00AA2A91">
          <w:pPr>
            <w:pStyle w:val="Heading1"/>
          </w:pPr>
          <w:bookmarkStart w:id="6" w:name="_Toc194057095"/>
          <w:r>
            <w:lastRenderedPageBreak/>
            <w:t>Bibliography</w:t>
          </w:r>
          <w:bookmarkEnd w:id="6"/>
        </w:p>
        <w:p w14:paraId="0936222F" w14:textId="77777777" w:rsidR="00CE2610" w:rsidRDefault="00CE2610" w:rsidP="00CE2610">
          <w:pPr>
            <w:ind w:left="40"/>
          </w:pPr>
          <w:r>
            <w:t xml:space="preserve">ACCA Global (2024), Beyond budgeting, [Online] Available at: </w:t>
          </w:r>
          <w:hyperlink r:id="rId11" w:history="1">
            <w:r w:rsidRPr="007F2CA8">
              <w:rPr>
                <w:rStyle w:val="Hyperlink"/>
              </w:rPr>
              <w:t>https://www.accaglobal.com</w:t>
            </w:r>
          </w:hyperlink>
        </w:p>
        <w:p w14:paraId="7CCA2236" w14:textId="77777777" w:rsidR="00CE2610" w:rsidRDefault="00CE2610" w:rsidP="00CE2610">
          <w:pPr>
            <w:ind w:left="40"/>
          </w:pPr>
          <w:r>
            <w:t xml:space="preserve">ACCA Global (2024), Comparing budgeting techniques (Incremental v ZBB), [Online] Available at: </w:t>
          </w:r>
          <w:hyperlink r:id="rId12" w:history="1">
            <w:r w:rsidRPr="007F2CA8">
              <w:rPr>
                <w:rStyle w:val="Hyperlink"/>
              </w:rPr>
              <w:t>https://www.accaglobal.com</w:t>
            </w:r>
          </w:hyperlink>
        </w:p>
        <w:p w14:paraId="718F7A35" w14:textId="77777777" w:rsidR="00CE2610" w:rsidRDefault="00CE2610" w:rsidP="00CE2610">
          <w:pPr>
            <w:ind w:left="40"/>
          </w:pPr>
          <w:r w:rsidRPr="00720305">
            <w:t xml:space="preserve">Angelena </w:t>
          </w:r>
          <w:proofErr w:type="spellStart"/>
          <w:r w:rsidRPr="00720305">
            <w:t>Mascilli</w:t>
          </w:r>
          <w:proofErr w:type="spellEnd"/>
          <w:r w:rsidRPr="00720305">
            <w:t xml:space="preserve">. (August 2024). Contributors. [Online]. </w:t>
          </w:r>
          <w:proofErr w:type="spellStart"/>
          <w:r w:rsidRPr="00720305">
            <w:t>jpmorgan</w:t>
          </w:r>
          <w:proofErr w:type="spellEnd"/>
          <w:r w:rsidRPr="00720305">
            <w:t xml:space="preserve">. Available at: </w:t>
          </w:r>
          <w:hyperlink r:id="rId13" w:history="1">
            <w:r w:rsidRPr="007F2CA8">
              <w:rPr>
                <w:rStyle w:val="Hyperlink"/>
              </w:rPr>
              <w:t>https://www.jpmorgan.com/insights/business/business-planning/the-importance-of-business-cash-managem</w:t>
            </w:r>
          </w:hyperlink>
        </w:p>
        <w:p w14:paraId="2850488E" w14:textId="77777777" w:rsidR="00CE2610" w:rsidRDefault="00CE2610" w:rsidP="00CE2610">
          <w:pPr>
            <w:ind w:left="40"/>
          </w:pPr>
          <w:proofErr w:type="spellStart"/>
          <w:r w:rsidRPr="00304914">
            <w:t>Atrill</w:t>
          </w:r>
          <w:proofErr w:type="spellEnd"/>
          <w:r w:rsidRPr="00304914">
            <w:t>, P. and McLaney, E. (2021), Management Accounting for Decision Makers (Tenth Edition</w:t>
          </w:r>
          <w:proofErr w:type="gramStart"/>
          <w:r w:rsidRPr="00304914">
            <w:t>),Harlow</w:t>
          </w:r>
          <w:proofErr w:type="gramEnd"/>
          <w:r w:rsidRPr="00304914">
            <w:t>: Pearson Education Ltd</w:t>
          </w:r>
        </w:p>
        <w:p w14:paraId="2AFC2875" w14:textId="77777777" w:rsidR="00CE2610" w:rsidRDefault="00CE2610" w:rsidP="00CE2610">
          <w:pPr>
            <w:ind w:left="40"/>
          </w:pPr>
          <w:r w:rsidRPr="00304914">
            <w:t>Drury. (2021). Management and Cost Accounting. 11th ed. Andover: Cengage Learning</w:t>
          </w:r>
        </w:p>
        <w:p w14:paraId="26A8E52D" w14:textId="77777777" w:rsidR="00CE2610" w:rsidRDefault="00CE2610" w:rsidP="00CE2610">
          <w:pPr>
            <w:ind w:left="40"/>
          </w:pPr>
          <w:r w:rsidRPr="00CE2610">
            <w:t xml:space="preserve">foster capital. (2025). The Limitations </w:t>
          </w:r>
          <w:proofErr w:type="gramStart"/>
          <w:r w:rsidRPr="00CE2610">
            <w:t>Of</w:t>
          </w:r>
          <w:proofErr w:type="gramEnd"/>
          <w:r w:rsidRPr="00CE2610">
            <w:t xml:space="preserve"> Traditional Budgeting Approaches. [Online]. foster capital. Available at: </w:t>
          </w:r>
          <w:hyperlink r:id="rId14" w:history="1">
            <w:r w:rsidRPr="007F2CA8">
              <w:rPr>
                <w:rStyle w:val="Hyperlink"/>
              </w:rPr>
              <w:t>https://fastercapital.com/topics/the-limitations-of-traditional-budgeting-approaches.html</w:t>
            </w:r>
          </w:hyperlink>
        </w:p>
        <w:p w14:paraId="386CAC91" w14:textId="77777777" w:rsidR="00CE2610" w:rsidRDefault="00CE2610" w:rsidP="00CE2610">
          <w:pPr>
            <w:ind w:left="40"/>
          </w:pPr>
          <w:r w:rsidRPr="00CE2610">
            <w:t xml:space="preserve">Gaetana Mak. (2025). Clothing Retailing in the UK - Market Research Report (2015-2030). [Online]. Ibis World. Available at: </w:t>
          </w:r>
          <w:hyperlink r:id="rId15" w:history="1">
            <w:r w:rsidRPr="007F2CA8">
              <w:rPr>
                <w:rStyle w:val="Hyperlink"/>
              </w:rPr>
              <w:t>https://www.ibisworld.com/united-kingdom/industry/clothing-retailing/3060/</w:t>
            </w:r>
          </w:hyperlink>
        </w:p>
        <w:p w14:paraId="3C24F983" w14:textId="77777777" w:rsidR="00CE2610" w:rsidRDefault="00CE2610" w:rsidP="00CE2610">
          <w:pPr>
            <w:ind w:left="40"/>
          </w:pPr>
          <w:proofErr w:type="spellStart"/>
          <w:r w:rsidRPr="00720305">
            <w:t>goldwins</w:t>
          </w:r>
          <w:proofErr w:type="spellEnd"/>
          <w:r w:rsidRPr="00720305">
            <w:t xml:space="preserve">. (2025). Negotiate credit card fees. [Online]. </w:t>
          </w:r>
          <w:proofErr w:type="spellStart"/>
          <w:r w:rsidRPr="00720305">
            <w:t>goldwins</w:t>
          </w:r>
          <w:proofErr w:type="spellEnd"/>
          <w:r w:rsidRPr="00720305">
            <w:t xml:space="preserve">. Available at: </w:t>
          </w:r>
          <w:hyperlink r:id="rId16" w:history="1">
            <w:r w:rsidRPr="007F2CA8">
              <w:rPr>
                <w:rStyle w:val="Hyperlink"/>
              </w:rPr>
              <w:t>https://www.goldwins.co.uk/resources/your-business/developing-your-business/business-finance/negotia</w:t>
            </w:r>
          </w:hyperlink>
        </w:p>
        <w:p w14:paraId="7184F153" w14:textId="77777777" w:rsidR="00CE2610" w:rsidRDefault="00CE2610" w:rsidP="00CE2610">
          <w:pPr>
            <w:ind w:left="40"/>
          </w:pPr>
          <w:r w:rsidRPr="00720305">
            <w:t xml:space="preserve">Jayalakshmi, M.; Shetty, </w:t>
          </w:r>
          <w:proofErr w:type="spellStart"/>
          <w:proofErr w:type="gramStart"/>
          <w:r w:rsidRPr="00720305">
            <w:t>J.H.;Poornima</w:t>
          </w:r>
          <w:proofErr w:type="spellEnd"/>
          <w:proofErr w:type="gramEnd"/>
          <w:r w:rsidRPr="00720305">
            <w:t xml:space="preserve">, H. K.; </w:t>
          </w:r>
          <w:proofErr w:type="spellStart"/>
          <w:r w:rsidRPr="00720305">
            <w:t>Sumithra</w:t>
          </w:r>
          <w:proofErr w:type="spellEnd"/>
          <w:r w:rsidRPr="00720305">
            <w:t xml:space="preserve">, N.P.; Chintan, R.V.; </w:t>
          </w:r>
          <w:proofErr w:type="spellStart"/>
          <w:r w:rsidRPr="00720305">
            <w:t>Shedthi</w:t>
          </w:r>
          <w:proofErr w:type="spellEnd"/>
          <w:r w:rsidRPr="00720305">
            <w:t>, A. (2023), Impact of the Budgetary Control on Organisation Performance. Journal of Survey in Fisheries Science, 10(3)</w:t>
          </w:r>
        </w:p>
        <w:p w14:paraId="142AFC15" w14:textId="77777777" w:rsidR="00CE2610" w:rsidRDefault="00CE2610" w:rsidP="00CE2610">
          <w:pPr>
            <w:ind w:left="40"/>
          </w:pPr>
          <w:proofErr w:type="spellStart"/>
          <w:r>
            <w:t>jenkins</w:t>
          </w:r>
          <w:proofErr w:type="spellEnd"/>
          <w:r>
            <w:t xml:space="preserve">, A. (2020), What is Inventory Management? Benefits, Types and Techniques, [Online] Available at: </w:t>
          </w:r>
          <w:hyperlink r:id="rId17" w:history="1">
            <w:r w:rsidRPr="007F2CA8">
              <w:rPr>
                <w:rStyle w:val="Hyperlink"/>
              </w:rPr>
              <w:t>https://www.netsuite.com</w:t>
            </w:r>
          </w:hyperlink>
        </w:p>
        <w:p w14:paraId="50157FEE" w14:textId="77777777" w:rsidR="00CE2610" w:rsidRDefault="00CE2610" w:rsidP="00CE2610">
          <w:pPr>
            <w:ind w:left="40"/>
          </w:pPr>
          <w:r w:rsidRPr="00CE2610">
            <w:t xml:space="preserve">Jonathan Marciano. (May 2024). The amazing history, present, and future of business budgets. [Online]. data rails blog. Available at: </w:t>
          </w:r>
          <w:hyperlink r:id="rId18" w:history="1">
            <w:r w:rsidRPr="007F2CA8">
              <w:rPr>
                <w:rStyle w:val="Hyperlink"/>
              </w:rPr>
              <w:t>https://www.datarails.com/then-and-now-business-budgets/</w:t>
            </w:r>
          </w:hyperlink>
        </w:p>
        <w:p w14:paraId="63D9A02E" w14:textId="77777777" w:rsidR="00CE2610" w:rsidRDefault="00CE2610" w:rsidP="00CE2610">
          <w:pPr>
            <w:ind w:left="40"/>
          </w:pPr>
          <w:r>
            <w:t xml:space="preserve">Lawrence, P. R. (2023), How to Deal with Resistance to Change, [Online] Available at: </w:t>
          </w:r>
          <w:hyperlink r:id="rId19" w:history="1">
            <w:r w:rsidRPr="007F2CA8">
              <w:rPr>
                <w:rStyle w:val="Hyperlink"/>
              </w:rPr>
              <w:t>https://www.hbr.org</w:t>
            </w:r>
          </w:hyperlink>
        </w:p>
        <w:p w14:paraId="2EE2F2EF" w14:textId="77777777" w:rsidR="00CE2610" w:rsidRDefault="00CE2610" w:rsidP="00CE2610">
          <w:pPr>
            <w:ind w:left="40"/>
          </w:pPr>
          <w:r>
            <w:t xml:space="preserve">Liyanage, T. (2021), From 'Traditional' Budgeting to 'Better' Budgeting: Navigating through 'Stability' and 'Change', [Online] Available at: </w:t>
          </w:r>
          <w:hyperlink r:id="rId20" w:history="1">
            <w:r w:rsidRPr="007F2CA8">
              <w:rPr>
                <w:rStyle w:val="Hyperlink"/>
              </w:rPr>
              <w:t>https://academia.edu</w:t>
            </w:r>
          </w:hyperlink>
        </w:p>
        <w:p w14:paraId="538E75B8" w14:textId="77777777" w:rsidR="00CE2610" w:rsidRDefault="00CE2610" w:rsidP="00CE2610">
          <w:pPr>
            <w:ind w:left="40"/>
          </w:pPr>
          <w:r w:rsidRPr="00720305">
            <w:t>Malina, M. A.  (2018), Advances in management accounting, Vol. 30 ed. Bingley: Emerald Publishing</w:t>
          </w:r>
        </w:p>
        <w:p w14:paraId="1B46E4D8" w14:textId="77777777" w:rsidR="00CE2610" w:rsidRDefault="00CE2610" w:rsidP="00CE2610">
          <w:pPr>
            <w:ind w:left="40"/>
          </w:pPr>
          <w:r w:rsidRPr="00304914">
            <w:t>Marr, B. (2012), Key performance indicators: the 75 measures every manager needs to know, (First Edition), Harlow: Pearson</w:t>
          </w:r>
        </w:p>
        <w:p w14:paraId="09C5F383" w14:textId="77777777" w:rsidR="00CE2610" w:rsidRDefault="00CE2610" w:rsidP="00CE2610">
          <w:pPr>
            <w:ind w:left="40"/>
          </w:pPr>
          <w:r w:rsidRPr="00304914">
            <w:t>Munoz, S., Ho, J. and Chow, C. (2006), Enhancing Knowledge Sharing in Public Accounting Firms. Accounting Horizons, 20(2), pp. 133-135</w:t>
          </w:r>
        </w:p>
        <w:p w14:paraId="0A1B8F2E" w14:textId="77777777" w:rsidR="00CE2610" w:rsidRDefault="00CE2610" w:rsidP="00CE2610">
          <w:pPr>
            <w:ind w:left="40"/>
          </w:pPr>
          <w:r>
            <w:t xml:space="preserve">Richard, J. (2023), The History of Budgeting: When did it Start and the Evolution </w:t>
          </w:r>
          <w:proofErr w:type="spellStart"/>
          <w:r>
            <w:t>Oveer</w:t>
          </w:r>
          <w:proofErr w:type="spellEnd"/>
          <w:r>
            <w:t xml:space="preserve"> Time, [Online] Available at: </w:t>
          </w:r>
          <w:hyperlink r:id="rId21" w:history="1">
            <w:r w:rsidRPr="007F2CA8">
              <w:rPr>
                <w:rStyle w:val="Hyperlink"/>
              </w:rPr>
              <w:t>https://www.solving-finance.com</w:t>
            </w:r>
          </w:hyperlink>
        </w:p>
        <w:p w14:paraId="5E50A017" w14:textId="77777777" w:rsidR="00CE2610" w:rsidRDefault="00CE2610" w:rsidP="00CE2610">
          <w:pPr>
            <w:ind w:left="40"/>
          </w:pPr>
          <w:r w:rsidRPr="00304914">
            <w:lastRenderedPageBreak/>
            <w:t>Seal, W. B., Rohde, C., Garrison, R. H. and Noreen, E. W. (2019), Management accounting, (Sixth Edition), London: McGraw-Hill Education</w:t>
          </w:r>
        </w:p>
        <w:p w14:paraId="561A7E07" w14:textId="77777777" w:rsidR="00CE2610" w:rsidRDefault="00CE2610" w:rsidP="00CE2610">
          <w:pPr>
            <w:ind w:left="40"/>
          </w:pPr>
          <w:r w:rsidRPr="00304914">
            <w:t xml:space="preserve">Simons, R. (2019), The role of management control systems in creating competitive advantage: new perspectives. In: Management Control Theory. </w:t>
          </w:r>
          <w:proofErr w:type="spellStart"/>
          <w:proofErr w:type="gramStart"/>
          <w:r w:rsidRPr="00304914">
            <w:t>s.l.:Routledge</w:t>
          </w:r>
          <w:proofErr w:type="spellEnd"/>
          <w:proofErr w:type="gramEnd"/>
          <w:r w:rsidRPr="00304914">
            <w:t>, pp. 173-194</w:t>
          </w:r>
        </w:p>
        <w:p w14:paraId="5161AD0E" w14:textId="77777777" w:rsidR="00CE2610" w:rsidRDefault="00CE2610" w:rsidP="00CE2610">
          <w:pPr>
            <w:ind w:left="40"/>
          </w:pPr>
          <w:r w:rsidRPr="00304914">
            <w:t>Walsh, C. (2008), Key management ratios: 100+ ratios every manager should know, (Fourth Edition), Harlow: FT Prentis Hall</w:t>
          </w:r>
        </w:p>
        <w:p w14:paraId="714DBBE2" w14:textId="77777777" w:rsidR="00CE2610" w:rsidRDefault="00CE2610" w:rsidP="00720305"/>
        <w:p w14:paraId="51158E65" w14:textId="77777777" w:rsidR="00720305" w:rsidRDefault="00720305" w:rsidP="00720305"/>
        <w:p w14:paraId="4E667645" w14:textId="77777777" w:rsidR="00663AC5" w:rsidRPr="00663AC5" w:rsidRDefault="00663AC5" w:rsidP="00663AC5"/>
        <w:p w14:paraId="77D69E6F" w14:textId="77777777" w:rsidR="004A11F6" w:rsidRPr="007D1947" w:rsidRDefault="004A11F6" w:rsidP="007D1947"/>
        <w:p w14:paraId="7F890C1F" w14:textId="77777777" w:rsidR="00CA09F3" w:rsidRDefault="00000000"/>
      </w:sdtContent>
    </w:sdt>
    <w:sectPr w:rsidR="00CA09F3" w:rsidSect="007D1947">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4F856" w14:textId="77777777" w:rsidR="00231158" w:rsidRDefault="00231158" w:rsidP="00CE2610">
      <w:pPr>
        <w:spacing w:after="0" w:line="240" w:lineRule="auto"/>
      </w:pPr>
      <w:r>
        <w:separator/>
      </w:r>
    </w:p>
  </w:endnote>
  <w:endnote w:type="continuationSeparator" w:id="0">
    <w:p w14:paraId="29D4BBE8" w14:textId="77777777" w:rsidR="00231158" w:rsidRDefault="00231158" w:rsidP="00CE2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2641473"/>
      <w:docPartObj>
        <w:docPartGallery w:val="Page Numbers (Bottom of Page)"/>
        <w:docPartUnique/>
      </w:docPartObj>
    </w:sdtPr>
    <w:sdtContent>
      <w:p w14:paraId="417A9C83" w14:textId="179A1B4B" w:rsidR="00CE2610" w:rsidRDefault="00CE2610" w:rsidP="007F2C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0F353F" w14:textId="77777777" w:rsidR="00CE2610" w:rsidRDefault="00CE2610" w:rsidP="00CE26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1088319"/>
      <w:docPartObj>
        <w:docPartGallery w:val="Page Numbers (Bottom of Page)"/>
        <w:docPartUnique/>
      </w:docPartObj>
    </w:sdtPr>
    <w:sdtContent>
      <w:p w14:paraId="59EAF876" w14:textId="1A479616" w:rsidR="00CE2610" w:rsidRDefault="00CE2610" w:rsidP="007F2C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8232FD" w14:textId="77777777" w:rsidR="00CE2610" w:rsidRDefault="00CE2610" w:rsidP="00CE26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D04498" w14:textId="77777777" w:rsidR="00231158" w:rsidRDefault="00231158" w:rsidP="00CE2610">
      <w:pPr>
        <w:spacing w:after="0" w:line="240" w:lineRule="auto"/>
      </w:pPr>
      <w:r>
        <w:separator/>
      </w:r>
    </w:p>
  </w:footnote>
  <w:footnote w:type="continuationSeparator" w:id="0">
    <w:p w14:paraId="47F1480D" w14:textId="77777777" w:rsidR="00231158" w:rsidRDefault="00231158" w:rsidP="00CE26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D1481F"/>
    <w:multiLevelType w:val="hybridMultilevel"/>
    <w:tmpl w:val="06C65C4E"/>
    <w:lvl w:ilvl="0" w:tplc="3F74BDC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2" w15:restartNumberingAfterBreak="0">
    <w:nsid w:val="6BCC34BE"/>
    <w:multiLevelType w:val="hybridMultilevel"/>
    <w:tmpl w:val="F3E41344"/>
    <w:lvl w:ilvl="0" w:tplc="84D2CDDE">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3" w15:restartNumberingAfterBreak="0">
    <w:nsid w:val="77891A11"/>
    <w:multiLevelType w:val="hybridMultilevel"/>
    <w:tmpl w:val="EF22AC82"/>
    <w:lvl w:ilvl="0" w:tplc="5894BDC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2C5EDA"/>
    <w:multiLevelType w:val="hybridMultilevel"/>
    <w:tmpl w:val="B4B4D6E2"/>
    <w:lvl w:ilvl="0" w:tplc="79D6789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024678">
    <w:abstractNumId w:val="1"/>
  </w:num>
  <w:num w:numId="2" w16cid:durableId="2063409408">
    <w:abstractNumId w:val="2"/>
  </w:num>
  <w:num w:numId="3" w16cid:durableId="1868523601">
    <w:abstractNumId w:val="4"/>
  </w:num>
  <w:num w:numId="4" w16cid:durableId="196816853">
    <w:abstractNumId w:val="3"/>
  </w:num>
  <w:num w:numId="5" w16cid:durableId="1933969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5904"/>
    <w:rsid w:val="0007058B"/>
    <w:rsid w:val="00075E8A"/>
    <w:rsid w:val="00082ABC"/>
    <w:rsid w:val="00084E65"/>
    <w:rsid w:val="00107936"/>
    <w:rsid w:val="00115B96"/>
    <w:rsid w:val="001248E6"/>
    <w:rsid w:val="0014534A"/>
    <w:rsid w:val="0019138C"/>
    <w:rsid w:val="00211837"/>
    <w:rsid w:val="00231158"/>
    <w:rsid w:val="0028587A"/>
    <w:rsid w:val="002E6070"/>
    <w:rsid w:val="00304914"/>
    <w:rsid w:val="00324CCD"/>
    <w:rsid w:val="00337FC4"/>
    <w:rsid w:val="003D655D"/>
    <w:rsid w:val="003F68EA"/>
    <w:rsid w:val="004071A7"/>
    <w:rsid w:val="00476B24"/>
    <w:rsid w:val="00480872"/>
    <w:rsid w:val="004A11F6"/>
    <w:rsid w:val="004D519C"/>
    <w:rsid w:val="005636FC"/>
    <w:rsid w:val="005A7588"/>
    <w:rsid w:val="00604404"/>
    <w:rsid w:val="00613F14"/>
    <w:rsid w:val="00627DBA"/>
    <w:rsid w:val="00663AC5"/>
    <w:rsid w:val="0067590F"/>
    <w:rsid w:val="006B47F5"/>
    <w:rsid w:val="00707F9E"/>
    <w:rsid w:val="00720305"/>
    <w:rsid w:val="00760DCF"/>
    <w:rsid w:val="007A71B6"/>
    <w:rsid w:val="007D1553"/>
    <w:rsid w:val="007D1947"/>
    <w:rsid w:val="007E3C28"/>
    <w:rsid w:val="007E7100"/>
    <w:rsid w:val="0080615C"/>
    <w:rsid w:val="00826DCD"/>
    <w:rsid w:val="008E2B5A"/>
    <w:rsid w:val="008F4B79"/>
    <w:rsid w:val="00900FA8"/>
    <w:rsid w:val="009037D9"/>
    <w:rsid w:val="00931CAA"/>
    <w:rsid w:val="00954B6C"/>
    <w:rsid w:val="009809CD"/>
    <w:rsid w:val="00995AFA"/>
    <w:rsid w:val="009C79B0"/>
    <w:rsid w:val="00A12B58"/>
    <w:rsid w:val="00A378EA"/>
    <w:rsid w:val="00A63E7D"/>
    <w:rsid w:val="00A6475B"/>
    <w:rsid w:val="00A90639"/>
    <w:rsid w:val="00AA2A91"/>
    <w:rsid w:val="00AC7DF2"/>
    <w:rsid w:val="00AE3EAB"/>
    <w:rsid w:val="00B17406"/>
    <w:rsid w:val="00B42F21"/>
    <w:rsid w:val="00B64298"/>
    <w:rsid w:val="00BA0477"/>
    <w:rsid w:val="00BC3EF1"/>
    <w:rsid w:val="00BC57A8"/>
    <w:rsid w:val="00BE2B58"/>
    <w:rsid w:val="00BF7D00"/>
    <w:rsid w:val="00C126DF"/>
    <w:rsid w:val="00C211A8"/>
    <w:rsid w:val="00C36011"/>
    <w:rsid w:val="00C43471"/>
    <w:rsid w:val="00C539AD"/>
    <w:rsid w:val="00CA09F3"/>
    <w:rsid w:val="00CB008E"/>
    <w:rsid w:val="00CB0F9F"/>
    <w:rsid w:val="00CE2610"/>
    <w:rsid w:val="00D23B91"/>
    <w:rsid w:val="00D854A5"/>
    <w:rsid w:val="00E27EF8"/>
    <w:rsid w:val="00E85D6F"/>
    <w:rsid w:val="00EF5731"/>
    <w:rsid w:val="00F01B91"/>
    <w:rsid w:val="00F04588"/>
    <w:rsid w:val="00FC4345"/>
    <w:rsid w:val="00FF60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character" w:styleId="UnresolvedMention">
    <w:name w:val="Unresolved Mention"/>
    <w:basedOn w:val="DefaultParagraphFont"/>
    <w:uiPriority w:val="99"/>
    <w:semiHidden/>
    <w:unhideWhenUsed/>
    <w:rsid w:val="00663AC5"/>
    <w:rPr>
      <w:color w:val="605E5C"/>
      <w:shd w:val="clear" w:color="auto" w:fill="E1DFDD"/>
    </w:rPr>
  </w:style>
  <w:style w:type="character" w:styleId="FollowedHyperlink">
    <w:name w:val="FollowedHyperlink"/>
    <w:basedOn w:val="DefaultParagraphFont"/>
    <w:uiPriority w:val="99"/>
    <w:semiHidden/>
    <w:unhideWhenUsed/>
    <w:rsid w:val="00663AC5"/>
    <w:rPr>
      <w:color w:val="954F72" w:themeColor="followedHyperlink"/>
      <w:u w:val="single"/>
    </w:rPr>
  </w:style>
  <w:style w:type="paragraph" w:styleId="Footer">
    <w:name w:val="footer"/>
    <w:basedOn w:val="Normal"/>
    <w:link w:val="FooterChar"/>
    <w:uiPriority w:val="99"/>
    <w:unhideWhenUsed/>
    <w:rsid w:val="00CE2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610"/>
  </w:style>
  <w:style w:type="character" w:styleId="PageNumber">
    <w:name w:val="page number"/>
    <w:basedOn w:val="DefaultParagraphFont"/>
    <w:uiPriority w:val="99"/>
    <w:semiHidden/>
    <w:unhideWhenUsed/>
    <w:rsid w:val="00CE2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pmorgan.com/insights/business/business-planning/the-importance-of-business-cash-managem" TargetMode="External"/><Relationship Id="rId18" Type="http://schemas.openxmlformats.org/officeDocument/2006/relationships/hyperlink" Target="https://www.datarails.com/then-and-now-business-budget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olving-finance.com" TargetMode="External"/><Relationship Id="rId7" Type="http://schemas.openxmlformats.org/officeDocument/2006/relationships/footnotes" Target="footnotes.xml"/><Relationship Id="rId12" Type="http://schemas.openxmlformats.org/officeDocument/2006/relationships/hyperlink" Target="https://www.accaglobal.com" TargetMode="External"/><Relationship Id="rId17" Type="http://schemas.openxmlformats.org/officeDocument/2006/relationships/hyperlink" Target="https://www.netsuite.com"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goldwins.co.uk/resources/your-business/developing-your-business/business-finance/negotia" TargetMode="External"/><Relationship Id="rId20" Type="http://schemas.openxmlformats.org/officeDocument/2006/relationships/hyperlink" Target="https://academia.edu"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caglobal.com"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ibisworld.com/united-kingdom/industry/clothing-retailing/3060/"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hbr.or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astercapital.com/topics/the-limitations-of-traditional-budgeting-approaches.html"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32F15"/>
    <w:rsid w:val="004C4AF9"/>
    <w:rsid w:val="004D25D2"/>
    <w:rsid w:val="00873A47"/>
    <w:rsid w:val="00A34C42"/>
    <w:rsid w:val="00BC1251"/>
    <w:rsid w:val="00C67429"/>
    <w:rsid w:val="00CB0F9F"/>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Jen20</b:Tag>
    <b:SourceType>InternetSite</b:SourceType>
    <b:Guid>{76C080A8-4348-4C39-A01A-B28B6B233DBE}</b:Guid>
    <b:Author>
      <b:Author>
        <b:NameList>
          <b:Person>
            <b:Last>Jenkins</b:Last>
            <b:First>Abby</b:First>
          </b:Person>
        </b:NameList>
      </b:Author>
    </b:Author>
    <b:Title>What is Inventory Management? Benefits, Types and Techniques</b:Title>
    <b:Year>2020</b:Year>
    <b:YearAccessed>2024</b:YearAccessed>
    <b:MonthAccessed>April</b:MonthAccessed>
    <b:DayAccessed>09</b:DayAccessed>
    <b:URL>https://www.netsuite.com</b:URL>
    <b:RefOrder>13</b:RefOrder>
  </b:Source>
  <b:Source>
    <b:Tag>Sim19</b:Tag>
    <b:SourceType>BookSection</b:SourceType>
    <b:Guid>{39C10986-6DB9-4DC5-9A9B-1A030B99F952}</b:Guid>
    <b:Author>
      <b:Author>
        <b:NameList>
          <b:Person>
            <b:Last>Simons</b:Last>
            <b:First>R.</b:First>
          </b:Person>
        </b:NameList>
      </b:Author>
    </b:Author>
    <b:Title>The role of management control systems in creating competitive advantage: new perspectives</b:Title>
    <b:Year>2019</b:Year>
    <b:Publisher>Routledge</b:Publisher>
    <b:BookTitle>Management Control Theory</b:BookTitle>
    <b:Pages>173-194</b:Pages>
    <b:RefOrder>16</b:RefOrder>
  </b:Source>
  <b:Source>
    <b:Tag>Law23</b:Tag>
    <b:SourceType>InternetSite</b:SourceType>
    <b:Guid>{CF727757-26A8-40A9-8609-3B538B4DF4D5}</b:Guid>
    <b:Author>
      <b:Author>
        <b:NameList>
          <b:Person>
            <b:Last>Lawrence</b:Last>
            <b:First>Paul</b:First>
            <b:Middle>R.</b:Middle>
          </b:Person>
        </b:NameList>
      </b:Author>
    </b:Author>
    <b:Title>How to Deal with Resistance to Change</b:Title>
    <b:Year>2023</b:Year>
    <b:YearAccessed>2024</b:YearAccessed>
    <b:MonthAccessed>April</b:MonthAccessed>
    <b:DayAccessed>02</b:DayAccessed>
    <b:URL>https://www.hbr.org</b:URL>
    <b:RefOrder>17</b:RefOrder>
  </b:Source>
  <b:Source>
    <b:Tag>Mun06</b:Tag>
    <b:SourceType>JournalArticle</b:SourceType>
    <b:Guid>{7E6687D2-7C04-4001-85D5-16E9953940D4}</b:Guid>
    <b:Author>
      <b:Author>
        <b:NameList>
          <b:Person>
            <b:Last>Munoz</b:Last>
            <b:First>Sandra</b:First>
          </b:Person>
          <b:Person>
            <b:Last>Ho</b:Last>
            <b:First>Joanna</b:First>
          </b:Person>
          <b:Person>
            <b:Last>Chow</b:Last>
            <b:First>Chee</b:First>
          </b:Person>
        </b:NameList>
      </b:Author>
    </b:Author>
    <b:Title>Enhancing Knowledge Sharing in Public Accounting Firms</b:Title>
    <b:JournalName>Accounting Horizons</b:JournalName>
    <b:Year>2006</b:Year>
    <b:Pages>133-135</b:Pages>
    <b:Volume>20</b:Volume>
    <b:Issue>2</b:Issue>
    <b:RefOrder>20</b:RefOrder>
  </b:Source>
  <b:Source>
    <b:Tag>Sea19</b:Tag>
    <b:SourceType>Book</b:SourceType>
    <b:Guid>{CB352F5D-43C4-4FFD-A398-94E4D318FF64}</b:Guid>
    <b:Author>
      <b:Author>
        <b:NameList>
          <b:Person>
            <b:Last>Seal</b:Last>
            <b:First>W.</b:First>
            <b:Middle>B.</b:Middle>
          </b:Person>
          <b:Person>
            <b:Last>Rohde</b:Last>
            <b:First>Carsten</b:First>
          </b:Person>
          <b:Person>
            <b:Last>Garrison</b:Last>
            <b:First>Ray</b:First>
            <b:Middle>H.</b:Middle>
          </b:Person>
          <b:Person>
            <b:Last>Noreen</b:Last>
            <b:First>Eric</b:First>
            <b:Middle>W.</b:Middle>
          </b:Person>
        </b:NameList>
      </b:Author>
    </b:Author>
    <b:Title>Management accounting</b:Title>
    <b:Year>2019</b:Year>
    <b:City>London</b:City>
    <b:Publisher>McGraw-Hill Education</b:Publisher>
    <b:Edition>Sixth Edition</b:Edition>
    <b:RefOrder>22</b:RefOrder>
  </b:Source>
  <b:Source>
    <b:Tag>Atr21</b:Tag>
    <b:SourceType>Book</b:SourceType>
    <b:Guid>{66436BE2-B3B1-4433-A7DA-5CAF8AD6FB8E}</b:Guid>
    <b:Author>
      <b:Author>
        <b:NameList>
          <b:Person>
            <b:Last>Atrill</b:Last>
            <b:First>Peter</b:First>
          </b:Person>
          <b:Person>
            <b:Last>McLaney</b:Last>
            <b:First>Eddie</b:First>
          </b:Person>
        </b:NameList>
      </b:Author>
    </b:Author>
    <b:Title>Management Accounting for Decision Makers</b:Title>
    <b:Year>2021</b:Year>
    <b:City>Harlow</b:City>
    <b:Publisher>Pearson Education Ltd</b:Publisher>
    <b:Edition>Tenth Edition</b:Edition>
    <b:RefOrder>23</b:RefOrder>
  </b:Source>
  <b:Source>
    <b:Tag>ACC241</b:Tag>
    <b:SourceType>InternetSite</b:SourceType>
    <b:Guid>{6B619D39-55DF-46EE-B93A-0DFF6A9055C8}</b:Guid>
    <b:Author>
      <b:Author>
        <b:Corporate>ACCA Global</b:Corporate>
      </b:Author>
    </b:Author>
    <b:Title>Comparing budgeting techniques (Incremental v ZBB)</b:Title>
    <b:Year>2024</b:Year>
    <b:YearAccessed>2024</b:YearAccessed>
    <b:MonthAccessed>April</b:MonthAccessed>
    <b:DayAccessed>8</b:DayAccessed>
    <b:URL>https://www.accaglobal.com</b:URL>
    <b:RefOrder>24</b:RefOrder>
  </b:Source>
  <b:Source>
    <b:Tag>ACC24</b:Tag>
    <b:SourceType>InternetSite</b:SourceType>
    <b:Guid>{38841905-87A0-4467-9ED2-ECC51871595C}</b:Guid>
    <b:Author>
      <b:Author>
        <b:Corporate>ACCA Global</b:Corporate>
      </b:Author>
    </b:Author>
    <b:Title>Beyond budgeting</b:Title>
    <b:Year>2024</b:Year>
    <b:YearAccessed>2024</b:YearAccessed>
    <b:MonthAccessed>April</b:MonthAccessed>
    <b:DayAccessed>03</b:DayAccessed>
    <b:URL>https://www.accaglobal.com</b:URL>
    <b:RefOrder>25</b:RefOrder>
  </b:Source>
  <b:Source>
    <b:Tag>Mal18</b:Tag>
    <b:SourceType>Book</b:SourceType>
    <b:Guid>{637E390D-2B21-4867-B987-5D8C639312F2}</b:Guid>
    <b:Author>
      <b:Author>
        <b:NameList>
          <b:Person>
            <b:Last>Malina</b:Last>
            <b:First>M.</b:First>
            <b:Middle>A. (ed)</b:Middle>
          </b:Person>
        </b:NameList>
      </b:Author>
    </b:Author>
    <b:Title>Advances in management accounting</b:Title>
    <b:Year>2018</b:Year>
    <b:City>Bingley</b:City>
    <b:Publisher>Emerald Publishing</b:Publisher>
    <b:Edition>Vol. 30</b:Edition>
    <b:RefOrder>27</b:RefOrder>
  </b:Source>
  <b:Source>
    <b:Tag>Jay23</b:Tag>
    <b:SourceType>JournalArticle</b:SourceType>
    <b:Guid>{06CADFA3-CD9E-41E0-9598-EE4619F77CE6}</b:Guid>
    <b:Author>
      <b:Author>
        <b:NameList>
          <b:Person>
            <b:Last>Jayalakshmi</b:Last>
            <b:First>M</b:First>
          </b:Person>
          <b:Person>
            <b:Last>Shetty</b:Last>
            <b:First>Jyoti</b:First>
            <b:Middle>Harsha</b:Middle>
          </b:Person>
          <b:Person>
            <b:Last>Poornima</b:Last>
            <b:First>H</b:First>
            <b:Middle>K</b:Middle>
          </b:Person>
          <b:Person>
            <b:Last>Sumithra</b:Last>
            <b:First>N</b:First>
            <b:Middle>P</b:Middle>
          </b:Person>
          <b:Person>
            <b:Last>Chintan</b:Last>
            <b:First>Raj</b:First>
            <b:Middle>Vernekar</b:Middle>
          </b:Person>
          <b:Person>
            <b:Last>Shedthi</b:Last>
            <b:First>Ashwini</b:First>
          </b:Person>
        </b:NameList>
      </b:Author>
    </b:Author>
    <b:Title>Impact of the Budgetary Control on Organisation Performance</b:Title>
    <b:Year>2023</b:Year>
    <b:JournalName>Journal of Survey in Fisheries Science</b:JournalName>
    <b:Pages>1664-1670</b:Pages>
    <b:Volume>10</b:Volume>
    <b:Issue>3</b:Issue>
    <b:RefOrder>28</b:RefOrder>
  </b:Source>
  <b:Source>
    <b:Tag>Liy21</b:Tag>
    <b:SourceType>InternetSite</b:SourceType>
    <b:Guid>{017C0990-0238-45DC-9E45-9D32462DA0A0}</b:Guid>
    <b:Author>
      <b:Author>
        <b:NameList>
          <b:Person>
            <b:Last>Liyanage</b:Last>
            <b:First>Thisali</b:First>
          </b:Person>
        </b:NameList>
      </b:Author>
    </b:Author>
    <b:Title>From 'Traditional' Budgeting to 'Better' Budgeting: Navigating through 'Stability' and 'Change'</b:Title>
    <b:Year>2021</b:Year>
    <b:YearAccessed>2024</b:YearAccessed>
    <b:MonthAccessed>April</b:MonthAccessed>
    <b:DayAccessed>02</b:DayAccessed>
    <b:URL>https://academia.edu</b:URL>
    <b:RefOrder>29</b:RefOrder>
  </b:Source>
  <b:Source>
    <b:Tag>Sea18</b:Tag>
    <b:SourceType>Book</b:SourceType>
    <b:Guid>{594DE3D0-4D06-46EB-B203-62E38FE7922A}</b:Guid>
    <b:Author>
      <b:Author>
        <b:NameList>
          <b:Person>
            <b:Last>Seal</b:Last>
            <b:First>Will</b:First>
          </b:Person>
          <b:Person>
            <b:Last>Rhode</b:Last>
            <b:First>Carsten</b:First>
          </b:Person>
          <b:Person>
            <b:Last>Garrison</b:Last>
            <b:First>Ray</b:First>
            <b:Middle>H</b:Middle>
          </b:Person>
          <b:Person>
            <b:Last>Noreen</b:Last>
            <b:First>Eric</b:First>
            <b:Middle>W</b:Middle>
          </b:Person>
        </b:NameList>
      </b:Author>
    </b:Author>
    <b:Title>Management Accounting</b:Title>
    <b:Year>2018</b:Year>
    <b:City>London</b:City>
    <b:Publisher>McGraw-Hill Education</b:Publisher>
    <b:Edition>Sixth Edition</b:Edition>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8D1E62-3C04-3B42-A457-6D9A07482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3963</Words>
  <Characters>22592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principles and concepts of finance blue thread ltd</vt:lpstr>
    </vt:vector>
  </TitlesOfParts>
  <Company>University of Wales Trinity Saint David</Company>
  <LinksUpToDate>false</LinksUpToDate>
  <CharactersWithSpaces>26502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 blue thread ltd</dc:title>
  <dc:subject>Iosif-Ionut Carpaci 1922471</dc:subject>
  <dc:creator>Marie Pitson</dc:creator>
  <cp:keywords/>
  <dc:description/>
  <cp:lastModifiedBy>Iosif Carpaci (1922471)</cp:lastModifiedBy>
  <cp:revision>2</cp:revision>
  <dcterms:created xsi:type="dcterms:W3CDTF">2025-03-28T12:42:00Z</dcterms:created>
  <dcterms:modified xsi:type="dcterms:W3CDTF">2025-03-28T12:42:00Z</dcterms:modified>
</cp:coreProperties>
</file>