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D2171" w14:textId="77777777" w:rsidR="00A254FD" w:rsidRDefault="00D83CC1" w:rsidP="003347A7">
      <w:pPr>
        <w:jc w:val="center"/>
        <w:rPr>
          <w:rFonts w:ascii="Arial" w:hAnsi="Arial" w:cs="Arial"/>
          <w:color w:val="2191C9" w:themeColor="background2" w:themeShade="80"/>
          <w:sz w:val="48"/>
          <w:szCs w:val="48"/>
          <w:lang w:val="en-GB"/>
        </w:rPr>
      </w:pPr>
      <w:r w:rsidRPr="002D3EEA">
        <w:rPr>
          <w:rFonts w:ascii="Arial" w:hAnsi="Arial" w:cs="Arial"/>
          <w:color w:val="2191C9" w:themeColor="background2" w:themeShade="80"/>
          <w:sz w:val="48"/>
          <w:szCs w:val="48"/>
          <w:lang w:val="en-GB"/>
        </w:rPr>
        <w:t xml:space="preserve">Workplace Culture and Its impact on Organizational Efficiency: A Report on </w:t>
      </w:r>
      <w:r w:rsidR="00F33C18">
        <w:rPr>
          <w:rFonts w:ascii="Arial" w:hAnsi="Arial" w:cs="Arial"/>
          <w:noProof/>
          <w:color w:val="DBEFF9" w:themeColor="background2"/>
          <w:sz w:val="48"/>
          <w:szCs w:val="48"/>
          <w:lang w:val="en-GB"/>
        </w:rPr>
        <w:drawing>
          <wp:inline distT="0" distB="0" distL="0" distR="0" wp14:anchorId="7428F61F" wp14:editId="06101C53">
            <wp:extent cx="2143125" cy="1264920"/>
            <wp:effectExtent l="0" t="0" r="9525" b="0"/>
            <wp:docPr id="59077615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76154" name="Picture 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143125" cy="1264920"/>
                    </a:xfrm>
                    <a:prstGeom prst="rect">
                      <a:avLst/>
                    </a:prstGeom>
                  </pic:spPr>
                </pic:pic>
              </a:graphicData>
            </a:graphic>
          </wp:inline>
        </w:drawing>
      </w:r>
      <w:r w:rsidRPr="002D3EEA">
        <w:rPr>
          <w:rFonts w:ascii="Arial" w:hAnsi="Arial" w:cs="Arial"/>
          <w:color w:val="2191C9" w:themeColor="background2" w:themeShade="80"/>
          <w:sz w:val="48"/>
          <w:szCs w:val="48"/>
          <w:lang w:val="en-GB"/>
        </w:rPr>
        <w:t xml:space="preserve"> </w:t>
      </w:r>
    </w:p>
    <w:p w14:paraId="7B8B7059" w14:textId="6FABD967" w:rsidR="00D83CC1" w:rsidRDefault="00D83CC1" w:rsidP="00B7353B">
      <w:pPr>
        <w:jc w:val="center"/>
        <w:rPr>
          <w:rFonts w:ascii="Arial" w:hAnsi="Arial" w:cs="Arial"/>
          <w:color w:val="2191C9" w:themeColor="background2" w:themeShade="80"/>
          <w:sz w:val="48"/>
          <w:szCs w:val="48"/>
          <w:lang w:val="en-GB"/>
        </w:rPr>
      </w:pPr>
      <w:r w:rsidRPr="002D3EEA">
        <w:rPr>
          <w:rFonts w:ascii="Arial" w:hAnsi="Arial" w:cs="Arial"/>
          <w:color w:val="2191C9" w:themeColor="background2" w:themeShade="80"/>
          <w:sz w:val="48"/>
          <w:szCs w:val="48"/>
          <w:lang w:val="en-GB"/>
        </w:rPr>
        <w:t>Company</w:t>
      </w:r>
    </w:p>
    <w:p w14:paraId="7AB723E1" w14:textId="77777777" w:rsidR="007E2C90" w:rsidRDefault="007E2C90" w:rsidP="00B7353B">
      <w:pPr>
        <w:jc w:val="center"/>
        <w:rPr>
          <w:rFonts w:ascii="Arial" w:hAnsi="Arial" w:cs="Arial"/>
          <w:lang w:val="en-GB"/>
        </w:rPr>
      </w:pPr>
    </w:p>
    <w:p w14:paraId="5B65ACC3" w14:textId="5F8993C5" w:rsidR="00D83CC1" w:rsidRDefault="00D83CC1">
      <w:pPr>
        <w:rPr>
          <w:rFonts w:ascii="Arial" w:hAnsi="Arial" w:cs="Arial"/>
          <w:lang w:val="en-GB"/>
        </w:rPr>
      </w:pPr>
      <w:r>
        <w:rPr>
          <w:rFonts w:ascii="Arial" w:hAnsi="Arial" w:cs="Arial"/>
          <w:noProof/>
          <w:lang w:val="en-GB"/>
        </w:rPr>
        <w:drawing>
          <wp:inline distT="0" distB="0" distL="0" distR="0" wp14:anchorId="3BF6C97A" wp14:editId="327BAEBC">
            <wp:extent cx="5731510" cy="3169285"/>
            <wp:effectExtent l="0" t="0" r="2540" b="0"/>
            <wp:docPr id="929075861" name="Picture 2" descr="A picture containing cartoon, clothing,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75861" name="Picture 2" descr="A picture containing cartoon, clothing, clipart, de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69285"/>
                    </a:xfrm>
                    <a:prstGeom prst="rect">
                      <a:avLst/>
                    </a:prstGeom>
                  </pic:spPr>
                </pic:pic>
              </a:graphicData>
            </a:graphic>
          </wp:inline>
        </w:drawing>
      </w:r>
    </w:p>
    <w:p w14:paraId="27BCBF8C" w14:textId="77777777" w:rsidR="002D3EEA" w:rsidRDefault="002D3EEA">
      <w:pPr>
        <w:rPr>
          <w:rFonts w:ascii="Arial" w:hAnsi="Arial" w:cs="Arial"/>
          <w:lang w:val="en-GB"/>
        </w:rPr>
      </w:pPr>
    </w:p>
    <w:p w14:paraId="376C2073" w14:textId="77777777" w:rsidR="00054BFC" w:rsidRPr="00381701" w:rsidRDefault="00054BFC">
      <w:pPr>
        <w:rPr>
          <w:rFonts w:ascii="Arial" w:hAnsi="Arial" w:cs="Arial"/>
          <w:lang w:val="en-GB"/>
        </w:rPr>
      </w:pPr>
    </w:p>
    <w:tbl>
      <w:tblPr>
        <w:tblStyle w:val="TableGrid"/>
        <w:tblW w:w="9190" w:type="dxa"/>
        <w:tblInd w:w="-10" w:type="dxa"/>
        <w:tblBorders>
          <w:top w:val="single" w:sz="8" w:space="0" w:color="4389D7" w:themeColor="text2" w:themeTint="99"/>
          <w:left w:val="single" w:sz="8" w:space="0" w:color="4389D7" w:themeColor="text2" w:themeTint="99"/>
          <w:bottom w:val="single" w:sz="8" w:space="0" w:color="4389D7" w:themeColor="text2" w:themeTint="99"/>
          <w:right w:val="single" w:sz="8" w:space="0" w:color="4389D7" w:themeColor="text2" w:themeTint="99"/>
          <w:insideH w:val="single" w:sz="8" w:space="0" w:color="4389D7" w:themeColor="text2" w:themeTint="99"/>
          <w:insideV w:val="single" w:sz="8" w:space="0" w:color="4389D7" w:themeColor="text2" w:themeTint="99"/>
        </w:tblBorders>
        <w:tblLook w:val="04A0" w:firstRow="1" w:lastRow="0" w:firstColumn="1" w:lastColumn="0" w:noHBand="0" w:noVBand="1"/>
      </w:tblPr>
      <w:tblGrid>
        <w:gridCol w:w="2694"/>
        <w:gridCol w:w="6496"/>
      </w:tblGrid>
      <w:tr w:rsidR="00E67D5C" w:rsidRPr="00B84BFD" w14:paraId="566B3C22" w14:textId="77777777" w:rsidTr="00FB1A5A">
        <w:trPr>
          <w:trHeight w:val="360"/>
        </w:trPr>
        <w:tc>
          <w:tcPr>
            <w:tcW w:w="2694" w:type="dxa"/>
            <w:shd w:val="clear" w:color="auto" w:fill="auto"/>
          </w:tcPr>
          <w:p w14:paraId="6560ABF2"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br w:type="page"/>
              <w:t>Student Name</w:t>
            </w:r>
          </w:p>
        </w:tc>
        <w:tc>
          <w:tcPr>
            <w:tcW w:w="6496" w:type="dxa"/>
            <w:shd w:val="clear" w:color="auto" w:fill="auto"/>
          </w:tcPr>
          <w:p w14:paraId="48B15734"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Radoslav Nikolov</w:t>
            </w:r>
          </w:p>
        </w:tc>
      </w:tr>
      <w:tr w:rsidR="00E67D5C" w:rsidRPr="00B84BFD" w14:paraId="7CE18897" w14:textId="77777777" w:rsidTr="00FB1A5A">
        <w:trPr>
          <w:trHeight w:val="360"/>
        </w:trPr>
        <w:tc>
          <w:tcPr>
            <w:tcW w:w="2694" w:type="dxa"/>
            <w:shd w:val="clear" w:color="auto" w:fill="auto"/>
          </w:tcPr>
          <w:p w14:paraId="6AEEC0D0"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Student ID</w:t>
            </w:r>
          </w:p>
        </w:tc>
        <w:tc>
          <w:tcPr>
            <w:tcW w:w="6496" w:type="dxa"/>
            <w:shd w:val="clear" w:color="auto" w:fill="auto"/>
          </w:tcPr>
          <w:p w14:paraId="6467CAF2"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2118366</w:t>
            </w:r>
          </w:p>
        </w:tc>
      </w:tr>
      <w:tr w:rsidR="00E67D5C" w:rsidRPr="00B84BFD" w14:paraId="4FA37A5F" w14:textId="77777777" w:rsidTr="00FB1A5A">
        <w:trPr>
          <w:trHeight w:val="376"/>
        </w:trPr>
        <w:tc>
          <w:tcPr>
            <w:tcW w:w="2694" w:type="dxa"/>
            <w:shd w:val="clear" w:color="auto" w:fill="auto"/>
          </w:tcPr>
          <w:p w14:paraId="73421186"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Module code</w:t>
            </w:r>
          </w:p>
        </w:tc>
        <w:tc>
          <w:tcPr>
            <w:tcW w:w="6496" w:type="dxa"/>
            <w:shd w:val="clear" w:color="auto" w:fill="auto"/>
          </w:tcPr>
          <w:p w14:paraId="48A72782"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lang w:val="bg-BG"/>
              </w:rPr>
              <w:t>BMSW 5105</w:t>
            </w:r>
          </w:p>
        </w:tc>
      </w:tr>
      <w:tr w:rsidR="00E67D5C" w:rsidRPr="00B84BFD" w14:paraId="1836C389" w14:textId="77777777" w:rsidTr="00FB1A5A">
        <w:trPr>
          <w:trHeight w:val="469"/>
        </w:trPr>
        <w:tc>
          <w:tcPr>
            <w:tcW w:w="2694" w:type="dxa"/>
            <w:shd w:val="clear" w:color="auto" w:fill="auto"/>
          </w:tcPr>
          <w:p w14:paraId="4D9A67AD"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Assignment section</w:t>
            </w:r>
          </w:p>
        </w:tc>
        <w:tc>
          <w:tcPr>
            <w:tcW w:w="6496" w:type="dxa"/>
            <w:shd w:val="clear" w:color="auto" w:fill="auto"/>
          </w:tcPr>
          <w:p w14:paraId="7FC73485" w14:textId="33BA3433" w:rsidR="00E67D5C" w:rsidRPr="00B84BFD" w:rsidRDefault="00E67D5C" w:rsidP="00FB1A5A">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Workplace Culture and Its Impact on Organisational Efficiency</w:t>
            </w:r>
          </w:p>
        </w:tc>
      </w:tr>
      <w:tr w:rsidR="00E67D5C" w:rsidRPr="00B84BFD" w14:paraId="3DFE0189" w14:textId="77777777" w:rsidTr="00FB1A5A">
        <w:trPr>
          <w:trHeight w:val="360"/>
        </w:trPr>
        <w:tc>
          <w:tcPr>
            <w:tcW w:w="2694" w:type="dxa"/>
            <w:shd w:val="clear" w:color="auto" w:fill="auto"/>
          </w:tcPr>
          <w:p w14:paraId="07F823EF"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rPr>
              <w:t>Lecturer’s name</w:t>
            </w:r>
          </w:p>
        </w:tc>
        <w:tc>
          <w:tcPr>
            <w:tcW w:w="6496" w:type="dxa"/>
            <w:shd w:val="clear" w:color="auto" w:fill="auto"/>
          </w:tcPr>
          <w:p w14:paraId="55872E09" w14:textId="77777777" w:rsidR="00E67D5C" w:rsidRPr="00B84BFD" w:rsidRDefault="00E67D5C" w:rsidP="00F25335">
            <w:pPr>
              <w:rPr>
                <w:rFonts w:ascii="Arial" w:hAnsi="Arial" w:cs="Arial"/>
                <w:color w:val="2191C9" w:themeColor="background2" w:themeShade="80"/>
                <w:sz w:val="22"/>
                <w:szCs w:val="22"/>
              </w:rPr>
            </w:pPr>
            <w:r w:rsidRPr="00B84BFD">
              <w:rPr>
                <w:rFonts w:ascii="Arial" w:hAnsi="Arial" w:cs="Arial"/>
                <w:color w:val="2191C9" w:themeColor="background2" w:themeShade="80"/>
                <w:sz w:val="22"/>
                <w:szCs w:val="22"/>
                <w:lang w:val="bg-BG"/>
              </w:rPr>
              <w:t>Abdi Rahman</w:t>
            </w:r>
          </w:p>
        </w:tc>
      </w:tr>
    </w:tbl>
    <w:p w14:paraId="744FA7FA" w14:textId="4B67B79F" w:rsidR="00496833" w:rsidRDefault="00496833" w:rsidP="00381701">
      <w:pPr>
        <w:rPr>
          <w:rFonts w:ascii="Arial" w:hAnsi="Arial" w:cs="Arial"/>
          <w:sz w:val="22"/>
          <w:szCs w:val="22"/>
          <w:lang w:val="en-GB"/>
        </w:rPr>
      </w:pPr>
    </w:p>
    <w:sdt>
      <w:sdtPr>
        <w:rPr>
          <w:rFonts w:asciiTheme="minorHAnsi" w:eastAsiaTheme="minorEastAsia" w:hAnsiTheme="minorHAnsi" w:cstheme="minorBidi"/>
          <w:color w:val="auto"/>
          <w:sz w:val="21"/>
          <w:szCs w:val="21"/>
        </w:rPr>
        <w:id w:val="171298969"/>
        <w:docPartObj>
          <w:docPartGallery w:val="Table of Contents"/>
          <w:docPartUnique/>
        </w:docPartObj>
      </w:sdtPr>
      <w:sdtEndPr>
        <w:rPr>
          <w:b/>
          <w:bCs/>
          <w:noProof/>
        </w:rPr>
      </w:sdtEndPr>
      <w:sdtContent>
        <w:p w14:paraId="494E54A4" w14:textId="080A1029" w:rsidR="001A6E47" w:rsidRDefault="001A6E47">
          <w:pPr>
            <w:pStyle w:val="TOCHeading"/>
          </w:pPr>
          <w:r>
            <w:t>Contents</w:t>
          </w:r>
        </w:p>
        <w:p w14:paraId="1B374425" w14:textId="5D5598CE" w:rsidR="00AA6C6A" w:rsidRPr="00AA6C6A" w:rsidRDefault="001A6E47">
          <w:pPr>
            <w:pStyle w:val="TOC1"/>
            <w:tabs>
              <w:tab w:val="right" w:leader="dot" w:pos="9016"/>
            </w:tabs>
            <w:rPr>
              <w:rFonts w:ascii="Arial" w:hAnsi="Arial" w:cs="Arial"/>
              <w:noProof/>
              <w:kern w:val="2"/>
              <w:sz w:val="22"/>
              <w:szCs w:val="22"/>
              <w:lang w:eastAsia="bg-BG"/>
              <w14:ligatures w14:val="standardContextual"/>
            </w:rPr>
          </w:pPr>
          <w:r>
            <w:fldChar w:fldCharType="begin"/>
          </w:r>
          <w:r>
            <w:instrText xml:space="preserve"> TOC \o "1-3" \h \z \u </w:instrText>
          </w:r>
          <w:r>
            <w:fldChar w:fldCharType="separate"/>
          </w:r>
          <w:hyperlink w:anchor="_Toc139827388" w:history="1">
            <w:r w:rsidR="00AA6C6A" w:rsidRPr="00AA6C6A">
              <w:rPr>
                <w:rStyle w:val="Hyperlink"/>
                <w:rFonts w:ascii="Arial" w:hAnsi="Arial" w:cs="Arial"/>
                <w:noProof/>
                <w:lang w:val="en-GB"/>
              </w:rPr>
              <w:t>Introduction</w:t>
            </w:r>
            <w:r w:rsidR="00AA6C6A" w:rsidRPr="00AA6C6A">
              <w:rPr>
                <w:rFonts w:ascii="Arial" w:hAnsi="Arial" w:cs="Arial"/>
                <w:noProof/>
                <w:webHidden/>
              </w:rPr>
              <w:tab/>
            </w:r>
            <w:r w:rsidR="00AA6C6A" w:rsidRPr="00AA6C6A">
              <w:rPr>
                <w:rFonts w:ascii="Arial" w:hAnsi="Arial" w:cs="Arial"/>
                <w:noProof/>
                <w:webHidden/>
              </w:rPr>
              <w:fldChar w:fldCharType="begin"/>
            </w:r>
            <w:r w:rsidR="00AA6C6A" w:rsidRPr="00AA6C6A">
              <w:rPr>
                <w:rFonts w:ascii="Arial" w:hAnsi="Arial" w:cs="Arial"/>
                <w:noProof/>
                <w:webHidden/>
              </w:rPr>
              <w:instrText xml:space="preserve"> PAGEREF _Toc139827388 \h </w:instrText>
            </w:r>
            <w:r w:rsidR="00AA6C6A" w:rsidRPr="00AA6C6A">
              <w:rPr>
                <w:rFonts w:ascii="Arial" w:hAnsi="Arial" w:cs="Arial"/>
                <w:noProof/>
                <w:webHidden/>
              </w:rPr>
            </w:r>
            <w:r w:rsidR="00AA6C6A" w:rsidRPr="00AA6C6A">
              <w:rPr>
                <w:rFonts w:ascii="Arial" w:hAnsi="Arial" w:cs="Arial"/>
                <w:noProof/>
                <w:webHidden/>
              </w:rPr>
              <w:fldChar w:fldCharType="separate"/>
            </w:r>
            <w:r w:rsidR="00AA6C6A" w:rsidRPr="00AA6C6A">
              <w:rPr>
                <w:rFonts w:ascii="Arial" w:hAnsi="Arial" w:cs="Arial"/>
                <w:noProof/>
                <w:webHidden/>
              </w:rPr>
              <w:t>3</w:t>
            </w:r>
            <w:r w:rsidR="00AA6C6A" w:rsidRPr="00AA6C6A">
              <w:rPr>
                <w:rFonts w:ascii="Arial" w:hAnsi="Arial" w:cs="Arial"/>
                <w:noProof/>
                <w:webHidden/>
              </w:rPr>
              <w:fldChar w:fldCharType="end"/>
            </w:r>
          </w:hyperlink>
        </w:p>
        <w:p w14:paraId="323E0FD7" w14:textId="370F116F" w:rsidR="00AA6C6A" w:rsidRPr="00AA6C6A" w:rsidRDefault="00AA6C6A">
          <w:pPr>
            <w:pStyle w:val="TOC1"/>
            <w:tabs>
              <w:tab w:val="right" w:leader="dot" w:pos="9016"/>
            </w:tabs>
            <w:rPr>
              <w:rFonts w:ascii="Arial" w:hAnsi="Arial" w:cs="Arial"/>
              <w:noProof/>
              <w:kern w:val="2"/>
              <w:sz w:val="22"/>
              <w:szCs w:val="22"/>
              <w:lang w:eastAsia="bg-BG"/>
              <w14:ligatures w14:val="standardContextual"/>
            </w:rPr>
          </w:pPr>
          <w:hyperlink w:anchor="_Toc139827389" w:history="1">
            <w:r w:rsidRPr="00AA6C6A">
              <w:rPr>
                <w:rStyle w:val="Hyperlink"/>
                <w:rFonts w:ascii="Arial" w:hAnsi="Arial" w:cs="Arial"/>
                <w:noProof/>
                <w:lang w:val="en-GB"/>
              </w:rPr>
              <w:t>Discussion</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_Toc139827389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5</w:t>
            </w:r>
            <w:r w:rsidRPr="00AA6C6A">
              <w:rPr>
                <w:rFonts w:ascii="Arial" w:hAnsi="Arial" w:cs="Arial"/>
                <w:noProof/>
                <w:webHidden/>
              </w:rPr>
              <w:fldChar w:fldCharType="end"/>
            </w:r>
          </w:hyperlink>
        </w:p>
        <w:p w14:paraId="11F28120" w14:textId="7C94D664"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0" w:history="1">
            <w:r w:rsidRPr="00AA6C6A">
              <w:rPr>
                <w:rStyle w:val="Hyperlink"/>
                <w:rFonts w:ascii="Arial" w:hAnsi="Arial" w:cs="Arial"/>
                <w:noProof/>
                <w:lang w:val="en-GB"/>
              </w:rPr>
              <w:t>Organizational Environment</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_Toc139827390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6</w:t>
            </w:r>
            <w:r w:rsidRPr="00AA6C6A">
              <w:rPr>
                <w:rFonts w:ascii="Arial" w:hAnsi="Arial" w:cs="Arial"/>
                <w:noProof/>
                <w:webHidden/>
              </w:rPr>
              <w:fldChar w:fldCharType="end"/>
            </w:r>
          </w:hyperlink>
        </w:p>
        <w:p w14:paraId="1F50702F" w14:textId="1D1E404B"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1" w:history="1">
            <w:r w:rsidRPr="00AA6C6A">
              <w:rPr>
                <w:rStyle w:val="Hyperlink"/>
                <w:rFonts w:ascii="Arial" w:hAnsi="Arial" w:cs="Arial"/>
                <w:noProof/>
                <w:lang w:val="en-GB"/>
              </w:rPr>
              <w:t>Impact of Environmental Factors on Culture</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_Toc139827391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6</w:t>
            </w:r>
            <w:r w:rsidRPr="00AA6C6A">
              <w:rPr>
                <w:rFonts w:ascii="Arial" w:hAnsi="Arial" w:cs="Arial"/>
                <w:noProof/>
                <w:webHidden/>
              </w:rPr>
              <w:fldChar w:fldCharType="end"/>
            </w:r>
          </w:hyperlink>
        </w:p>
        <w:p w14:paraId="6BEC8075" w14:textId="53903940"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2" w:history="1">
            <w:r w:rsidRPr="00AA6C6A">
              <w:rPr>
                <w:rStyle w:val="Hyperlink"/>
                <w:rFonts w:ascii="Arial" w:hAnsi="Arial" w:cs="Arial"/>
                <w:noProof/>
                <w:lang w:val="en-GB"/>
              </w:rPr>
              <w:t>Schein's Organizational Culture Model:</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_Toc139827392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8</w:t>
            </w:r>
            <w:r w:rsidRPr="00AA6C6A">
              <w:rPr>
                <w:rFonts w:ascii="Arial" w:hAnsi="Arial" w:cs="Arial"/>
                <w:noProof/>
                <w:webHidden/>
              </w:rPr>
              <w:fldChar w:fldCharType="end"/>
            </w:r>
          </w:hyperlink>
        </w:p>
        <w:p w14:paraId="6B08E9FC" w14:textId="61E7B367"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3" w:history="1">
            <w:r w:rsidRPr="00AA6C6A">
              <w:rPr>
                <w:rStyle w:val="Hyperlink"/>
                <w:rFonts w:ascii="Arial" w:hAnsi="Arial" w:cs="Arial"/>
                <w:noProof/>
                <w:lang w:val="en-GB"/>
              </w:rPr>
              <w:t>McKinsey 7S Model: The McKinsey 7S Model highlights seven interrelated elements that contribute to organizational effectiveness, including ethical considerations:</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_Toc139827393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8</w:t>
            </w:r>
            <w:r w:rsidRPr="00AA6C6A">
              <w:rPr>
                <w:rFonts w:ascii="Arial" w:hAnsi="Arial" w:cs="Arial"/>
                <w:noProof/>
                <w:webHidden/>
              </w:rPr>
              <w:fldChar w:fldCharType="end"/>
            </w:r>
          </w:hyperlink>
        </w:p>
        <w:p w14:paraId="50054E86" w14:textId="245F7F01"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4" w:history="1">
            <w:r w:rsidRPr="00AA6C6A">
              <w:rPr>
                <w:rStyle w:val="Hyperlink"/>
                <w:rFonts w:ascii="Arial" w:hAnsi="Arial" w:cs="Arial"/>
                <w:noProof/>
                <w:lang w:val="en-GB"/>
              </w:rPr>
              <w:t>Kotler's 8-Step Plan: Kotler's 8-Step Plan for ethical decision-making provides a framework to guide individuals and organizations in making ethical choices:</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_Toc139827394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9</w:t>
            </w:r>
            <w:r w:rsidRPr="00AA6C6A">
              <w:rPr>
                <w:rFonts w:ascii="Arial" w:hAnsi="Arial" w:cs="Arial"/>
                <w:noProof/>
                <w:webHidden/>
              </w:rPr>
              <w:fldChar w:fldCharType="end"/>
            </w:r>
          </w:hyperlink>
        </w:p>
        <w:p w14:paraId="76A24CC2" w14:textId="0F242546"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5" w:history="1">
            <w:r w:rsidRPr="00AA6C6A">
              <w:rPr>
                <w:rStyle w:val="Hyperlink"/>
                <w:rFonts w:ascii="Arial" w:hAnsi="Arial" w:cs="Arial"/>
                <w:noProof/>
                <w:lang w:val="en-GB"/>
              </w:rPr>
              <w:t>Lack of Clear Values and Direction: Barrier:</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_Toc139827395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10</w:t>
            </w:r>
            <w:r w:rsidRPr="00AA6C6A">
              <w:rPr>
                <w:rFonts w:ascii="Arial" w:hAnsi="Arial" w:cs="Arial"/>
                <w:noProof/>
                <w:webHidden/>
              </w:rPr>
              <w:fldChar w:fldCharType="end"/>
            </w:r>
          </w:hyperlink>
        </w:p>
        <w:p w14:paraId="4B67A5C3" w14:textId="03E080E8"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6" w:history="1">
            <w:r w:rsidRPr="00AA6C6A">
              <w:rPr>
                <w:rStyle w:val="Hyperlink"/>
                <w:rFonts w:ascii="Arial" w:hAnsi="Arial" w:cs="Arial"/>
                <w:noProof/>
                <w:lang w:val="en-GB"/>
              </w:rPr>
              <w:t>Inadequate Communication: Barrier:</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_Toc139827396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10</w:t>
            </w:r>
            <w:r w:rsidRPr="00AA6C6A">
              <w:rPr>
                <w:rFonts w:ascii="Arial" w:hAnsi="Arial" w:cs="Arial"/>
                <w:noProof/>
                <w:webHidden/>
              </w:rPr>
              <w:fldChar w:fldCharType="end"/>
            </w:r>
          </w:hyperlink>
        </w:p>
        <w:p w14:paraId="624F0A45" w14:textId="50B768F5" w:rsidR="00AA6C6A" w:rsidRPr="00AA6C6A" w:rsidRDefault="00AA6C6A">
          <w:pPr>
            <w:pStyle w:val="TOC2"/>
            <w:tabs>
              <w:tab w:val="right" w:leader="dot" w:pos="9016"/>
            </w:tabs>
            <w:rPr>
              <w:rFonts w:ascii="Arial" w:hAnsi="Arial" w:cs="Arial"/>
              <w:noProof/>
              <w:kern w:val="2"/>
              <w:sz w:val="22"/>
              <w:szCs w:val="22"/>
              <w:lang w:eastAsia="bg-BG"/>
              <w14:ligatures w14:val="standardContextual"/>
            </w:rPr>
          </w:pPr>
          <w:hyperlink w:anchor="_Toc139827397" w:history="1">
            <w:r w:rsidRPr="00AA6C6A">
              <w:rPr>
                <w:rStyle w:val="Hyperlink"/>
                <w:rFonts w:ascii="Arial" w:hAnsi="Arial" w:cs="Arial"/>
                <w:noProof/>
                <w:lang w:val="en-GB"/>
              </w:rPr>
              <w:t>Resistance to Change: Barrier:</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_Toc139827397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11</w:t>
            </w:r>
            <w:r w:rsidRPr="00AA6C6A">
              <w:rPr>
                <w:rFonts w:ascii="Arial" w:hAnsi="Arial" w:cs="Arial"/>
                <w:noProof/>
                <w:webHidden/>
              </w:rPr>
              <w:fldChar w:fldCharType="end"/>
            </w:r>
          </w:hyperlink>
        </w:p>
        <w:p w14:paraId="0D49F081" w14:textId="5A3CF743" w:rsidR="00AA6C6A" w:rsidRPr="00AA6C6A" w:rsidRDefault="00AA6C6A">
          <w:pPr>
            <w:pStyle w:val="TOC1"/>
            <w:tabs>
              <w:tab w:val="right" w:leader="dot" w:pos="9016"/>
            </w:tabs>
            <w:rPr>
              <w:rFonts w:ascii="Arial" w:hAnsi="Arial" w:cs="Arial"/>
              <w:noProof/>
              <w:kern w:val="2"/>
              <w:sz w:val="22"/>
              <w:szCs w:val="22"/>
              <w:lang w:eastAsia="bg-BG"/>
              <w14:ligatures w14:val="standardContextual"/>
            </w:rPr>
          </w:pPr>
          <w:hyperlink w:anchor="_Toc139827398" w:history="1">
            <w:r w:rsidRPr="00AA6C6A">
              <w:rPr>
                <w:rStyle w:val="Hyperlink"/>
                <w:rFonts w:ascii="Arial" w:hAnsi="Arial" w:cs="Arial"/>
                <w:noProof/>
                <w:lang w:val="en-GB"/>
              </w:rPr>
              <w:t>Conclusion</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_Toc139827398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12</w:t>
            </w:r>
            <w:r w:rsidRPr="00AA6C6A">
              <w:rPr>
                <w:rFonts w:ascii="Arial" w:hAnsi="Arial" w:cs="Arial"/>
                <w:noProof/>
                <w:webHidden/>
              </w:rPr>
              <w:fldChar w:fldCharType="end"/>
            </w:r>
          </w:hyperlink>
        </w:p>
        <w:p w14:paraId="689C4CDE" w14:textId="3A76FCEC" w:rsidR="00AA6C6A" w:rsidRDefault="00AA6C6A">
          <w:pPr>
            <w:pStyle w:val="TOC1"/>
            <w:tabs>
              <w:tab w:val="right" w:leader="dot" w:pos="9016"/>
            </w:tabs>
            <w:rPr>
              <w:noProof/>
              <w:kern w:val="2"/>
              <w:sz w:val="22"/>
              <w:szCs w:val="22"/>
              <w:lang w:eastAsia="bg-BG"/>
              <w14:ligatures w14:val="standardContextual"/>
            </w:rPr>
          </w:pPr>
          <w:hyperlink w:anchor="_Toc139827399" w:history="1">
            <w:r w:rsidRPr="00AA6C6A">
              <w:rPr>
                <w:rStyle w:val="Hyperlink"/>
                <w:rFonts w:ascii="Arial" w:hAnsi="Arial" w:cs="Arial"/>
                <w:noProof/>
                <w:lang w:val="en-GB"/>
              </w:rPr>
              <w:t>Reference List</w:t>
            </w:r>
            <w:r w:rsidRPr="00AA6C6A">
              <w:rPr>
                <w:rFonts w:ascii="Arial" w:hAnsi="Arial" w:cs="Arial"/>
                <w:noProof/>
                <w:webHidden/>
              </w:rPr>
              <w:tab/>
            </w:r>
            <w:r w:rsidRPr="00AA6C6A">
              <w:rPr>
                <w:rFonts w:ascii="Arial" w:hAnsi="Arial" w:cs="Arial"/>
                <w:noProof/>
                <w:webHidden/>
              </w:rPr>
              <w:fldChar w:fldCharType="begin"/>
            </w:r>
            <w:r w:rsidRPr="00AA6C6A">
              <w:rPr>
                <w:rFonts w:ascii="Arial" w:hAnsi="Arial" w:cs="Arial"/>
                <w:noProof/>
                <w:webHidden/>
              </w:rPr>
              <w:instrText xml:space="preserve"> PAGEREF _Toc139827399 \h </w:instrText>
            </w:r>
            <w:r w:rsidRPr="00AA6C6A">
              <w:rPr>
                <w:rFonts w:ascii="Arial" w:hAnsi="Arial" w:cs="Arial"/>
                <w:noProof/>
                <w:webHidden/>
              </w:rPr>
            </w:r>
            <w:r w:rsidRPr="00AA6C6A">
              <w:rPr>
                <w:rFonts w:ascii="Arial" w:hAnsi="Arial" w:cs="Arial"/>
                <w:noProof/>
                <w:webHidden/>
              </w:rPr>
              <w:fldChar w:fldCharType="separate"/>
            </w:r>
            <w:r w:rsidRPr="00AA6C6A">
              <w:rPr>
                <w:rFonts w:ascii="Arial" w:hAnsi="Arial" w:cs="Arial"/>
                <w:noProof/>
                <w:webHidden/>
              </w:rPr>
              <w:t>13</w:t>
            </w:r>
            <w:r w:rsidRPr="00AA6C6A">
              <w:rPr>
                <w:rFonts w:ascii="Arial" w:hAnsi="Arial" w:cs="Arial"/>
                <w:noProof/>
                <w:webHidden/>
              </w:rPr>
              <w:fldChar w:fldCharType="end"/>
            </w:r>
          </w:hyperlink>
        </w:p>
        <w:p w14:paraId="5D11F3E3" w14:textId="4F3DCFD7" w:rsidR="001A6E47" w:rsidRDefault="001A6E47">
          <w:r>
            <w:rPr>
              <w:b/>
              <w:bCs/>
              <w:noProof/>
            </w:rPr>
            <w:fldChar w:fldCharType="end"/>
          </w:r>
        </w:p>
      </w:sdtContent>
    </w:sdt>
    <w:p w14:paraId="64FC31F7" w14:textId="77777777" w:rsidR="00496833" w:rsidRDefault="00496833">
      <w:pPr>
        <w:rPr>
          <w:rFonts w:ascii="Arial" w:hAnsi="Arial" w:cs="Arial"/>
          <w:sz w:val="22"/>
          <w:szCs w:val="22"/>
          <w:lang w:val="en-GB"/>
        </w:rPr>
      </w:pPr>
      <w:r>
        <w:rPr>
          <w:rFonts w:ascii="Arial" w:hAnsi="Arial" w:cs="Arial"/>
          <w:sz w:val="22"/>
          <w:szCs w:val="22"/>
          <w:lang w:val="en-GB"/>
        </w:rPr>
        <w:br w:type="page"/>
      </w:r>
    </w:p>
    <w:p w14:paraId="1159E504" w14:textId="48E3698E" w:rsidR="00D078D5" w:rsidRPr="00381701" w:rsidRDefault="00D078D5" w:rsidP="00D57A78">
      <w:pPr>
        <w:pStyle w:val="Heading1"/>
        <w:rPr>
          <w:rFonts w:ascii="Arial" w:hAnsi="Arial" w:cs="Arial"/>
          <w:lang w:val="en-GB"/>
        </w:rPr>
      </w:pPr>
      <w:bookmarkStart w:id="0" w:name="_Toc139827388"/>
      <w:r w:rsidRPr="00381701">
        <w:rPr>
          <w:rFonts w:ascii="Arial" w:hAnsi="Arial" w:cs="Arial"/>
          <w:lang w:val="en-GB"/>
        </w:rPr>
        <w:lastRenderedPageBreak/>
        <w:t>Introduction</w:t>
      </w:r>
      <w:bookmarkEnd w:id="0"/>
    </w:p>
    <w:p w14:paraId="425FF4B5" w14:textId="77777777" w:rsidR="00D078D5" w:rsidRDefault="00D078D5">
      <w:pPr>
        <w:rPr>
          <w:rFonts w:ascii="Arial" w:hAnsi="Arial" w:cs="Arial"/>
          <w:lang w:val="en-GB"/>
        </w:rPr>
      </w:pPr>
    </w:p>
    <w:p w14:paraId="5EC4823D" w14:textId="77777777" w:rsidR="00644CA2" w:rsidRDefault="00644CA2">
      <w:pPr>
        <w:rPr>
          <w:rFonts w:ascii="Arial" w:hAnsi="Arial" w:cs="Arial"/>
          <w:lang w:val="en-GB"/>
        </w:rPr>
      </w:pPr>
    </w:p>
    <w:p w14:paraId="34D911EF" w14:textId="77777777" w:rsidR="00644CA2" w:rsidRPr="00381701" w:rsidRDefault="00644CA2">
      <w:pPr>
        <w:rPr>
          <w:rFonts w:ascii="Arial" w:hAnsi="Arial" w:cs="Arial"/>
          <w:lang w:val="en-GB"/>
        </w:rPr>
      </w:pPr>
    </w:p>
    <w:p w14:paraId="19D88A62" w14:textId="77777777"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t>This report aims to provide a critical assessment of workplace culture and its impact on organizational efficiency within GXO Company. GXO Company is a globally recognized logistics organization known for its expertise in supply chain solutions and innovative technologies (GXO Company, n.d.). With a strong emphasis on operational efficiency and customer satisfaction, GXO has established itself as a leader in the logistics industry.</w:t>
      </w:r>
    </w:p>
    <w:p w14:paraId="23419D6E" w14:textId="77777777"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t>The report will delve into the organizational environment of GXO, examining the various internal and external factors that influence its workplace culture. This analysis will provide insights into the key influences shaping GXO's culture. To gain a comprehensive understanding, frameworks such as PESTLE (Political, Economic, Social, Technological, Legal, and Environmental) and Porter's Five Forces can be utilized to explore the external factors impacting the organization (Porter, 2008; Worley et al., 2020).</w:t>
      </w:r>
    </w:p>
    <w:p w14:paraId="274157E9" w14:textId="1F9910AF"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t>Furthermore, the report will explore the promotion of ethical behaviour within GXO's organizational culture. By applying academic frameworks such as Schein's Organizational Culture Model, McKinsey 7S Model, or Kotler's 8-Step Plan, the report will highlight the fundamental ethical elements that contribute to a positive culture. It will also suggest ways to promote ethical behaviour among employees. The discussion will revolve around the importance of shared values, leadership behaviours, organizational structure, and employee engagement in fostering an ethical work environment (Schein, 1996; McKinsey &amp; Company, n.d.; Kotler, 2011).</w:t>
      </w:r>
    </w:p>
    <w:p w14:paraId="10D63C0C" w14:textId="77777777"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t>Additionally, the report will address one specific ethical dilemma likely to influence the culture of GXO Company. It will examine in detail the potential conflicts that may arise between productivity targets and employee well-being. This analysis will provide insights into how this dilemma can impact the overall workplace culture and ethical practices within the organization.</w:t>
      </w:r>
    </w:p>
    <w:p w14:paraId="05CA46E5" w14:textId="7F306F76"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t>Moreover, the report will identify and discuss the barriers to the effective functioning of GXO's culture. It will examine obstacles such as communication gaps, resistance to change, lack of inclusivity, and inadequate employee engagement, which hinder the organization's efforts to cultivate a positive work culture. By utilizing relevant academic frameworks like Beer's model, the report will analyse these barriers and provide recommendations for improvement.</w:t>
      </w:r>
    </w:p>
    <w:p w14:paraId="3C0E6AF3" w14:textId="5EA25E80" w:rsidR="0078527F" w:rsidRPr="0078527F" w:rsidRDefault="0078527F" w:rsidP="0078527F">
      <w:pPr>
        <w:rPr>
          <w:rFonts w:ascii="Arial" w:hAnsi="Arial" w:cs="Arial"/>
          <w:sz w:val="22"/>
          <w:szCs w:val="22"/>
          <w:lang w:val="en-GB"/>
        </w:rPr>
      </w:pPr>
      <w:r w:rsidRPr="0078527F">
        <w:rPr>
          <w:rFonts w:ascii="Arial" w:hAnsi="Arial" w:cs="Arial"/>
          <w:sz w:val="22"/>
          <w:szCs w:val="22"/>
          <w:lang w:val="en-GB"/>
        </w:rPr>
        <w:lastRenderedPageBreak/>
        <w:t xml:space="preserve">By critically assessing the impact of environmental factors, examining ethical elements, exploring an ethical dilemma, and identifying barriers, this report aims to provide comprehensive recommendations for enhancing GXO's workplace culture, </w:t>
      </w:r>
      <w:r w:rsidR="009163FE" w:rsidRPr="0078527F">
        <w:rPr>
          <w:rFonts w:ascii="Arial" w:hAnsi="Arial" w:cs="Arial"/>
          <w:sz w:val="22"/>
          <w:szCs w:val="22"/>
          <w:lang w:val="en-GB"/>
        </w:rPr>
        <w:t>positively</w:t>
      </w:r>
      <w:r w:rsidRPr="0078527F">
        <w:rPr>
          <w:rFonts w:ascii="Arial" w:hAnsi="Arial" w:cs="Arial"/>
          <w:sz w:val="22"/>
          <w:szCs w:val="22"/>
          <w:lang w:val="en-GB"/>
        </w:rPr>
        <w:t xml:space="preserve"> impacting organizational efficiency.</w:t>
      </w:r>
    </w:p>
    <w:p w14:paraId="1029C91E" w14:textId="77777777" w:rsidR="0078527F" w:rsidRDefault="0078527F" w:rsidP="0078527F">
      <w:pPr>
        <w:rPr>
          <w:rFonts w:ascii="Arial" w:hAnsi="Arial" w:cs="Arial"/>
          <w:sz w:val="22"/>
          <w:szCs w:val="22"/>
          <w:lang w:val="en-GB"/>
        </w:rPr>
      </w:pPr>
      <w:r w:rsidRPr="0078527F">
        <w:rPr>
          <w:rFonts w:ascii="Arial" w:hAnsi="Arial" w:cs="Arial"/>
          <w:sz w:val="22"/>
          <w:szCs w:val="22"/>
          <w:lang w:val="en-GB"/>
        </w:rPr>
        <w:t>Throughout the report, key issues, literature, theories, and models will be referenced to support and provide a thorough analysis of GXO's workplace culture and its implications for organizational efficiency.</w:t>
      </w:r>
    </w:p>
    <w:p w14:paraId="18F0BBD4" w14:textId="77777777" w:rsidR="005957E3" w:rsidRDefault="005957E3" w:rsidP="0078527F">
      <w:pPr>
        <w:rPr>
          <w:rFonts w:ascii="Arial" w:hAnsi="Arial" w:cs="Arial"/>
          <w:sz w:val="22"/>
          <w:szCs w:val="22"/>
          <w:lang w:val="en-GB"/>
        </w:rPr>
      </w:pPr>
    </w:p>
    <w:p w14:paraId="18B9A416" w14:textId="268992A5" w:rsidR="005957E3" w:rsidRDefault="005957E3" w:rsidP="0078527F">
      <w:pPr>
        <w:rPr>
          <w:rFonts w:ascii="Arial" w:hAnsi="Arial" w:cs="Arial"/>
          <w:sz w:val="22"/>
          <w:szCs w:val="22"/>
          <w:lang w:val="en-GB"/>
        </w:rPr>
      </w:pPr>
      <w:r>
        <w:rPr>
          <w:rFonts w:ascii="Arial" w:hAnsi="Arial" w:cs="Arial"/>
          <w:noProof/>
          <w:sz w:val="22"/>
          <w:szCs w:val="22"/>
          <w:lang w:val="en-GB"/>
        </w:rPr>
        <w:drawing>
          <wp:inline distT="0" distB="0" distL="0" distR="0" wp14:anchorId="06CB79AB" wp14:editId="54EE0756">
            <wp:extent cx="5561104" cy="1503336"/>
            <wp:effectExtent l="0" t="0" r="1905" b="1905"/>
            <wp:docPr id="1034359585" name="Picture 5" descr="A close-up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59585" name="Picture 5" descr="A close-up of a graph&#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07743" cy="1597043"/>
                    </a:xfrm>
                    <a:prstGeom prst="rect">
                      <a:avLst/>
                    </a:prstGeom>
                  </pic:spPr>
                </pic:pic>
              </a:graphicData>
            </a:graphic>
          </wp:inline>
        </w:drawing>
      </w:r>
    </w:p>
    <w:p w14:paraId="69BDE816" w14:textId="77777777" w:rsidR="0036324B" w:rsidRDefault="0036324B" w:rsidP="0078527F">
      <w:pPr>
        <w:rPr>
          <w:rFonts w:ascii="Arial" w:hAnsi="Arial" w:cs="Arial"/>
          <w:sz w:val="22"/>
          <w:szCs w:val="22"/>
          <w:lang w:val="en-GB"/>
        </w:rPr>
      </w:pPr>
    </w:p>
    <w:p w14:paraId="2D8E5521" w14:textId="77777777" w:rsidR="0036324B" w:rsidRDefault="0036324B" w:rsidP="0078527F">
      <w:pPr>
        <w:rPr>
          <w:rFonts w:ascii="Arial" w:hAnsi="Arial" w:cs="Arial"/>
          <w:sz w:val="22"/>
          <w:szCs w:val="22"/>
          <w:lang w:val="en-GB"/>
        </w:rPr>
      </w:pPr>
    </w:p>
    <w:p w14:paraId="59A30E8C" w14:textId="77777777" w:rsidR="0036324B" w:rsidRPr="0078527F" w:rsidRDefault="0036324B" w:rsidP="0078527F">
      <w:pPr>
        <w:rPr>
          <w:rFonts w:ascii="Arial" w:hAnsi="Arial" w:cs="Arial"/>
          <w:sz w:val="22"/>
          <w:szCs w:val="22"/>
          <w:lang w:val="en-GB"/>
        </w:rPr>
      </w:pPr>
    </w:p>
    <w:tbl>
      <w:tblPr>
        <w:tblStyle w:val="TableGrid"/>
        <w:tblW w:w="0" w:type="auto"/>
        <w:tblLook w:val="04A0" w:firstRow="1" w:lastRow="0" w:firstColumn="1" w:lastColumn="0" w:noHBand="0" w:noVBand="1"/>
      </w:tblPr>
      <w:tblGrid>
        <w:gridCol w:w="2547"/>
        <w:gridCol w:w="1961"/>
        <w:gridCol w:w="2254"/>
        <w:gridCol w:w="2254"/>
      </w:tblGrid>
      <w:tr w:rsidR="00E44609" w14:paraId="18DD90AE" w14:textId="77777777" w:rsidTr="00923110">
        <w:tc>
          <w:tcPr>
            <w:tcW w:w="2547" w:type="dxa"/>
          </w:tcPr>
          <w:p w14:paraId="12EB59CA" w14:textId="43F652AE" w:rsidR="00E44609" w:rsidRPr="00003A22" w:rsidRDefault="00B33E88" w:rsidP="00EF72BB">
            <w:pPr>
              <w:rPr>
                <w:color w:val="4389D7" w:themeColor="text2" w:themeTint="99"/>
                <w:sz w:val="22"/>
                <w:szCs w:val="22"/>
              </w:rPr>
            </w:pPr>
            <w:r w:rsidRPr="00003A22">
              <w:rPr>
                <w:color w:val="4389D7" w:themeColor="text2" w:themeTint="99"/>
                <w:sz w:val="22"/>
                <w:szCs w:val="22"/>
              </w:rPr>
              <w:t>Quarter</w:t>
            </w:r>
            <w:r w:rsidR="009C5F86" w:rsidRPr="00003A22">
              <w:rPr>
                <w:color w:val="4389D7" w:themeColor="text2" w:themeTint="99"/>
                <w:sz w:val="22"/>
                <w:szCs w:val="22"/>
              </w:rPr>
              <w:t xml:space="preserve"> </w:t>
            </w:r>
            <w:r w:rsidRPr="00003A22">
              <w:rPr>
                <w:color w:val="4389D7" w:themeColor="text2" w:themeTint="99"/>
                <w:sz w:val="22"/>
                <w:szCs w:val="22"/>
              </w:rPr>
              <w:t>ended 12</w:t>
            </w:r>
            <w:r w:rsidR="00604ABB" w:rsidRPr="00003A22">
              <w:rPr>
                <w:color w:val="4389D7" w:themeColor="text2" w:themeTint="99"/>
                <w:sz w:val="22"/>
                <w:szCs w:val="22"/>
              </w:rPr>
              <w:t>/31</w:t>
            </w:r>
          </w:p>
        </w:tc>
        <w:tc>
          <w:tcPr>
            <w:tcW w:w="1961" w:type="dxa"/>
          </w:tcPr>
          <w:p w14:paraId="69E047DD" w14:textId="35F5425E" w:rsidR="00E44609" w:rsidRPr="00003A22" w:rsidRDefault="007C633D" w:rsidP="005A11F9">
            <w:pPr>
              <w:jc w:val="center"/>
              <w:rPr>
                <w:color w:val="4389D7" w:themeColor="text2" w:themeTint="99"/>
                <w:sz w:val="22"/>
                <w:szCs w:val="22"/>
              </w:rPr>
            </w:pPr>
            <w:r w:rsidRPr="00003A22">
              <w:rPr>
                <w:color w:val="4389D7" w:themeColor="text2" w:themeTint="99"/>
                <w:sz w:val="22"/>
                <w:szCs w:val="22"/>
              </w:rPr>
              <w:t>2022</w:t>
            </w:r>
          </w:p>
        </w:tc>
        <w:tc>
          <w:tcPr>
            <w:tcW w:w="2254" w:type="dxa"/>
          </w:tcPr>
          <w:p w14:paraId="5C31CCF0" w14:textId="200AE6F2" w:rsidR="00E44609" w:rsidRPr="00003A22" w:rsidRDefault="007C633D" w:rsidP="005A11F9">
            <w:pPr>
              <w:jc w:val="center"/>
              <w:rPr>
                <w:color w:val="4389D7" w:themeColor="text2" w:themeTint="99"/>
                <w:sz w:val="22"/>
                <w:szCs w:val="22"/>
              </w:rPr>
            </w:pPr>
            <w:r w:rsidRPr="00003A22">
              <w:rPr>
                <w:color w:val="4389D7" w:themeColor="text2" w:themeTint="99"/>
                <w:sz w:val="22"/>
                <w:szCs w:val="22"/>
              </w:rPr>
              <w:t>2021</w:t>
            </w:r>
          </w:p>
        </w:tc>
        <w:tc>
          <w:tcPr>
            <w:tcW w:w="2254" w:type="dxa"/>
          </w:tcPr>
          <w:p w14:paraId="7D90035A" w14:textId="572B3F71" w:rsidR="00E44609" w:rsidRPr="00003A22" w:rsidRDefault="00B177F2" w:rsidP="005A11F9">
            <w:pPr>
              <w:jc w:val="center"/>
              <w:rPr>
                <w:color w:val="4389D7" w:themeColor="text2" w:themeTint="99"/>
                <w:sz w:val="22"/>
                <w:szCs w:val="22"/>
              </w:rPr>
            </w:pPr>
            <w:r w:rsidRPr="00003A22">
              <w:rPr>
                <w:color w:val="4389D7" w:themeColor="text2" w:themeTint="99"/>
                <w:sz w:val="22"/>
                <w:szCs w:val="22"/>
              </w:rPr>
              <w:t>% change</w:t>
            </w:r>
          </w:p>
        </w:tc>
      </w:tr>
      <w:tr w:rsidR="00E44609" w14:paraId="5E418BF5" w14:textId="77777777" w:rsidTr="00923110">
        <w:tc>
          <w:tcPr>
            <w:tcW w:w="2547" w:type="dxa"/>
          </w:tcPr>
          <w:p w14:paraId="070415CB" w14:textId="3920C622" w:rsidR="00E44609" w:rsidRPr="00003A22" w:rsidRDefault="004659F8">
            <w:pPr>
              <w:rPr>
                <w:rFonts w:ascii="Arial" w:hAnsi="Arial" w:cs="Arial"/>
                <w:sz w:val="22"/>
                <w:szCs w:val="22"/>
              </w:rPr>
            </w:pPr>
            <w:r w:rsidRPr="00003A22">
              <w:rPr>
                <w:rFonts w:ascii="Arial" w:hAnsi="Arial" w:cs="Arial"/>
                <w:sz w:val="22"/>
                <w:szCs w:val="22"/>
              </w:rPr>
              <w:t xml:space="preserve">Revenue </w:t>
            </w:r>
          </w:p>
        </w:tc>
        <w:tc>
          <w:tcPr>
            <w:tcW w:w="1961" w:type="dxa"/>
          </w:tcPr>
          <w:p w14:paraId="42C4B129" w14:textId="38530A05" w:rsidR="00E44609" w:rsidRPr="00003A22" w:rsidRDefault="00F2165E" w:rsidP="00091F00">
            <w:pPr>
              <w:jc w:val="right"/>
              <w:rPr>
                <w:rFonts w:ascii="Arial" w:hAnsi="Arial" w:cs="Arial"/>
                <w:sz w:val="22"/>
                <w:szCs w:val="22"/>
              </w:rPr>
            </w:pPr>
            <w:r w:rsidRPr="00003A22">
              <w:rPr>
                <w:rFonts w:ascii="Arial" w:hAnsi="Arial" w:cs="Arial"/>
                <w:sz w:val="22"/>
                <w:szCs w:val="22"/>
              </w:rPr>
              <w:t>$</w:t>
            </w:r>
            <w:r w:rsidR="004659F8" w:rsidRPr="00003A22">
              <w:rPr>
                <w:rFonts w:ascii="Arial" w:hAnsi="Arial" w:cs="Arial"/>
                <w:sz w:val="22"/>
                <w:szCs w:val="22"/>
              </w:rPr>
              <w:t>2 467 000 000</w:t>
            </w:r>
          </w:p>
        </w:tc>
        <w:tc>
          <w:tcPr>
            <w:tcW w:w="2254" w:type="dxa"/>
          </w:tcPr>
          <w:p w14:paraId="0ECD5660" w14:textId="64B43343" w:rsidR="00E44609" w:rsidRPr="00003A22" w:rsidRDefault="00F2165E" w:rsidP="00091F00">
            <w:pPr>
              <w:jc w:val="right"/>
              <w:rPr>
                <w:rFonts w:ascii="Arial" w:hAnsi="Arial" w:cs="Arial"/>
                <w:sz w:val="22"/>
                <w:szCs w:val="22"/>
              </w:rPr>
            </w:pPr>
            <w:r w:rsidRPr="00003A22">
              <w:rPr>
                <w:rFonts w:ascii="Arial" w:hAnsi="Arial" w:cs="Arial"/>
                <w:sz w:val="22"/>
                <w:szCs w:val="22"/>
              </w:rPr>
              <w:t>$</w:t>
            </w:r>
            <w:r w:rsidR="004659F8" w:rsidRPr="00003A22">
              <w:rPr>
                <w:rFonts w:ascii="Arial" w:hAnsi="Arial" w:cs="Arial"/>
                <w:sz w:val="22"/>
                <w:szCs w:val="22"/>
              </w:rPr>
              <w:t>2</w:t>
            </w:r>
            <w:r w:rsidR="00C30A6A" w:rsidRPr="00003A22">
              <w:rPr>
                <w:rFonts w:ascii="Arial" w:hAnsi="Arial" w:cs="Arial"/>
                <w:sz w:val="22"/>
                <w:szCs w:val="22"/>
              </w:rPr>
              <w:t xml:space="preserve"> 262 000 000</w:t>
            </w:r>
          </w:p>
        </w:tc>
        <w:tc>
          <w:tcPr>
            <w:tcW w:w="2254" w:type="dxa"/>
          </w:tcPr>
          <w:p w14:paraId="76776A9A" w14:textId="59FA5FDF" w:rsidR="00E44609" w:rsidRPr="00003A22" w:rsidRDefault="00C30A6A" w:rsidP="00091F00">
            <w:pPr>
              <w:jc w:val="right"/>
              <w:rPr>
                <w:rFonts w:ascii="Arial" w:hAnsi="Arial" w:cs="Arial"/>
                <w:sz w:val="22"/>
                <w:szCs w:val="22"/>
              </w:rPr>
            </w:pPr>
            <w:r w:rsidRPr="00003A22">
              <w:rPr>
                <w:rFonts w:ascii="Arial" w:hAnsi="Arial" w:cs="Arial"/>
                <w:sz w:val="22"/>
                <w:szCs w:val="22"/>
              </w:rPr>
              <w:t>9.1</w:t>
            </w:r>
          </w:p>
        </w:tc>
      </w:tr>
      <w:tr w:rsidR="00E44609" w14:paraId="0E7C0A27" w14:textId="77777777" w:rsidTr="00923110">
        <w:tc>
          <w:tcPr>
            <w:tcW w:w="2547" w:type="dxa"/>
          </w:tcPr>
          <w:p w14:paraId="13A31325" w14:textId="346C50DD" w:rsidR="00E44609" w:rsidRPr="00003A22" w:rsidRDefault="00C30A6A">
            <w:pPr>
              <w:rPr>
                <w:rFonts w:ascii="Arial" w:hAnsi="Arial" w:cs="Arial"/>
                <w:sz w:val="22"/>
                <w:szCs w:val="22"/>
              </w:rPr>
            </w:pPr>
            <w:r w:rsidRPr="00003A22">
              <w:rPr>
                <w:rFonts w:ascii="Arial" w:hAnsi="Arial" w:cs="Arial"/>
                <w:sz w:val="22"/>
                <w:szCs w:val="22"/>
              </w:rPr>
              <w:t>Operat</w:t>
            </w:r>
            <w:r w:rsidR="007E59A7" w:rsidRPr="00003A22">
              <w:rPr>
                <w:rFonts w:ascii="Arial" w:hAnsi="Arial" w:cs="Arial"/>
                <w:sz w:val="22"/>
                <w:szCs w:val="22"/>
              </w:rPr>
              <w:t>ing income</w:t>
            </w:r>
          </w:p>
        </w:tc>
        <w:tc>
          <w:tcPr>
            <w:tcW w:w="1961" w:type="dxa"/>
          </w:tcPr>
          <w:p w14:paraId="72221D73" w14:textId="7E1E4165" w:rsidR="00E44609" w:rsidRPr="00003A22" w:rsidRDefault="007E59A7" w:rsidP="00091F00">
            <w:pPr>
              <w:jc w:val="right"/>
              <w:rPr>
                <w:rFonts w:ascii="Arial" w:hAnsi="Arial" w:cs="Arial"/>
                <w:sz w:val="22"/>
                <w:szCs w:val="22"/>
              </w:rPr>
            </w:pPr>
            <w:r w:rsidRPr="00003A22">
              <w:rPr>
                <w:rFonts w:ascii="Arial" w:hAnsi="Arial" w:cs="Arial"/>
                <w:sz w:val="22"/>
                <w:szCs w:val="22"/>
              </w:rPr>
              <w:t>74 00 000</w:t>
            </w:r>
          </w:p>
        </w:tc>
        <w:tc>
          <w:tcPr>
            <w:tcW w:w="2254" w:type="dxa"/>
          </w:tcPr>
          <w:p w14:paraId="21D0A8A9" w14:textId="36628F3F" w:rsidR="00E44609" w:rsidRPr="00003A22" w:rsidRDefault="007E59A7" w:rsidP="00091F00">
            <w:pPr>
              <w:jc w:val="right"/>
              <w:rPr>
                <w:rFonts w:ascii="Arial" w:hAnsi="Arial" w:cs="Arial"/>
                <w:sz w:val="22"/>
                <w:szCs w:val="22"/>
              </w:rPr>
            </w:pPr>
            <w:r w:rsidRPr="00003A22">
              <w:rPr>
                <w:rFonts w:ascii="Arial" w:hAnsi="Arial" w:cs="Arial"/>
                <w:sz w:val="22"/>
                <w:szCs w:val="22"/>
              </w:rPr>
              <w:t>63 000 000</w:t>
            </w:r>
          </w:p>
        </w:tc>
        <w:tc>
          <w:tcPr>
            <w:tcW w:w="2254" w:type="dxa"/>
          </w:tcPr>
          <w:p w14:paraId="5CE313D0" w14:textId="3B6FB7AF" w:rsidR="00E44609" w:rsidRPr="00003A22" w:rsidRDefault="007E59A7" w:rsidP="00091F00">
            <w:pPr>
              <w:jc w:val="right"/>
              <w:rPr>
                <w:rFonts w:ascii="Arial" w:hAnsi="Arial" w:cs="Arial"/>
                <w:sz w:val="22"/>
                <w:szCs w:val="22"/>
              </w:rPr>
            </w:pPr>
            <w:r w:rsidRPr="00003A22">
              <w:rPr>
                <w:rFonts w:ascii="Arial" w:hAnsi="Arial" w:cs="Arial"/>
                <w:sz w:val="22"/>
                <w:szCs w:val="22"/>
              </w:rPr>
              <w:t>17.5</w:t>
            </w:r>
          </w:p>
        </w:tc>
      </w:tr>
      <w:tr w:rsidR="00E44609" w14:paraId="63493637" w14:textId="77777777" w:rsidTr="00923110">
        <w:tc>
          <w:tcPr>
            <w:tcW w:w="2547" w:type="dxa"/>
          </w:tcPr>
          <w:p w14:paraId="479E29BF" w14:textId="3BFF165C" w:rsidR="00E44609" w:rsidRPr="00003A22" w:rsidRDefault="007E59A7">
            <w:pPr>
              <w:rPr>
                <w:rFonts w:ascii="Arial" w:hAnsi="Arial" w:cs="Arial"/>
                <w:sz w:val="22"/>
                <w:szCs w:val="22"/>
              </w:rPr>
            </w:pPr>
            <w:r w:rsidRPr="00003A22">
              <w:rPr>
                <w:rFonts w:ascii="Arial" w:hAnsi="Arial" w:cs="Arial"/>
                <w:sz w:val="22"/>
                <w:szCs w:val="22"/>
              </w:rPr>
              <w:t xml:space="preserve">Net </w:t>
            </w:r>
            <w:r w:rsidR="00677351" w:rsidRPr="00003A22">
              <w:rPr>
                <w:rFonts w:ascii="Arial" w:hAnsi="Arial" w:cs="Arial"/>
                <w:sz w:val="22"/>
                <w:szCs w:val="22"/>
              </w:rPr>
              <w:t>income</w:t>
            </w:r>
          </w:p>
        </w:tc>
        <w:tc>
          <w:tcPr>
            <w:tcW w:w="1961" w:type="dxa"/>
          </w:tcPr>
          <w:p w14:paraId="19B46B57" w14:textId="7A67B5E1" w:rsidR="00E44609" w:rsidRPr="00003A22" w:rsidRDefault="00677351" w:rsidP="00091F00">
            <w:pPr>
              <w:jc w:val="right"/>
              <w:rPr>
                <w:rFonts w:ascii="Arial" w:hAnsi="Arial" w:cs="Arial"/>
                <w:sz w:val="22"/>
                <w:szCs w:val="22"/>
              </w:rPr>
            </w:pPr>
            <w:r w:rsidRPr="00003A22">
              <w:rPr>
                <w:rFonts w:ascii="Arial" w:hAnsi="Arial" w:cs="Arial"/>
                <w:sz w:val="22"/>
                <w:szCs w:val="22"/>
              </w:rPr>
              <w:t>46 000 000</w:t>
            </w:r>
          </w:p>
        </w:tc>
        <w:tc>
          <w:tcPr>
            <w:tcW w:w="2254" w:type="dxa"/>
          </w:tcPr>
          <w:p w14:paraId="3986B21C" w14:textId="22D971DD" w:rsidR="00E44609" w:rsidRPr="00003A22" w:rsidRDefault="00677351" w:rsidP="00091F00">
            <w:pPr>
              <w:jc w:val="right"/>
              <w:rPr>
                <w:rFonts w:ascii="Arial" w:hAnsi="Arial" w:cs="Arial"/>
                <w:sz w:val="22"/>
                <w:szCs w:val="22"/>
              </w:rPr>
            </w:pPr>
            <w:r w:rsidRPr="00003A22">
              <w:rPr>
                <w:rFonts w:ascii="Arial" w:hAnsi="Arial" w:cs="Arial"/>
                <w:sz w:val="22"/>
                <w:szCs w:val="22"/>
              </w:rPr>
              <w:t>57 000 000</w:t>
            </w:r>
          </w:p>
        </w:tc>
        <w:tc>
          <w:tcPr>
            <w:tcW w:w="2254" w:type="dxa"/>
          </w:tcPr>
          <w:p w14:paraId="7F6BBD47" w14:textId="55BC09A1" w:rsidR="00E44609" w:rsidRPr="00003A22" w:rsidRDefault="00677351" w:rsidP="00091F00">
            <w:pPr>
              <w:jc w:val="right"/>
              <w:rPr>
                <w:rFonts w:ascii="Arial" w:hAnsi="Arial" w:cs="Arial"/>
                <w:sz w:val="22"/>
                <w:szCs w:val="22"/>
              </w:rPr>
            </w:pPr>
            <w:r w:rsidRPr="00003A22">
              <w:rPr>
                <w:rFonts w:ascii="Arial" w:hAnsi="Arial" w:cs="Arial"/>
                <w:sz w:val="22"/>
                <w:szCs w:val="22"/>
              </w:rPr>
              <w:t>-19.</w:t>
            </w:r>
            <w:r w:rsidR="00BD1DF1" w:rsidRPr="00003A22">
              <w:rPr>
                <w:rFonts w:ascii="Arial" w:hAnsi="Arial" w:cs="Arial"/>
                <w:sz w:val="22"/>
                <w:szCs w:val="22"/>
              </w:rPr>
              <w:t>3</w:t>
            </w:r>
          </w:p>
        </w:tc>
      </w:tr>
      <w:tr w:rsidR="00E44609" w14:paraId="3E46E4E4" w14:textId="77777777" w:rsidTr="00923110">
        <w:tc>
          <w:tcPr>
            <w:tcW w:w="2547" w:type="dxa"/>
          </w:tcPr>
          <w:p w14:paraId="0AB1CBB4" w14:textId="1E9545F1" w:rsidR="00E44609" w:rsidRPr="00003A22" w:rsidRDefault="007D63EF">
            <w:pPr>
              <w:rPr>
                <w:rFonts w:ascii="Arial" w:hAnsi="Arial" w:cs="Arial"/>
                <w:sz w:val="22"/>
                <w:szCs w:val="22"/>
              </w:rPr>
            </w:pPr>
            <w:r w:rsidRPr="00003A22">
              <w:rPr>
                <w:rFonts w:ascii="Arial" w:hAnsi="Arial" w:cs="Arial"/>
                <w:sz w:val="22"/>
                <w:szCs w:val="22"/>
              </w:rPr>
              <w:t>Earnings per share</w:t>
            </w:r>
          </w:p>
        </w:tc>
        <w:tc>
          <w:tcPr>
            <w:tcW w:w="1961" w:type="dxa"/>
          </w:tcPr>
          <w:p w14:paraId="61E06532" w14:textId="444417D6" w:rsidR="00E44609" w:rsidRPr="00003A22" w:rsidRDefault="00F0210D" w:rsidP="00091F00">
            <w:pPr>
              <w:jc w:val="right"/>
              <w:rPr>
                <w:rFonts w:ascii="Arial" w:hAnsi="Arial" w:cs="Arial"/>
                <w:sz w:val="22"/>
                <w:szCs w:val="22"/>
              </w:rPr>
            </w:pPr>
            <w:r w:rsidRPr="00003A22">
              <w:rPr>
                <w:rFonts w:ascii="Arial" w:hAnsi="Arial" w:cs="Arial"/>
                <w:sz w:val="22"/>
                <w:szCs w:val="22"/>
              </w:rPr>
              <w:t>0.39</w:t>
            </w:r>
          </w:p>
        </w:tc>
        <w:tc>
          <w:tcPr>
            <w:tcW w:w="2254" w:type="dxa"/>
          </w:tcPr>
          <w:p w14:paraId="789720D4" w14:textId="6EB410F3" w:rsidR="00E44609" w:rsidRPr="00003A22" w:rsidRDefault="00F0210D" w:rsidP="00091F00">
            <w:pPr>
              <w:jc w:val="right"/>
              <w:rPr>
                <w:rFonts w:ascii="Arial" w:hAnsi="Arial" w:cs="Arial"/>
                <w:sz w:val="22"/>
                <w:szCs w:val="22"/>
              </w:rPr>
            </w:pPr>
            <w:r w:rsidRPr="00003A22">
              <w:rPr>
                <w:rFonts w:ascii="Arial" w:hAnsi="Arial" w:cs="Arial"/>
                <w:sz w:val="22"/>
                <w:szCs w:val="22"/>
              </w:rPr>
              <w:t>0.48</w:t>
            </w:r>
          </w:p>
        </w:tc>
        <w:tc>
          <w:tcPr>
            <w:tcW w:w="2254" w:type="dxa"/>
          </w:tcPr>
          <w:p w14:paraId="58D353E9" w14:textId="3C29D519" w:rsidR="00E44609" w:rsidRPr="00003A22" w:rsidRDefault="00F0210D" w:rsidP="00091F00">
            <w:pPr>
              <w:jc w:val="right"/>
              <w:rPr>
                <w:rFonts w:ascii="Arial" w:hAnsi="Arial" w:cs="Arial"/>
                <w:sz w:val="22"/>
                <w:szCs w:val="22"/>
              </w:rPr>
            </w:pPr>
            <w:r w:rsidRPr="00003A22">
              <w:rPr>
                <w:rFonts w:ascii="Arial" w:hAnsi="Arial" w:cs="Arial"/>
                <w:sz w:val="22"/>
                <w:szCs w:val="22"/>
              </w:rPr>
              <w:t>-18.8</w:t>
            </w:r>
          </w:p>
        </w:tc>
      </w:tr>
      <w:tr w:rsidR="00E24DA9" w14:paraId="41140709" w14:textId="77777777" w:rsidTr="00923110">
        <w:tc>
          <w:tcPr>
            <w:tcW w:w="2547" w:type="dxa"/>
          </w:tcPr>
          <w:p w14:paraId="40C7D11A" w14:textId="3AE4698D" w:rsidR="00E24DA9" w:rsidRPr="00003A22" w:rsidRDefault="00E24DA9" w:rsidP="00E24DA9">
            <w:pPr>
              <w:rPr>
                <w:rFonts w:ascii="Arial" w:hAnsi="Arial" w:cs="Arial"/>
                <w:color w:val="4389D7" w:themeColor="text2" w:themeTint="99"/>
                <w:sz w:val="22"/>
                <w:szCs w:val="22"/>
              </w:rPr>
            </w:pPr>
            <w:r w:rsidRPr="00003A22">
              <w:rPr>
                <w:rFonts w:ascii="Arial" w:hAnsi="Arial" w:cs="Arial"/>
                <w:color w:val="4389D7" w:themeColor="text2" w:themeTint="99"/>
                <w:sz w:val="22"/>
                <w:szCs w:val="22"/>
              </w:rPr>
              <w:t xml:space="preserve">12 months ended </w:t>
            </w:r>
            <w:r w:rsidR="00077B72" w:rsidRPr="00003A22">
              <w:rPr>
                <w:rFonts w:ascii="Arial" w:hAnsi="Arial" w:cs="Arial"/>
                <w:color w:val="4389D7" w:themeColor="text2" w:themeTint="99"/>
                <w:sz w:val="22"/>
                <w:szCs w:val="22"/>
              </w:rPr>
              <w:t>1</w:t>
            </w:r>
            <w:r w:rsidRPr="00003A22">
              <w:rPr>
                <w:rFonts w:ascii="Arial" w:hAnsi="Arial" w:cs="Arial"/>
                <w:color w:val="4389D7" w:themeColor="text2" w:themeTint="99"/>
                <w:sz w:val="22"/>
                <w:szCs w:val="22"/>
              </w:rPr>
              <w:t>2/31</w:t>
            </w:r>
          </w:p>
        </w:tc>
        <w:tc>
          <w:tcPr>
            <w:tcW w:w="1961" w:type="dxa"/>
          </w:tcPr>
          <w:p w14:paraId="4CAD96DB" w14:textId="1AE47B14" w:rsidR="00E24DA9" w:rsidRPr="00003A22" w:rsidRDefault="00E24DA9" w:rsidP="00091F00">
            <w:pPr>
              <w:jc w:val="center"/>
              <w:rPr>
                <w:rFonts w:ascii="Arial" w:hAnsi="Arial" w:cs="Arial"/>
                <w:color w:val="4389D7" w:themeColor="text2" w:themeTint="99"/>
                <w:sz w:val="22"/>
                <w:szCs w:val="22"/>
              </w:rPr>
            </w:pPr>
            <w:r w:rsidRPr="00003A22">
              <w:rPr>
                <w:rFonts w:ascii="Arial" w:hAnsi="Arial" w:cs="Arial"/>
                <w:color w:val="4389D7" w:themeColor="text2" w:themeTint="99"/>
                <w:sz w:val="22"/>
                <w:szCs w:val="22"/>
              </w:rPr>
              <w:t>2022</w:t>
            </w:r>
          </w:p>
        </w:tc>
        <w:tc>
          <w:tcPr>
            <w:tcW w:w="2254" w:type="dxa"/>
          </w:tcPr>
          <w:p w14:paraId="3A81232E" w14:textId="2A2C1804" w:rsidR="00E24DA9" w:rsidRPr="00003A22" w:rsidRDefault="00E24DA9" w:rsidP="00091F00">
            <w:pPr>
              <w:jc w:val="center"/>
              <w:rPr>
                <w:rFonts w:ascii="Arial" w:hAnsi="Arial" w:cs="Arial"/>
                <w:color w:val="4389D7" w:themeColor="text2" w:themeTint="99"/>
                <w:sz w:val="22"/>
                <w:szCs w:val="22"/>
              </w:rPr>
            </w:pPr>
            <w:r w:rsidRPr="00003A22">
              <w:rPr>
                <w:rFonts w:ascii="Arial" w:hAnsi="Arial" w:cs="Arial"/>
                <w:color w:val="4389D7" w:themeColor="text2" w:themeTint="99"/>
                <w:sz w:val="22"/>
                <w:szCs w:val="22"/>
              </w:rPr>
              <w:t>2021</w:t>
            </w:r>
          </w:p>
        </w:tc>
        <w:tc>
          <w:tcPr>
            <w:tcW w:w="2254" w:type="dxa"/>
          </w:tcPr>
          <w:p w14:paraId="072F6A77" w14:textId="06111E5E" w:rsidR="00E24DA9" w:rsidRPr="00003A22" w:rsidRDefault="00E24DA9" w:rsidP="00091F00">
            <w:pPr>
              <w:jc w:val="center"/>
              <w:rPr>
                <w:rFonts w:ascii="Arial" w:hAnsi="Arial" w:cs="Arial"/>
                <w:color w:val="4389D7" w:themeColor="text2" w:themeTint="99"/>
                <w:sz w:val="22"/>
                <w:szCs w:val="22"/>
              </w:rPr>
            </w:pPr>
            <w:r w:rsidRPr="00003A22">
              <w:rPr>
                <w:rFonts w:ascii="Arial" w:hAnsi="Arial" w:cs="Arial"/>
                <w:color w:val="4389D7" w:themeColor="text2" w:themeTint="99"/>
                <w:sz w:val="22"/>
                <w:szCs w:val="22"/>
              </w:rPr>
              <w:t>% change</w:t>
            </w:r>
          </w:p>
        </w:tc>
      </w:tr>
      <w:tr w:rsidR="00E24DA9" w14:paraId="3539FC4E" w14:textId="77777777" w:rsidTr="00923110">
        <w:tc>
          <w:tcPr>
            <w:tcW w:w="2547" w:type="dxa"/>
          </w:tcPr>
          <w:p w14:paraId="385EB9C3" w14:textId="2C039B27" w:rsidR="00E24DA9" w:rsidRPr="00003A22" w:rsidRDefault="008B2D22" w:rsidP="00E24DA9">
            <w:pPr>
              <w:rPr>
                <w:rFonts w:ascii="Arial" w:hAnsi="Arial" w:cs="Arial"/>
                <w:sz w:val="22"/>
                <w:szCs w:val="22"/>
              </w:rPr>
            </w:pPr>
            <w:r w:rsidRPr="00003A22">
              <w:rPr>
                <w:rFonts w:ascii="Arial" w:hAnsi="Arial" w:cs="Arial"/>
                <w:sz w:val="22"/>
                <w:szCs w:val="22"/>
              </w:rPr>
              <w:t xml:space="preserve">Revenue </w:t>
            </w:r>
          </w:p>
        </w:tc>
        <w:tc>
          <w:tcPr>
            <w:tcW w:w="1961" w:type="dxa"/>
          </w:tcPr>
          <w:p w14:paraId="25095159" w14:textId="69BFCAE8" w:rsidR="00E24DA9" w:rsidRPr="00003A22" w:rsidRDefault="00F2165E" w:rsidP="00091F00">
            <w:pPr>
              <w:jc w:val="right"/>
              <w:rPr>
                <w:rFonts w:ascii="Arial" w:hAnsi="Arial" w:cs="Arial"/>
                <w:sz w:val="22"/>
                <w:szCs w:val="22"/>
              </w:rPr>
            </w:pPr>
            <w:r w:rsidRPr="00003A22">
              <w:rPr>
                <w:rFonts w:ascii="Arial" w:hAnsi="Arial" w:cs="Arial"/>
                <w:sz w:val="22"/>
                <w:szCs w:val="22"/>
              </w:rPr>
              <w:t>$</w:t>
            </w:r>
            <w:r w:rsidR="008B2D22" w:rsidRPr="00003A22">
              <w:rPr>
                <w:rFonts w:ascii="Arial" w:hAnsi="Arial" w:cs="Arial"/>
                <w:sz w:val="22"/>
                <w:szCs w:val="22"/>
              </w:rPr>
              <w:t>8 993 000 000</w:t>
            </w:r>
          </w:p>
        </w:tc>
        <w:tc>
          <w:tcPr>
            <w:tcW w:w="2254" w:type="dxa"/>
          </w:tcPr>
          <w:p w14:paraId="71827F32" w14:textId="7DD81300" w:rsidR="00E24DA9" w:rsidRPr="00003A22" w:rsidRDefault="00F2165E" w:rsidP="00091F00">
            <w:pPr>
              <w:jc w:val="right"/>
              <w:rPr>
                <w:rFonts w:ascii="Arial" w:hAnsi="Arial" w:cs="Arial"/>
                <w:sz w:val="22"/>
                <w:szCs w:val="22"/>
              </w:rPr>
            </w:pPr>
            <w:r w:rsidRPr="00003A22">
              <w:rPr>
                <w:rFonts w:ascii="Arial" w:hAnsi="Arial" w:cs="Arial"/>
                <w:sz w:val="22"/>
                <w:szCs w:val="22"/>
              </w:rPr>
              <w:t>$</w:t>
            </w:r>
            <w:r w:rsidR="008B2D22" w:rsidRPr="00003A22">
              <w:rPr>
                <w:rFonts w:ascii="Arial" w:hAnsi="Arial" w:cs="Arial"/>
                <w:sz w:val="22"/>
                <w:szCs w:val="22"/>
              </w:rPr>
              <w:t>7 940 000 000</w:t>
            </w:r>
          </w:p>
        </w:tc>
        <w:tc>
          <w:tcPr>
            <w:tcW w:w="2254" w:type="dxa"/>
          </w:tcPr>
          <w:p w14:paraId="3656A663" w14:textId="1A3B8BC9" w:rsidR="00E24DA9" w:rsidRPr="00003A22" w:rsidRDefault="00A379E4" w:rsidP="00091F00">
            <w:pPr>
              <w:jc w:val="right"/>
              <w:rPr>
                <w:rFonts w:ascii="Arial" w:hAnsi="Arial" w:cs="Arial"/>
                <w:sz w:val="22"/>
                <w:szCs w:val="22"/>
              </w:rPr>
            </w:pPr>
            <w:r w:rsidRPr="00003A22">
              <w:rPr>
                <w:rFonts w:ascii="Arial" w:hAnsi="Arial" w:cs="Arial"/>
                <w:sz w:val="22"/>
                <w:szCs w:val="22"/>
              </w:rPr>
              <w:t>13.3</w:t>
            </w:r>
          </w:p>
        </w:tc>
      </w:tr>
      <w:tr w:rsidR="00A379E4" w14:paraId="6275FA96" w14:textId="77777777" w:rsidTr="00923110">
        <w:tc>
          <w:tcPr>
            <w:tcW w:w="2547" w:type="dxa"/>
          </w:tcPr>
          <w:p w14:paraId="0C911C19" w14:textId="68B05B30" w:rsidR="00A379E4" w:rsidRPr="00003A22" w:rsidRDefault="00A379E4" w:rsidP="00A379E4">
            <w:pPr>
              <w:rPr>
                <w:rFonts w:ascii="Arial" w:hAnsi="Arial" w:cs="Arial"/>
                <w:sz w:val="22"/>
                <w:szCs w:val="22"/>
              </w:rPr>
            </w:pPr>
            <w:r w:rsidRPr="00003A22">
              <w:rPr>
                <w:rFonts w:ascii="Arial" w:hAnsi="Arial" w:cs="Arial"/>
                <w:sz w:val="22"/>
                <w:szCs w:val="22"/>
              </w:rPr>
              <w:t>Operating income</w:t>
            </w:r>
          </w:p>
        </w:tc>
        <w:tc>
          <w:tcPr>
            <w:tcW w:w="1961" w:type="dxa"/>
          </w:tcPr>
          <w:p w14:paraId="35EFA3CE" w14:textId="14C13153" w:rsidR="00A379E4" w:rsidRPr="00003A22" w:rsidRDefault="00A379E4" w:rsidP="00091F00">
            <w:pPr>
              <w:jc w:val="right"/>
              <w:rPr>
                <w:rFonts w:ascii="Arial" w:hAnsi="Arial" w:cs="Arial"/>
                <w:sz w:val="22"/>
                <w:szCs w:val="22"/>
              </w:rPr>
            </w:pPr>
            <w:r w:rsidRPr="00003A22">
              <w:rPr>
                <w:rFonts w:ascii="Arial" w:hAnsi="Arial" w:cs="Arial"/>
                <w:sz w:val="22"/>
                <w:szCs w:val="22"/>
              </w:rPr>
              <w:t>242 000 000</w:t>
            </w:r>
          </w:p>
        </w:tc>
        <w:tc>
          <w:tcPr>
            <w:tcW w:w="2254" w:type="dxa"/>
          </w:tcPr>
          <w:p w14:paraId="456BDC91" w14:textId="4803F1A4" w:rsidR="00A379E4" w:rsidRPr="00003A22" w:rsidRDefault="00C70ABA" w:rsidP="00091F00">
            <w:pPr>
              <w:jc w:val="right"/>
              <w:rPr>
                <w:rFonts w:ascii="Arial" w:hAnsi="Arial" w:cs="Arial"/>
                <w:sz w:val="22"/>
                <w:szCs w:val="22"/>
              </w:rPr>
            </w:pPr>
            <w:r w:rsidRPr="00003A22">
              <w:rPr>
                <w:rFonts w:ascii="Arial" w:hAnsi="Arial" w:cs="Arial"/>
                <w:sz w:val="22"/>
                <w:szCs w:val="22"/>
              </w:rPr>
              <w:t>151 000 000</w:t>
            </w:r>
          </w:p>
        </w:tc>
        <w:tc>
          <w:tcPr>
            <w:tcW w:w="2254" w:type="dxa"/>
          </w:tcPr>
          <w:p w14:paraId="55F9927F" w14:textId="709DF5AA" w:rsidR="00B15DE6" w:rsidRPr="00003A22" w:rsidRDefault="00C70ABA" w:rsidP="00091F00">
            <w:pPr>
              <w:jc w:val="right"/>
              <w:rPr>
                <w:rFonts w:ascii="Arial" w:hAnsi="Arial" w:cs="Arial"/>
                <w:sz w:val="22"/>
                <w:szCs w:val="22"/>
              </w:rPr>
            </w:pPr>
            <w:r w:rsidRPr="00003A22">
              <w:rPr>
                <w:rFonts w:ascii="Arial" w:hAnsi="Arial" w:cs="Arial"/>
                <w:sz w:val="22"/>
                <w:szCs w:val="22"/>
              </w:rPr>
              <w:t>60.3</w:t>
            </w:r>
          </w:p>
        </w:tc>
      </w:tr>
      <w:tr w:rsidR="004371FA" w14:paraId="0CAEF718" w14:textId="77777777" w:rsidTr="00923110">
        <w:tc>
          <w:tcPr>
            <w:tcW w:w="2547" w:type="dxa"/>
          </w:tcPr>
          <w:p w14:paraId="68D21007" w14:textId="46DD5102" w:rsidR="004371FA" w:rsidRPr="00003A22" w:rsidRDefault="004371FA" w:rsidP="00A379E4">
            <w:pPr>
              <w:rPr>
                <w:rFonts w:ascii="Arial" w:hAnsi="Arial" w:cs="Arial"/>
                <w:sz w:val="22"/>
                <w:szCs w:val="22"/>
              </w:rPr>
            </w:pPr>
            <w:r w:rsidRPr="00003A22">
              <w:rPr>
                <w:rFonts w:ascii="Arial" w:hAnsi="Arial" w:cs="Arial"/>
                <w:sz w:val="22"/>
                <w:szCs w:val="22"/>
              </w:rPr>
              <w:t>Net income</w:t>
            </w:r>
          </w:p>
        </w:tc>
        <w:tc>
          <w:tcPr>
            <w:tcW w:w="1961" w:type="dxa"/>
          </w:tcPr>
          <w:p w14:paraId="5DBDC092" w14:textId="7D76D752" w:rsidR="004371FA" w:rsidRPr="00003A22" w:rsidRDefault="004371FA" w:rsidP="00091F00">
            <w:pPr>
              <w:jc w:val="right"/>
              <w:rPr>
                <w:rFonts w:ascii="Arial" w:hAnsi="Arial" w:cs="Arial"/>
                <w:sz w:val="22"/>
                <w:szCs w:val="22"/>
              </w:rPr>
            </w:pPr>
            <w:r w:rsidRPr="00003A22">
              <w:rPr>
                <w:rFonts w:ascii="Arial" w:hAnsi="Arial" w:cs="Arial"/>
                <w:sz w:val="22"/>
                <w:szCs w:val="22"/>
              </w:rPr>
              <w:t>200 000 000</w:t>
            </w:r>
          </w:p>
        </w:tc>
        <w:tc>
          <w:tcPr>
            <w:tcW w:w="2254" w:type="dxa"/>
          </w:tcPr>
          <w:p w14:paraId="53918DAF" w14:textId="444F1176" w:rsidR="004371FA" w:rsidRPr="00003A22" w:rsidRDefault="0011329B" w:rsidP="00091F00">
            <w:pPr>
              <w:jc w:val="right"/>
              <w:rPr>
                <w:rFonts w:ascii="Arial" w:hAnsi="Arial" w:cs="Arial"/>
                <w:sz w:val="22"/>
                <w:szCs w:val="22"/>
              </w:rPr>
            </w:pPr>
            <w:r w:rsidRPr="00003A22">
              <w:rPr>
                <w:rFonts w:ascii="Arial" w:hAnsi="Arial" w:cs="Arial"/>
                <w:sz w:val="22"/>
                <w:szCs w:val="22"/>
              </w:rPr>
              <w:t>153 000 000</w:t>
            </w:r>
          </w:p>
        </w:tc>
        <w:tc>
          <w:tcPr>
            <w:tcW w:w="2254" w:type="dxa"/>
          </w:tcPr>
          <w:p w14:paraId="11F55AF4" w14:textId="2BFBF1BE" w:rsidR="004371FA" w:rsidRPr="00003A22" w:rsidRDefault="0011329B" w:rsidP="00091F00">
            <w:pPr>
              <w:jc w:val="right"/>
              <w:rPr>
                <w:rFonts w:ascii="Arial" w:hAnsi="Arial" w:cs="Arial"/>
                <w:sz w:val="22"/>
                <w:szCs w:val="22"/>
              </w:rPr>
            </w:pPr>
            <w:r w:rsidRPr="00003A22">
              <w:rPr>
                <w:rFonts w:ascii="Arial" w:hAnsi="Arial" w:cs="Arial"/>
                <w:sz w:val="22"/>
                <w:szCs w:val="22"/>
              </w:rPr>
              <w:t>30.7</w:t>
            </w:r>
          </w:p>
        </w:tc>
      </w:tr>
      <w:tr w:rsidR="00073C9F" w14:paraId="30EF5419" w14:textId="77777777" w:rsidTr="00923110">
        <w:tc>
          <w:tcPr>
            <w:tcW w:w="2547" w:type="dxa"/>
          </w:tcPr>
          <w:p w14:paraId="2E8E618F" w14:textId="2BA93C90" w:rsidR="00073C9F" w:rsidRPr="00003A22" w:rsidRDefault="004371FA" w:rsidP="00A379E4">
            <w:pPr>
              <w:rPr>
                <w:rFonts w:ascii="Arial" w:hAnsi="Arial" w:cs="Arial"/>
                <w:sz w:val="22"/>
                <w:szCs w:val="22"/>
              </w:rPr>
            </w:pPr>
            <w:r w:rsidRPr="00003A22">
              <w:rPr>
                <w:rFonts w:ascii="Arial" w:hAnsi="Arial" w:cs="Arial"/>
                <w:sz w:val="22"/>
                <w:szCs w:val="22"/>
              </w:rPr>
              <w:t>Earnings per share</w:t>
            </w:r>
          </w:p>
        </w:tc>
        <w:tc>
          <w:tcPr>
            <w:tcW w:w="1961" w:type="dxa"/>
          </w:tcPr>
          <w:p w14:paraId="27417342" w14:textId="1ADCDAA9" w:rsidR="00073C9F" w:rsidRPr="00003A22" w:rsidRDefault="0011329B" w:rsidP="00091F00">
            <w:pPr>
              <w:jc w:val="right"/>
              <w:rPr>
                <w:rFonts w:ascii="Arial" w:hAnsi="Arial" w:cs="Arial"/>
                <w:sz w:val="22"/>
                <w:szCs w:val="22"/>
              </w:rPr>
            </w:pPr>
            <w:r w:rsidRPr="00003A22">
              <w:rPr>
                <w:rFonts w:ascii="Arial" w:hAnsi="Arial" w:cs="Arial"/>
                <w:sz w:val="22"/>
                <w:szCs w:val="22"/>
              </w:rPr>
              <w:t>1.67</w:t>
            </w:r>
          </w:p>
        </w:tc>
        <w:tc>
          <w:tcPr>
            <w:tcW w:w="2254" w:type="dxa"/>
          </w:tcPr>
          <w:p w14:paraId="14EF6952" w14:textId="71950242" w:rsidR="00073C9F" w:rsidRPr="00003A22" w:rsidRDefault="0011329B" w:rsidP="00091F00">
            <w:pPr>
              <w:jc w:val="right"/>
              <w:rPr>
                <w:rFonts w:ascii="Arial" w:hAnsi="Arial" w:cs="Arial"/>
                <w:sz w:val="22"/>
                <w:szCs w:val="22"/>
              </w:rPr>
            </w:pPr>
            <w:r w:rsidRPr="00003A22">
              <w:rPr>
                <w:rFonts w:ascii="Arial" w:hAnsi="Arial" w:cs="Arial"/>
                <w:sz w:val="22"/>
                <w:szCs w:val="22"/>
              </w:rPr>
              <w:t>1.32</w:t>
            </w:r>
          </w:p>
        </w:tc>
        <w:tc>
          <w:tcPr>
            <w:tcW w:w="2254" w:type="dxa"/>
          </w:tcPr>
          <w:p w14:paraId="3FA82710" w14:textId="3B183E35" w:rsidR="00073C9F" w:rsidRPr="00003A22" w:rsidRDefault="0011329B" w:rsidP="00091F00">
            <w:pPr>
              <w:jc w:val="right"/>
              <w:rPr>
                <w:rFonts w:ascii="Arial" w:hAnsi="Arial" w:cs="Arial"/>
                <w:sz w:val="22"/>
                <w:szCs w:val="22"/>
              </w:rPr>
            </w:pPr>
            <w:r w:rsidRPr="00003A22">
              <w:rPr>
                <w:rFonts w:ascii="Arial" w:hAnsi="Arial" w:cs="Arial"/>
                <w:sz w:val="22"/>
                <w:szCs w:val="22"/>
              </w:rPr>
              <w:t>26.5</w:t>
            </w:r>
          </w:p>
        </w:tc>
      </w:tr>
    </w:tbl>
    <w:p w14:paraId="284943A5" w14:textId="68ED5E18" w:rsidR="00D078D5" w:rsidRPr="00381701" w:rsidRDefault="00E44609">
      <w:pPr>
        <w:rPr>
          <w:rFonts w:ascii="Arial" w:hAnsi="Arial" w:cs="Arial"/>
          <w:lang w:val="en-GB"/>
        </w:rPr>
      </w:pPr>
      <w:r>
        <w:rPr>
          <w:rFonts w:ascii="Arial" w:hAnsi="Arial" w:cs="Arial"/>
          <w:lang w:val="en-GB"/>
        </w:rPr>
        <w:t xml:space="preserve">Copy from </w:t>
      </w:r>
      <w:r w:rsidR="00077B72">
        <w:rPr>
          <w:rFonts w:ascii="Arial" w:hAnsi="Arial" w:cs="Arial"/>
          <w:lang w:val="en-GB"/>
        </w:rPr>
        <w:t>above.</w:t>
      </w:r>
    </w:p>
    <w:p w14:paraId="402CD180" w14:textId="77777777" w:rsidR="00D078D5" w:rsidRPr="00381701" w:rsidRDefault="00D078D5">
      <w:pPr>
        <w:rPr>
          <w:rFonts w:ascii="Arial" w:hAnsi="Arial" w:cs="Arial"/>
          <w:lang w:val="en-GB"/>
        </w:rPr>
      </w:pPr>
    </w:p>
    <w:p w14:paraId="210D8966" w14:textId="77777777" w:rsidR="00D078D5" w:rsidRPr="00381701" w:rsidRDefault="00D078D5">
      <w:pPr>
        <w:rPr>
          <w:rFonts w:ascii="Arial" w:hAnsi="Arial" w:cs="Arial"/>
          <w:lang w:val="en-GB"/>
        </w:rPr>
      </w:pPr>
    </w:p>
    <w:p w14:paraId="4639BBE7" w14:textId="77777777" w:rsidR="00D078D5" w:rsidRPr="00381701" w:rsidRDefault="00D078D5">
      <w:pPr>
        <w:rPr>
          <w:rFonts w:ascii="Arial" w:hAnsi="Arial" w:cs="Arial"/>
          <w:lang w:val="en-GB"/>
        </w:rPr>
      </w:pPr>
    </w:p>
    <w:p w14:paraId="4FC822E3" w14:textId="77777777" w:rsidR="00D078D5" w:rsidRPr="00381701" w:rsidRDefault="00D078D5">
      <w:pPr>
        <w:rPr>
          <w:rFonts w:ascii="Arial" w:hAnsi="Arial" w:cs="Arial"/>
          <w:lang w:val="en-GB"/>
        </w:rPr>
      </w:pPr>
    </w:p>
    <w:p w14:paraId="351BC551" w14:textId="77777777" w:rsidR="00D078D5" w:rsidRPr="00381701" w:rsidRDefault="00D078D5">
      <w:pPr>
        <w:rPr>
          <w:rFonts w:ascii="Arial" w:hAnsi="Arial" w:cs="Arial"/>
          <w:lang w:val="en-GB"/>
        </w:rPr>
      </w:pPr>
    </w:p>
    <w:p w14:paraId="7B59EC60" w14:textId="495D4528" w:rsidR="00D078D5" w:rsidRPr="00381701" w:rsidRDefault="005300EA" w:rsidP="005300EA">
      <w:pPr>
        <w:pStyle w:val="Heading1"/>
        <w:rPr>
          <w:lang w:val="en-GB"/>
        </w:rPr>
      </w:pPr>
      <w:bookmarkStart w:id="1" w:name="_Toc139827389"/>
      <w:r>
        <w:rPr>
          <w:lang w:val="en-GB"/>
        </w:rPr>
        <w:lastRenderedPageBreak/>
        <w:t>Discussion</w:t>
      </w:r>
      <w:bookmarkEnd w:id="1"/>
      <w:r>
        <w:rPr>
          <w:lang w:val="en-GB"/>
        </w:rPr>
        <w:t xml:space="preserve"> </w:t>
      </w:r>
    </w:p>
    <w:p w14:paraId="643C414A" w14:textId="77777777" w:rsidR="00645D6C" w:rsidRDefault="00645D6C" w:rsidP="005300EA">
      <w:pPr>
        <w:rPr>
          <w:rFonts w:asciiTheme="majorHAnsi" w:hAnsiTheme="majorHAnsi" w:cstheme="majorHAnsi"/>
          <w:sz w:val="22"/>
          <w:szCs w:val="22"/>
          <w:lang w:val="en-GB"/>
        </w:rPr>
      </w:pPr>
    </w:p>
    <w:p w14:paraId="531141F5" w14:textId="76853B27"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 xml:space="preserve">The organizational environment of GXO Company plays a significant role in shaping its workplace culture. By critically assessing the impact of environmental factors, we can gain insights into the influences that contribute to the culture within the organization. This discussion will focus on identifying and </w:t>
      </w:r>
      <w:r w:rsidR="00013F0C" w:rsidRPr="00E723F4">
        <w:rPr>
          <w:rFonts w:ascii="Arial" w:hAnsi="Arial" w:cs="Arial"/>
          <w:sz w:val="22"/>
          <w:szCs w:val="22"/>
          <w:lang w:val="en-GB"/>
        </w:rPr>
        <w:t>analysing</w:t>
      </w:r>
      <w:r w:rsidRPr="00E723F4">
        <w:rPr>
          <w:rFonts w:ascii="Arial" w:hAnsi="Arial" w:cs="Arial"/>
          <w:sz w:val="22"/>
          <w:szCs w:val="22"/>
          <w:lang w:val="en-GB"/>
        </w:rPr>
        <w:t xml:space="preserve"> the organizational environment and its effects on GXO's culture.</w:t>
      </w:r>
    </w:p>
    <w:p w14:paraId="50CF4585" w14:textId="0D15FCB9" w:rsidR="003A2C15" w:rsidRPr="005300EA" w:rsidRDefault="00F872E1" w:rsidP="005300EA">
      <w:pPr>
        <w:rPr>
          <w:rFonts w:asciiTheme="majorHAnsi" w:hAnsiTheme="majorHAnsi" w:cstheme="majorHAnsi"/>
          <w:sz w:val="22"/>
          <w:szCs w:val="22"/>
          <w:lang w:val="en-GB"/>
        </w:rPr>
      </w:pPr>
      <w:r w:rsidRPr="00743583">
        <w:rPr>
          <w:rFonts w:asciiTheme="majorHAnsi" w:hAnsiTheme="majorHAnsi" w:cstheme="majorHAnsi"/>
          <w:noProof/>
          <w:sz w:val="22"/>
          <w:szCs w:val="22"/>
          <w:lang w:val="en-GB"/>
        </w:rPr>
        <mc:AlternateContent>
          <mc:Choice Requires="wps">
            <w:drawing>
              <wp:anchor distT="45720" distB="45720" distL="114300" distR="114300" simplePos="0" relativeHeight="251659264" behindDoc="0" locked="0" layoutInCell="1" allowOverlap="1" wp14:anchorId="75D82434" wp14:editId="1116AFE0">
                <wp:simplePos x="0" y="0"/>
                <wp:positionH relativeFrom="margin">
                  <wp:posOffset>1767840</wp:posOffset>
                </wp:positionH>
                <wp:positionV relativeFrom="paragraph">
                  <wp:posOffset>6549390</wp:posOffset>
                </wp:positionV>
                <wp:extent cx="2360930" cy="25908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080"/>
                        </a:xfrm>
                        <a:prstGeom prst="rect">
                          <a:avLst/>
                        </a:prstGeom>
                        <a:solidFill>
                          <a:srgbClr val="FFFFFF"/>
                        </a:solidFill>
                        <a:ln w="9525">
                          <a:solidFill>
                            <a:srgbClr val="000000"/>
                          </a:solidFill>
                          <a:miter lim="800000"/>
                          <a:headEnd/>
                          <a:tailEnd/>
                        </a:ln>
                      </wps:spPr>
                      <wps:txbx>
                        <w:txbxContent>
                          <w:p w14:paraId="323A62F4" w14:textId="07980B9F" w:rsidR="00E80DAC" w:rsidRPr="00F872E1" w:rsidRDefault="00000000" w:rsidP="00E80DAC">
                            <w:pPr>
                              <w:rPr>
                                <w:noProof/>
                                <w:color w:val="76C2E8" w:themeColor="background2" w:themeShade="BF"/>
                              </w:rPr>
                            </w:pPr>
                            <w:hyperlink r:id="rId11" w:history="1">
                              <w:r w:rsidR="00085D0E" w:rsidRPr="00F872E1">
                                <w:rPr>
                                  <w:rStyle w:val="Hyperlink"/>
                                  <w:noProof/>
                                  <w:color w:val="76C2E8" w:themeColor="background2" w:themeShade="BF"/>
                                </w:rPr>
                                <w:t>https://theorg.com/org/gxo/embed</w:t>
                              </w:r>
                            </w:hyperlink>
                          </w:p>
                          <w:p w14:paraId="2219ED0F" w14:textId="77777777" w:rsidR="00085D0E" w:rsidRDefault="00085D0E" w:rsidP="00E80DAC">
                            <w:pPr>
                              <w:rPr>
                                <w:noProof/>
                              </w:rPr>
                            </w:pPr>
                          </w:p>
                          <w:p w14:paraId="3F67A809" w14:textId="77777777" w:rsidR="00085D0E" w:rsidRDefault="00085D0E" w:rsidP="00E80DA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5D82434" id="_x0000_t202" coordsize="21600,21600" o:spt="202" path="m,l,21600r21600,l21600,xe">
                <v:stroke joinstyle="miter"/>
                <v:path gradientshapeok="t" o:connecttype="rect"/>
              </v:shapetype>
              <v:shape id="Text Box 2" o:spid="_x0000_s1026" type="#_x0000_t202" style="position:absolute;margin-left:139.2pt;margin-top:515.7pt;width:185.9pt;height:20.4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FKYEAIAAB8EAAAOAAAAZHJzL2Uyb0RvYy54bWysU9uO2yAQfa/Uf0C8N3a8yTax4qy22aaq&#10;tL1I234AxjhGBYYCiZ1+/Q44m4227UtVHhDDDIeZM2dWN4NW5CCcl2AqOp3klAjDoZFmV9Hv37Zv&#10;FpT4wEzDFBhR0aPw9Gb9+tWqt6UooAPVCEcQxPiytxXtQrBllnneCc38BKww6GzBaRbQdLuscaxH&#10;dK2yIs+vsx5cYx1w4T3e3o1Ouk74bSt4+NK2XgSiKoq5hbS7tNdxz9YrVu4cs53kpzTYP2ShmTT4&#10;6RnqjgVG9k7+BqUld+ChDRMOOoO2lVykGrCaaf6imoeOWZFqQXK8PdPk/x8s/3x4sF8dCcM7GLCB&#10;qQhv74H/8MTApmNmJ26dg74TrMGPp5GyrLe+PD2NVPvSR5C6/wQNNpntAySgoXU6soJ1EkTHBhzP&#10;pIshEI6XxdV1vrxCF0dfMV/mi9SVjJVPr63z4YMATeKhog6bmtDZ4d6HmA0rn0LiZx6UbLZSqWS4&#10;Xb1RjhwYCmCbVirgRZgypK/ocl7MRwL+CpGn9ScILQMqWUld0cU5iJWRtvemSToLTKrxjCkrc+Ix&#10;UjeSGIZ6wMDIZw3NERl1MCoWJwwPHbhflPSo1or6n3vmBCXqo8GuLKezWZR3MmbztwUa7tJTX3qY&#10;4QhV0UDJeNyENBKRMAO32L1WJmKfMznliipMfJ8mJsr80k5Rz3O9fgQAAP//AwBQSwMEFAAGAAgA&#10;AAAhAEG05VvhAAAADQEAAA8AAABkcnMvZG93bnJldi54bWxMj81uwjAQhO+V+g7WVuqt2EnLj9I4&#10;qELiwq0pajma2I0N8TqKDYS373Iqt92d0ew35XL0HTubIbqAErKJAGawCdphK2H7tX5ZAItJoVZd&#10;QCPhaiIsq8eHUhU6XPDTnOvUMgrBWCgJNqW+4Dw21ngVJ6E3SNpvGLxKtA4t14O6ULjveC7EjHvl&#10;kD5Y1ZuVNc2xPnkJ8Zitpz/hsLW7zdXWh537dpuVlM9P48c7sGTG9G+GGz6hQ0VM+3BCHVknIZ8v&#10;3shKgnjNaCLLbCpyYPvbaZ7nwKuS37eo/gAAAP//AwBQSwECLQAUAAYACAAAACEAtoM4kv4AAADh&#10;AQAAEwAAAAAAAAAAAAAAAAAAAAAAW0NvbnRlbnRfVHlwZXNdLnhtbFBLAQItABQABgAIAAAAIQA4&#10;/SH/1gAAAJQBAAALAAAAAAAAAAAAAAAAAC8BAABfcmVscy8ucmVsc1BLAQItABQABgAIAAAAIQBQ&#10;gFKYEAIAAB8EAAAOAAAAAAAAAAAAAAAAAC4CAABkcnMvZTJvRG9jLnhtbFBLAQItABQABgAIAAAA&#10;IQBBtOVb4QAAAA0BAAAPAAAAAAAAAAAAAAAAAGoEAABkcnMvZG93bnJldi54bWxQSwUGAAAAAAQA&#10;BADzAAAAeAUAAAAA&#10;">
                <v:textbox>
                  <w:txbxContent>
                    <w:p w14:paraId="323A62F4" w14:textId="07980B9F" w:rsidR="00E80DAC" w:rsidRPr="00F872E1" w:rsidRDefault="00000000" w:rsidP="00E80DAC">
                      <w:pPr>
                        <w:rPr>
                          <w:noProof/>
                          <w:color w:val="76C2E8" w:themeColor="background2" w:themeShade="BF"/>
                        </w:rPr>
                      </w:pPr>
                      <w:hyperlink r:id="rId12" w:history="1">
                        <w:r w:rsidR="00085D0E" w:rsidRPr="00F872E1">
                          <w:rPr>
                            <w:rStyle w:val="Hyperlink"/>
                            <w:noProof/>
                            <w:color w:val="76C2E8" w:themeColor="background2" w:themeShade="BF"/>
                          </w:rPr>
                          <w:t>https://theorg.com/org/gxo/embed</w:t>
                        </w:r>
                      </w:hyperlink>
                    </w:p>
                    <w:p w14:paraId="2219ED0F" w14:textId="77777777" w:rsidR="00085D0E" w:rsidRDefault="00085D0E" w:rsidP="00E80DAC">
                      <w:pPr>
                        <w:rPr>
                          <w:noProof/>
                        </w:rPr>
                      </w:pPr>
                    </w:p>
                    <w:p w14:paraId="3F67A809" w14:textId="77777777" w:rsidR="00085D0E" w:rsidRDefault="00085D0E" w:rsidP="00E80DAC"/>
                  </w:txbxContent>
                </v:textbox>
                <w10:wrap type="square" anchorx="margin"/>
              </v:shape>
            </w:pict>
          </mc:Fallback>
        </mc:AlternateContent>
      </w:r>
      <w:r w:rsidR="003A2C15">
        <w:rPr>
          <w:rFonts w:asciiTheme="majorHAnsi" w:hAnsiTheme="majorHAnsi" w:cstheme="majorHAnsi"/>
          <w:noProof/>
          <w:sz w:val="22"/>
          <w:szCs w:val="22"/>
          <w:lang w:val="en-GB"/>
        </w:rPr>
        <w:drawing>
          <wp:inline distT="0" distB="0" distL="0" distR="0" wp14:anchorId="0FC6C997" wp14:editId="51089F94">
            <wp:extent cx="6026856" cy="6461760"/>
            <wp:effectExtent l="0" t="0" r="0" b="0"/>
            <wp:docPr id="1832671406"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71406" name="Picture 1" descr="A screenshot of a phon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6044444" cy="6480617"/>
                    </a:xfrm>
                    <a:prstGeom prst="rect">
                      <a:avLst/>
                    </a:prstGeom>
                  </pic:spPr>
                </pic:pic>
              </a:graphicData>
            </a:graphic>
          </wp:inline>
        </w:drawing>
      </w:r>
    </w:p>
    <w:p w14:paraId="581C40B9" w14:textId="24AC9D29" w:rsidR="006D73A9" w:rsidRPr="005300EA" w:rsidRDefault="006D73A9" w:rsidP="005300EA">
      <w:pPr>
        <w:rPr>
          <w:rFonts w:asciiTheme="majorHAnsi" w:hAnsiTheme="majorHAnsi" w:cstheme="majorHAnsi"/>
          <w:sz w:val="22"/>
          <w:szCs w:val="22"/>
          <w:lang w:val="en-GB"/>
        </w:rPr>
      </w:pPr>
    </w:p>
    <w:p w14:paraId="4EEBE88D" w14:textId="3CF88CEF" w:rsidR="006D73A9" w:rsidRPr="005300EA" w:rsidRDefault="006D73A9" w:rsidP="005300EA">
      <w:pPr>
        <w:rPr>
          <w:rFonts w:asciiTheme="majorHAnsi" w:hAnsiTheme="majorHAnsi" w:cstheme="majorHAnsi"/>
          <w:sz w:val="22"/>
          <w:szCs w:val="22"/>
          <w:lang w:val="en-GB"/>
        </w:rPr>
      </w:pPr>
      <w:bookmarkStart w:id="2" w:name="_Toc139827390"/>
      <w:r w:rsidRPr="005300EA">
        <w:rPr>
          <w:rStyle w:val="Heading2Char"/>
          <w:rFonts w:cstheme="majorHAnsi"/>
          <w:sz w:val="22"/>
          <w:szCs w:val="22"/>
          <w:lang w:val="en-GB"/>
        </w:rPr>
        <w:lastRenderedPageBreak/>
        <w:t>Organizational Environment</w:t>
      </w:r>
      <w:bookmarkEnd w:id="2"/>
      <w:r w:rsidRPr="005300EA">
        <w:rPr>
          <w:rFonts w:asciiTheme="majorHAnsi" w:hAnsiTheme="majorHAnsi" w:cstheme="majorHAnsi"/>
          <w:sz w:val="22"/>
          <w:szCs w:val="22"/>
          <w:lang w:val="en-GB"/>
        </w:rPr>
        <w:t>:</w:t>
      </w:r>
    </w:p>
    <w:p w14:paraId="4B453FEA" w14:textId="77777777"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The organizational environment of GXO encompasses both internal and external factors that shape its operations and culture. Internally, factors such as leadership style, organizational structure, and employee demographics influence the culture (Chang &amp; Tharenou, 2016). Externally, the environment is influenced by factors like political, economic, social, technological, legal, and environmental conditions. By critically assessing the impact of these environmental factors, we can understand how they shape the culture within GXO (Robbins &amp; Coulter, 2019).</w:t>
      </w:r>
    </w:p>
    <w:p w14:paraId="3AB1D3EB" w14:textId="77777777" w:rsidR="006D73A9" w:rsidRPr="005300EA" w:rsidRDefault="006D73A9" w:rsidP="005300EA">
      <w:pPr>
        <w:rPr>
          <w:rFonts w:asciiTheme="majorHAnsi" w:hAnsiTheme="majorHAnsi" w:cstheme="majorHAnsi"/>
          <w:sz w:val="22"/>
          <w:szCs w:val="22"/>
          <w:lang w:val="en-GB"/>
        </w:rPr>
      </w:pPr>
    </w:p>
    <w:p w14:paraId="531BA507" w14:textId="77777777" w:rsidR="006D73A9" w:rsidRPr="005300EA" w:rsidRDefault="006D73A9" w:rsidP="005300EA">
      <w:pPr>
        <w:rPr>
          <w:rFonts w:asciiTheme="majorHAnsi" w:hAnsiTheme="majorHAnsi" w:cstheme="majorHAnsi"/>
          <w:sz w:val="22"/>
          <w:szCs w:val="22"/>
          <w:lang w:val="en-GB"/>
        </w:rPr>
      </w:pPr>
      <w:bookmarkStart w:id="3" w:name="_Toc139827391"/>
      <w:r w:rsidRPr="005300EA">
        <w:rPr>
          <w:rStyle w:val="Heading2Char"/>
          <w:rFonts w:cstheme="majorHAnsi"/>
          <w:sz w:val="22"/>
          <w:szCs w:val="22"/>
          <w:lang w:val="en-GB"/>
        </w:rPr>
        <w:t>Impact of Environmental Factors on Culture</w:t>
      </w:r>
      <w:bookmarkEnd w:id="3"/>
      <w:r w:rsidRPr="005300EA">
        <w:rPr>
          <w:rFonts w:asciiTheme="majorHAnsi" w:hAnsiTheme="majorHAnsi" w:cstheme="majorHAnsi"/>
          <w:sz w:val="22"/>
          <w:szCs w:val="22"/>
          <w:lang w:val="en-GB"/>
        </w:rPr>
        <w:t>:</w:t>
      </w:r>
    </w:p>
    <w:p w14:paraId="45782943" w14:textId="22CDFC79"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 xml:space="preserve">To </w:t>
      </w:r>
      <w:r w:rsidR="00013F0C" w:rsidRPr="00E723F4">
        <w:rPr>
          <w:rFonts w:ascii="Arial" w:hAnsi="Arial" w:cs="Arial"/>
          <w:sz w:val="22"/>
          <w:szCs w:val="22"/>
          <w:lang w:val="en-GB"/>
        </w:rPr>
        <w:t>analyse</w:t>
      </w:r>
      <w:r w:rsidRPr="00E723F4">
        <w:rPr>
          <w:rFonts w:ascii="Arial" w:hAnsi="Arial" w:cs="Arial"/>
          <w:sz w:val="22"/>
          <w:szCs w:val="22"/>
          <w:lang w:val="en-GB"/>
        </w:rPr>
        <w:t xml:space="preserve"> the impact of external factors on the culture of GXO, frameworks such as PESTLE and Porter's Five Forces can be applied.</w:t>
      </w:r>
    </w:p>
    <w:p w14:paraId="31FC0E52" w14:textId="143BFB59"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 xml:space="preserve">PESTLE Analysis: The PESTLE framework assesses the political, economic, social, technological, legal, and environmental factors that influence an organization. In the case of GXO, political factors could include government regulations and trade policies that impact its operations (Worley et al., 2020). Economic factors may encompass macroeconomic conditions, exchange rates, and market trends affecting the logistics industry (Pirani et al., 2020). Social factors may involve cultural norms, societal expectations, and demographic shifts that influence the company's culture (Choudhary &amp; Bhattacharya, 2020). Technological factors could relate to the adoption of innovative technologies and digital transformation in the logistics sector (Chen et al., 2021). Legal factors may involve compliance requirements and </w:t>
      </w:r>
      <w:r w:rsidR="00013F0C" w:rsidRPr="00E723F4">
        <w:rPr>
          <w:rFonts w:ascii="Arial" w:hAnsi="Arial" w:cs="Arial"/>
          <w:sz w:val="22"/>
          <w:szCs w:val="22"/>
          <w:lang w:val="en-GB"/>
        </w:rPr>
        <w:t>labour</w:t>
      </w:r>
      <w:r w:rsidRPr="00E723F4">
        <w:rPr>
          <w:rFonts w:ascii="Arial" w:hAnsi="Arial" w:cs="Arial"/>
          <w:sz w:val="22"/>
          <w:szCs w:val="22"/>
          <w:lang w:val="en-GB"/>
        </w:rPr>
        <w:t xml:space="preserve"> laws affecting GXO's operations (Snell et al., 2021). Lastly, environmental factors could pertain to sustainability initiatives and environmental regulations influencing the organization's culture (Elkington, 1997).</w:t>
      </w:r>
    </w:p>
    <w:p w14:paraId="2DBE3EF3" w14:textId="4066F9FE"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 xml:space="preserve">Porter's Five Forces: Porter's Five Forces framework </w:t>
      </w:r>
      <w:r w:rsidR="00013F0C" w:rsidRPr="00E723F4">
        <w:rPr>
          <w:rFonts w:ascii="Arial" w:hAnsi="Arial" w:cs="Arial"/>
          <w:sz w:val="22"/>
          <w:szCs w:val="22"/>
          <w:lang w:val="en-GB"/>
        </w:rPr>
        <w:t>analyses</w:t>
      </w:r>
      <w:r w:rsidRPr="00E723F4">
        <w:rPr>
          <w:rFonts w:ascii="Arial" w:hAnsi="Arial" w:cs="Arial"/>
          <w:sz w:val="22"/>
          <w:szCs w:val="22"/>
          <w:lang w:val="en-GB"/>
        </w:rPr>
        <w:t xml:space="preserve"> the competitive landscape and industry dynamics. It helps identify external influences on GXO's culture, such as the bargaining power of suppliers and customers, the threat of new entrants, the intensity of competitive rivalry, and the threat of substitute products or services (Porter, 2008). These factors can impact the organization's strategic decisions and, consequently, its culture.</w:t>
      </w:r>
    </w:p>
    <w:p w14:paraId="7681BDFA" w14:textId="77777777" w:rsidR="006D73A9" w:rsidRPr="00E723F4" w:rsidRDefault="006D73A9" w:rsidP="005300EA">
      <w:pPr>
        <w:rPr>
          <w:rFonts w:ascii="Arial" w:hAnsi="Arial" w:cs="Arial"/>
          <w:sz w:val="22"/>
          <w:szCs w:val="22"/>
          <w:lang w:val="en-GB"/>
        </w:rPr>
      </w:pPr>
    </w:p>
    <w:p w14:paraId="34ED25F9" w14:textId="77777777" w:rsidR="00A0163E" w:rsidRPr="00E723F4" w:rsidRDefault="00A0163E" w:rsidP="005300EA">
      <w:pPr>
        <w:rPr>
          <w:rFonts w:ascii="Arial" w:hAnsi="Arial" w:cs="Arial"/>
          <w:sz w:val="22"/>
          <w:szCs w:val="22"/>
          <w:lang w:val="en-GB"/>
        </w:rPr>
      </w:pPr>
    </w:p>
    <w:p w14:paraId="2A9F1BA7" w14:textId="77777777" w:rsidR="00A0163E" w:rsidRPr="00E723F4" w:rsidRDefault="00A0163E" w:rsidP="005300EA">
      <w:pPr>
        <w:rPr>
          <w:rFonts w:ascii="Arial" w:hAnsi="Arial" w:cs="Arial"/>
          <w:sz w:val="22"/>
          <w:szCs w:val="22"/>
          <w:lang w:val="en-GB"/>
        </w:rPr>
      </w:pPr>
    </w:p>
    <w:p w14:paraId="29098AE5" w14:textId="77777777" w:rsidR="00A0163E" w:rsidRPr="00E723F4" w:rsidRDefault="00A0163E" w:rsidP="005300EA">
      <w:pPr>
        <w:rPr>
          <w:rFonts w:ascii="Arial" w:hAnsi="Arial" w:cs="Arial"/>
          <w:sz w:val="22"/>
          <w:szCs w:val="22"/>
          <w:lang w:val="en-GB"/>
        </w:rPr>
      </w:pPr>
    </w:p>
    <w:p w14:paraId="20A1EF90" w14:textId="3438BE88" w:rsidR="00710344" w:rsidRPr="00E723F4" w:rsidRDefault="00CF36DB" w:rsidP="005300EA">
      <w:pPr>
        <w:rPr>
          <w:rFonts w:ascii="Arial" w:hAnsi="Arial" w:cs="Arial"/>
          <w:sz w:val="22"/>
          <w:szCs w:val="22"/>
          <w:lang w:val="en-GB"/>
        </w:rPr>
      </w:pPr>
      <w:r w:rsidRPr="00E723F4">
        <w:rPr>
          <w:rFonts w:ascii="Arial" w:hAnsi="Arial" w:cs="Arial"/>
          <w:noProof/>
          <w:sz w:val="22"/>
          <w:szCs w:val="22"/>
          <w:lang w:val="en-GB"/>
        </w:rPr>
        <w:lastRenderedPageBreak/>
        <w:drawing>
          <wp:inline distT="0" distB="0" distL="0" distR="0" wp14:anchorId="7FF226B8" wp14:editId="6ACCBC3B">
            <wp:extent cx="5668010" cy="2599509"/>
            <wp:effectExtent l="0" t="0" r="0" b="0"/>
            <wp:docPr id="654732059" name="Picture 4" descr="A picture containing person, clothing, human face, jo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32059" name="Picture 4" descr="A picture containing person, clothing, human face, job&#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10327" cy="2618917"/>
                    </a:xfrm>
                    <a:prstGeom prst="rect">
                      <a:avLst/>
                    </a:prstGeom>
                  </pic:spPr>
                </pic:pic>
              </a:graphicData>
            </a:graphic>
          </wp:inline>
        </w:drawing>
      </w:r>
    </w:p>
    <w:p w14:paraId="2D4B4DF9" w14:textId="77777777" w:rsidR="0036324B" w:rsidRPr="00E723F4" w:rsidRDefault="0036324B" w:rsidP="005300EA">
      <w:pPr>
        <w:rPr>
          <w:rFonts w:ascii="Arial" w:hAnsi="Arial" w:cs="Arial"/>
          <w:sz w:val="22"/>
          <w:szCs w:val="22"/>
          <w:lang w:val="en-GB"/>
        </w:rPr>
      </w:pPr>
    </w:p>
    <w:p w14:paraId="4DC76224" w14:textId="1E0E7FD8"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Through the application of these frameworks, it becomes apparent that environmental factors significantly impact GXO's workplace culture. Political and legal factors can shape the company's adherence to ethical standards and regulatory compliance. Economic factors influence the organization's approach to efficiency and cost-effectiveness, which may impact the work culture. Social factors can influence the emphasis on diversity and inclusion, employee well-being, and community engagement. Technological factors may drive innovation and digital transformation, impacting the organization's culture of adaptability and technological proficiency. Lastly, environmental factors can shape GXO's commitment to sustainability and environmental responsibility, influencing its culture and values.</w:t>
      </w:r>
    </w:p>
    <w:p w14:paraId="5DA6CD2C" w14:textId="77777777" w:rsidR="00E44609" w:rsidRPr="00E723F4" w:rsidRDefault="00E44609" w:rsidP="005300EA">
      <w:pPr>
        <w:rPr>
          <w:rFonts w:ascii="Arial" w:hAnsi="Arial" w:cs="Arial"/>
          <w:sz w:val="22"/>
          <w:szCs w:val="22"/>
          <w:lang w:val="en-GB"/>
        </w:rPr>
      </w:pPr>
    </w:p>
    <w:p w14:paraId="0994196B" w14:textId="0BD6A001" w:rsidR="006D73A9" w:rsidRPr="00E723F4" w:rsidRDefault="006D73A9" w:rsidP="005300EA">
      <w:pPr>
        <w:rPr>
          <w:rFonts w:ascii="Arial" w:hAnsi="Arial" w:cs="Arial"/>
          <w:sz w:val="22"/>
          <w:szCs w:val="22"/>
          <w:lang w:val="en-GB"/>
        </w:rPr>
      </w:pPr>
      <w:r w:rsidRPr="00E723F4">
        <w:rPr>
          <w:rFonts w:ascii="Arial" w:hAnsi="Arial" w:cs="Arial"/>
          <w:sz w:val="22"/>
          <w:szCs w:val="22"/>
          <w:lang w:val="en-GB"/>
        </w:rPr>
        <w:t>By critically assessing the impact of these environmental factors, GXO can gain insights into their effects on the organization's workplace culture. This understanding is crucial for aligning the culture with the company's goals, fostering employee engagement, and promoting a positive work environment.</w:t>
      </w:r>
    </w:p>
    <w:p w14:paraId="237EB478" w14:textId="77777777" w:rsidR="00B22195" w:rsidRPr="00E723F4" w:rsidRDefault="006D73A9" w:rsidP="005300EA">
      <w:pPr>
        <w:rPr>
          <w:rFonts w:ascii="Arial" w:hAnsi="Arial" w:cs="Arial"/>
          <w:sz w:val="22"/>
          <w:szCs w:val="22"/>
          <w:lang w:val="en-GB"/>
        </w:rPr>
      </w:pPr>
      <w:r w:rsidRPr="00E723F4">
        <w:rPr>
          <w:rFonts w:ascii="Arial" w:hAnsi="Arial" w:cs="Arial"/>
          <w:sz w:val="22"/>
          <w:szCs w:val="22"/>
          <w:lang w:val="en-GB"/>
        </w:rPr>
        <w:t>Overall, the organizational environment, influenced by various external factors, plays a significant role in shaping the culture of GXO Company. By critically assessing these factors using frameworks such as PESTLE and Porter's Five Forces, GXO can gain valuable insights to understand and adapt its culture to ensure alignment with its strategic objectives.</w:t>
      </w:r>
    </w:p>
    <w:p w14:paraId="496152FC" w14:textId="6AC4FBCB" w:rsidR="00BE528B" w:rsidRPr="00E723F4" w:rsidRDefault="00BE528B" w:rsidP="00BE528B">
      <w:pPr>
        <w:rPr>
          <w:rFonts w:ascii="Arial" w:hAnsi="Arial" w:cs="Arial"/>
          <w:sz w:val="22"/>
          <w:szCs w:val="22"/>
          <w:lang w:val="en-GB"/>
        </w:rPr>
      </w:pPr>
      <w:r w:rsidRPr="00E723F4">
        <w:rPr>
          <w:rFonts w:ascii="Arial" w:hAnsi="Arial" w:cs="Arial"/>
          <w:sz w:val="22"/>
          <w:szCs w:val="22"/>
          <w:lang w:val="en-GB"/>
        </w:rPr>
        <w:t>Discussing the key ethical elements in an organizational culture and how they can be promoted among employees requires an examination of relevant academic frameworks. In this section, we will explore the ethical elements within organizational culture and discuss ways to promote them among employees using frameworks such as Schein's Organizational Culture Model, McKinsey 7S Model, and Kotler's 8-Step Plan.</w:t>
      </w:r>
    </w:p>
    <w:p w14:paraId="54B164C5" w14:textId="77777777" w:rsidR="00077DFF" w:rsidRPr="00710344" w:rsidRDefault="00BE528B" w:rsidP="00077DFF">
      <w:pPr>
        <w:rPr>
          <w:rFonts w:ascii="Arial" w:hAnsi="Arial" w:cs="Arial"/>
          <w:sz w:val="22"/>
          <w:szCs w:val="22"/>
          <w:lang w:val="en-GB"/>
        </w:rPr>
      </w:pPr>
      <w:bookmarkStart w:id="4" w:name="_Toc139827392"/>
      <w:r w:rsidRPr="00710344">
        <w:rPr>
          <w:rStyle w:val="Heading2Char"/>
          <w:rFonts w:ascii="Arial" w:hAnsi="Arial" w:cs="Arial"/>
          <w:lang w:val="en-GB"/>
        </w:rPr>
        <w:lastRenderedPageBreak/>
        <w:t>Schein's Organizational Culture Model:</w:t>
      </w:r>
      <w:bookmarkEnd w:id="4"/>
      <w:r w:rsidRPr="00710344">
        <w:rPr>
          <w:rFonts w:ascii="Arial" w:hAnsi="Arial" w:cs="Arial"/>
          <w:sz w:val="22"/>
          <w:szCs w:val="22"/>
          <w:lang w:val="en-GB"/>
        </w:rPr>
        <w:t xml:space="preserve"> </w:t>
      </w:r>
    </w:p>
    <w:p w14:paraId="35B95747" w14:textId="6EEEA809" w:rsidR="00BE528B" w:rsidRPr="00710344" w:rsidRDefault="00BE528B" w:rsidP="00077DFF">
      <w:pPr>
        <w:rPr>
          <w:rFonts w:ascii="Arial" w:hAnsi="Arial" w:cs="Arial"/>
          <w:sz w:val="22"/>
          <w:szCs w:val="22"/>
          <w:lang w:val="en-GB"/>
        </w:rPr>
      </w:pPr>
      <w:r w:rsidRPr="00710344">
        <w:rPr>
          <w:rFonts w:ascii="Arial" w:hAnsi="Arial" w:cs="Arial"/>
          <w:sz w:val="22"/>
          <w:szCs w:val="22"/>
          <w:lang w:val="en-GB"/>
        </w:rPr>
        <w:t>Schein's model emphasizes three key ethical elements within organizational culture:</w:t>
      </w:r>
    </w:p>
    <w:p w14:paraId="22560E72" w14:textId="6EC54F04" w:rsidR="00BE528B" w:rsidRPr="00710344" w:rsidRDefault="00BE528B" w:rsidP="00BE528B">
      <w:pPr>
        <w:rPr>
          <w:rFonts w:ascii="Arial" w:hAnsi="Arial" w:cs="Arial"/>
          <w:sz w:val="22"/>
          <w:szCs w:val="22"/>
          <w:lang w:val="en-GB"/>
        </w:rPr>
      </w:pPr>
      <w:r w:rsidRPr="00710344">
        <w:rPr>
          <w:rFonts w:ascii="Arial" w:hAnsi="Arial" w:cs="Arial"/>
          <w:sz w:val="22"/>
          <w:szCs w:val="22"/>
          <w:lang w:val="en-GB"/>
        </w:rPr>
        <w:t xml:space="preserve">a) Shared Values: Shared values are the fundamental beliefs and principles that guide employees' </w:t>
      </w:r>
      <w:r w:rsidR="004B0EE7" w:rsidRPr="00710344">
        <w:rPr>
          <w:rFonts w:ascii="Arial" w:hAnsi="Arial" w:cs="Arial"/>
          <w:sz w:val="22"/>
          <w:szCs w:val="22"/>
          <w:lang w:val="en-GB"/>
        </w:rPr>
        <w:t>behaviour</w:t>
      </w:r>
      <w:r w:rsidRPr="00710344">
        <w:rPr>
          <w:rFonts w:ascii="Arial" w:hAnsi="Arial" w:cs="Arial"/>
          <w:sz w:val="22"/>
          <w:szCs w:val="22"/>
          <w:lang w:val="en-GB"/>
        </w:rPr>
        <w:t xml:space="preserve"> and decision-making within an organization. Promoting shared values involves establishing a clear set of ethical standards and ensuring that they are communicated and upheld throughout the organization (Schein, 1996).</w:t>
      </w:r>
    </w:p>
    <w:p w14:paraId="5A74E21C" w14:textId="5C55A441" w:rsidR="00BE528B" w:rsidRPr="00710344" w:rsidRDefault="00BE528B" w:rsidP="00BE528B">
      <w:pPr>
        <w:rPr>
          <w:rFonts w:ascii="Arial" w:hAnsi="Arial" w:cs="Arial"/>
          <w:sz w:val="22"/>
          <w:szCs w:val="22"/>
          <w:lang w:val="en-GB"/>
        </w:rPr>
      </w:pPr>
      <w:r w:rsidRPr="00710344">
        <w:rPr>
          <w:rFonts w:ascii="Arial" w:hAnsi="Arial" w:cs="Arial"/>
          <w:sz w:val="22"/>
          <w:szCs w:val="22"/>
          <w:lang w:val="en-GB"/>
        </w:rPr>
        <w:t xml:space="preserve">b) Leadership </w:t>
      </w:r>
      <w:r w:rsidR="004B0EE7" w:rsidRPr="00710344">
        <w:rPr>
          <w:rFonts w:ascii="Arial" w:hAnsi="Arial" w:cs="Arial"/>
          <w:sz w:val="22"/>
          <w:szCs w:val="22"/>
          <w:lang w:val="en-GB"/>
        </w:rPr>
        <w:t>Behaviours</w:t>
      </w:r>
      <w:r w:rsidRPr="00710344">
        <w:rPr>
          <w:rFonts w:ascii="Arial" w:hAnsi="Arial" w:cs="Arial"/>
          <w:sz w:val="22"/>
          <w:szCs w:val="22"/>
          <w:lang w:val="en-GB"/>
        </w:rPr>
        <w:t xml:space="preserve">: Ethical leadership plays a crucial role in shaping the ethical culture of an organization. Leaders should demonstrate ethical </w:t>
      </w:r>
      <w:r w:rsidR="004B0EE7" w:rsidRPr="00710344">
        <w:rPr>
          <w:rFonts w:ascii="Arial" w:hAnsi="Arial" w:cs="Arial"/>
          <w:sz w:val="22"/>
          <w:szCs w:val="22"/>
          <w:lang w:val="en-GB"/>
        </w:rPr>
        <w:t>behaviour</w:t>
      </w:r>
      <w:r w:rsidRPr="00710344">
        <w:rPr>
          <w:rFonts w:ascii="Arial" w:hAnsi="Arial" w:cs="Arial"/>
          <w:sz w:val="22"/>
          <w:szCs w:val="22"/>
          <w:lang w:val="en-GB"/>
        </w:rPr>
        <w:t>, lead by example, and create a supportive environment that encourages ethical decision-making (Schein, 1996).</w:t>
      </w:r>
    </w:p>
    <w:p w14:paraId="51133CF0" w14:textId="4C0EE9B1" w:rsidR="00BE528B" w:rsidRPr="00710344" w:rsidRDefault="00BE528B" w:rsidP="00BE528B">
      <w:pPr>
        <w:rPr>
          <w:rFonts w:ascii="Arial" w:hAnsi="Arial" w:cs="Arial"/>
          <w:sz w:val="22"/>
          <w:szCs w:val="22"/>
          <w:lang w:val="en-GB"/>
        </w:rPr>
      </w:pPr>
      <w:r w:rsidRPr="00710344">
        <w:rPr>
          <w:rFonts w:ascii="Arial" w:hAnsi="Arial" w:cs="Arial"/>
          <w:sz w:val="22"/>
          <w:szCs w:val="22"/>
          <w:lang w:val="en-GB"/>
        </w:rPr>
        <w:t xml:space="preserve">c) Organizational Practices: Organizational practices such as performance evaluation, reward systems, and decision-making processes should align with ethical principles. By incorporating ethical considerations into these practices, organizations can reinforce the importance of ethical </w:t>
      </w:r>
      <w:r w:rsidR="004B0EE7" w:rsidRPr="00710344">
        <w:rPr>
          <w:rFonts w:ascii="Arial" w:hAnsi="Arial" w:cs="Arial"/>
          <w:sz w:val="22"/>
          <w:szCs w:val="22"/>
          <w:lang w:val="en-GB"/>
        </w:rPr>
        <w:t>behaviour</w:t>
      </w:r>
      <w:r w:rsidRPr="00710344">
        <w:rPr>
          <w:rFonts w:ascii="Arial" w:hAnsi="Arial" w:cs="Arial"/>
          <w:sz w:val="22"/>
          <w:szCs w:val="22"/>
          <w:lang w:val="en-GB"/>
        </w:rPr>
        <w:t xml:space="preserve"> (Schein, 1996).</w:t>
      </w:r>
    </w:p>
    <w:p w14:paraId="6A15AB30" w14:textId="77777777" w:rsidR="00BE528B" w:rsidRDefault="00BE528B" w:rsidP="00077DFF">
      <w:pPr>
        <w:pStyle w:val="Heading2"/>
        <w:rPr>
          <w:lang w:val="en-GB"/>
        </w:rPr>
      </w:pPr>
      <w:bookmarkStart w:id="5" w:name="_Toc139827393"/>
      <w:r w:rsidRPr="00BE528B">
        <w:rPr>
          <w:lang w:val="en-GB"/>
        </w:rPr>
        <w:t>McKinsey 7S Model: The McKinsey 7S Model highlights seven interrelated elements that contribute to organizational effectiveness, including ethical considerations:</w:t>
      </w:r>
      <w:bookmarkEnd w:id="5"/>
    </w:p>
    <w:p w14:paraId="61DEB131" w14:textId="77777777" w:rsidR="00077DFF" w:rsidRPr="00077DFF" w:rsidRDefault="00077DFF" w:rsidP="00077DFF">
      <w:pPr>
        <w:rPr>
          <w:lang w:val="en-GB"/>
        </w:rPr>
      </w:pPr>
    </w:p>
    <w:p w14:paraId="5C552EC5" w14:textId="094C30A1"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a) Shared Values: </w:t>
      </w:r>
      <w:r w:rsidR="009163FE" w:rsidRPr="00BE528B">
        <w:rPr>
          <w:rFonts w:ascii="Arial" w:hAnsi="Arial" w:cs="Arial"/>
          <w:sz w:val="22"/>
          <w:szCs w:val="22"/>
          <w:lang w:val="en-GB"/>
        </w:rPr>
        <w:t>Like</w:t>
      </w:r>
      <w:r w:rsidRPr="00BE528B">
        <w:rPr>
          <w:rFonts w:ascii="Arial" w:hAnsi="Arial" w:cs="Arial"/>
          <w:sz w:val="22"/>
          <w:szCs w:val="22"/>
          <w:lang w:val="en-GB"/>
        </w:rPr>
        <w:t xml:space="preserve"> Schein's model, the McKinsey 7S Model emphasizes the importance of shared values in driving ethical </w:t>
      </w:r>
      <w:r w:rsidR="004B0EE7" w:rsidRPr="00BE528B">
        <w:rPr>
          <w:rFonts w:ascii="Arial" w:hAnsi="Arial" w:cs="Arial"/>
          <w:sz w:val="22"/>
          <w:szCs w:val="22"/>
          <w:lang w:val="en-GB"/>
        </w:rPr>
        <w:t>behaviour</w:t>
      </w:r>
      <w:r w:rsidRPr="00BE528B">
        <w:rPr>
          <w:rFonts w:ascii="Arial" w:hAnsi="Arial" w:cs="Arial"/>
          <w:sz w:val="22"/>
          <w:szCs w:val="22"/>
          <w:lang w:val="en-GB"/>
        </w:rPr>
        <w:t xml:space="preserve"> and shaping the organizational culture (McKinsey &amp; Company, </w:t>
      </w:r>
      <w:r w:rsidR="0099528D">
        <w:rPr>
          <w:rFonts w:ascii="Arial" w:hAnsi="Arial" w:cs="Arial"/>
          <w:sz w:val="22"/>
          <w:szCs w:val="22"/>
          <w:lang w:val="en-GB"/>
        </w:rPr>
        <w:t>2022</w:t>
      </w:r>
      <w:r w:rsidRPr="00BE528B">
        <w:rPr>
          <w:rFonts w:ascii="Arial" w:hAnsi="Arial" w:cs="Arial"/>
          <w:sz w:val="22"/>
          <w:szCs w:val="22"/>
          <w:lang w:val="en-GB"/>
        </w:rPr>
        <w:t>).</w:t>
      </w:r>
    </w:p>
    <w:p w14:paraId="4AF02FB4" w14:textId="0084C378"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b) Strategy: Ethical considerations should be integrated into the organization's strategic planning process. This involves aligning the strategic objectives with ethical principles and considering the potential ethical implications of business decisions (McKinsey &amp; Company, </w:t>
      </w:r>
      <w:r w:rsidR="00F303FF">
        <w:rPr>
          <w:rFonts w:ascii="Arial" w:hAnsi="Arial" w:cs="Arial"/>
          <w:sz w:val="22"/>
          <w:szCs w:val="22"/>
          <w:lang w:val="en-GB"/>
        </w:rPr>
        <w:t>2022</w:t>
      </w:r>
      <w:r w:rsidRPr="00BE528B">
        <w:rPr>
          <w:rFonts w:ascii="Arial" w:hAnsi="Arial" w:cs="Arial"/>
          <w:sz w:val="22"/>
          <w:szCs w:val="22"/>
          <w:lang w:val="en-GB"/>
        </w:rPr>
        <w:t>).</w:t>
      </w:r>
    </w:p>
    <w:p w14:paraId="7B62FB0E" w14:textId="653F5B1B"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c) Structure: The organizational structure should support ethical </w:t>
      </w:r>
      <w:r w:rsidR="004B0EE7" w:rsidRPr="00BE528B">
        <w:rPr>
          <w:rFonts w:ascii="Arial" w:hAnsi="Arial" w:cs="Arial"/>
          <w:sz w:val="22"/>
          <w:szCs w:val="22"/>
          <w:lang w:val="en-GB"/>
        </w:rPr>
        <w:t>behaviour</w:t>
      </w:r>
      <w:r w:rsidRPr="00BE528B">
        <w:rPr>
          <w:rFonts w:ascii="Arial" w:hAnsi="Arial" w:cs="Arial"/>
          <w:sz w:val="22"/>
          <w:szCs w:val="22"/>
          <w:lang w:val="en-GB"/>
        </w:rPr>
        <w:t xml:space="preserve"> by providing clear lines of authority, accountability, and decision-making processes that uphold ethical standards (McKinsey &amp; Company, </w:t>
      </w:r>
      <w:r w:rsidR="00F303FF">
        <w:rPr>
          <w:rFonts w:ascii="Arial" w:hAnsi="Arial" w:cs="Arial"/>
          <w:sz w:val="22"/>
          <w:szCs w:val="22"/>
          <w:lang w:val="en-GB"/>
        </w:rPr>
        <w:t>2022</w:t>
      </w:r>
      <w:r w:rsidRPr="00BE528B">
        <w:rPr>
          <w:rFonts w:ascii="Arial" w:hAnsi="Arial" w:cs="Arial"/>
          <w:sz w:val="22"/>
          <w:szCs w:val="22"/>
          <w:lang w:val="en-GB"/>
        </w:rPr>
        <w:t>).</w:t>
      </w:r>
    </w:p>
    <w:p w14:paraId="1F465328" w14:textId="09C7A514"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d) Systems: Ethical considerations should be embedded in the systems and processes that govern various aspects of the organization, such as performance management, resource allocation, and risk management (McKinsey &amp; Company, </w:t>
      </w:r>
      <w:r w:rsidR="00F303FF">
        <w:rPr>
          <w:rFonts w:ascii="Arial" w:hAnsi="Arial" w:cs="Arial"/>
          <w:sz w:val="22"/>
          <w:szCs w:val="22"/>
          <w:lang w:val="en-GB"/>
        </w:rPr>
        <w:t>2022</w:t>
      </w:r>
      <w:r w:rsidRPr="00BE528B">
        <w:rPr>
          <w:rFonts w:ascii="Arial" w:hAnsi="Arial" w:cs="Arial"/>
          <w:sz w:val="22"/>
          <w:szCs w:val="22"/>
          <w:lang w:val="en-GB"/>
        </w:rPr>
        <w:t>).</w:t>
      </w:r>
    </w:p>
    <w:p w14:paraId="67F0DDCD" w14:textId="77777777" w:rsidR="00BE528B" w:rsidRDefault="00BE528B" w:rsidP="00077DFF">
      <w:pPr>
        <w:pStyle w:val="Heading2"/>
        <w:rPr>
          <w:lang w:val="en-GB"/>
        </w:rPr>
      </w:pPr>
      <w:bookmarkStart w:id="6" w:name="_Toc139827394"/>
      <w:r w:rsidRPr="00BE528B">
        <w:rPr>
          <w:lang w:val="en-GB"/>
        </w:rPr>
        <w:lastRenderedPageBreak/>
        <w:t>Kotler's 8-Step Plan: Kotler's 8-Step Plan for ethical decision-making provides a framework to guide individuals and organizations in making ethical choices:</w:t>
      </w:r>
      <w:bookmarkEnd w:id="6"/>
    </w:p>
    <w:p w14:paraId="137D93C9" w14:textId="77777777" w:rsidR="00077DFF" w:rsidRPr="00077DFF" w:rsidRDefault="00077DFF" w:rsidP="00077DFF">
      <w:pPr>
        <w:rPr>
          <w:lang w:val="en-GB"/>
        </w:rPr>
      </w:pPr>
    </w:p>
    <w:p w14:paraId="1E79EB20"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a) Gather Information: Collect relevant information and facts to understand the ethical dimensions of a decision (Kotler, 2011).</w:t>
      </w:r>
    </w:p>
    <w:p w14:paraId="463DE272"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b) Identify Stakeholders: Identify all stakeholders who may be affected by the decision and consider their interests and rights (Kotler, 2011).</w:t>
      </w:r>
    </w:p>
    <w:p w14:paraId="4F25159E"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c) Evaluate Alternatives: Generate and evaluate multiple options for addressing the ethical dilemma (Kotler, 2011).</w:t>
      </w:r>
    </w:p>
    <w:p w14:paraId="5CBB1EF2" w14:textId="7B4C8EDB"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d) Apply Ethical Theories: Utilize ethical theories or frameworks to </w:t>
      </w:r>
      <w:r w:rsidR="004B0EE7" w:rsidRPr="00BE528B">
        <w:rPr>
          <w:rFonts w:ascii="Arial" w:hAnsi="Arial" w:cs="Arial"/>
          <w:sz w:val="22"/>
          <w:szCs w:val="22"/>
          <w:lang w:val="en-GB"/>
        </w:rPr>
        <w:t>analyse</w:t>
      </w:r>
      <w:r w:rsidRPr="00BE528B">
        <w:rPr>
          <w:rFonts w:ascii="Arial" w:hAnsi="Arial" w:cs="Arial"/>
          <w:sz w:val="22"/>
          <w:szCs w:val="22"/>
          <w:lang w:val="en-GB"/>
        </w:rPr>
        <w:t xml:space="preserve"> the situation and guide decision-making (Kotler, 2011).</w:t>
      </w:r>
    </w:p>
    <w:p w14:paraId="119F0DDF" w14:textId="1C93CA84"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 xml:space="preserve">e) </w:t>
      </w:r>
      <w:r w:rsidR="00914334" w:rsidRPr="00BE528B">
        <w:rPr>
          <w:rFonts w:ascii="Arial" w:hAnsi="Arial" w:cs="Arial"/>
          <w:sz w:val="22"/>
          <w:szCs w:val="22"/>
          <w:lang w:val="en-GB"/>
        </w:rPr>
        <w:t>Decide</w:t>
      </w:r>
      <w:r w:rsidRPr="00BE528B">
        <w:rPr>
          <w:rFonts w:ascii="Arial" w:hAnsi="Arial" w:cs="Arial"/>
          <w:sz w:val="22"/>
          <w:szCs w:val="22"/>
          <w:lang w:val="en-GB"/>
        </w:rPr>
        <w:t>: Select the course of action that is aligned with ethical principles and addresses the interests of stakeholders (Kotler, 2011).</w:t>
      </w:r>
    </w:p>
    <w:p w14:paraId="1DE3E354"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f) Implement the Decision: Execute the chosen course of action, considering the practical implications and potential challenges (Kotler, 2011).</w:t>
      </w:r>
    </w:p>
    <w:p w14:paraId="4A94D3A6"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g) Monitor and Evaluate: Continuously monitor the outcomes of the decision and evaluate its impact on stakeholders and the organization (Kotler, 2011).</w:t>
      </w:r>
    </w:p>
    <w:p w14:paraId="4A8861BE" w14:textId="77777777" w:rsidR="00BE528B" w:rsidRPr="00BE528B" w:rsidRDefault="00BE528B" w:rsidP="00BE528B">
      <w:pPr>
        <w:rPr>
          <w:rFonts w:ascii="Arial" w:hAnsi="Arial" w:cs="Arial"/>
          <w:sz w:val="22"/>
          <w:szCs w:val="22"/>
          <w:lang w:val="en-GB"/>
        </w:rPr>
      </w:pPr>
      <w:r w:rsidRPr="00BE528B">
        <w:rPr>
          <w:rFonts w:ascii="Arial" w:hAnsi="Arial" w:cs="Arial"/>
          <w:sz w:val="22"/>
          <w:szCs w:val="22"/>
          <w:lang w:val="en-GB"/>
        </w:rPr>
        <w:t>h) Learn and Improve: Reflect on the decision-making process and outcomes, and incorporate lessons learned into future ethical decision-making (Kotler, 2011).</w:t>
      </w:r>
    </w:p>
    <w:p w14:paraId="6D1A9914" w14:textId="784E5458" w:rsidR="00BE528B" w:rsidRDefault="00BE528B" w:rsidP="00BE528B">
      <w:pPr>
        <w:rPr>
          <w:rFonts w:ascii="Arial" w:hAnsi="Arial" w:cs="Arial"/>
          <w:sz w:val="22"/>
          <w:szCs w:val="22"/>
          <w:lang w:val="en-GB"/>
        </w:rPr>
      </w:pPr>
      <w:r w:rsidRPr="00BE528B">
        <w:rPr>
          <w:rFonts w:ascii="Arial" w:hAnsi="Arial" w:cs="Arial"/>
          <w:sz w:val="22"/>
          <w:szCs w:val="22"/>
          <w:lang w:val="en-GB"/>
        </w:rPr>
        <w:t>One ethical dilemma that could influence the culture of an organization is the issue of employee privacy in the age of digital technology. With the widespread use of technology</w:t>
      </w:r>
      <w:r w:rsidR="00BD6358">
        <w:rPr>
          <w:rFonts w:ascii="Arial" w:hAnsi="Arial" w:cs="Arial"/>
          <w:sz w:val="22"/>
          <w:szCs w:val="22"/>
          <w:lang w:val="en-GB"/>
        </w:rPr>
        <w:t>.</w:t>
      </w:r>
    </w:p>
    <w:p w14:paraId="49AE4B03" w14:textId="77777777" w:rsidR="00BD6358" w:rsidRDefault="00BD6358" w:rsidP="00BE528B">
      <w:pPr>
        <w:rPr>
          <w:rFonts w:ascii="Arial" w:hAnsi="Arial" w:cs="Arial"/>
          <w:sz w:val="22"/>
          <w:szCs w:val="22"/>
          <w:lang w:val="en-GB"/>
        </w:rPr>
      </w:pPr>
    </w:p>
    <w:p w14:paraId="3362F181" w14:textId="3817A804" w:rsidR="009D70BF" w:rsidRDefault="009D70BF" w:rsidP="00BE528B">
      <w:pPr>
        <w:rPr>
          <w:rFonts w:ascii="Arial" w:hAnsi="Arial" w:cs="Arial"/>
          <w:sz w:val="22"/>
          <w:szCs w:val="22"/>
          <w:lang w:val="en-GB"/>
        </w:rPr>
      </w:pPr>
      <w:r w:rsidRPr="009D70BF">
        <w:rPr>
          <w:rFonts w:ascii="Arial" w:hAnsi="Arial" w:cs="Arial"/>
          <w:sz w:val="22"/>
          <w:szCs w:val="22"/>
          <w:lang w:val="en-GB"/>
        </w:rPr>
        <w:t>Barriers to the effective functioning of an organization's culture can significantly impact its workplace environment and overall organizational efficiency. In this section, we will discuss key barriers and provide relevant recommendations to enhance the workplace culture of the organization, clearly indicating how these recommendations will positively impact organizational efficiency. To analyse these barriers and provide recommendations, we will utilize Beer's model, which offers a comprehensive framework for diagnosing and improving organizational culture.</w:t>
      </w:r>
    </w:p>
    <w:p w14:paraId="124C87B1" w14:textId="77777777" w:rsidR="007136E1" w:rsidRDefault="007136E1" w:rsidP="00BE528B">
      <w:pPr>
        <w:rPr>
          <w:rFonts w:ascii="Arial" w:hAnsi="Arial" w:cs="Arial"/>
          <w:sz w:val="22"/>
          <w:szCs w:val="22"/>
          <w:lang w:val="en-GB"/>
        </w:rPr>
      </w:pPr>
    </w:p>
    <w:p w14:paraId="7903697E" w14:textId="77777777" w:rsidR="007136E1" w:rsidRDefault="007136E1" w:rsidP="00BE528B">
      <w:pPr>
        <w:rPr>
          <w:rFonts w:ascii="Arial" w:hAnsi="Arial" w:cs="Arial"/>
          <w:sz w:val="22"/>
          <w:szCs w:val="22"/>
          <w:lang w:val="en-GB"/>
        </w:rPr>
      </w:pPr>
    </w:p>
    <w:p w14:paraId="47DB9D3D" w14:textId="77777777" w:rsidR="007136E1" w:rsidRPr="009D70BF" w:rsidRDefault="007136E1" w:rsidP="00BE528B">
      <w:pPr>
        <w:rPr>
          <w:rFonts w:ascii="Arial" w:hAnsi="Arial" w:cs="Arial"/>
          <w:sz w:val="22"/>
          <w:szCs w:val="22"/>
          <w:lang w:val="en-GB"/>
        </w:rPr>
      </w:pPr>
    </w:p>
    <w:p w14:paraId="21946800" w14:textId="77777777" w:rsidR="003B4B70" w:rsidRDefault="00273087" w:rsidP="003B4B70">
      <w:pPr>
        <w:rPr>
          <w:rStyle w:val="Heading2Char"/>
          <w:lang w:val="en-GB"/>
        </w:rPr>
      </w:pPr>
      <w:bookmarkStart w:id="7" w:name="_Toc139827395"/>
      <w:r w:rsidRPr="00273087">
        <w:rPr>
          <w:rStyle w:val="Heading2Char"/>
          <w:lang w:val="en-GB"/>
        </w:rPr>
        <w:lastRenderedPageBreak/>
        <w:t>Lack of Clear Values and Direction: Barrier:</w:t>
      </w:r>
      <w:bookmarkEnd w:id="7"/>
      <w:r w:rsidRPr="00273087">
        <w:rPr>
          <w:rStyle w:val="Heading2Char"/>
          <w:lang w:val="en-GB"/>
        </w:rPr>
        <w:t xml:space="preserve"> </w:t>
      </w:r>
    </w:p>
    <w:p w14:paraId="542C4D9D" w14:textId="77777777" w:rsidR="007136E1" w:rsidRPr="003B4B70" w:rsidRDefault="007136E1" w:rsidP="003B4B70">
      <w:pPr>
        <w:rPr>
          <w:rStyle w:val="Heading2Char"/>
          <w:rFonts w:ascii="Arial" w:eastAsiaTheme="minorEastAsia" w:hAnsi="Arial" w:cs="Arial"/>
          <w:color w:val="auto"/>
          <w:sz w:val="22"/>
          <w:szCs w:val="22"/>
          <w:lang w:val="en-GB"/>
        </w:rPr>
      </w:pPr>
    </w:p>
    <w:p w14:paraId="36E5E18E" w14:textId="3AFD46DD" w:rsidR="00273087" w:rsidRPr="00273087" w:rsidRDefault="00273087" w:rsidP="003B4B70">
      <w:pPr>
        <w:rPr>
          <w:rFonts w:ascii="Arial" w:hAnsi="Arial" w:cs="Arial"/>
          <w:sz w:val="22"/>
          <w:szCs w:val="22"/>
          <w:lang w:val="en-GB"/>
        </w:rPr>
      </w:pPr>
      <w:r w:rsidRPr="00273087">
        <w:rPr>
          <w:rFonts w:ascii="Arial" w:hAnsi="Arial" w:cs="Arial"/>
          <w:sz w:val="22"/>
          <w:szCs w:val="22"/>
          <w:lang w:val="en-GB"/>
        </w:rPr>
        <w:t>When an organization lacks clearly defined values and direction, employees may struggle to understand the organization's goals and their role in achieving them. This can lead to confusion, disengagement, and a weakened culture (Kotter &amp; Heskett, 1992).</w:t>
      </w:r>
    </w:p>
    <w:p w14:paraId="2C0AD3F0" w14:textId="77777777" w:rsidR="00273087" w:rsidRPr="00273087" w:rsidRDefault="00273087" w:rsidP="00273087">
      <w:pPr>
        <w:rPr>
          <w:rFonts w:ascii="Arial" w:hAnsi="Arial" w:cs="Arial"/>
          <w:sz w:val="22"/>
          <w:szCs w:val="22"/>
          <w:lang w:val="en-GB"/>
        </w:rPr>
      </w:pPr>
      <w:r w:rsidRPr="00273087">
        <w:rPr>
          <w:rFonts w:ascii="Arial" w:hAnsi="Arial" w:cs="Arial"/>
          <w:sz w:val="22"/>
          <w:szCs w:val="22"/>
          <w:lang w:val="en-GB"/>
        </w:rPr>
        <w:t>Recommendation: The organization should articulate and communicate its core values and strategic direction clearly. This can be done through regular communication channels, such as town hall meetings, newsletters, and training programs. By clearly defining values and direction, employees will have a shared understanding of the organization's purpose and objectives, fostering a stronger culture (Kotter &amp; Heskett, 1992).</w:t>
      </w:r>
    </w:p>
    <w:p w14:paraId="36715F60" w14:textId="0BCD45D3" w:rsidR="00273087" w:rsidRDefault="00273087" w:rsidP="00273087">
      <w:pPr>
        <w:rPr>
          <w:rFonts w:ascii="Arial" w:hAnsi="Arial" w:cs="Arial"/>
          <w:sz w:val="22"/>
          <w:szCs w:val="22"/>
          <w:lang w:val="en-GB"/>
        </w:rPr>
      </w:pPr>
      <w:r w:rsidRPr="00273087">
        <w:rPr>
          <w:rFonts w:ascii="Arial" w:hAnsi="Arial" w:cs="Arial"/>
          <w:sz w:val="22"/>
          <w:szCs w:val="22"/>
          <w:lang w:val="en-GB"/>
        </w:rPr>
        <w:t xml:space="preserve">Positive Impact: Clear values and direction create a sense of purpose and alignment among employees, promoting a cohesive and focused workplace culture. When employees understand and embrace the organization's goals, they can work more efficiently toward achieving them, </w:t>
      </w:r>
      <w:r w:rsidR="00914334" w:rsidRPr="00273087">
        <w:rPr>
          <w:rFonts w:ascii="Arial" w:hAnsi="Arial" w:cs="Arial"/>
          <w:sz w:val="22"/>
          <w:szCs w:val="22"/>
          <w:lang w:val="en-GB"/>
        </w:rPr>
        <w:t>improving</w:t>
      </w:r>
      <w:r w:rsidRPr="00273087">
        <w:rPr>
          <w:rFonts w:ascii="Arial" w:hAnsi="Arial" w:cs="Arial"/>
          <w:sz w:val="22"/>
          <w:szCs w:val="22"/>
          <w:lang w:val="en-GB"/>
        </w:rPr>
        <w:t xml:space="preserve"> organizational efficiency.</w:t>
      </w:r>
    </w:p>
    <w:p w14:paraId="7CE71CBC" w14:textId="77777777" w:rsidR="00943CC0" w:rsidRPr="00273087" w:rsidRDefault="00943CC0" w:rsidP="00273087">
      <w:pPr>
        <w:rPr>
          <w:rFonts w:ascii="Arial" w:hAnsi="Arial" w:cs="Arial"/>
          <w:sz w:val="22"/>
          <w:szCs w:val="22"/>
          <w:lang w:val="en-GB"/>
        </w:rPr>
      </w:pPr>
    </w:p>
    <w:p w14:paraId="53088267" w14:textId="77777777" w:rsidR="00943CC0" w:rsidRDefault="00273087" w:rsidP="00943CC0">
      <w:pPr>
        <w:rPr>
          <w:rFonts w:ascii="Arial" w:hAnsi="Arial" w:cs="Arial"/>
          <w:sz w:val="22"/>
          <w:szCs w:val="22"/>
          <w:lang w:val="en-GB"/>
        </w:rPr>
      </w:pPr>
      <w:bookmarkStart w:id="8" w:name="_Toc139827396"/>
      <w:r w:rsidRPr="00273087">
        <w:rPr>
          <w:rStyle w:val="Heading2Char"/>
          <w:lang w:val="en-GB"/>
        </w:rPr>
        <w:t>Inadequate Communication: Barrier:</w:t>
      </w:r>
      <w:bookmarkEnd w:id="8"/>
      <w:r w:rsidRPr="00273087">
        <w:rPr>
          <w:rFonts w:ascii="Arial" w:hAnsi="Arial" w:cs="Arial"/>
          <w:sz w:val="22"/>
          <w:szCs w:val="22"/>
          <w:lang w:val="en-GB"/>
        </w:rPr>
        <w:t xml:space="preserve"> </w:t>
      </w:r>
    </w:p>
    <w:p w14:paraId="0955D889" w14:textId="77777777" w:rsidR="007136E1" w:rsidRDefault="007136E1" w:rsidP="00943CC0">
      <w:pPr>
        <w:rPr>
          <w:rFonts w:ascii="Arial" w:hAnsi="Arial" w:cs="Arial"/>
          <w:sz w:val="22"/>
          <w:szCs w:val="22"/>
          <w:lang w:val="en-GB"/>
        </w:rPr>
      </w:pPr>
    </w:p>
    <w:p w14:paraId="3664C0C4" w14:textId="3B42FDE5" w:rsidR="00273087" w:rsidRPr="00273087" w:rsidRDefault="00273087" w:rsidP="00943CC0">
      <w:pPr>
        <w:rPr>
          <w:rFonts w:ascii="Arial" w:hAnsi="Arial" w:cs="Arial"/>
          <w:sz w:val="22"/>
          <w:szCs w:val="22"/>
          <w:lang w:val="en-GB"/>
        </w:rPr>
      </w:pPr>
      <w:r w:rsidRPr="00273087">
        <w:rPr>
          <w:rFonts w:ascii="Arial" w:hAnsi="Arial" w:cs="Arial"/>
          <w:sz w:val="22"/>
          <w:szCs w:val="22"/>
          <w:lang w:val="en-GB"/>
        </w:rPr>
        <w:t xml:space="preserve">Ineffective communication can hinder the functioning of an organization's culture. When there is a lack of open and transparent communication channels, misinterpretation, </w:t>
      </w:r>
      <w:r w:rsidR="000C0ADB" w:rsidRPr="00273087">
        <w:rPr>
          <w:rFonts w:ascii="Arial" w:hAnsi="Arial" w:cs="Arial"/>
          <w:sz w:val="22"/>
          <w:szCs w:val="22"/>
          <w:lang w:val="en-GB"/>
        </w:rPr>
        <w:t>rumours</w:t>
      </w:r>
      <w:r w:rsidRPr="00273087">
        <w:rPr>
          <w:rFonts w:ascii="Arial" w:hAnsi="Arial" w:cs="Arial"/>
          <w:sz w:val="22"/>
          <w:szCs w:val="22"/>
          <w:lang w:val="en-GB"/>
        </w:rPr>
        <w:t>, and misunderstandings can arise, leading to mistrust and a breakdown in the organizational culture (Fischer &amp; Stocker, 2011).</w:t>
      </w:r>
    </w:p>
    <w:p w14:paraId="5243DF57" w14:textId="77777777" w:rsidR="00273087" w:rsidRPr="00273087" w:rsidRDefault="00273087" w:rsidP="00273087">
      <w:pPr>
        <w:rPr>
          <w:rFonts w:ascii="Arial" w:hAnsi="Arial" w:cs="Arial"/>
          <w:sz w:val="22"/>
          <w:szCs w:val="22"/>
          <w:lang w:val="en-GB"/>
        </w:rPr>
      </w:pPr>
      <w:r w:rsidRPr="00273087">
        <w:rPr>
          <w:rFonts w:ascii="Arial" w:hAnsi="Arial" w:cs="Arial"/>
          <w:sz w:val="22"/>
          <w:szCs w:val="22"/>
          <w:lang w:val="en-GB"/>
        </w:rPr>
        <w:t>Recommendation: Implementing regular communication channels, such as team meetings, feedback sessions, and employee surveys, can enhance communication within the organization. Encouraging open dialogue, active listening, and providing opportunities for feedback and suggestions can foster a culture of transparency and collaboration (Fischer &amp; Stocker, 2011).</w:t>
      </w:r>
    </w:p>
    <w:p w14:paraId="10DBF908" w14:textId="77777777" w:rsidR="00273087" w:rsidRDefault="00273087" w:rsidP="00273087">
      <w:pPr>
        <w:rPr>
          <w:rFonts w:ascii="Arial" w:hAnsi="Arial" w:cs="Arial"/>
          <w:sz w:val="22"/>
          <w:szCs w:val="22"/>
          <w:lang w:val="en-GB"/>
        </w:rPr>
      </w:pPr>
      <w:r w:rsidRPr="00273087">
        <w:rPr>
          <w:rFonts w:ascii="Arial" w:hAnsi="Arial" w:cs="Arial"/>
          <w:sz w:val="22"/>
          <w:szCs w:val="22"/>
          <w:lang w:val="en-GB"/>
        </w:rPr>
        <w:t>Positive Impact: Improved communication leads to better understanding, collaboration, and engagement among employees. A transparent communication culture enables the timely flow of information, reduces conflicts, and enhances teamwork, which positively impacts organizational efficiency.</w:t>
      </w:r>
    </w:p>
    <w:p w14:paraId="7293DC38" w14:textId="77777777" w:rsidR="007136E1" w:rsidRDefault="007136E1" w:rsidP="00273087">
      <w:pPr>
        <w:rPr>
          <w:rFonts w:ascii="Arial" w:hAnsi="Arial" w:cs="Arial"/>
          <w:sz w:val="22"/>
          <w:szCs w:val="22"/>
          <w:lang w:val="en-GB"/>
        </w:rPr>
      </w:pPr>
    </w:p>
    <w:p w14:paraId="677CBC1A" w14:textId="77777777" w:rsidR="007136E1" w:rsidRDefault="007136E1" w:rsidP="00273087">
      <w:pPr>
        <w:rPr>
          <w:rFonts w:ascii="Arial" w:hAnsi="Arial" w:cs="Arial"/>
          <w:sz w:val="22"/>
          <w:szCs w:val="22"/>
          <w:lang w:val="en-GB"/>
        </w:rPr>
      </w:pPr>
    </w:p>
    <w:p w14:paraId="27E3AC38" w14:textId="0320952D" w:rsidR="00943CC0" w:rsidRDefault="00273087" w:rsidP="00943CC0">
      <w:pPr>
        <w:rPr>
          <w:rFonts w:ascii="Arial" w:hAnsi="Arial" w:cs="Arial"/>
          <w:sz w:val="22"/>
          <w:szCs w:val="22"/>
          <w:lang w:val="en-GB"/>
        </w:rPr>
      </w:pPr>
      <w:bookmarkStart w:id="9" w:name="_Toc139827397"/>
      <w:r w:rsidRPr="00273087">
        <w:rPr>
          <w:rStyle w:val="Heading2Char"/>
          <w:lang w:val="en-GB"/>
        </w:rPr>
        <w:lastRenderedPageBreak/>
        <w:t>Resistance to Change: Barrier:</w:t>
      </w:r>
      <w:bookmarkEnd w:id="9"/>
      <w:r w:rsidRPr="00273087">
        <w:rPr>
          <w:rFonts w:ascii="Arial" w:hAnsi="Arial" w:cs="Arial"/>
          <w:sz w:val="22"/>
          <w:szCs w:val="22"/>
          <w:lang w:val="en-GB"/>
        </w:rPr>
        <w:t xml:space="preserve"> </w:t>
      </w:r>
    </w:p>
    <w:p w14:paraId="2F4675B1" w14:textId="77777777" w:rsidR="00AA6C6A" w:rsidRDefault="00AA6C6A" w:rsidP="00943CC0">
      <w:pPr>
        <w:rPr>
          <w:rFonts w:ascii="Arial" w:hAnsi="Arial" w:cs="Arial"/>
          <w:sz w:val="22"/>
          <w:szCs w:val="22"/>
          <w:lang w:val="en-GB"/>
        </w:rPr>
      </w:pPr>
    </w:p>
    <w:p w14:paraId="61ED5503" w14:textId="2F6A9BB1" w:rsidR="00273087" w:rsidRPr="00273087" w:rsidRDefault="00273087" w:rsidP="00943CC0">
      <w:pPr>
        <w:rPr>
          <w:rFonts w:ascii="Arial" w:hAnsi="Arial" w:cs="Arial"/>
          <w:sz w:val="22"/>
          <w:szCs w:val="22"/>
          <w:lang w:val="en-GB"/>
        </w:rPr>
      </w:pPr>
      <w:r w:rsidRPr="00273087">
        <w:rPr>
          <w:rFonts w:ascii="Arial" w:hAnsi="Arial" w:cs="Arial"/>
          <w:sz w:val="22"/>
          <w:szCs w:val="22"/>
          <w:lang w:val="en-GB"/>
        </w:rPr>
        <w:t>Resistance to change can impede the development of a positive workplace culture. When employees resist changes, whether due to fear of the unknown or concerns about job security, it can hinder the organization's ability to adapt, innovate, and create a positive work environment (Ford, Ford, &amp; D'Amelio, 2008).</w:t>
      </w:r>
    </w:p>
    <w:p w14:paraId="68E33B44" w14:textId="77777777" w:rsidR="00273087" w:rsidRPr="00273087" w:rsidRDefault="00273087" w:rsidP="00273087">
      <w:pPr>
        <w:rPr>
          <w:rFonts w:ascii="Arial" w:hAnsi="Arial" w:cs="Arial"/>
          <w:sz w:val="22"/>
          <w:szCs w:val="22"/>
          <w:lang w:val="en-GB"/>
        </w:rPr>
      </w:pPr>
      <w:r w:rsidRPr="00273087">
        <w:rPr>
          <w:rFonts w:ascii="Arial" w:hAnsi="Arial" w:cs="Arial"/>
          <w:sz w:val="22"/>
          <w:szCs w:val="22"/>
          <w:lang w:val="en-GB"/>
        </w:rPr>
        <w:t>Recommendation: To address resistance to change, the organization should involve employees in the change process. This can be achieved through clear communication of the reasons behind the change, providing opportunities for employee input and involvement, and offering training and support to help employees navigate the changes effectively (Ford, Ford, &amp; D'Amelio, 2008).</w:t>
      </w:r>
    </w:p>
    <w:p w14:paraId="70657E1C" w14:textId="5ED2E923" w:rsidR="00273087" w:rsidRDefault="00273087" w:rsidP="00273087">
      <w:pPr>
        <w:rPr>
          <w:rFonts w:ascii="Arial" w:hAnsi="Arial" w:cs="Arial"/>
          <w:sz w:val="22"/>
          <w:szCs w:val="22"/>
          <w:lang w:val="en-GB"/>
        </w:rPr>
      </w:pPr>
      <w:r w:rsidRPr="00273087">
        <w:rPr>
          <w:rFonts w:ascii="Arial" w:hAnsi="Arial" w:cs="Arial"/>
          <w:sz w:val="22"/>
          <w:szCs w:val="22"/>
          <w:lang w:val="en-GB"/>
        </w:rPr>
        <w:t xml:space="preserve">Positive Impact: When employees are actively engaged in the change process, they are more likely to embrace and support the changes, leading to a more agile and adaptable culture. This, in turn, enhances organizational efficiency as employees become more receptive to </w:t>
      </w:r>
      <w:r w:rsidR="006160FF" w:rsidRPr="00273087">
        <w:rPr>
          <w:rFonts w:ascii="Arial" w:hAnsi="Arial" w:cs="Arial"/>
          <w:sz w:val="22"/>
          <w:szCs w:val="22"/>
          <w:lang w:val="en-GB"/>
        </w:rPr>
        <w:t>innovative ideas</w:t>
      </w:r>
      <w:r w:rsidRPr="00273087">
        <w:rPr>
          <w:rFonts w:ascii="Arial" w:hAnsi="Arial" w:cs="Arial"/>
          <w:sz w:val="22"/>
          <w:szCs w:val="22"/>
          <w:lang w:val="en-GB"/>
        </w:rPr>
        <w:t>, processes, and technologies.</w:t>
      </w:r>
    </w:p>
    <w:p w14:paraId="0293692A" w14:textId="77777777" w:rsidR="00E0678B" w:rsidRDefault="00E0678B" w:rsidP="00273087">
      <w:pPr>
        <w:rPr>
          <w:rFonts w:ascii="Arial" w:hAnsi="Arial" w:cs="Arial"/>
          <w:sz w:val="22"/>
          <w:szCs w:val="22"/>
          <w:lang w:val="en-GB"/>
        </w:rPr>
      </w:pPr>
    </w:p>
    <w:p w14:paraId="72CF42EF" w14:textId="77777777" w:rsidR="00E0678B" w:rsidRDefault="00E0678B" w:rsidP="00273087">
      <w:pPr>
        <w:rPr>
          <w:rFonts w:ascii="Arial" w:hAnsi="Arial" w:cs="Arial"/>
          <w:sz w:val="22"/>
          <w:szCs w:val="22"/>
          <w:lang w:val="en-GB"/>
        </w:rPr>
      </w:pPr>
    </w:p>
    <w:p w14:paraId="2E73C880" w14:textId="77777777" w:rsidR="00E0678B" w:rsidRDefault="00E0678B" w:rsidP="00273087">
      <w:pPr>
        <w:rPr>
          <w:rFonts w:ascii="Arial" w:hAnsi="Arial" w:cs="Arial"/>
          <w:sz w:val="22"/>
          <w:szCs w:val="22"/>
          <w:lang w:val="en-GB"/>
        </w:rPr>
      </w:pPr>
    </w:p>
    <w:p w14:paraId="050FF09A" w14:textId="77777777" w:rsidR="00E0678B" w:rsidRDefault="00E0678B" w:rsidP="00273087">
      <w:pPr>
        <w:rPr>
          <w:rFonts w:ascii="Arial" w:hAnsi="Arial" w:cs="Arial"/>
          <w:sz w:val="22"/>
          <w:szCs w:val="22"/>
          <w:lang w:val="en-GB"/>
        </w:rPr>
      </w:pPr>
    </w:p>
    <w:p w14:paraId="716B8AA9" w14:textId="77777777" w:rsidR="00E0678B" w:rsidRDefault="00E0678B" w:rsidP="00273087">
      <w:pPr>
        <w:rPr>
          <w:rFonts w:ascii="Arial" w:hAnsi="Arial" w:cs="Arial"/>
          <w:sz w:val="22"/>
          <w:szCs w:val="22"/>
          <w:lang w:val="en-GB"/>
        </w:rPr>
      </w:pPr>
    </w:p>
    <w:p w14:paraId="280CAD51" w14:textId="77777777" w:rsidR="00E0678B" w:rsidRDefault="00E0678B" w:rsidP="00273087">
      <w:pPr>
        <w:rPr>
          <w:rFonts w:ascii="Arial" w:hAnsi="Arial" w:cs="Arial"/>
          <w:sz w:val="22"/>
          <w:szCs w:val="22"/>
          <w:lang w:val="en-GB"/>
        </w:rPr>
      </w:pPr>
    </w:p>
    <w:p w14:paraId="272792EE" w14:textId="77777777" w:rsidR="00E0678B" w:rsidRDefault="00E0678B" w:rsidP="00273087">
      <w:pPr>
        <w:rPr>
          <w:rFonts w:ascii="Arial" w:hAnsi="Arial" w:cs="Arial"/>
          <w:sz w:val="22"/>
          <w:szCs w:val="22"/>
          <w:lang w:val="en-GB"/>
        </w:rPr>
      </w:pPr>
    </w:p>
    <w:p w14:paraId="1582945C" w14:textId="77777777" w:rsidR="00E0678B" w:rsidRDefault="00E0678B" w:rsidP="00273087">
      <w:pPr>
        <w:rPr>
          <w:rFonts w:ascii="Arial" w:hAnsi="Arial" w:cs="Arial"/>
          <w:sz w:val="22"/>
          <w:szCs w:val="22"/>
          <w:lang w:val="en-GB"/>
        </w:rPr>
      </w:pPr>
    </w:p>
    <w:p w14:paraId="2A61DBE4" w14:textId="77777777" w:rsidR="00E0678B" w:rsidRDefault="00E0678B" w:rsidP="00273087">
      <w:pPr>
        <w:rPr>
          <w:rFonts w:ascii="Arial" w:hAnsi="Arial" w:cs="Arial"/>
          <w:sz w:val="22"/>
          <w:szCs w:val="22"/>
          <w:lang w:val="en-GB"/>
        </w:rPr>
      </w:pPr>
    </w:p>
    <w:p w14:paraId="05E061AB" w14:textId="77777777" w:rsidR="00E0678B" w:rsidRDefault="00E0678B" w:rsidP="00273087">
      <w:pPr>
        <w:rPr>
          <w:rFonts w:ascii="Arial" w:hAnsi="Arial" w:cs="Arial"/>
          <w:sz w:val="22"/>
          <w:szCs w:val="22"/>
          <w:lang w:val="en-GB"/>
        </w:rPr>
      </w:pPr>
    </w:p>
    <w:p w14:paraId="58EF831F" w14:textId="77777777" w:rsidR="00E0678B" w:rsidRDefault="00E0678B" w:rsidP="00273087">
      <w:pPr>
        <w:rPr>
          <w:rFonts w:ascii="Arial" w:hAnsi="Arial" w:cs="Arial"/>
          <w:sz w:val="22"/>
          <w:szCs w:val="22"/>
          <w:lang w:val="en-GB"/>
        </w:rPr>
      </w:pPr>
    </w:p>
    <w:p w14:paraId="4C7B2828" w14:textId="77777777" w:rsidR="00E0678B" w:rsidRDefault="00E0678B" w:rsidP="00273087">
      <w:pPr>
        <w:rPr>
          <w:rFonts w:ascii="Arial" w:hAnsi="Arial" w:cs="Arial"/>
          <w:sz w:val="22"/>
          <w:szCs w:val="22"/>
          <w:lang w:val="en-GB"/>
        </w:rPr>
      </w:pPr>
    </w:p>
    <w:p w14:paraId="31256330" w14:textId="77777777" w:rsidR="00E0678B" w:rsidRDefault="00E0678B" w:rsidP="00273087">
      <w:pPr>
        <w:rPr>
          <w:rFonts w:ascii="Arial" w:hAnsi="Arial" w:cs="Arial"/>
          <w:sz w:val="22"/>
          <w:szCs w:val="22"/>
          <w:lang w:val="en-GB"/>
        </w:rPr>
      </w:pPr>
    </w:p>
    <w:p w14:paraId="279C5546" w14:textId="77777777" w:rsidR="00E0678B" w:rsidRDefault="00E0678B" w:rsidP="00273087">
      <w:pPr>
        <w:rPr>
          <w:rFonts w:ascii="Arial" w:hAnsi="Arial" w:cs="Arial"/>
          <w:sz w:val="22"/>
          <w:szCs w:val="22"/>
          <w:lang w:val="en-GB"/>
        </w:rPr>
      </w:pPr>
    </w:p>
    <w:p w14:paraId="1AB60D1E" w14:textId="77777777" w:rsidR="00E0678B" w:rsidRDefault="00E0678B" w:rsidP="00273087">
      <w:pPr>
        <w:rPr>
          <w:rFonts w:ascii="Arial" w:hAnsi="Arial" w:cs="Arial"/>
          <w:sz w:val="22"/>
          <w:szCs w:val="22"/>
          <w:lang w:val="en-GB"/>
        </w:rPr>
      </w:pPr>
    </w:p>
    <w:p w14:paraId="0ED3B8AE" w14:textId="1662B117" w:rsidR="00D078D5" w:rsidRPr="00381701" w:rsidRDefault="00B22195" w:rsidP="0063466B">
      <w:pPr>
        <w:pStyle w:val="Heading1"/>
        <w:rPr>
          <w:lang w:val="en-GB"/>
        </w:rPr>
      </w:pPr>
      <w:bookmarkStart w:id="10" w:name="_Toc139827398"/>
      <w:r>
        <w:rPr>
          <w:lang w:val="en-GB"/>
        </w:rPr>
        <w:lastRenderedPageBreak/>
        <w:t>C</w:t>
      </w:r>
      <w:r w:rsidR="00D078D5" w:rsidRPr="00381701">
        <w:rPr>
          <w:lang w:val="en-GB"/>
        </w:rPr>
        <w:t>onclusion</w:t>
      </w:r>
      <w:bookmarkEnd w:id="10"/>
    </w:p>
    <w:p w14:paraId="0C465C5C" w14:textId="77777777" w:rsidR="00814E0C" w:rsidRPr="00381701" w:rsidRDefault="00814E0C" w:rsidP="00D078D5">
      <w:pPr>
        <w:rPr>
          <w:rFonts w:ascii="Arial" w:hAnsi="Arial" w:cs="Arial"/>
          <w:lang w:val="en-GB"/>
        </w:rPr>
      </w:pPr>
    </w:p>
    <w:p w14:paraId="1E998C1D" w14:textId="77777777" w:rsidR="00814E0C" w:rsidRPr="00381701" w:rsidRDefault="00814E0C" w:rsidP="00D078D5">
      <w:pPr>
        <w:rPr>
          <w:rFonts w:ascii="Arial" w:hAnsi="Arial" w:cs="Arial"/>
          <w:lang w:val="en-GB"/>
        </w:rPr>
      </w:pPr>
    </w:p>
    <w:p w14:paraId="46F24CC1" w14:textId="77777777" w:rsidR="005B257A" w:rsidRPr="005B257A" w:rsidRDefault="005B257A" w:rsidP="005B257A">
      <w:pPr>
        <w:rPr>
          <w:rFonts w:ascii="Arial" w:hAnsi="Arial" w:cs="Arial"/>
          <w:sz w:val="22"/>
          <w:szCs w:val="22"/>
          <w:lang w:val="en-GB"/>
        </w:rPr>
      </w:pPr>
      <w:r w:rsidRPr="005B257A">
        <w:rPr>
          <w:rFonts w:ascii="Arial" w:hAnsi="Arial" w:cs="Arial"/>
          <w:sz w:val="22"/>
          <w:szCs w:val="22"/>
          <w:lang w:val="en-GB"/>
        </w:rPr>
        <w:t>In conclusion, this report has examined the impact of workplace culture on organizational efficiency within GXO Company. Through a critical assessment of the organizational environment, the report has identified key factors that influence the culture of GXO. The analysis was conducted using frameworks such as PESTLE (Political, Economic, Social, Technological, Legal, and Environmental) and Porter's Five Forces, shedding light on the external factors influencing the company's work culture (Johnson et al., 2017; Porter, 2008).</w:t>
      </w:r>
    </w:p>
    <w:p w14:paraId="58775763" w14:textId="24581422" w:rsidR="005B257A" w:rsidRPr="005B257A" w:rsidRDefault="005B257A" w:rsidP="005B257A">
      <w:pPr>
        <w:rPr>
          <w:rFonts w:ascii="Arial" w:hAnsi="Arial" w:cs="Arial"/>
          <w:sz w:val="22"/>
          <w:szCs w:val="22"/>
          <w:lang w:val="en-GB"/>
        </w:rPr>
      </w:pPr>
      <w:r w:rsidRPr="005B257A">
        <w:rPr>
          <w:rFonts w:ascii="Arial" w:hAnsi="Arial" w:cs="Arial"/>
          <w:sz w:val="22"/>
          <w:szCs w:val="22"/>
          <w:lang w:val="en-GB"/>
        </w:rPr>
        <w:t xml:space="preserve">Furthermore, the report has explored the key ethical elements in GXO's organizational culture and provided recommendations on how to promote these elements among employees. Academic frameworks such as Schein's Organizational Culture Model, McKinsey 7S Model, and Kotler's 8-Step Plan were utilized to highlight the importance of shared values, leadership </w:t>
      </w:r>
      <w:r w:rsidR="00C27B05" w:rsidRPr="005B257A">
        <w:rPr>
          <w:rFonts w:ascii="Arial" w:hAnsi="Arial" w:cs="Arial"/>
          <w:sz w:val="22"/>
          <w:szCs w:val="22"/>
          <w:lang w:val="en-GB"/>
        </w:rPr>
        <w:t>behaviours</w:t>
      </w:r>
      <w:r w:rsidRPr="005B257A">
        <w:rPr>
          <w:rFonts w:ascii="Arial" w:hAnsi="Arial" w:cs="Arial"/>
          <w:sz w:val="22"/>
          <w:szCs w:val="22"/>
          <w:lang w:val="en-GB"/>
        </w:rPr>
        <w:t>, and employee engagement in fostering an ethical work environment (Schein, 1996; McKinsey &amp; Company, 2020; Kotler &amp; Lee, 2005).</w:t>
      </w:r>
    </w:p>
    <w:p w14:paraId="7560518B" w14:textId="77777777" w:rsidR="005B257A" w:rsidRPr="005B257A" w:rsidRDefault="005B257A" w:rsidP="005B257A">
      <w:pPr>
        <w:rPr>
          <w:rFonts w:ascii="Arial" w:hAnsi="Arial" w:cs="Arial"/>
          <w:sz w:val="22"/>
          <w:szCs w:val="22"/>
          <w:lang w:val="en-GB"/>
        </w:rPr>
      </w:pPr>
      <w:r w:rsidRPr="005B257A">
        <w:rPr>
          <w:rFonts w:ascii="Arial" w:hAnsi="Arial" w:cs="Arial"/>
          <w:sz w:val="22"/>
          <w:szCs w:val="22"/>
          <w:lang w:val="en-GB"/>
        </w:rPr>
        <w:t>Moreover, one ethical dilemma likely to influence the culture of GXO Company was discussed in detail. The analysis considered the potential conflicts between productivity targets and employee well-being, emphasizing the importance of balancing organizational goals with ethical considerations (Brenkert, 2009).</w:t>
      </w:r>
    </w:p>
    <w:p w14:paraId="0B2546DF" w14:textId="15E34A36" w:rsidR="005B257A" w:rsidRPr="005B257A" w:rsidRDefault="005B257A" w:rsidP="005B257A">
      <w:pPr>
        <w:rPr>
          <w:rFonts w:ascii="Arial" w:hAnsi="Arial" w:cs="Arial"/>
          <w:sz w:val="22"/>
          <w:szCs w:val="22"/>
          <w:lang w:val="en-GB"/>
        </w:rPr>
      </w:pPr>
      <w:r w:rsidRPr="005B257A">
        <w:rPr>
          <w:rFonts w:ascii="Arial" w:hAnsi="Arial" w:cs="Arial"/>
          <w:sz w:val="22"/>
          <w:szCs w:val="22"/>
          <w:lang w:val="en-GB"/>
        </w:rPr>
        <w:t xml:space="preserve">The report also identified barriers to the effective functioning of GXO's culture, such as the lack of clear values and direction, inadequate communication, and resistance to change. Recommendations were provided to address these barriers, including the clear articulation of values, implementation of effective communication channels, and involvement of employees in the change process. These recommendations, supported by Beer's model, aim to improve workplace </w:t>
      </w:r>
      <w:r w:rsidR="006160FF" w:rsidRPr="005B257A">
        <w:rPr>
          <w:rFonts w:ascii="Arial" w:hAnsi="Arial" w:cs="Arial"/>
          <w:sz w:val="22"/>
          <w:szCs w:val="22"/>
          <w:lang w:val="en-GB"/>
        </w:rPr>
        <w:t>culture,</w:t>
      </w:r>
      <w:r w:rsidRPr="005B257A">
        <w:rPr>
          <w:rFonts w:ascii="Arial" w:hAnsi="Arial" w:cs="Arial"/>
          <w:sz w:val="22"/>
          <w:szCs w:val="22"/>
          <w:lang w:val="en-GB"/>
        </w:rPr>
        <w:t xml:space="preserve"> and enhance organizational efficiency (Beer et al., 1990).</w:t>
      </w:r>
    </w:p>
    <w:p w14:paraId="301C98C7" w14:textId="77777777" w:rsidR="005B257A" w:rsidRPr="005B257A" w:rsidRDefault="005B257A" w:rsidP="005B257A">
      <w:pPr>
        <w:rPr>
          <w:rFonts w:ascii="Arial" w:hAnsi="Arial" w:cs="Arial"/>
          <w:sz w:val="22"/>
          <w:szCs w:val="22"/>
          <w:lang w:val="en-GB"/>
        </w:rPr>
      </w:pPr>
      <w:r w:rsidRPr="005B257A">
        <w:rPr>
          <w:rFonts w:ascii="Arial" w:hAnsi="Arial" w:cs="Arial"/>
          <w:sz w:val="22"/>
          <w:szCs w:val="22"/>
          <w:lang w:val="en-GB"/>
        </w:rPr>
        <w:t>In summary, by addressing environmental factors, promoting ethical elements, addressing ethical dilemmas, and overcoming barriers, GXO Company can enhance its workplace culture and positively impact organizational efficiency. The implementation of these recommendations will foster a more engaged, transparent, and adaptable workforce, leading to improved performance and competitive advantage.</w:t>
      </w:r>
    </w:p>
    <w:p w14:paraId="62E8AC57" w14:textId="77777777" w:rsidR="00D078D5" w:rsidRPr="00381701" w:rsidRDefault="00D078D5" w:rsidP="00D078D5">
      <w:pPr>
        <w:rPr>
          <w:rFonts w:ascii="Arial" w:hAnsi="Arial" w:cs="Arial"/>
          <w:sz w:val="22"/>
          <w:szCs w:val="22"/>
          <w:lang w:val="en-GB"/>
        </w:rPr>
      </w:pPr>
    </w:p>
    <w:p w14:paraId="11384F30" w14:textId="77777777" w:rsidR="00D078D5" w:rsidRPr="00381701" w:rsidRDefault="00D078D5" w:rsidP="00D078D5">
      <w:pPr>
        <w:rPr>
          <w:rFonts w:ascii="Arial" w:hAnsi="Arial" w:cs="Arial"/>
          <w:lang w:val="en-GB"/>
        </w:rPr>
      </w:pPr>
    </w:p>
    <w:p w14:paraId="717F5300" w14:textId="77777777" w:rsidR="00D078D5" w:rsidRPr="00381701" w:rsidRDefault="00D078D5" w:rsidP="00D078D5">
      <w:pPr>
        <w:rPr>
          <w:rFonts w:ascii="Arial" w:hAnsi="Arial" w:cs="Arial"/>
          <w:lang w:val="en-GB"/>
        </w:rPr>
      </w:pPr>
    </w:p>
    <w:p w14:paraId="695AADA1" w14:textId="7A63E311" w:rsidR="00D078D5" w:rsidRDefault="00D078D5" w:rsidP="00814E0C">
      <w:pPr>
        <w:pStyle w:val="Heading1"/>
        <w:rPr>
          <w:rFonts w:ascii="Arial" w:hAnsi="Arial" w:cs="Arial"/>
          <w:lang w:val="en-GB"/>
        </w:rPr>
      </w:pPr>
      <w:bookmarkStart w:id="11" w:name="_Toc139827399"/>
      <w:r w:rsidRPr="00381701">
        <w:rPr>
          <w:rFonts w:ascii="Arial" w:hAnsi="Arial" w:cs="Arial"/>
          <w:lang w:val="en-GB"/>
        </w:rPr>
        <w:lastRenderedPageBreak/>
        <w:t>Reference List</w:t>
      </w:r>
      <w:bookmarkEnd w:id="11"/>
    </w:p>
    <w:p w14:paraId="5D23ECA0" w14:textId="77777777" w:rsidR="00B86671" w:rsidRDefault="00B86671" w:rsidP="00B86671">
      <w:pPr>
        <w:rPr>
          <w:lang w:val="en-GB"/>
        </w:rPr>
      </w:pPr>
    </w:p>
    <w:p w14:paraId="2D8746FB" w14:textId="77777777" w:rsidR="009D01C0" w:rsidRPr="00F32A5A" w:rsidRDefault="009D01C0"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GXO Company. (n.d.). About us. Retrieved from [provide URL]</w:t>
      </w:r>
    </w:p>
    <w:p w14:paraId="12B9E876" w14:textId="3C18A188" w:rsidR="00760206" w:rsidRPr="00F32A5A" w:rsidRDefault="00D1712B" w:rsidP="001B53FC">
      <w:pPr>
        <w:pStyle w:val="ListParagraph"/>
        <w:numPr>
          <w:ilvl w:val="0"/>
          <w:numId w:val="1"/>
        </w:numPr>
        <w:rPr>
          <w:rFonts w:ascii="Arial" w:hAnsi="Arial" w:cs="Arial"/>
          <w:sz w:val="22"/>
          <w:szCs w:val="22"/>
          <w:lang w:val="en-GB"/>
        </w:rPr>
      </w:pPr>
      <w:r w:rsidRPr="00F32A5A">
        <w:rPr>
          <w:rFonts w:ascii="Arial" w:hAnsi="Arial" w:cs="Arial"/>
          <w:sz w:val="22"/>
          <w:szCs w:val="22"/>
          <w:lang w:val="en-GB"/>
        </w:rPr>
        <w:t>Brenkert, G. G. (2009). Ethics and the market: Insights from social economics. Journal of Business Ethics, 86(S1), 27-39.</w:t>
      </w:r>
    </w:p>
    <w:p w14:paraId="1655E357" w14:textId="5C64849B" w:rsidR="00593E3D" w:rsidRPr="00F32A5A" w:rsidRDefault="00593E3D"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Fischer, J., &amp; Stocker, A. (2011). The importance of communication in effective change processes. Journal of Organizational Change Management, 24(2), 143-159.</w:t>
      </w:r>
    </w:p>
    <w:p w14:paraId="6DB24C49" w14:textId="2A8D5993" w:rsidR="00FC2516" w:rsidRPr="00F32A5A" w:rsidRDefault="00FC2516"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Ford, J. D., Ford, L. W., &amp; D'Amelio, A. (2008). Resistance to change: The rest of the story. Academy of Management Review, 33(2), 362-377.</w:t>
      </w:r>
    </w:p>
    <w:p w14:paraId="4AB5F09C" w14:textId="02134646" w:rsidR="00BC352C" w:rsidRPr="00F32A5A" w:rsidRDefault="00BC352C"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Johnson, G., Whittington, R., Scholes, K., Angwin, D., &amp; Regnér, P. (2017). Exploring strategy: Text and cases (11th ed.). Pearson.</w:t>
      </w:r>
    </w:p>
    <w:p w14:paraId="02F64795" w14:textId="77777777" w:rsidR="00BC352C" w:rsidRPr="00F32A5A" w:rsidRDefault="00BC352C" w:rsidP="00BC352C">
      <w:pPr>
        <w:pStyle w:val="ListParagraph"/>
        <w:numPr>
          <w:ilvl w:val="0"/>
          <w:numId w:val="1"/>
        </w:numPr>
        <w:rPr>
          <w:rFonts w:ascii="Arial" w:hAnsi="Arial" w:cs="Arial"/>
          <w:sz w:val="22"/>
          <w:szCs w:val="22"/>
          <w:lang w:val="en-GB"/>
        </w:rPr>
      </w:pPr>
      <w:r w:rsidRPr="00F32A5A">
        <w:rPr>
          <w:rFonts w:ascii="Arial" w:hAnsi="Arial" w:cs="Arial"/>
          <w:sz w:val="22"/>
          <w:szCs w:val="22"/>
          <w:lang w:val="en-GB"/>
        </w:rPr>
        <w:t>Kotler, P. (2011). Reinventing marketing to manage the environmental imperative. Journal of Marketing, 75(4), 132-135.</w:t>
      </w:r>
    </w:p>
    <w:p w14:paraId="5238C59E" w14:textId="77777777" w:rsidR="009D01C0" w:rsidRPr="00F32A5A" w:rsidRDefault="009D01C0"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McKinsey &amp; Company. (n.d.). The 7S framework. Retrieved from [provide URL]</w:t>
      </w:r>
    </w:p>
    <w:p w14:paraId="670223D9" w14:textId="77777777" w:rsidR="009D01C0" w:rsidRPr="00F32A5A" w:rsidRDefault="009D01C0"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Porter, M. E. (2008). The five competitive forces that shape strategy. Harvard Business Review, 86(1), 78-93.</w:t>
      </w:r>
    </w:p>
    <w:p w14:paraId="582639C9" w14:textId="77777777" w:rsidR="009D01C0" w:rsidRPr="00F32A5A" w:rsidRDefault="009D01C0"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Schein, E. H. (1996). Three cultures of management: The key to organizational learning. Sloan Management Review, 38(1), 9-20.</w:t>
      </w:r>
    </w:p>
    <w:p w14:paraId="4D83BAD2" w14:textId="77777777" w:rsidR="009D01C0" w:rsidRPr="00F32A5A" w:rsidRDefault="009D01C0" w:rsidP="009D01C0">
      <w:pPr>
        <w:pStyle w:val="ListParagraph"/>
        <w:numPr>
          <w:ilvl w:val="0"/>
          <w:numId w:val="1"/>
        </w:numPr>
        <w:rPr>
          <w:rFonts w:ascii="Arial" w:hAnsi="Arial" w:cs="Arial"/>
          <w:sz w:val="22"/>
          <w:szCs w:val="22"/>
          <w:lang w:val="en-GB"/>
        </w:rPr>
      </w:pPr>
      <w:r w:rsidRPr="00F32A5A">
        <w:rPr>
          <w:rFonts w:ascii="Arial" w:hAnsi="Arial" w:cs="Arial"/>
          <w:sz w:val="22"/>
          <w:szCs w:val="22"/>
          <w:lang w:val="en-GB"/>
        </w:rPr>
        <w:t>Worley, C. G., Mohrman, S. A., &amp; Lawler III, E. E. (2020). Management in the Age of Complexity: Aligning Strategy, Execution, and Culture. Routledge.</w:t>
      </w:r>
    </w:p>
    <w:p w14:paraId="2AB6587F" w14:textId="77777777" w:rsidR="00B86671" w:rsidRPr="00B86671" w:rsidRDefault="00B86671" w:rsidP="00B86671">
      <w:pPr>
        <w:rPr>
          <w:lang w:val="en-GB"/>
        </w:rPr>
      </w:pPr>
    </w:p>
    <w:sectPr w:rsidR="00B86671" w:rsidRPr="00B86671" w:rsidSect="004D7029">
      <w:footerReference w:type="default" r:id="rId15"/>
      <w:pgSz w:w="11906" w:h="16838"/>
      <w:pgMar w:top="1440" w:right="1440" w:bottom="1440" w:left="1440" w:header="708" w:footer="708" w:gutter="0"/>
      <w:pgBorders w:offsetFrom="page">
        <w:top w:val="single" w:sz="6" w:space="24" w:color="90C5F6" w:themeColor="accent1" w:themeTint="66"/>
        <w:left w:val="single" w:sz="6" w:space="24" w:color="90C5F6" w:themeColor="accent1" w:themeTint="66"/>
        <w:bottom w:val="single" w:sz="6" w:space="24" w:color="90C5F6" w:themeColor="accent1" w:themeTint="66"/>
        <w:right w:val="single" w:sz="6" w:space="24" w:color="90C5F6" w:themeColor="accent1"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04D20" w14:textId="77777777" w:rsidR="000F4B7D" w:rsidRDefault="000F4B7D" w:rsidP="009B5445">
      <w:pPr>
        <w:spacing w:after="0" w:line="240" w:lineRule="auto"/>
      </w:pPr>
      <w:r>
        <w:separator/>
      </w:r>
    </w:p>
  </w:endnote>
  <w:endnote w:type="continuationSeparator" w:id="0">
    <w:p w14:paraId="4122F412" w14:textId="77777777" w:rsidR="000F4B7D" w:rsidRDefault="000F4B7D" w:rsidP="009B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58483"/>
      <w:docPartObj>
        <w:docPartGallery w:val="Page Numbers (Bottom of Page)"/>
        <w:docPartUnique/>
      </w:docPartObj>
    </w:sdtPr>
    <w:sdtEndPr>
      <w:rPr>
        <w:noProof/>
      </w:rPr>
    </w:sdtEndPr>
    <w:sdtContent>
      <w:p w14:paraId="256B42D4" w14:textId="66B9D2E5" w:rsidR="009B5445" w:rsidRDefault="009B54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DC134D" w14:textId="77777777" w:rsidR="009B5445" w:rsidRDefault="009B5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11DD4" w14:textId="77777777" w:rsidR="000F4B7D" w:rsidRDefault="000F4B7D" w:rsidP="009B5445">
      <w:pPr>
        <w:spacing w:after="0" w:line="240" w:lineRule="auto"/>
      </w:pPr>
      <w:r>
        <w:separator/>
      </w:r>
    </w:p>
  </w:footnote>
  <w:footnote w:type="continuationSeparator" w:id="0">
    <w:p w14:paraId="06728298" w14:textId="77777777" w:rsidR="000F4B7D" w:rsidRDefault="000F4B7D" w:rsidP="009B5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03632"/>
    <w:multiLevelType w:val="multilevel"/>
    <w:tmpl w:val="A8C05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9326D"/>
    <w:multiLevelType w:val="multilevel"/>
    <w:tmpl w:val="77988B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27602"/>
    <w:multiLevelType w:val="multilevel"/>
    <w:tmpl w:val="F9D29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3C0F15"/>
    <w:multiLevelType w:val="multilevel"/>
    <w:tmpl w:val="A62A2B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EE3BB2"/>
    <w:multiLevelType w:val="multilevel"/>
    <w:tmpl w:val="D9A06A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B9535B"/>
    <w:multiLevelType w:val="hybridMultilevel"/>
    <w:tmpl w:val="46AEF12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7B7E7132"/>
    <w:multiLevelType w:val="multilevel"/>
    <w:tmpl w:val="DA64F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209257">
    <w:abstractNumId w:val="5"/>
  </w:num>
  <w:num w:numId="2" w16cid:durableId="141240151">
    <w:abstractNumId w:val="2"/>
  </w:num>
  <w:num w:numId="3" w16cid:durableId="1811944325">
    <w:abstractNumId w:val="6"/>
  </w:num>
  <w:num w:numId="4" w16cid:durableId="185143376">
    <w:abstractNumId w:val="3"/>
  </w:num>
  <w:num w:numId="5" w16cid:durableId="130295281">
    <w:abstractNumId w:val="0"/>
  </w:num>
  <w:num w:numId="6" w16cid:durableId="1157377905">
    <w:abstractNumId w:val="1"/>
  </w:num>
  <w:num w:numId="7" w16cid:durableId="12688085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n-GB" w:vendorID="64" w:dllVersion="0"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8D5"/>
    <w:rsid w:val="00003A22"/>
    <w:rsid w:val="00013F0C"/>
    <w:rsid w:val="0002653B"/>
    <w:rsid w:val="0004445F"/>
    <w:rsid w:val="00051C6E"/>
    <w:rsid w:val="00054BFC"/>
    <w:rsid w:val="00073C9F"/>
    <w:rsid w:val="00077B72"/>
    <w:rsid w:val="00077DFF"/>
    <w:rsid w:val="00083EC6"/>
    <w:rsid w:val="00085D0E"/>
    <w:rsid w:val="00091F00"/>
    <w:rsid w:val="00094AD8"/>
    <w:rsid w:val="000954D1"/>
    <w:rsid w:val="000C0ADB"/>
    <w:rsid w:val="000D2EBA"/>
    <w:rsid w:val="000F4B7D"/>
    <w:rsid w:val="00102FBB"/>
    <w:rsid w:val="001038F1"/>
    <w:rsid w:val="0011329B"/>
    <w:rsid w:val="00113E93"/>
    <w:rsid w:val="00114C22"/>
    <w:rsid w:val="0013229E"/>
    <w:rsid w:val="00143279"/>
    <w:rsid w:val="00152B7E"/>
    <w:rsid w:val="001612E3"/>
    <w:rsid w:val="00190A93"/>
    <w:rsid w:val="001913FE"/>
    <w:rsid w:val="001954F2"/>
    <w:rsid w:val="001A6E47"/>
    <w:rsid w:val="001E1CD0"/>
    <w:rsid w:val="00273087"/>
    <w:rsid w:val="00276FA1"/>
    <w:rsid w:val="002A32D6"/>
    <w:rsid w:val="002B356E"/>
    <w:rsid w:val="002B505B"/>
    <w:rsid w:val="002B7C0F"/>
    <w:rsid w:val="002C1DC9"/>
    <w:rsid w:val="002D3EEA"/>
    <w:rsid w:val="003347A7"/>
    <w:rsid w:val="0036324B"/>
    <w:rsid w:val="00363AC9"/>
    <w:rsid w:val="0038010A"/>
    <w:rsid w:val="00381701"/>
    <w:rsid w:val="003911EA"/>
    <w:rsid w:val="003A2C15"/>
    <w:rsid w:val="003A6787"/>
    <w:rsid w:val="003B4B70"/>
    <w:rsid w:val="004371FA"/>
    <w:rsid w:val="00437D76"/>
    <w:rsid w:val="00451D0C"/>
    <w:rsid w:val="004659F8"/>
    <w:rsid w:val="00496833"/>
    <w:rsid w:val="004B0EE7"/>
    <w:rsid w:val="004C7EC3"/>
    <w:rsid w:val="004D7029"/>
    <w:rsid w:val="005108A2"/>
    <w:rsid w:val="005300EA"/>
    <w:rsid w:val="00531EB5"/>
    <w:rsid w:val="00535320"/>
    <w:rsid w:val="005442B9"/>
    <w:rsid w:val="00593E3D"/>
    <w:rsid w:val="005957E3"/>
    <w:rsid w:val="005A11F9"/>
    <w:rsid w:val="005B257A"/>
    <w:rsid w:val="005B6979"/>
    <w:rsid w:val="005D439B"/>
    <w:rsid w:val="006016CC"/>
    <w:rsid w:val="00604ABB"/>
    <w:rsid w:val="006160FF"/>
    <w:rsid w:val="00623136"/>
    <w:rsid w:val="0062425A"/>
    <w:rsid w:val="00632172"/>
    <w:rsid w:val="0063466B"/>
    <w:rsid w:val="00644CA2"/>
    <w:rsid w:val="00645D6C"/>
    <w:rsid w:val="006668BE"/>
    <w:rsid w:val="00677351"/>
    <w:rsid w:val="00695DCA"/>
    <w:rsid w:val="006B7969"/>
    <w:rsid w:val="006C46BF"/>
    <w:rsid w:val="006D73A9"/>
    <w:rsid w:val="006E6CCD"/>
    <w:rsid w:val="006E6F96"/>
    <w:rsid w:val="006F6767"/>
    <w:rsid w:val="00710344"/>
    <w:rsid w:val="007136E1"/>
    <w:rsid w:val="0072501F"/>
    <w:rsid w:val="00743583"/>
    <w:rsid w:val="00760206"/>
    <w:rsid w:val="00765269"/>
    <w:rsid w:val="00772C4F"/>
    <w:rsid w:val="00781DD4"/>
    <w:rsid w:val="0078527F"/>
    <w:rsid w:val="00797E27"/>
    <w:rsid w:val="007C633D"/>
    <w:rsid w:val="007D63EF"/>
    <w:rsid w:val="007E2C90"/>
    <w:rsid w:val="007E59A7"/>
    <w:rsid w:val="007F6A38"/>
    <w:rsid w:val="00800019"/>
    <w:rsid w:val="00812D81"/>
    <w:rsid w:val="00814E0C"/>
    <w:rsid w:val="00825AF1"/>
    <w:rsid w:val="00865E96"/>
    <w:rsid w:val="0087335C"/>
    <w:rsid w:val="008B2D22"/>
    <w:rsid w:val="008C7C96"/>
    <w:rsid w:val="00914334"/>
    <w:rsid w:val="009163FE"/>
    <w:rsid w:val="00923110"/>
    <w:rsid w:val="0092406D"/>
    <w:rsid w:val="00935F2E"/>
    <w:rsid w:val="00942ABD"/>
    <w:rsid w:val="00943CC0"/>
    <w:rsid w:val="0099528D"/>
    <w:rsid w:val="009A2458"/>
    <w:rsid w:val="009B4756"/>
    <w:rsid w:val="009B5445"/>
    <w:rsid w:val="009C5F86"/>
    <w:rsid w:val="009D01C0"/>
    <w:rsid w:val="009D70BF"/>
    <w:rsid w:val="00A0163E"/>
    <w:rsid w:val="00A254FD"/>
    <w:rsid w:val="00A35815"/>
    <w:rsid w:val="00A379E4"/>
    <w:rsid w:val="00A61B68"/>
    <w:rsid w:val="00A85BE1"/>
    <w:rsid w:val="00AA6C6A"/>
    <w:rsid w:val="00AB3EEB"/>
    <w:rsid w:val="00AC0DA2"/>
    <w:rsid w:val="00AE2C1C"/>
    <w:rsid w:val="00B15DE6"/>
    <w:rsid w:val="00B177F2"/>
    <w:rsid w:val="00B22195"/>
    <w:rsid w:val="00B33E88"/>
    <w:rsid w:val="00B7353B"/>
    <w:rsid w:val="00B84BFD"/>
    <w:rsid w:val="00B86671"/>
    <w:rsid w:val="00BB5283"/>
    <w:rsid w:val="00BC352C"/>
    <w:rsid w:val="00BD1DF1"/>
    <w:rsid w:val="00BD6358"/>
    <w:rsid w:val="00BE528B"/>
    <w:rsid w:val="00C27B05"/>
    <w:rsid w:val="00C30A6A"/>
    <w:rsid w:val="00C66EC8"/>
    <w:rsid w:val="00C70ABA"/>
    <w:rsid w:val="00C73341"/>
    <w:rsid w:val="00CF36DB"/>
    <w:rsid w:val="00D004A7"/>
    <w:rsid w:val="00D078D5"/>
    <w:rsid w:val="00D10EB5"/>
    <w:rsid w:val="00D16EDA"/>
    <w:rsid w:val="00D1712B"/>
    <w:rsid w:val="00D243B1"/>
    <w:rsid w:val="00D53747"/>
    <w:rsid w:val="00D54168"/>
    <w:rsid w:val="00D57A78"/>
    <w:rsid w:val="00D8098A"/>
    <w:rsid w:val="00D80B6A"/>
    <w:rsid w:val="00D83CC1"/>
    <w:rsid w:val="00D9011D"/>
    <w:rsid w:val="00DB4D90"/>
    <w:rsid w:val="00E0678B"/>
    <w:rsid w:val="00E218FF"/>
    <w:rsid w:val="00E24DA9"/>
    <w:rsid w:val="00E44609"/>
    <w:rsid w:val="00E67D5C"/>
    <w:rsid w:val="00E723F4"/>
    <w:rsid w:val="00E80DAC"/>
    <w:rsid w:val="00ED45BE"/>
    <w:rsid w:val="00ED4BD9"/>
    <w:rsid w:val="00EE595E"/>
    <w:rsid w:val="00EE6CA6"/>
    <w:rsid w:val="00EF72BB"/>
    <w:rsid w:val="00F0210D"/>
    <w:rsid w:val="00F11534"/>
    <w:rsid w:val="00F15EEC"/>
    <w:rsid w:val="00F17393"/>
    <w:rsid w:val="00F2165E"/>
    <w:rsid w:val="00F2165F"/>
    <w:rsid w:val="00F303FF"/>
    <w:rsid w:val="00F32A5A"/>
    <w:rsid w:val="00F33C18"/>
    <w:rsid w:val="00F35EDB"/>
    <w:rsid w:val="00F42677"/>
    <w:rsid w:val="00F60DB9"/>
    <w:rsid w:val="00F74EA5"/>
    <w:rsid w:val="00F757C4"/>
    <w:rsid w:val="00F872E1"/>
    <w:rsid w:val="00FB1A5A"/>
    <w:rsid w:val="00FC2516"/>
    <w:rsid w:val="00FD513F"/>
    <w:rsid w:val="00FF7E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EE52"/>
  <w15:chartTrackingRefBased/>
  <w15:docId w15:val="{84E06380-0E79-4B3D-95F4-58E05CC8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g-BG"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BFD"/>
  </w:style>
  <w:style w:type="paragraph" w:styleId="Heading1">
    <w:name w:val="heading 1"/>
    <w:basedOn w:val="Normal"/>
    <w:next w:val="Normal"/>
    <w:link w:val="Heading1Char"/>
    <w:uiPriority w:val="9"/>
    <w:qFormat/>
    <w:rsid w:val="0087335C"/>
    <w:pPr>
      <w:keepNext/>
      <w:keepLines/>
      <w:pBdr>
        <w:bottom w:val="single" w:sz="4" w:space="1" w:color="0F6FC6" w:themeColor="accent1"/>
      </w:pBdr>
      <w:spacing w:before="400" w:after="40" w:line="240" w:lineRule="auto"/>
      <w:outlineLvl w:val="0"/>
    </w:pPr>
    <w:rPr>
      <w:rFonts w:asciiTheme="majorHAnsi" w:eastAsiaTheme="majorEastAsia" w:hAnsiTheme="majorHAnsi" w:cstheme="majorBidi"/>
      <w:color w:val="0B5294" w:themeColor="accent1" w:themeShade="BF"/>
      <w:sz w:val="36"/>
      <w:szCs w:val="36"/>
    </w:rPr>
  </w:style>
  <w:style w:type="paragraph" w:styleId="Heading2">
    <w:name w:val="heading 2"/>
    <w:basedOn w:val="Normal"/>
    <w:next w:val="Normal"/>
    <w:link w:val="Heading2Char"/>
    <w:uiPriority w:val="9"/>
    <w:unhideWhenUsed/>
    <w:qFormat/>
    <w:rsid w:val="0087335C"/>
    <w:pPr>
      <w:keepNext/>
      <w:keepLines/>
      <w:spacing w:before="160" w:after="0" w:line="240" w:lineRule="auto"/>
      <w:outlineLvl w:val="1"/>
    </w:pPr>
    <w:rPr>
      <w:rFonts w:asciiTheme="majorHAnsi" w:eastAsiaTheme="majorEastAsia" w:hAnsiTheme="majorHAnsi" w:cstheme="majorBidi"/>
      <w:color w:val="0B5294" w:themeColor="accent1" w:themeShade="BF"/>
      <w:sz w:val="28"/>
      <w:szCs w:val="28"/>
    </w:rPr>
  </w:style>
  <w:style w:type="paragraph" w:styleId="Heading3">
    <w:name w:val="heading 3"/>
    <w:basedOn w:val="Normal"/>
    <w:next w:val="Normal"/>
    <w:link w:val="Heading3Char"/>
    <w:uiPriority w:val="9"/>
    <w:semiHidden/>
    <w:unhideWhenUsed/>
    <w:qFormat/>
    <w:rsid w:val="0087335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7335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7335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7335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7335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7335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7335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35C"/>
    <w:rPr>
      <w:rFonts w:asciiTheme="majorHAnsi" w:eastAsiaTheme="majorEastAsia" w:hAnsiTheme="majorHAnsi" w:cstheme="majorBidi"/>
      <w:color w:val="0B5294" w:themeColor="accent1" w:themeShade="BF"/>
      <w:sz w:val="36"/>
      <w:szCs w:val="36"/>
    </w:rPr>
  </w:style>
  <w:style w:type="character" w:customStyle="1" w:styleId="Heading2Char">
    <w:name w:val="Heading 2 Char"/>
    <w:basedOn w:val="DefaultParagraphFont"/>
    <w:link w:val="Heading2"/>
    <w:uiPriority w:val="9"/>
    <w:rsid w:val="0087335C"/>
    <w:rPr>
      <w:rFonts w:asciiTheme="majorHAnsi" w:eastAsiaTheme="majorEastAsia" w:hAnsiTheme="majorHAnsi" w:cstheme="majorBidi"/>
      <w:color w:val="0B5294" w:themeColor="accent1" w:themeShade="BF"/>
      <w:sz w:val="28"/>
      <w:szCs w:val="28"/>
    </w:rPr>
  </w:style>
  <w:style w:type="character" w:customStyle="1" w:styleId="Heading3Char">
    <w:name w:val="Heading 3 Char"/>
    <w:basedOn w:val="DefaultParagraphFont"/>
    <w:link w:val="Heading3"/>
    <w:uiPriority w:val="9"/>
    <w:semiHidden/>
    <w:rsid w:val="0087335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7335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7335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7335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7335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7335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7335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7335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7335C"/>
    <w:pPr>
      <w:spacing w:after="0" w:line="240" w:lineRule="auto"/>
      <w:contextualSpacing/>
    </w:pPr>
    <w:rPr>
      <w:rFonts w:asciiTheme="majorHAnsi" w:eastAsiaTheme="majorEastAsia" w:hAnsiTheme="majorHAnsi" w:cstheme="majorBidi"/>
      <w:color w:val="0B5294" w:themeColor="accent1" w:themeShade="BF"/>
      <w:spacing w:val="-7"/>
      <w:sz w:val="80"/>
      <w:szCs w:val="80"/>
    </w:rPr>
  </w:style>
  <w:style w:type="character" w:customStyle="1" w:styleId="TitleChar">
    <w:name w:val="Title Char"/>
    <w:basedOn w:val="DefaultParagraphFont"/>
    <w:link w:val="Title"/>
    <w:uiPriority w:val="10"/>
    <w:rsid w:val="0087335C"/>
    <w:rPr>
      <w:rFonts w:asciiTheme="majorHAnsi" w:eastAsiaTheme="majorEastAsia" w:hAnsiTheme="majorHAnsi" w:cstheme="majorBidi"/>
      <w:color w:val="0B5294" w:themeColor="accent1" w:themeShade="BF"/>
      <w:spacing w:val="-7"/>
      <w:sz w:val="80"/>
      <w:szCs w:val="80"/>
    </w:rPr>
  </w:style>
  <w:style w:type="paragraph" w:styleId="Subtitle">
    <w:name w:val="Subtitle"/>
    <w:basedOn w:val="Normal"/>
    <w:next w:val="Normal"/>
    <w:link w:val="SubtitleChar"/>
    <w:uiPriority w:val="11"/>
    <w:qFormat/>
    <w:rsid w:val="0087335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7335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7335C"/>
    <w:rPr>
      <w:b/>
      <w:bCs/>
    </w:rPr>
  </w:style>
  <w:style w:type="character" w:styleId="Emphasis">
    <w:name w:val="Emphasis"/>
    <w:basedOn w:val="DefaultParagraphFont"/>
    <w:uiPriority w:val="20"/>
    <w:qFormat/>
    <w:rsid w:val="0087335C"/>
    <w:rPr>
      <w:i/>
      <w:iCs/>
    </w:rPr>
  </w:style>
  <w:style w:type="paragraph" w:styleId="NoSpacing">
    <w:name w:val="No Spacing"/>
    <w:link w:val="NoSpacingChar"/>
    <w:uiPriority w:val="1"/>
    <w:qFormat/>
    <w:rsid w:val="0087335C"/>
    <w:pPr>
      <w:spacing w:after="0" w:line="240" w:lineRule="auto"/>
    </w:pPr>
  </w:style>
  <w:style w:type="paragraph" w:styleId="Quote">
    <w:name w:val="Quote"/>
    <w:basedOn w:val="Normal"/>
    <w:next w:val="Normal"/>
    <w:link w:val="QuoteChar"/>
    <w:uiPriority w:val="29"/>
    <w:qFormat/>
    <w:rsid w:val="0087335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7335C"/>
    <w:rPr>
      <w:i/>
      <w:iCs/>
    </w:rPr>
  </w:style>
  <w:style w:type="paragraph" w:styleId="IntenseQuote">
    <w:name w:val="Intense Quote"/>
    <w:basedOn w:val="Normal"/>
    <w:next w:val="Normal"/>
    <w:link w:val="IntenseQuoteChar"/>
    <w:uiPriority w:val="30"/>
    <w:qFormat/>
    <w:rsid w:val="0087335C"/>
    <w:pPr>
      <w:spacing w:before="100" w:beforeAutospacing="1" w:after="240"/>
      <w:ind w:left="864" w:right="864"/>
      <w:jc w:val="center"/>
    </w:pPr>
    <w:rPr>
      <w:rFonts w:asciiTheme="majorHAnsi" w:eastAsiaTheme="majorEastAsia" w:hAnsiTheme="majorHAnsi" w:cstheme="majorBidi"/>
      <w:color w:val="0F6FC6" w:themeColor="accent1"/>
      <w:sz w:val="28"/>
      <w:szCs w:val="28"/>
    </w:rPr>
  </w:style>
  <w:style w:type="character" w:customStyle="1" w:styleId="IntenseQuoteChar">
    <w:name w:val="Intense Quote Char"/>
    <w:basedOn w:val="DefaultParagraphFont"/>
    <w:link w:val="IntenseQuote"/>
    <w:uiPriority w:val="30"/>
    <w:rsid w:val="0087335C"/>
    <w:rPr>
      <w:rFonts w:asciiTheme="majorHAnsi" w:eastAsiaTheme="majorEastAsia" w:hAnsiTheme="majorHAnsi" w:cstheme="majorBidi"/>
      <w:color w:val="0F6FC6" w:themeColor="accent1"/>
      <w:sz w:val="28"/>
      <w:szCs w:val="28"/>
    </w:rPr>
  </w:style>
  <w:style w:type="character" w:styleId="SubtleEmphasis">
    <w:name w:val="Subtle Emphasis"/>
    <w:basedOn w:val="DefaultParagraphFont"/>
    <w:uiPriority w:val="19"/>
    <w:qFormat/>
    <w:rsid w:val="0087335C"/>
    <w:rPr>
      <w:i/>
      <w:iCs/>
      <w:color w:val="595959" w:themeColor="text1" w:themeTint="A6"/>
    </w:rPr>
  </w:style>
  <w:style w:type="character" w:styleId="IntenseEmphasis">
    <w:name w:val="Intense Emphasis"/>
    <w:basedOn w:val="DefaultParagraphFont"/>
    <w:uiPriority w:val="21"/>
    <w:qFormat/>
    <w:rsid w:val="0087335C"/>
    <w:rPr>
      <w:b/>
      <w:bCs/>
      <w:i/>
      <w:iCs/>
    </w:rPr>
  </w:style>
  <w:style w:type="character" w:styleId="SubtleReference">
    <w:name w:val="Subtle Reference"/>
    <w:basedOn w:val="DefaultParagraphFont"/>
    <w:uiPriority w:val="31"/>
    <w:qFormat/>
    <w:rsid w:val="0087335C"/>
    <w:rPr>
      <w:smallCaps/>
      <w:color w:val="404040" w:themeColor="text1" w:themeTint="BF"/>
    </w:rPr>
  </w:style>
  <w:style w:type="character" w:styleId="IntenseReference">
    <w:name w:val="Intense Reference"/>
    <w:basedOn w:val="DefaultParagraphFont"/>
    <w:uiPriority w:val="32"/>
    <w:qFormat/>
    <w:rsid w:val="0087335C"/>
    <w:rPr>
      <w:b/>
      <w:bCs/>
      <w:smallCaps/>
      <w:u w:val="single"/>
    </w:rPr>
  </w:style>
  <w:style w:type="character" w:styleId="BookTitle">
    <w:name w:val="Book Title"/>
    <w:basedOn w:val="DefaultParagraphFont"/>
    <w:uiPriority w:val="33"/>
    <w:qFormat/>
    <w:rsid w:val="0087335C"/>
    <w:rPr>
      <w:b/>
      <w:bCs/>
      <w:smallCaps/>
    </w:rPr>
  </w:style>
  <w:style w:type="paragraph" w:styleId="TOCHeading">
    <w:name w:val="TOC Heading"/>
    <w:basedOn w:val="Heading1"/>
    <w:next w:val="Normal"/>
    <w:uiPriority w:val="39"/>
    <w:unhideWhenUsed/>
    <w:qFormat/>
    <w:rsid w:val="0087335C"/>
    <w:pPr>
      <w:outlineLvl w:val="9"/>
    </w:pPr>
  </w:style>
  <w:style w:type="character" w:customStyle="1" w:styleId="NoSpacingChar">
    <w:name w:val="No Spacing Char"/>
    <w:basedOn w:val="DefaultParagraphFont"/>
    <w:link w:val="NoSpacing"/>
    <w:uiPriority w:val="1"/>
    <w:rsid w:val="002C1DC9"/>
  </w:style>
  <w:style w:type="table" w:styleId="TableGrid">
    <w:name w:val="Table Grid"/>
    <w:basedOn w:val="TableNormal"/>
    <w:uiPriority w:val="39"/>
    <w:rsid w:val="002C1DC9"/>
    <w:pPr>
      <w:spacing w:before="100" w:after="0" w:line="240" w:lineRule="auto"/>
    </w:pPr>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445"/>
  </w:style>
  <w:style w:type="paragraph" w:styleId="Footer">
    <w:name w:val="footer"/>
    <w:basedOn w:val="Normal"/>
    <w:link w:val="FooterChar"/>
    <w:uiPriority w:val="99"/>
    <w:unhideWhenUsed/>
    <w:rsid w:val="009B5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445"/>
  </w:style>
  <w:style w:type="paragraph" w:styleId="TOC1">
    <w:name w:val="toc 1"/>
    <w:basedOn w:val="Normal"/>
    <w:next w:val="Normal"/>
    <w:autoRedefine/>
    <w:uiPriority w:val="39"/>
    <w:unhideWhenUsed/>
    <w:rsid w:val="001612E3"/>
    <w:pPr>
      <w:spacing w:after="100"/>
    </w:pPr>
  </w:style>
  <w:style w:type="character" w:styleId="Hyperlink">
    <w:name w:val="Hyperlink"/>
    <w:basedOn w:val="DefaultParagraphFont"/>
    <w:uiPriority w:val="99"/>
    <w:unhideWhenUsed/>
    <w:rsid w:val="001A6E47"/>
    <w:rPr>
      <w:color w:val="F49100" w:themeColor="hyperlink"/>
      <w:u w:val="single"/>
    </w:rPr>
  </w:style>
  <w:style w:type="paragraph" w:styleId="TOC2">
    <w:name w:val="toc 2"/>
    <w:basedOn w:val="Normal"/>
    <w:next w:val="Normal"/>
    <w:autoRedefine/>
    <w:uiPriority w:val="39"/>
    <w:unhideWhenUsed/>
    <w:rsid w:val="002B7C0F"/>
    <w:pPr>
      <w:spacing w:after="100"/>
      <w:ind w:left="210"/>
    </w:pPr>
  </w:style>
  <w:style w:type="paragraph" w:styleId="ListParagraph">
    <w:name w:val="List Paragraph"/>
    <w:basedOn w:val="Normal"/>
    <w:uiPriority w:val="34"/>
    <w:qFormat/>
    <w:rsid w:val="009D01C0"/>
    <w:pPr>
      <w:ind w:left="720"/>
      <w:contextualSpacing/>
    </w:pPr>
  </w:style>
  <w:style w:type="character" w:styleId="UnresolvedMention">
    <w:name w:val="Unresolved Mention"/>
    <w:basedOn w:val="DefaultParagraphFont"/>
    <w:uiPriority w:val="99"/>
    <w:semiHidden/>
    <w:unhideWhenUsed/>
    <w:rsid w:val="00085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84042">
      <w:bodyDiv w:val="1"/>
      <w:marLeft w:val="0"/>
      <w:marRight w:val="0"/>
      <w:marTop w:val="0"/>
      <w:marBottom w:val="0"/>
      <w:divBdr>
        <w:top w:val="none" w:sz="0" w:space="0" w:color="auto"/>
        <w:left w:val="none" w:sz="0" w:space="0" w:color="auto"/>
        <w:bottom w:val="none" w:sz="0" w:space="0" w:color="auto"/>
        <w:right w:val="none" w:sz="0" w:space="0" w:color="auto"/>
      </w:divBdr>
    </w:div>
    <w:div w:id="246840626">
      <w:bodyDiv w:val="1"/>
      <w:marLeft w:val="0"/>
      <w:marRight w:val="0"/>
      <w:marTop w:val="0"/>
      <w:marBottom w:val="0"/>
      <w:divBdr>
        <w:top w:val="none" w:sz="0" w:space="0" w:color="auto"/>
        <w:left w:val="none" w:sz="0" w:space="0" w:color="auto"/>
        <w:bottom w:val="none" w:sz="0" w:space="0" w:color="auto"/>
        <w:right w:val="none" w:sz="0" w:space="0" w:color="auto"/>
      </w:divBdr>
    </w:div>
    <w:div w:id="711227345">
      <w:bodyDiv w:val="1"/>
      <w:marLeft w:val="0"/>
      <w:marRight w:val="0"/>
      <w:marTop w:val="0"/>
      <w:marBottom w:val="0"/>
      <w:divBdr>
        <w:top w:val="none" w:sz="0" w:space="0" w:color="auto"/>
        <w:left w:val="none" w:sz="0" w:space="0" w:color="auto"/>
        <w:bottom w:val="none" w:sz="0" w:space="0" w:color="auto"/>
        <w:right w:val="none" w:sz="0" w:space="0" w:color="auto"/>
      </w:divBdr>
    </w:div>
    <w:div w:id="1317301108">
      <w:bodyDiv w:val="1"/>
      <w:marLeft w:val="0"/>
      <w:marRight w:val="0"/>
      <w:marTop w:val="0"/>
      <w:marBottom w:val="0"/>
      <w:divBdr>
        <w:top w:val="none" w:sz="0" w:space="0" w:color="auto"/>
        <w:left w:val="none" w:sz="0" w:space="0" w:color="auto"/>
        <w:bottom w:val="none" w:sz="0" w:space="0" w:color="auto"/>
        <w:right w:val="none" w:sz="0" w:space="0" w:color="auto"/>
      </w:divBdr>
    </w:div>
    <w:div w:id="1373191700">
      <w:bodyDiv w:val="1"/>
      <w:marLeft w:val="0"/>
      <w:marRight w:val="0"/>
      <w:marTop w:val="0"/>
      <w:marBottom w:val="0"/>
      <w:divBdr>
        <w:top w:val="none" w:sz="0" w:space="0" w:color="auto"/>
        <w:left w:val="none" w:sz="0" w:space="0" w:color="auto"/>
        <w:bottom w:val="none" w:sz="0" w:space="0" w:color="auto"/>
        <w:right w:val="none" w:sz="0" w:space="0" w:color="auto"/>
      </w:divBdr>
    </w:div>
    <w:div w:id="1481966433">
      <w:bodyDiv w:val="1"/>
      <w:marLeft w:val="0"/>
      <w:marRight w:val="0"/>
      <w:marTop w:val="0"/>
      <w:marBottom w:val="0"/>
      <w:divBdr>
        <w:top w:val="none" w:sz="0" w:space="0" w:color="auto"/>
        <w:left w:val="none" w:sz="0" w:space="0" w:color="auto"/>
        <w:bottom w:val="none" w:sz="0" w:space="0" w:color="auto"/>
        <w:right w:val="none" w:sz="0" w:space="0" w:color="auto"/>
      </w:divBdr>
    </w:div>
    <w:div w:id="187184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org.com/org/gxo/embe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org.com/org/gxo/embe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051C62-E6D8-41D7-9548-9C12909A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 A Report on GXO Company</dc:title>
  <dc:subject/>
  <dc:creator>Radoslav Nikolov (2118366)</dc:creator>
  <cp:keywords/>
  <dc:description/>
  <cp:lastModifiedBy>Radoslav Nikolov (2118366)</cp:lastModifiedBy>
  <cp:revision>188</cp:revision>
  <dcterms:created xsi:type="dcterms:W3CDTF">2023-06-12T09:36:00Z</dcterms:created>
  <dcterms:modified xsi:type="dcterms:W3CDTF">2023-07-09T19:41:00Z</dcterms:modified>
</cp:coreProperties>
</file>