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At its core, the purpose of employee development is the learning and education of skills and knowledge</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necessary for their role,</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equipping them with</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 xml:space="preserve">the tools they need to perform their role successfully and,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furthermore, progress in their career through</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promotion (Heinz, 2023; Beaus, 2017).</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 xml:space="preserve">Learning and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development (L&amp;D) programmes creates knowledgeable, capable workers who can</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 xml:space="preserve">support each other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 xml:space="preserve">through teamwork and are confident in their abilities (Frost, 2019). Offering L&amp;D opportunities makes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employees</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feel valued and appreciated, which improves levels of job</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 xml:space="preserve">satisfaction and performance; benefitting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both the individual employees and</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 xml:space="preserve">the organisation as a whole (Tsai et al, 2007). Employees who feel </w:t>
      </w:r>
      <w:proofErr w:type="gramStart"/>
      <w:r w:rsidRPr="00C50630">
        <w:rPr>
          <w:rFonts w:asciiTheme="minorHAnsi" w:hAnsiTheme="minorHAnsi" w:cstheme="minorHAnsi"/>
          <w:color w:val="000000" w:themeColor="text1"/>
          <w:sz w:val="20"/>
          <w:szCs w:val="22"/>
        </w:rPr>
        <w:t>their</w:t>
      </w:r>
      <w:proofErr w:type="gramEnd"/>
      <w:r>
        <w:rPr>
          <w:rFonts w:asciiTheme="minorHAnsi" w:hAnsiTheme="minorHAnsi" w:cstheme="minorHAnsi"/>
          <w:color w:val="000000" w:themeColor="text1"/>
          <w:sz w:val="20"/>
          <w:szCs w:val="22"/>
        </w:rPr>
        <w:t xml:space="preserve">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professional development is prioritised at an organisation are</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more likely to be loyal and stay with that</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organisation, improving retention rates and</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contributing to the organisation’s reputation as an</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employer of choice (Halvorson, 2015). Attracting talented candidates as an organisation that</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 xml:space="preserve">invests in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employee development will</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 xml:space="preserve">become much easier as job seekers increasingly consider L&amp;D when deliberating </w:t>
      </w:r>
    </w:p>
    <w:p w:rsidR="00B7512C" w:rsidRPr="00C50630" w:rsidRDefault="00B7512C" w:rsidP="00B7512C">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job offers (Heinz, 2023; Valente,2023).</w:t>
      </w:r>
    </w:p>
    <w:p w:rsidR="00B7512C" w:rsidRPr="00C50630" w:rsidRDefault="00B7512C" w:rsidP="00B7512C">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Staying current and moving with industrial advancements is vital for the success of</w:t>
      </w:r>
      <w:r w:rsidRPr="00C50630">
        <w:rPr>
          <w:rFonts w:asciiTheme="minorBidi" w:hAnsiTheme="minorBidi" w:cstheme="minorBidi"/>
          <w:color w:val="000000" w:themeColor="text1"/>
          <w:sz w:val="20"/>
          <w:szCs w:val="22"/>
        </w:rPr>
        <w:t xml:space="preserve"> </w:t>
      </w:r>
      <w:r w:rsidRPr="00C50630">
        <w:rPr>
          <w:rFonts w:asciiTheme="minorHAnsi" w:hAnsiTheme="minorHAnsi" w:cstheme="minorHAnsi"/>
          <w:color w:val="000000" w:themeColor="text1"/>
          <w:sz w:val="20"/>
          <w:szCs w:val="22"/>
        </w:rPr>
        <w:t xml:space="preserve">an organisation; employee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development</w:t>
      </w:r>
      <w:r w:rsidRPr="00C50630">
        <w:rPr>
          <w:rFonts w:asciiTheme="minorBidi" w:hAnsiTheme="minorBidi" w:cstheme="minorBidi"/>
          <w:color w:val="000000" w:themeColor="text1"/>
          <w:sz w:val="20"/>
          <w:szCs w:val="22"/>
        </w:rPr>
        <w:t xml:space="preserve"> </w:t>
      </w:r>
      <w:r w:rsidRPr="00C50630">
        <w:rPr>
          <w:rFonts w:asciiTheme="minorHAnsi" w:hAnsiTheme="minorHAnsi" w:cstheme="minorHAnsi"/>
          <w:color w:val="000000" w:themeColor="text1"/>
          <w:sz w:val="20"/>
          <w:szCs w:val="22"/>
        </w:rPr>
        <w:t>ensures</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workers learn the</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 xml:space="preserve">skills needed to be cutting edge and stay ahead of competitors (Ayers,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2017). The investment of L&amp;D by an</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 xml:space="preserve">organisation has been shown to pay dividends through both boosted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productivity and increased revenue (Walsh, 2017). Training in sof</w:t>
      </w:r>
      <w:r>
        <w:rPr>
          <w:rFonts w:asciiTheme="minorHAnsi" w:hAnsiTheme="minorHAnsi" w:cstheme="minorHAnsi"/>
          <w:color w:val="000000" w:themeColor="text1"/>
          <w:sz w:val="20"/>
          <w:szCs w:val="22"/>
        </w:rPr>
        <w:t xml:space="preserve">t </w:t>
      </w:r>
      <w:r w:rsidRPr="00C50630">
        <w:rPr>
          <w:rFonts w:asciiTheme="minorHAnsi" w:hAnsiTheme="minorHAnsi" w:cstheme="minorHAnsi"/>
          <w:color w:val="000000" w:themeColor="text1"/>
          <w:sz w:val="20"/>
          <w:szCs w:val="22"/>
        </w:rPr>
        <w:t xml:space="preserve">skills will encourage certain employees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looking to</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progress in their careers to feel more confident and consider leadership roles within</w:t>
      </w:r>
      <w:r>
        <w:rPr>
          <w:rFonts w:asciiTheme="minorHAnsi" w:hAnsiTheme="minorHAnsi" w:cstheme="minorHAnsi"/>
          <w:color w:val="000000" w:themeColor="text1"/>
          <w:sz w:val="20"/>
          <w:szCs w:val="22"/>
        </w:rPr>
        <w:t xml:space="preserve"> </w:t>
      </w:r>
      <w:r w:rsidRPr="00C50630">
        <w:rPr>
          <w:rFonts w:asciiTheme="minorHAnsi" w:hAnsiTheme="minorHAnsi" w:cstheme="minorHAnsi"/>
          <w:color w:val="000000" w:themeColor="text1"/>
          <w:sz w:val="20"/>
          <w:szCs w:val="22"/>
        </w:rPr>
        <w:t xml:space="preserve">the </w:t>
      </w:r>
      <w:r>
        <w:rPr>
          <w:rFonts w:asciiTheme="minorHAnsi" w:hAnsiTheme="minorHAnsi" w:cstheme="minorHAnsi"/>
          <w:color w:val="000000" w:themeColor="text1"/>
          <w:sz w:val="20"/>
          <w:szCs w:val="22"/>
        </w:rPr>
        <w:t>#</w:t>
      </w:r>
    </w:p>
    <w:p w:rsidR="00B7512C" w:rsidRPr="00C50630" w:rsidRDefault="00B7512C" w:rsidP="00B7512C">
      <w:pPr>
        <w:pStyle w:val="Listparag"/>
        <w:numPr>
          <w:ilvl w:val="0"/>
          <w:numId w:val="0"/>
        </w:numPr>
        <w:pBdr>
          <w:bar w:val="single" w:sz="4" w:color="auto"/>
        </w:pBdr>
        <w:spacing w:after="0"/>
        <w:ind w:left="360" w:hanging="360"/>
        <w:rPr>
          <w:rFonts w:asciiTheme="minorHAnsi" w:hAnsiTheme="minorHAnsi" w:cstheme="minorHAnsi"/>
          <w:color w:val="000000" w:themeColor="text1"/>
          <w:sz w:val="20"/>
          <w:szCs w:val="22"/>
        </w:rPr>
      </w:pPr>
      <w:r w:rsidRPr="00C50630">
        <w:rPr>
          <w:rFonts w:asciiTheme="minorHAnsi" w:hAnsiTheme="minorHAnsi" w:cstheme="minorHAnsi"/>
          <w:color w:val="000000" w:themeColor="text1"/>
          <w:sz w:val="20"/>
          <w:szCs w:val="22"/>
        </w:rPr>
        <w:t>organisation, enabling internal promotion and succession planning (Heinz, 2023; Ayers, 2017).</w:t>
      </w:r>
    </w:p>
    <w:p w:rsidR="00AA4547" w:rsidRDefault="00AA4547"/>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 xml:space="preserve">It is vital for us to understand the business’ learning needs on an organisational level, for specific departments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and for individual</w:t>
      </w:r>
      <w:r>
        <w:rPr>
          <w:rFonts w:asciiTheme="minorHAnsi" w:hAnsiTheme="minorHAnsi" w:cstheme="minorHAnsi"/>
          <w:sz w:val="20"/>
          <w:szCs w:val="22"/>
        </w:rPr>
        <w:t xml:space="preserve"> </w:t>
      </w:r>
      <w:r w:rsidRPr="00C50630">
        <w:rPr>
          <w:rFonts w:asciiTheme="minorHAnsi" w:hAnsiTheme="minorHAnsi" w:cstheme="minorHAnsi"/>
          <w:sz w:val="20"/>
          <w:szCs w:val="22"/>
        </w:rPr>
        <w:t>employees and how these link to potential performance gaps (Hayden, 2022</w:t>
      </w:r>
      <w:r>
        <w:rPr>
          <w:rFonts w:asciiTheme="minorHAnsi" w:hAnsiTheme="minorHAnsi" w:cstheme="minorHAnsi"/>
          <w:sz w:val="20"/>
          <w:szCs w:val="22"/>
        </w:rPr>
        <w:t>a</w:t>
      </w:r>
      <w:r w:rsidRPr="00C50630">
        <w:rPr>
          <w:rFonts w:asciiTheme="minorHAnsi" w:hAnsiTheme="minorHAnsi" w:cstheme="minorHAnsi"/>
          <w:sz w:val="20"/>
          <w:szCs w:val="22"/>
        </w:rPr>
        <w:t xml:space="preserve">). Individual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underperformance is often correlated to a</w:t>
      </w:r>
      <w:r>
        <w:rPr>
          <w:rFonts w:asciiTheme="minorHAnsi" w:hAnsiTheme="minorHAnsi" w:cstheme="minorHAnsi"/>
          <w:sz w:val="20"/>
          <w:szCs w:val="22"/>
        </w:rPr>
        <w:t xml:space="preserve"> </w:t>
      </w:r>
      <w:r w:rsidRPr="00C50630">
        <w:rPr>
          <w:rFonts w:asciiTheme="minorHAnsi" w:hAnsiTheme="minorHAnsi" w:cstheme="minorHAnsi"/>
          <w:sz w:val="20"/>
          <w:szCs w:val="22"/>
        </w:rPr>
        <w:t xml:space="preserve">‘skills gap’ or lack of knowledge required for an employee to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adequately perform their role (Wilton, 2016). Employees will feel the</w:t>
      </w:r>
      <w:r>
        <w:rPr>
          <w:rFonts w:asciiTheme="minorHAnsi" w:hAnsiTheme="minorHAnsi" w:cstheme="minorHAnsi"/>
          <w:sz w:val="20"/>
          <w:szCs w:val="22"/>
        </w:rPr>
        <w:t xml:space="preserve"> </w:t>
      </w:r>
      <w:r w:rsidRPr="00C50630">
        <w:rPr>
          <w:rFonts w:asciiTheme="minorHAnsi" w:hAnsiTheme="minorHAnsi" w:cstheme="minorHAnsi"/>
          <w:sz w:val="20"/>
          <w:szCs w:val="22"/>
        </w:rPr>
        <w:t xml:space="preserve">need for learning and development at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different stages of their career journey and a continuous programme of upskilling will not only</w:t>
      </w:r>
      <w:r>
        <w:rPr>
          <w:rFonts w:asciiTheme="minorHAnsi" w:hAnsiTheme="minorHAnsi" w:cstheme="minorHAnsi"/>
          <w:sz w:val="20"/>
          <w:szCs w:val="22"/>
        </w:rPr>
        <w:t xml:space="preserve"> </w:t>
      </w:r>
      <w:r w:rsidRPr="00C50630">
        <w:rPr>
          <w:rFonts w:asciiTheme="minorHAnsi" w:hAnsiTheme="minorHAnsi" w:cstheme="minorHAnsi"/>
          <w:sz w:val="20"/>
          <w:szCs w:val="22"/>
        </w:rPr>
        <w:t xml:space="preserve">increase the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 xml:space="preserve">value of employees’ skills but, additionally, ensure that employees feel empowered to stretch and grow in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their roles</w:t>
      </w:r>
      <w:r>
        <w:rPr>
          <w:rFonts w:asciiTheme="minorHAnsi" w:hAnsiTheme="minorHAnsi" w:cstheme="minorHAnsi"/>
          <w:sz w:val="20"/>
          <w:szCs w:val="22"/>
        </w:rPr>
        <w:t xml:space="preserve"> </w:t>
      </w:r>
      <w:r w:rsidRPr="00C50630">
        <w:rPr>
          <w:rFonts w:asciiTheme="minorHAnsi" w:hAnsiTheme="minorHAnsi" w:cstheme="minorHAnsi"/>
          <w:sz w:val="20"/>
          <w:szCs w:val="22"/>
        </w:rPr>
        <w:t>(</w:t>
      </w:r>
      <w:proofErr w:type="spellStart"/>
      <w:r w:rsidRPr="00C50630">
        <w:rPr>
          <w:rFonts w:asciiTheme="minorHAnsi" w:hAnsiTheme="minorHAnsi" w:cstheme="minorHAnsi"/>
          <w:sz w:val="20"/>
          <w:szCs w:val="22"/>
        </w:rPr>
        <w:t>OBeirne</w:t>
      </w:r>
      <w:proofErr w:type="spellEnd"/>
      <w:r w:rsidRPr="00C50630">
        <w:rPr>
          <w:rFonts w:asciiTheme="minorHAnsi" w:hAnsiTheme="minorHAnsi" w:cstheme="minorHAnsi"/>
          <w:sz w:val="20"/>
          <w:szCs w:val="22"/>
        </w:rPr>
        <w:t xml:space="preserve">, 2022). Continuous professional development, or CPD, is, frequently, an expectation or,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even, requirement in most careers</w:t>
      </w:r>
      <w:r>
        <w:rPr>
          <w:rFonts w:asciiTheme="minorHAnsi" w:hAnsiTheme="minorHAnsi" w:cstheme="minorHAnsi"/>
          <w:sz w:val="20"/>
          <w:szCs w:val="22"/>
        </w:rPr>
        <w:t xml:space="preserve"> </w:t>
      </w:r>
      <w:r w:rsidRPr="00C50630">
        <w:rPr>
          <w:rFonts w:asciiTheme="minorHAnsi" w:hAnsiTheme="minorHAnsi" w:cstheme="minorHAnsi"/>
          <w:sz w:val="20"/>
          <w:szCs w:val="22"/>
        </w:rPr>
        <w:t xml:space="preserve">and regulated by a professional body. For example, our domiciliary care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workers are registered with the body Social Care Wales who</w:t>
      </w:r>
      <w:r>
        <w:rPr>
          <w:rFonts w:asciiTheme="minorHAnsi" w:hAnsiTheme="minorHAnsi" w:cstheme="minorHAnsi"/>
          <w:sz w:val="20"/>
          <w:szCs w:val="22"/>
        </w:rPr>
        <w:t xml:space="preserve"> </w:t>
      </w:r>
      <w:r w:rsidRPr="00C50630">
        <w:rPr>
          <w:rFonts w:asciiTheme="minorHAnsi" w:hAnsiTheme="minorHAnsi" w:cstheme="minorHAnsi"/>
          <w:sz w:val="20"/>
          <w:szCs w:val="22"/>
        </w:rPr>
        <w:t xml:space="preserve">require their members to log a certain number of </w:t>
      </w:r>
    </w:p>
    <w:p w:rsidR="00B7512C" w:rsidRPr="00C50630"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 xml:space="preserve">CPD hours (Social Care Wales, 2022). </w:t>
      </w:r>
    </w:p>
    <w:p w:rsidR="00B7512C" w:rsidRPr="00C50630" w:rsidRDefault="00B7512C" w:rsidP="00B7512C">
      <w:pPr>
        <w:pStyle w:val="Listparag"/>
        <w:numPr>
          <w:ilvl w:val="0"/>
          <w:numId w:val="0"/>
        </w:numPr>
        <w:pBdr>
          <w:bar w:val="single" w:sz="4" w:color="auto"/>
        </w:pBdr>
        <w:spacing w:after="0"/>
        <w:rPr>
          <w:rFonts w:asciiTheme="minorHAnsi" w:hAnsiTheme="minorHAnsi" w:cstheme="minorHAnsi"/>
          <w:sz w:val="20"/>
          <w:szCs w:val="22"/>
        </w:rPr>
      </w:pPr>
    </w:p>
    <w:p w:rsidR="00B7512C" w:rsidRPr="00C50630" w:rsidRDefault="00B7512C" w:rsidP="00B7512C">
      <w:pPr>
        <w:pStyle w:val="Listparag"/>
        <w:numPr>
          <w:ilvl w:val="0"/>
          <w:numId w:val="0"/>
        </w:numPr>
        <w:pBdr>
          <w:bar w:val="single" w:sz="4" w:color="auto"/>
        </w:pBdr>
        <w:spacing w:after="0"/>
        <w:rPr>
          <w:rFonts w:asciiTheme="minorHAnsi" w:hAnsiTheme="minorHAnsi" w:cstheme="minorHAnsi"/>
          <w:sz w:val="20"/>
          <w:szCs w:val="22"/>
        </w:rPr>
      </w:pPr>
      <w:r w:rsidRPr="00C50630">
        <w:rPr>
          <w:rFonts w:asciiTheme="minorHAnsi" w:hAnsiTheme="minorHAnsi" w:cstheme="minorHAnsi"/>
          <w:sz w:val="20"/>
          <w:szCs w:val="22"/>
        </w:rPr>
        <w:t xml:space="preserve">The disruptive nature of society in recent years has exacerbated the ‘skills gap’ in the current labour market, in particular, the COVID-19 pandemic and the shift in working models to increased home and remote working (Valente, 2023). Furthermore, technological advancements in artificial intelligence, data analysis and automation has spotlighted a specific digital skills gap in society that organisations are trying to catch up on (Law, 2022). These external factors will, inevitably, affect organisational strategy and processes, leading to changes that will need accompanied training in the long-term to support those changes </w:t>
      </w:r>
      <w:r w:rsidRPr="00C50630">
        <w:rPr>
          <w:rFonts w:asciiTheme="minorHAnsi" w:hAnsiTheme="minorHAnsi" w:cstheme="minorHAnsi"/>
          <w:sz w:val="20"/>
          <w:szCs w:val="20"/>
        </w:rPr>
        <w:t xml:space="preserve">successfully (Sartori et al, 2018). Lastly, all of these environmental changes have shifted customer expectations of organisations, forcing organisations and their employees to adapt and innovate to meet both industrial and customer demands (Gibbons, 2020). </w:t>
      </w:r>
    </w:p>
    <w:p w:rsidR="00B7512C" w:rsidRDefault="00B7512C"/>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 xml:space="preserve">Facilitation is the enabling of learning and development, providing the resources and environment needed for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the group of trainees to</w:t>
      </w:r>
      <w:r>
        <w:rPr>
          <w:rFonts w:asciiTheme="minorHAnsi" w:hAnsiTheme="minorHAnsi" w:cstheme="minorHAnsi"/>
          <w:sz w:val="20"/>
          <w:szCs w:val="18"/>
        </w:rPr>
        <w:t xml:space="preserve"> </w:t>
      </w:r>
      <w:r w:rsidRPr="00C50630">
        <w:rPr>
          <w:rFonts w:asciiTheme="minorHAnsi" w:hAnsiTheme="minorHAnsi" w:cstheme="minorHAnsi"/>
          <w:sz w:val="20"/>
          <w:szCs w:val="18"/>
        </w:rPr>
        <w:t>explore and</w:t>
      </w:r>
      <w:r>
        <w:rPr>
          <w:rFonts w:asciiTheme="minorHAnsi" w:hAnsiTheme="minorHAnsi" w:cstheme="minorHAnsi"/>
          <w:sz w:val="20"/>
          <w:szCs w:val="18"/>
        </w:rPr>
        <w:t xml:space="preserve"> </w:t>
      </w:r>
      <w:r w:rsidRPr="00C50630">
        <w:rPr>
          <w:rFonts w:asciiTheme="minorHAnsi" w:hAnsiTheme="minorHAnsi" w:cstheme="minorHAnsi"/>
          <w:sz w:val="20"/>
          <w:szCs w:val="18"/>
        </w:rPr>
        <w:t xml:space="preserve">consider different ideas and opinions (Gardener, 2017). The facilitator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acts as an impartial guide through the process,</w:t>
      </w:r>
      <w:r>
        <w:rPr>
          <w:rFonts w:asciiTheme="minorHAnsi" w:hAnsiTheme="minorHAnsi" w:cstheme="minorHAnsi"/>
          <w:sz w:val="20"/>
          <w:szCs w:val="18"/>
        </w:rPr>
        <w:t xml:space="preserve"> </w:t>
      </w:r>
      <w:r w:rsidRPr="00C50630">
        <w:rPr>
          <w:rFonts w:asciiTheme="minorHAnsi" w:hAnsiTheme="minorHAnsi" w:cstheme="minorHAnsi"/>
          <w:sz w:val="20"/>
          <w:szCs w:val="18"/>
        </w:rPr>
        <w:t>supporting the participants towards</w:t>
      </w:r>
      <w:r>
        <w:rPr>
          <w:rFonts w:asciiTheme="minorHAnsi" w:hAnsiTheme="minorHAnsi" w:cstheme="minorHAnsi"/>
          <w:sz w:val="20"/>
          <w:szCs w:val="18"/>
        </w:rPr>
        <w:t xml:space="preserve"> </w:t>
      </w:r>
      <w:r w:rsidRPr="00C50630">
        <w:rPr>
          <w:rFonts w:asciiTheme="minorHAnsi" w:hAnsiTheme="minorHAnsi" w:cstheme="minorHAnsi"/>
          <w:sz w:val="20"/>
          <w:szCs w:val="18"/>
        </w:rPr>
        <w:t xml:space="preserve">achieve the desired goal or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outcome (</w:t>
      </w:r>
      <w:proofErr w:type="spellStart"/>
      <w:r w:rsidRPr="00C50630">
        <w:rPr>
          <w:rFonts w:asciiTheme="minorHAnsi" w:hAnsiTheme="minorHAnsi" w:cstheme="minorHAnsi"/>
          <w:sz w:val="20"/>
          <w:szCs w:val="18"/>
        </w:rPr>
        <w:t>McBrown</w:t>
      </w:r>
      <w:proofErr w:type="spellEnd"/>
      <w:r w:rsidRPr="00C50630">
        <w:rPr>
          <w:rFonts w:asciiTheme="minorHAnsi" w:hAnsiTheme="minorHAnsi" w:cstheme="minorHAnsi"/>
          <w:sz w:val="20"/>
          <w:szCs w:val="18"/>
        </w:rPr>
        <w:t>, 2021). Skilled facilitators can provide a structured</w:t>
      </w:r>
      <w:r>
        <w:rPr>
          <w:rFonts w:asciiTheme="minorHAnsi" w:hAnsiTheme="minorHAnsi" w:cstheme="minorHAnsi"/>
          <w:sz w:val="20"/>
          <w:szCs w:val="18"/>
        </w:rPr>
        <w:t xml:space="preserve"> </w:t>
      </w:r>
      <w:r w:rsidRPr="00C50630">
        <w:rPr>
          <w:rFonts w:asciiTheme="minorHAnsi" w:hAnsiTheme="minorHAnsi" w:cstheme="minorHAnsi"/>
          <w:sz w:val="20"/>
          <w:szCs w:val="18"/>
        </w:rPr>
        <w:t xml:space="preserve">process and encouraging learning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environment,</w:t>
      </w:r>
      <w:r>
        <w:rPr>
          <w:rFonts w:asciiTheme="minorHAnsi" w:hAnsiTheme="minorHAnsi" w:cstheme="minorHAnsi"/>
          <w:sz w:val="20"/>
          <w:szCs w:val="18"/>
        </w:rPr>
        <w:t xml:space="preserve"> </w:t>
      </w:r>
      <w:r w:rsidRPr="00C50630">
        <w:rPr>
          <w:rFonts w:asciiTheme="minorHAnsi" w:hAnsiTheme="minorHAnsi" w:cstheme="minorHAnsi"/>
          <w:sz w:val="20"/>
          <w:szCs w:val="18"/>
        </w:rPr>
        <w:t>however, as the facilitator is the key component of this training, if they are not well</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trained or prepared, the process may not be as successful (Crampton,</w:t>
      </w:r>
      <w:r>
        <w:rPr>
          <w:rFonts w:asciiTheme="minorHAnsi" w:hAnsiTheme="minorHAnsi" w:cstheme="minorHAnsi"/>
          <w:sz w:val="20"/>
          <w:szCs w:val="18"/>
        </w:rPr>
        <w:t xml:space="preserve"> </w:t>
      </w:r>
      <w:r w:rsidRPr="00C50630">
        <w:rPr>
          <w:rFonts w:asciiTheme="minorHAnsi" w:hAnsiTheme="minorHAnsi" w:cstheme="minorHAnsi"/>
          <w:sz w:val="20"/>
          <w:szCs w:val="18"/>
        </w:rPr>
        <w:t xml:space="preserve">2022). On-the-job training offers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 xml:space="preserve">learning opportunities for trainees to observe a colleague with adequate skill and/or experience performing a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task, in</w:t>
      </w:r>
      <w:r>
        <w:rPr>
          <w:rFonts w:asciiTheme="minorHAnsi" w:hAnsiTheme="minorHAnsi" w:cstheme="minorHAnsi"/>
          <w:sz w:val="20"/>
          <w:szCs w:val="18"/>
        </w:rPr>
        <w:t xml:space="preserve"> </w:t>
      </w:r>
      <w:r w:rsidRPr="00C50630">
        <w:rPr>
          <w:rFonts w:asciiTheme="minorHAnsi" w:hAnsiTheme="minorHAnsi" w:cstheme="minorHAnsi"/>
          <w:sz w:val="20"/>
          <w:szCs w:val="18"/>
        </w:rPr>
        <w:t>order to understand the needs of the job (Hayden,</w:t>
      </w:r>
      <w:r>
        <w:rPr>
          <w:rFonts w:asciiTheme="minorHAnsi" w:hAnsiTheme="minorHAnsi" w:cstheme="minorHAnsi"/>
          <w:sz w:val="20"/>
          <w:szCs w:val="18"/>
        </w:rPr>
        <w:t xml:space="preserve"> </w:t>
      </w:r>
      <w:r w:rsidRPr="00C50630">
        <w:rPr>
          <w:rFonts w:asciiTheme="minorHAnsi" w:hAnsiTheme="minorHAnsi" w:cstheme="minorHAnsi"/>
          <w:sz w:val="20"/>
          <w:szCs w:val="18"/>
        </w:rPr>
        <w:t>2022</w:t>
      </w:r>
      <w:r>
        <w:rPr>
          <w:rFonts w:asciiTheme="minorHAnsi" w:hAnsiTheme="minorHAnsi" w:cstheme="minorHAnsi"/>
          <w:sz w:val="20"/>
          <w:szCs w:val="18"/>
        </w:rPr>
        <w:t>b</w:t>
      </w:r>
      <w:r w:rsidRPr="00C50630">
        <w:rPr>
          <w:rFonts w:asciiTheme="minorHAnsi" w:hAnsiTheme="minorHAnsi" w:cstheme="minorHAnsi"/>
          <w:sz w:val="20"/>
          <w:szCs w:val="18"/>
        </w:rPr>
        <w:t xml:space="preserve">). On-the-job training is a cost-effective and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timely method that can be conducted immediately</w:t>
      </w:r>
      <w:r>
        <w:rPr>
          <w:rFonts w:asciiTheme="minorHAnsi" w:hAnsiTheme="minorHAnsi" w:cstheme="minorHAnsi"/>
          <w:sz w:val="20"/>
          <w:szCs w:val="18"/>
        </w:rPr>
        <w:t xml:space="preserve"> </w:t>
      </w:r>
      <w:r w:rsidRPr="00C50630">
        <w:rPr>
          <w:rFonts w:asciiTheme="minorHAnsi" w:hAnsiTheme="minorHAnsi" w:cstheme="minorHAnsi"/>
          <w:sz w:val="20"/>
          <w:szCs w:val="18"/>
        </w:rPr>
        <w:t>and with the participation of the</w:t>
      </w:r>
      <w:r>
        <w:rPr>
          <w:rFonts w:asciiTheme="minorHAnsi" w:hAnsiTheme="minorHAnsi" w:cstheme="minorHAnsi"/>
          <w:sz w:val="20"/>
          <w:szCs w:val="18"/>
        </w:rPr>
        <w:t xml:space="preserve"> </w:t>
      </w:r>
      <w:r w:rsidRPr="00C50630">
        <w:rPr>
          <w:rFonts w:asciiTheme="minorHAnsi" w:hAnsiTheme="minorHAnsi" w:cstheme="minorHAnsi"/>
          <w:sz w:val="20"/>
          <w:szCs w:val="18"/>
        </w:rPr>
        <w:t xml:space="preserve">trainee in the comfort of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lastRenderedPageBreak/>
        <w:t>their own work environment, however, the knowledge and experience of the trainer could</w:t>
      </w:r>
      <w:r>
        <w:rPr>
          <w:rFonts w:asciiTheme="minorHAnsi" w:hAnsiTheme="minorHAnsi" w:cstheme="minorHAnsi"/>
          <w:sz w:val="20"/>
          <w:szCs w:val="18"/>
        </w:rPr>
        <w:t xml:space="preserve"> </w:t>
      </w:r>
      <w:r w:rsidRPr="00C50630">
        <w:rPr>
          <w:rFonts w:asciiTheme="minorHAnsi" w:hAnsiTheme="minorHAnsi" w:cstheme="minorHAnsi"/>
          <w:sz w:val="20"/>
          <w:szCs w:val="18"/>
        </w:rPr>
        <w:t xml:space="preserve">potentially affect </w:t>
      </w:r>
    </w:p>
    <w:p w:rsidR="00B7512C" w:rsidRPr="00C50630"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the</w:t>
      </w:r>
      <w:r>
        <w:rPr>
          <w:rFonts w:asciiTheme="minorHAnsi" w:hAnsiTheme="minorHAnsi" w:cstheme="minorHAnsi"/>
          <w:sz w:val="20"/>
          <w:szCs w:val="18"/>
        </w:rPr>
        <w:t xml:space="preserve"> </w:t>
      </w:r>
      <w:r w:rsidRPr="00C50630">
        <w:rPr>
          <w:rFonts w:asciiTheme="minorHAnsi" w:hAnsiTheme="minorHAnsi" w:cstheme="minorHAnsi"/>
          <w:sz w:val="20"/>
          <w:szCs w:val="18"/>
        </w:rPr>
        <w:t>standard of training the trainee receives (</w:t>
      </w:r>
      <w:proofErr w:type="spellStart"/>
      <w:r w:rsidRPr="00C50630">
        <w:rPr>
          <w:rFonts w:asciiTheme="minorHAnsi" w:hAnsiTheme="minorHAnsi" w:cstheme="minorHAnsi"/>
          <w:sz w:val="20"/>
          <w:szCs w:val="18"/>
        </w:rPr>
        <w:t>Rishipal</w:t>
      </w:r>
      <w:proofErr w:type="spellEnd"/>
      <w:r w:rsidRPr="00C50630">
        <w:rPr>
          <w:rFonts w:asciiTheme="minorHAnsi" w:hAnsiTheme="minorHAnsi" w:cstheme="minorHAnsi"/>
          <w:sz w:val="20"/>
          <w:szCs w:val="18"/>
        </w:rPr>
        <w:t xml:space="preserve">, 2011). </w:t>
      </w:r>
    </w:p>
    <w:p w:rsidR="00B7512C" w:rsidRPr="00C50630"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18"/>
        </w:rPr>
      </w:pP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 xml:space="preserve">Coaching and mentoring are similar development processes predicated on conversations aimed at supporting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a person in improving either</w:t>
      </w:r>
      <w:r>
        <w:rPr>
          <w:rFonts w:asciiTheme="minorHAnsi" w:hAnsiTheme="minorHAnsi" w:cstheme="minorHAnsi"/>
          <w:sz w:val="20"/>
          <w:szCs w:val="18"/>
        </w:rPr>
        <w:t xml:space="preserve"> </w:t>
      </w:r>
      <w:r w:rsidRPr="00C50630">
        <w:rPr>
          <w:rFonts w:asciiTheme="minorHAnsi" w:hAnsiTheme="minorHAnsi" w:cstheme="minorHAnsi"/>
          <w:sz w:val="20"/>
          <w:szCs w:val="18"/>
        </w:rPr>
        <w:t>a specific skill</w:t>
      </w:r>
      <w:r>
        <w:rPr>
          <w:rFonts w:asciiTheme="minorHAnsi" w:hAnsiTheme="minorHAnsi" w:cstheme="minorHAnsi"/>
          <w:sz w:val="20"/>
          <w:szCs w:val="18"/>
        </w:rPr>
        <w:t xml:space="preserve"> </w:t>
      </w:r>
      <w:r w:rsidRPr="00C50630">
        <w:rPr>
          <w:rFonts w:asciiTheme="minorHAnsi" w:hAnsiTheme="minorHAnsi" w:cstheme="minorHAnsi"/>
          <w:sz w:val="20"/>
          <w:szCs w:val="18"/>
        </w:rPr>
        <w:t>or more general work performance (</w:t>
      </w:r>
      <w:proofErr w:type="spellStart"/>
      <w:r w:rsidRPr="00C50630">
        <w:rPr>
          <w:rFonts w:asciiTheme="minorHAnsi" w:hAnsiTheme="minorHAnsi" w:cstheme="minorHAnsi"/>
          <w:sz w:val="20"/>
          <w:szCs w:val="18"/>
        </w:rPr>
        <w:t>Parsloe</w:t>
      </w:r>
      <w:proofErr w:type="spellEnd"/>
      <w:r w:rsidRPr="00C50630">
        <w:rPr>
          <w:rFonts w:asciiTheme="minorHAnsi" w:hAnsiTheme="minorHAnsi" w:cstheme="minorHAnsi"/>
          <w:sz w:val="20"/>
          <w:szCs w:val="18"/>
        </w:rPr>
        <w:t xml:space="preserve"> and </w:t>
      </w:r>
      <w:proofErr w:type="spellStart"/>
      <w:r w:rsidRPr="00C50630">
        <w:rPr>
          <w:rFonts w:asciiTheme="minorHAnsi" w:hAnsiTheme="minorHAnsi" w:cstheme="minorHAnsi"/>
          <w:sz w:val="20"/>
          <w:szCs w:val="18"/>
        </w:rPr>
        <w:t>Leedham</w:t>
      </w:r>
      <w:proofErr w:type="spellEnd"/>
      <w:r w:rsidRPr="00C50630">
        <w:rPr>
          <w:rFonts w:asciiTheme="minorHAnsi" w:hAnsiTheme="minorHAnsi" w:cstheme="minorHAnsi"/>
          <w:sz w:val="20"/>
          <w:szCs w:val="18"/>
        </w:rPr>
        <w:t xml:space="preserve">, 2017).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Coaching can be provided in a defined time-frame or be</w:t>
      </w:r>
      <w:r>
        <w:rPr>
          <w:rFonts w:asciiTheme="minorHAnsi" w:hAnsiTheme="minorHAnsi" w:cstheme="minorHAnsi"/>
          <w:sz w:val="20"/>
          <w:szCs w:val="18"/>
        </w:rPr>
        <w:t xml:space="preserve"> </w:t>
      </w:r>
      <w:r w:rsidRPr="00C50630">
        <w:rPr>
          <w:rFonts w:asciiTheme="minorHAnsi" w:hAnsiTheme="minorHAnsi" w:cstheme="minorHAnsi"/>
          <w:sz w:val="20"/>
          <w:szCs w:val="18"/>
        </w:rPr>
        <w:t>incorporated into a leadership</w:t>
      </w:r>
      <w:r>
        <w:rPr>
          <w:rFonts w:asciiTheme="minorHAnsi" w:hAnsiTheme="minorHAnsi" w:cstheme="minorHAnsi"/>
          <w:sz w:val="20"/>
          <w:szCs w:val="18"/>
        </w:rPr>
        <w:t xml:space="preserve"> </w:t>
      </w:r>
      <w:r w:rsidRPr="00C50630">
        <w:rPr>
          <w:rFonts w:asciiTheme="minorHAnsi" w:hAnsiTheme="minorHAnsi" w:cstheme="minorHAnsi"/>
          <w:sz w:val="20"/>
          <w:szCs w:val="18"/>
        </w:rPr>
        <w:t xml:space="preserve">and management style,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and is more of a partnership than mentoring, assisting and supporting the</w:t>
      </w:r>
      <w:r>
        <w:rPr>
          <w:rFonts w:asciiTheme="minorHAnsi" w:hAnsiTheme="minorHAnsi" w:cstheme="minorHAnsi"/>
          <w:sz w:val="20"/>
          <w:szCs w:val="18"/>
        </w:rPr>
        <w:t xml:space="preserve"> </w:t>
      </w:r>
      <w:r w:rsidRPr="00C50630">
        <w:rPr>
          <w:rFonts w:asciiTheme="minorHAnsi" w:hAnsiTheme="minorHAnsi" w:cstheme="minorHAnsi"/>
          <w:sz w:val="20"/>
          <w:szCs w:val="18"/>
        </w:rPr>
        <w:t xml:space="preserve">individual the skills they are aiming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to develop</w:t>
      </w:r>
      <w:r>
        <w:rPr>
          <w:rFonts w:asciiTheme="minorHAnsi" w:hAnsiTheme="minorHAnsi" w:cstheme="minorHAnsi"/>
          <w:sz w:val="20"/>
          <w:szCs w:val="18"/>
        </w:rPr>
        <w:t xml:space="preserve"> </w:t>
      </w:r>
      <w:r w:rsidRPr="00C50630">
        <w:rPr>
          <w:rFonts w:asciiTheme="minorHAnsi" w:hAnsiTheme="minorHAnsi" w:cstheme="minorHAnsi"/>
          <w:sz w:val="20"/>
          <w:szCs w:val="18"/>
        </w:rPr>
        <w:t>(Blakemore, 2014). Mentoring is a long-term relationship wherein the mentor acts as a rol</w:t>
      </w:r>
      <w:r>
        <w:rPr>
          <w:rFonts w:asciiTheme="minorHAnsi" w:hAnsiTheme="minorHAnsi" w:cstheme="minorHAnsi"/>
          <w:sz w:val="20"/>
          <w:szCs w:val="18"/>
        </w:rPr>
        <w:t>e</w:t>
      </w:r>
    </w:p>
    <w:p w:rsidR="00B7512C" w:rsidRPr="00C14AAF"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18"/>
        </w:rPr>
      </w:pPr>
      <w:r w:rsidRPr="00C50630">
        <w:rPr>
          <w:rFonts w:asciiTheme="minorHAnsi" w:hAnsiTheme="minorHAnsi" w:cstheme="minorHAnsi"/>
          <w:sz w:val="20"/>
          <w:szCs w:val="18"/>
        </w:rPr>
        <w:t>model and source of knowledge and experience for the</w:t>
      </w:r>
      <w:r>
        <w:rPr>
          <w:rFonts w:asciiTheme="minorHAnsi" w:hAnsiTheme="minorHAnsi" w:cstheme="minorHAnsi"/>
          <w:sz w:val="20"/>
          <w:szCs w:val="18"/>
        </w:rPr>
        <w:t xml:space="preserve"> </w:t>
      </w:r>
      <w:r w:rsidRPr="00C50630">
        <w:rPr>
          <w:rFonts w:asciiTheme="minorHAnsi" w:hAnsiTheme="minorHAnsi" w:cstheme="minorHAnsi"/>
          <w:sz w:val="20"/>
          <w:szCs w:val="18"/>
        </w:rPr>
        <w:t xml:space="preserve">mentee to learn from (Zachary, 2005). </w:t>
      </w:r>
    </w:p>
    <w:p w:rsidR="00B7512C" w:rsidRDefault="00B7512C"/>
    <w:p w:rsidR="00B7512C" w:rsidRPr="00C50630" w:rsidRDefault="00B7512C" w:rsidP="00B7512C">
      <w:pPr>
        <w:rPr>
          <w:rFonts w:cstheme="minorHAnsi"/>
          <w:sz w:val="20"/>
        </w:rPr>
      </w:pPr>
      <w:r w:rsidRPr="00C50630">
        <w:rPr>
          <w:rFonts w:cstheme="minorHAnsi"/>
          <w:sz w:val="20"/>
        </w:rPr>
        <w:t>Before the implementation of an L&amp;D initiative, the learning styles and preferences of our employees will need to be considered. How our employees absorb, process and retain information is affected by their learning style and, in order to ensure they fully understand the information correctly and are engaged in the training, we should tailor our delivery to align with their preferences (</w:t>
      </w:r>
      <w:proofErr w:type="spellStart"/>
      <w:r w:rsidRPr="00C50630">
        <w:rPr>
          <w:rFonts w:cstheme="minorHAnsi"/>
          <w:sz w:val="20"/>
        </w:rPr>
        <w:t>Escuadro</w:t>
      </w:r>
      <w:proofErr w:type="spellEnd"/>
      <w:r w:rsidRPr="00C50630">
        <w:rPr>
          <w:rFonts w:cstheme="minorHAnsi"/>
          <w:sz w:val="20"/>
        </w:rPr>
        <w:t xml:space="preserve">, 2023). Individuals’ backgrounds and previous experiences can also impact on their L&amp;D and numerous studies have linked culture and learning styles (Guild, 1994; Joy and Kolb, 2009; Song and Oh, 2011). An individual’s culture can determine how they participate in L&amp;D initiatives, for example, whether they engage in sharing opinions or view staying quiet and listening as respectful (Sanders, 2019). Educational systems and methods of teaching and delivery differ around the world, in particular, the Western and Eastern educational systems are profoundly different from each other, resulting in individuals from different cultural backgrounds experiencing learning in diverse ways (Rabbani, 2021). </w:t>
      </w:r>
    </w:p>
    <w:p w:rsidR="00B7512C" w:rsidRPr="00C50630" w:rsidRDefault="00B7512C" w:rsidP="00B7512C">
      <w:pPr>
        <w:rPr>
          <w:rFonts w:cstheme="minorHAnsi"/>
          <w:sz w:val="20"/>
        </w:rPr>
      </w:pPr>
      <w:r w:rsidRPr="00C50630">
        <w:rPr>
          <w:rFonts w:cstheme="minorHAnsi"/>
          <w:sz w:val="20"/>
        </w:rPr>
        <w:t xml:space="preserve">Recent years have seen a significant change in the work landscape and the demand for flexibility in work has increased exponentially; this is also reflected in L&amp;D opportunities available in work and how flexible organisations’ learning environments for employees are (Open University, 2022). As hybrid and remote working practices are progressively adopted across organisations, our L&amp;D initiatives will need to also adapt in terms of times they can be completed and whether they are in-person or online (Barber, 2019). Furthermore, levels of motivation and engagement across our employees in different working models would need to be considered; individuals with low morale or who are unmotivated to undertake training will not be present or absorb the information (Lawrence, 2013).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 xml:space="preserve">In order to understand the success of our L&amp;D initiatives, we would need to assess and evaluate the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effectiveness of our activities and</w:t>
      </w:r>
      <w:r>
        <w:rPr>
          <w:rFonts w:asciiTheme="minorHAnsi" w:hAnsiTheme="minorHAnsi" w:cstheme="minorHAnsi"/>
          <w:sz w:val="20"/>
          <w:szCs w:val="22"/>
        </w:rPr>
        <w:t xml:space="preserve"> </w:t>
      </w:r>
      <w:r w:rsidRPr="00C50630">
        <w:rPr>
          <w:rFonts w:asciiTheme="minorHAnsi" w:hAnsiTheme="minorHAnsi" w:cstheme="minorHAnsi"/>
          <w:sz w:val="20"/>
          <w:szCs w:val="22"/>
        </w:rPr>
        <w:t xml:space="preserve">how that aligns with the overall performance of the organisation (Hayden,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2022</w:t>
      </w:r>
      <w:r>
        <w:rPr>
          <w:rFonts w:asciiTheme="minorHAnsi" w:hAnsiTheme="minorHAnsi" w:cstheme="minorHAnsi"/>
          <w:sz w:val="20"/>
          <w:szCs w:val="22"/>
        </w:rPr>
        <w:t>c</w:t>
      </w:r>
      <w:r w:rsidRPr="00C50630">
        <w:rPr>
          <w:rFonts w:asciiTheme="minorHAnsi" w:hAnsiTheme="minorHAnsi" w:cstheme="minorHAnsi"/>
          <w:sz w:val="20"/>
          <w:szCs w:val="22"/>
        </w:rPr>
        <w:t>). One of the most popular and widely-used methods for</w:t>
      </w:r>
      <w:r>
        <w:rPr>
          <w:rFonts w:asciiTheme="minorHAnsi" w:hAnsiTheme="minorHAnsi" w:cstheme="minorHAnsi"/>
          <w:sz w:val="20"/>
          <w:szCs w:val="22"/>
        </w:rPr>
        <w:t xml:space="preserve"> </w:t>
      </w:r>
      <w:r w:rsidRPr="00C50630">
        <w:rPr>
          <w:rFonts w:asciiTheme="minorHAnsi" w:hAnsiTheme="minorHAnsi" w:cstheme="minorHAnsi"/>
          <w:sz w:val="20"/>
          <w:szCs w:val="22"/>
        </w:rPr>
        <w:t xml:space="preserve">assessing the impact of L&amp;D is the Kirkpatrick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Taxonomy Model, a framework intended to evaluate the effectiveness of a training initiative</w:t>
      </w:r>
      <w:r>
        <w:rPr>
          <w:rFonts w:asciiTheme="minorHAnsi" w:hAnsiTheme="minorHAnsi" w:cstheme="minorHAnsi"/>
          <w:sz w:val="20"/>
          <w:szCs w:val="22"/>
        </w:rPr>
        <w:t xml:space="preserve"> </w:t>
      </w:r>
      <w:r w:rsidRPr="00C50630">
        <w:rPr>
          <w:rFonts w:asciiTheme="minorHAnsi" w:hAnsiTheme="minorHAnsi" w:cstheme="minorHAnsi"/>
          <w:sz w:val="20"/>
          <w:szCs w:val="22"/>
        </w:rPr>
        <w:t xml:space="preserve">at four levels;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Reaction, Learning, Behaviour and Results (</w:t>
      </w:r>
      <w:proofErr w:type="spellStart"/>
      <w:r w:rsidRPr="00C50630">
        <w:rPr>
          <w:rFonts w:asciiTheme="minorHAnsi" w:hAnsiTheme="minorHAnsi" w:cstheme="minorHAnsi"/>
          <w:sz w:val="20"/>
          <w:szCs w:val="22"/>
        </w:rPr>
        <w:t>Neendoor</w:t>
      </w:r>
      <w:proofErr w:type="spellEnd"/>
      <w:r w:rsidRPr="00C50630">
        <w:rPr>
          <w:rFonts w:asciiTheme="minorHAnsi" w:hAnsiTheme="minorHAnsi" w:cstheme="minorHAnsi"/>
          <w:sz w:val="20"/>
          <w:szCs w:val="22"/>
        </w:rPr>
        <w:t xml:space="preserve">, 2023). Originally designed to be followed as a linear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process,</w:t>
      </w:r>
      <w:r>
        <w:rPr>
          <w:rFonts w:asciiTheme="minorHAnsi" w:hAnsiTheme="minorHAnsi" w:cstheme="minorHAnsi"/>
          <w:sz w:val="20"/>
          <w:szCs w:val="22"/>
        </w:rPr>
        <w:t xml:space="preserve"> </w:t>
      </w:r>
      <w:r w:rsidRPr="00C50630">
        <w:rPr>
          <w:rFonts w:asciiTheme="minorHAnsi" w:hAnsiTheme="minorHAnsi" w:cstheme="minorHAnsi"/>
          <w:sz w:val="20"/>
          <w:szCs w:val="22"/>
        </w:rPr>
        <w:t xml:space="preserve">Kirkpatrick intended for professionals to first assess individuals’ reactions to a training programme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and then work up the pyramid to the</w:t>
      </w:r>
      <w:r>
        <w:rPr>
          <w:rFonts w:asciiTheme="minorHAnsi" w:hAnsiTheme="minorHAnsi" w:cstheme="minorHAnsi"/>
          <w:sz w:val="20"/>
          <w:szCs w:val="22"/>
        </w:rPr>
        <w:t xml:space="preserve"> </w:t>
      </w:r>
      <w:r w:rsidRPr="00C50630">
        <w:rPr>
          <w:rFonts w:asciiTheme="minorHAnsi" w:hAnsiTheme="minorHAnsi" w:cstheme="minorHAnsi"/>
          <w:sz w:val="20"/>
          <w:szCs w:val="22"/>
        </w:rPr>
        <w:t>top to evaluate the return on the training (</w:t>
      </w:r>
      <w:proofErr w:type="spellStart"/>
      <w:r w:rsidRPr="00C50630">
        <w:rPr>
          <w:rFonts w:asciiTheme="minorHAnsi" w:hAnsiTheme="minorHAnsi" w:cstheme="minorHAnsi"/>
          <w:sz w:val="20"/>
          <w:szCs w:val="22"/>
        </w:rPr>
        <w:t>Hilgers</w:t>
      </w:r>
      <w:proofErr w:type="spellEnd"/>
      <w:r w:rsidRPr="00C50630">
        <w:rPr>
          <w:rFonts w:asciiTheme="minorHAnsi" w:hAnsiTheme="minorHAnsi" w:cstheme="minorHAnsi"/>
          <w:sz w:val="20"/>
          <w:szCs w:val="22"/>
        </w:rPr>
        <w:t xml:space="preserve">, 2023). However,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subsequent research has criticised the relationships between each</w:t>
      </w:r>
      <w:r>
        <w:rPr>
          <w:rFonts w:asciiTheme="minorHAnsi" w:hAnsiTheme="minorHAnsi" w:cstheme="minorHAnsi"/>
          <w:sz w:val="20"/>
          <w:szCs w:val="22"/>
        </w:rPr>
        <w:t xml:space="preserve"> </w:t>
      </w:r>
      <w:r w:rsidRPr="00C50630">
        <w:rPr>
          <w:rFonts w:asciiTheme="minorHAnsi" w:hAnsiTheme="minorHAnsi" w:cstheme="minorHAnsi"/>
          <w:sz w:val="20"/>
          <w:szCs w:val="22"/>
        </w:rPr>
        <w:t xml:space="preserve">level and found that the full model is not </w:t>
      </w:r>
    </w:p>
    <w:p w:rsidR="00B7512C" w:rsidRPr="00C50630"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often utilised due to the time it would take to measure (Hayden, 2022</w:t>
      </w:r>
      <w:r>
        <w:rPr>
          <w:rFonts w:asciiTheme="minorHAnsi" w:hAnsiTheme="minorHAnsi" w:cstheme="minorHAnsi"/>
          <w:sz w:val="20"/>
          <w:szCs w:val="22"/>
        </w:rPr>
        <w:t>c</w:t>
      </w:r>
      <w:r w:rsidRPr="00C50630">
        <w:rPr>
          <w:rFonts w:asciiTheme="minorHAnsi" w:hAnsiTheme="minorHAnsi" w:cstheme="minorHAnsi"/>
          <w:sz w:val="20"/>
          <w:szCs w:val="22"/>
        </w:rPr>
        <w:t xml:space="preserve">).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 xml:space="preserve">Robert Brinkerhoff built upon Kirkpatrick’s work and addressed some of the frustrations with the earlier model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by presenting the Success</w:t>
      </w:r>
      <w:r>
        <w:rPr>
          <w:rFonts w:asciiTheme="minorHAnsi" w:hAnsiTheme="minorHAnsi" w:cstheme="minorHAnsi"/>
          <w:sz w:val="20"/>
          <w:szCs w:val="22"/>
        </w:rPr>
        <w:t xml:space="preserve"> </w:t>
      </w:r>
      <w:r w:rsidRPr="00C50630">
        <w:rPr>
          <w:rFonts w:asciiTheme="minorHAnsi" w:hAnsiTheme="minorHAnsi" w:cstheme="minorHAnsi"/>
          <w:sz w:val="20"/>
          <w:szCs w:val="22"/>
        </w:rPr>
        <w:t xml:space="preserve">Case Model (SCM). The SCM method does not focus solely on the specific training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but, rather, embraces a wider focus on performance by</w:t>
      </w:r>
      <w:r>
        <w:rPr>
          <w:rFonts w:asciiTheme="minorHAnsi" w:hAnsiTheme="minorHAnsi" w:cstheme="minorHAnsi"/>
          <w:sz w:val="20"/>
          <w:szCs w:val="22"/>
        </w:rPr>
        <w:t xml:space="preserve"> </w:t>
      </w:r>
      <w:r w:rsidRPr="00C50630">
        <w:rPr>
          <w:rFonts w:asciiTheme="minorHAnsi" w:hAnsiTheme="minorHAnsi" w:cstheme="minorHAnsi"/>
          <w:sz w:val="20"/>
          <w:szCs w:val="22"/>
        </w:rPr>
        <w:t xml:space="preserve">seeking out ‘success cases’ of performance that was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enabled by a training initiative (Brinkerhoff, 2005). SCM gathers evidence for these</w:t>
      </w:r>
      <w:r>
        <w:rPr>
          <w:rFonts w:asciiTheme="minorHAnsi" w:hAnsiTheme="minorHAnsi" w:cstheme="minorHAnsi"/>
          <w:sz w:val="20"/>
          <w:szCs w:val="22"/>
        </w:rPr>
        <w:t xml:space="preserve"> </w:t>
      </w:r>
      <w:r w:rsidRPr="00C50630">
        <w:rPr>
          <w:rFonts w:asciiTheme="minorHAnsi" w:hAnsiTheme="minorHAnsi" w:cstheme="minorHAnsi"/>
          <w:sz w:val="20"/>
          <w:szCs w:val="22"/>
        </w:rPr>
        <w:t xml:space="preserve">‘success cases’ from a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variety of qualitative sources including surveys and interviews and crafts a story that can be shared within the</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 xml:space="preserve">organisation to celebrate success and learn lessons for the future (Downes, 2015). SCM would be a more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flexible and cost-effective option</w:t>
      </w:r>
      <w:r>
        <w:rPr>
          <w:rFonts w:asciiTheme="minorHAnsi" w:hAnsiTheme="minorHAnsi" w:cstheme="minorHAnsi"/>
          <w:sz w:val="20"/>
          <w:szCs w:val="22"/>
        </w:rPr>
        <w:t xml:space="preserve"> </w:t>
      </w:r>
      <w:r w:rsidRPr="00C50630">
        <w:rPr>
          <w:rFonts w:asciiTheme="minorHAnsi" w:hAnsiTheme="minorHAnsi" w:cstheme="minorHAnsi"/>
          <w:sz w:val="20"/>
          <w:szCs w:val="22"/>
        </w:rPr>
        <w:t xml:space="preserve">compared to Kirkpatrick’s model, however, SCM’s results are, arguably, too </w:t>
      </w:r>
    </w:p>
    <w:p w:rsidR="00B7512C"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r w:rsidRPr="00C50630">
        <w:rPr>
          <w:rFonts w:asciiTheme="minorHAnsi" w:hAnsiTheme="minorHAnsi" w:cstheme="minorHAnsi"/>
          <w:sz w:val="20"/>
          <w:szCs w:val="22"/>
        </w:rPr>
        <w:t>specific and cannot be generalised or representative of the</w:t>
      </w:r>
      <w:r>
        <w:rPr>
          <w:rFonts w:asciiTheme="minorHAnsi" w:hAnsiTheme="minorHAnsi" w:cstheme="minorHAnsi"/>
          <w:sz w:val="20"/>
          <w:szCs w:val="22"/>
        </w:rPr>
        <w:t xml:space="preserve"> </w:t>
      </w:r>
      <w:r w:rsidRPr="00C50630">
        <w:rPr>
          <w:rFonts w:asciiTheme="minorHAnsi" w:hAnsiTheme="minorHAnsi" w:cstheme="minorHAnsi"/>
          <w:sz w:val="20"/>
          <w:szCs w:val="22"/>
        </w:rPr>
        <w:t xml:space="preserve">whole organisation (Medina et al, 2015; Deller, </w:t>
      </w:r>
    </w:p>
    <w:p w:rsidR="00B7512C" w:rsidRPr="00C50630" w:rsidRDefault="00B7512C" w:rsidP="00B7512C">
      <w:pPr>
        <w:pStyle w:val="Listparag"/>
        <w:numPr>
          <w:ilvl w:val="0"/>
          <w:numId w:val="0"/>
        </w:numPr>
        <w:pBdr>
          <w:bar w:val="single" w:sz="4" w:color="auto"/>
        </w:pBdr>
        <w:spacing w:after="0"/>
        <w:ind w:left="360" w:hanging="360"/>
        <w:rPr>
          <w:rFonts w:asciiTheme="minorHAnsi" w:hAnsiTheme="minorHAnsi" w:cstheme="minorHAnsi"/>
          <w:sz w:val="20"/>
          <w:szCs w:val="22"/>
        </w:rPr>
      </w:pPr>
      <w:bookmarkStart w:id="0" w:name="_GoBack"/>
      <w:bookmarkEnd w:id="0"/>
      <w:r w:rsidRPr="00C50630">
        <w:rPr>
          <w:rFonts w:asciiTheme="minorHAnsi" w:hAnsiTheme="minorHAnsi" w:cstheme="minorHAnsi"/>
          <w:sz w:val="20"/>
          <w:szCs w:val="22"/>
        </w:rPr>
        <w:t>2021).</w:t>
      </w:r>
    </w:p>
    <w:p w:rsidR="00B7512C" w:rsidRDefault="00B7512C"/>
    <w:sectPr w:rsidR="00B751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12C"/>
    <w:rsid w:val="00AA4547"/>
    <w:rsid w:val="00B75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31676"/>
  <w15:chartTrackingRefBased/>
  <w15:docId w15:val="{3061CB83-77B4-4CF8-86C7-D454E8DD8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51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
    <w:name w:val="List parag"/>
    <w:basedOn w:val="ListParagraph"/>
    <w:link w:val="ListparagChar"/>
    <w:qFormat/>
    <w:rsid w:val="00B7512C"/>
    <w:pPr>
      <w:numPr>
        <w:numId w:val="1"/>
      </w:numPr>
      <w:spacing w:after="120" w:line="264" w:lineRule="auto"/>
      <w:contextualSpacing w:val="0"/>
    </w:pPr>
    <w:rPr>
      <w:rFonts w:ascii="Arial" w:eastAsia="Times New Roman" w:hAnsi="Arial" w:cs="Arial"/>
      <w:szCs w:val="24"/>
      <w:lang w:eastAsia="en-GB"/>
    </w:rPr>
  </w:style>
  <w:style w:type="character" w:customStyle="1" w:styleId="ListparagChar">
    <w:name w:val="List parag Char"/>
    <w:basedOn w:val="DefaultParagraphFont"/>
    <w:link w:val="Listparag"/>
    <w:rsid w:val="00B7512C"/>
    <w:rPr>
      <w:rFonts w:ascii="Arial" w:eastAsia="Times New Roman" w:hAnsi="Arial" w:cs="Arial"/>
      <w:szCs w:val="24"/>
      <w:lang w:eastAsia="en-GB"/>
    </w:rPr>
  </w:style>
  <w:style w:type="paragraph" w:styleId="ListParagraph">
    <w:name w:val="List Paragraph"/>
    <w:basedOn w:val="Normal"/>
    <w:uiPriority w:val="34"/>
    <w:qFormat/>
    <w:rsid w:val="00B751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1373</Words>
  <Characters>7830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Hudson</dc:creator>
  <cp:keywords/>
  <dc:description/>
  <cp:lastModifiedBy>Abbie Hudson</cp:lastModifiedBy>
  <cp:revision>1</cp:revision>
  <dcterms:created xsi:type="dcterms:W3CDTF">2023-08-04T12:06:00Z</dcterms:created>
  <dcterms:modified xsi:type="dcterms:W3CDTF">2023-08-04T12:10:00Z</dcterms:modified>
</cp:coreProperties>
</file>