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
      <w:pPr>
        <w:jc w:val="center"/>
        <w:rPr>
          <w:b/>
          <w:sz w:val="36"/>
          <w:szCs w:val="36"/>
        </w:rPr>
      </w:pPr>
      <w:r>
        <w:rPr>
          <w:b/>
          <w:sz w:val="36"/>
          <w:szCs w:val="36"/>
        </w:rPr>
        <w:t>Leading and Managing Projects (MBA)</w:t>
      </w:r>
    </w:p>
    <w:p>
      <w:pPr>
        <w:jc w:val="center"/>
      </w:pPr>
      <w:r>
        <w:rPr>
          <w:lang w:eastAsia="en-GB"/>
        </w:rPr>
        <w:drawing>
          <wp:anchor distT="0" distB="0" distL="114300" distR="114300" simplePos="0" relativeHeight="251658240" behindDoc="0" locked="0" layoutInCell="1" allowOverlap="1">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jc w:val="center"/>
        <w:rPr>
          <w:b/>
          <w:sz w:val="52"/>
        </w:rPr>
      </w:pPr>
    </w:p>
    <w:p>
      <w:pPr>
        <w:jc w:val="center"/>
        <w:rPr>
          <w:b/>
          <w:sz w:val="52"/>
        </w:rPr>
      </w:pPr>
    </w:p>
    <w:p>
      <w:pPr>
        <w:jc w:val="center"/>
        <w:rPr>
          <w:b/>
          <w:sz w:val="52"/>
        </w:rPr>
      </w:pPr>
    </w:p>
    <w:p>
      <w:pPr>
        <w:jc w:val="center"/>
        <w:rPr>
          <w:b/>
          <w:sz w:val="52"/>
        </w:rPr>
      </w:pPr>
      <w:r>
        <w:rPr>
          <w:b/>
          <w:sz w:val="52"/>
        </w:rPr>
        <w:t>PROJECT INITIATION DOCUMENT (PID)</w:t>
      </w:r>
    </w:p>
    <w:p>
      <w:pPr>
        <w:jc w:val="center"/>
      </w:pPr>
    </w:p>
    <w:p/>
    <w:p/>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tbl>
      <w:tblPr>
        <w:tblStyle w:val="6"/>
        <w:tblpPr w:leftFromText="180" w:rightFromText="180" w:vertAnchor="text" w:horzAnchor="margin" w:tblpY="-4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6"/>
        <w:gridCol w:w="5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6" w:type="dxa"/>
          </w:tcPr>
          <w:p>
            <w:pPr>
              <w:pStyle w:val="12"/>
              <w:numPr>
                <w:ilvl w:val="0"/>
                <w:numId w:val="1"/>
              </w:numPr>
              <w:spacing w:after="0" w:line="240" w:lineRule="auto"/>
              <w:ind w:left="426" w:hanging="426"/>
            </w:pPr>
            <w:r>
              <w:t>Your name:</w:t>
            </w:r>
          </w:p>
        </w:tc>
        <w:tc>
          <w:tcPr>
            <w:tcW w:w="5700" w:type="dxa"/>
          </w:tcPr>
          <w:p>
            <w:pPr>
              <w:spacing w:after="0" w:line="240" w:lineRule="auto"/>
            </w:pPr>
          </w:p>
          <w:p>
            <w:pPr>
              <w:spacing w:after="0" w:line="240" w:lineRule="auto"/>
              <w:rPr>
                <w:rFonts w:hint="default" w:eastAsia="宋体"/>
                <w:lang w:val="en-US" w:eastAsia="zh-CN"/>
              </w:rPr>
            </w:pPr>
            <w:r>
              <w:rPr>
                <w:rFonts w:hint="eastAsia" w:eastAsia="宋体"/>
                <w:lang w:val="en-US" w:eastAsia="zh-CN"/>
              </w:rPr>
              <w:t>Yue Zhang 1904670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6" w:type="dxa"/>
          </w:tcPr>
          <w:p>
            <w:pPr>
              <w:pStyle w:val="12"/>
              <w:numPr>
                <w:ilvl w:val="0"/>
                <w:numId w:val="1"/>
              </w:numPr>
              <w:spacing w:after="0" w:line="240" w:lineRule="auto"/>
              <w:ind w:left="426" w:hanging="426"/>
            </w:pPr>
            <w:r>
              <w:t xml:space="preserve">Name of (client) organisation </w:t>
            </w:r>
          </w:p>
        </w:tc>
        <w:tc>
          <w:tcPr>
            <w:tcW w:w="5700" w:type="dxa"/>
          </w:tcPr>
          <w:p>
            <w:pPr>
              <w:spacing w:after="0" w:line="240" w:lineRule="auto"/>
            </w:pPr>
          </w:p>
          <w:p>
            <w:pPr>
              <w:spacing w:after="0" w:line="240" w:lineRule="auto"/>
            </w:pPr>
            <w:r>
              <w:rPr>
                <w:rFonts w:hint="eastAsia"/>
                <w:lang w:val="en-US" w:eastAsia="zh-CN"/>
              </w:rPr>
              <w:t xml:space="preserve"> intercollegiate football match between UWTSD and Swansea University</w:t>
            </w:r>
          </w:p>
        </w:tc>
      </w:tr>
    </w:tbl>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1"/>
              </w:numPr>
              <w:spacing w:after="0" w:line="240" w:lineRule="auto"/>
              <w:ind w:left="426" w:hanging="426"/>
              <w:jc w:val="both"/>
            </w:pPr>
            <w:r>
              <w:t xml:space="preserve">Aim of project: </w:t>
            </w:r>
          </w:p>
          <w:p>
            <w:pPr>
              <w:pStyle w:val="12"/>
              <w:spacing w:after="0" w:line="240" w:lineRule="auto"/>
              <w:ind w:left="426"/>
              <w:jc w:val="both"/>
            </w:pPr>
          </w:p>
          <w:p>
            <w:r>
              <w:rPr>
                <w:rFonts w:hint="eastAsia"/>
                <w:lang w:val="en-US" w:eastAsia="zh-CN"/>
              </w:rPr>
              <w:t xml:space="preserve">The aim of this project is to organize an intercollegiate football match between UWTSD and Swansea University in order to enrich the extracurricular entertainment activities of college students, improve their physical fitness, and cultivate their positive and enterprising spirit.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1"/>
              </w:numPr>
              <w:spacing w:after="0" w:line="240" w:lineRule="auto"/>
              <w:ind w:left="426" w:hanging="426"/>
              <w:jc w:val="both"/>
            </w:pPr>
            <w:r>
              <w:rPr>
                <w:color w:val="0D0D0D" w:themeColor="text1" w:themeTint="F2"/>
                <w14:textFill>
                  <w14:solidFill>
                    <w14:schemeClr w14:val="tx1">
                      <w14:lumMod w14:val="95000"/>
                      <w14:lumOff w14:val="5000"/>
                    </w14:schemeClr>
                  </w14:solidFill>
                </w14:textFill>
              </w:rPr>
              <w:t xml:space="preserve">Objectives </w:t>
            </w:r>
            <w:r>
              <w:t>of project:</w:t>
            </w:r>
          </w:p>
          <w:p>
            <w:pPr>
              <w:spacing w:after="0" w:line="240" w:lineRule="auto"/>
              <w:jc w:val="both"/>
            </w:pPr>
          </w:p>
          <w:p>
            <w:pPr>
              <w:spacing w:after="0" w:line="240" w:lineRule="auto"/>
              <w:jc w:val="left"/>
              <w:rPr>
                <w:rFonts w:hint="eastAsia"/>
              </w:rPr>
            </w:pPr>
            <w:r>
              <w:rPr>
                <w:rFonts w:hint="eastAsia"/>
              </w:rPr>
              <w:t>1. Promote exchanges and friendship between UWTSD and Swansea University, so that we can have more cooperation and communication in the future.</w:t>
            </w:r>
          </w:p>
          <w:p>
            <w:pPr>
              <w:spacing w:after="0" w:line="240" w:lineRule="auto"/>
              <w:jc w:val="left"/>
              <w:rPr>
                <w:rFonts w:hint="eastAsia"/>
              </w:rPr>
            </w:pPr>
            <w:r>
              <w:rPr>
                <w:rFonts w:hint="eastAsia"/>
              </w:rPr>
              <w:t xml:space="preserve">2. Cultivate students' interest in sports activities, promote the development of sports culture of the two universities, and make full preparations for the selection of talents for the </w:t>
            </w:r>
            <w:r>
              <w:rPr>
                <w:rFonts w:hint="eastAsia" w:eastAsia="宋体"/>
                <w:lang w:val="en-US" w:eastAsia="zh-CN"/>
              </w:rPr>
              <w:t>foo</w:t>
            </w:r>
            <w:r>
              <w:rPr>
                <w:rFonts w:hint="eastAsia"/>
              </w:rPr>
              <w:t>tball teams of the two universities.</w:t>
            </w:r>
          </w:p>
          <w:p>
            <w:pPr>
              <w:spacing w:after="0" w:line="240" w:lineRule="auto"/>
              <w:jc w:val="left"/>
              <w:rPr>
                <w:rFonts w:hint="eastAsia"/>
              </w:rPr>
            </w:pPr>
            <w:r>
              <w:rPr>
                <w:rFonts w:hint="eastAsia"/>
              </w:rPr>
              <w:t>3. This project can not only improve the cohesion of the school, but also advocate a kind of campus culture atmosphere that loves sports.</w:t>
            </w:r>
          </w:p>
          <w:p>
            <w:pPr>
              <w:spacing w:after="0" w:line="240" w:lineRule="auto"/>
              <w:jc w:val="left"/>
              <w:rPr>
                <w:rFonts w:hint="eastAsia"/>
              </w:rPr>
            </w:pPr>
            <w:r>
              <w:rPr>
                <w:rFonts w:hint="eastAsia"/>
              </w:rPr>
              <w:t>4. Through this project, it is possible to carry out social propaganda to the two universities, highlighting the athletic style and campus culture of the teachers and students of UWTSD and Swansea University.</w:t>
            </w:r>
          </w:p>
          <w:p>
            <w:pPr>
              <w:spacing w:after="0" w:line="240" w:lineRule="auto"/>
              <w:jc w:val="left"/>
            </w:pPr>
            <w:r>
              <w:rPr>
                <w:rFonts w:hint="eastAsia"/>
              </w:rPr>
              <w:t>5. Attract sponsors to sponsor this project with a view to reaching a long-term cooperation between the sponsors and the two universities.</w:t>
            </w: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1"/>
              </w:numPr>
              <w:spacing w:after="0" w:line="240" w:lineRule="auto"/>
              <w:ind w:left="426" w:hanging="426"/>
              <w:jc w:val="both"/>
            </w:pPr>
            <w:r>
              <w:t xml:space="preserve"> </w:t>
            </w:r>
            <w:r>
              <w:rPr>
                <w:rFonts w:hint="eastAsia" w:eastAsia="宋体"/>
                <w:lang w:val="en-US" w:eastAsia="zh-CN"/>
              </w:rPr>
              <w:t>B</w:t>
            </w:r>
            <w:r>
              <w:t xml:space="preserve">usiness case  </w:t>
            </w:r>
          </w:p>
          <w:p>
            <w:pPr>
              <w:spacing w:after="0" w:line="240" w:lineRule="auto"/>
              <w:jc w:val="left"/>
              <w:rPr>
                <w:rFonts w:hint="eastAsia"/>
                <w:lang w:val="en-US" w:eastAsia="zh-CN"/>
              </w:rPr>
            </w:pPr>
            <w:bookmarkStart w:id="0" w:name="_Toc25726"/>
            <w:r>
              <w:rPr>
                <w:rFonts w:hint="eastAsia"/>
                <w:lang w:val="en-US" w:eastAsia="zh-CN"/>
              </w:rPr>
              <w:t>1.Potential issues</w:t>
            </w:r>
            <w:bookmarkEnd w:id="0"/>
          </w:p>
          <w:p>
            <w:pPr>
              <w:numPr>
                <w:ilvl w:val="0"/>
                <w:numId w:val="0"/>
              </w:numPr>
              <w:ind w:leftChars="0"/>
              <w:rPr>
                <w:rFonts w:hint="eastAsia"/>
                <w:lang w:val="en-US" w:eastAsia="zh-CN"/>
              </w:rPr>
            </w:pPr>
            <w:r>
              <w:rPr>
                <w:rFonts w:hint="eastAsia"/>
                <w:lang w:val="en-US" w:eastAsia="zh-CN"/>
              </w:rPr>
              <w:t>Students and teachers from both schools may have low participation, preventing the project from progressing. This means that the early publicity of the project must be comprehensive and effective, and the competition rewards must be attractive. The enthusiastic participation of students and teachers is the key to the success of this project.</w:t>
            </w:r>
          </w:p>
          <w:p>
            <w:pPr>
              <w:numPr>
                <w:ilvl w:val="0"/>
                <w:numId w:val="0"/>
              </w:numPr>
              <w:ind w:leftChars="0"/>
              <w:rPr>
                <w:rFonts w:hint="eastAsia"/>
                <w:lang w:val="en-US" w:eastAsia="zh-CN"/>
              </w:rPr>
            </w:pPr>
            <w:r>
              <w:rPr>
                <w:rFonts w:hint="eastAsia"/>
                <w:lang w:val="en-US" w:eastAsia="zh-CN"/>
              </w:rPr>
              <w:t>The school's funding may be insufficient, so the school's outreach department should contact the sponsor as much as possible to cooperate with the project. More sponsorship funding will make the competition rewards more lucrative and attractive.</w:t>
            </w:r>
          </w:p>
          <w:p>
            <w:pPr>
              <w:numPr>
                <w:ilvl w:val="0"/>
                <w:numId w:val="2"/>
              </w:numPr>
              <w:spacing w:after="0" w:line="240" w:lineRule="auto"/>
              <w:jc w:val="left"/>
              <w:rPr>
                <w:rFonts w:hint="eastAsia"/>
                <w:lang w:val="en-US" w:eastAsia="zh-CN"/>
              </w:rPr>
            </w:pPr>
            <w:bookmarkStart w:id="1" w:name="_Toc29155"/>
            <w:r>
              <w:rPr>
                <w:rFonts w:hint="eastAsia"/>
                <w:lang w:val="en-US" w:eastAsia="zh-CN"/>
              </w:rPr>
              <w:t>Potential benefits</w:t>
            </w:r>
            <w:bookmarkEnd w:id="1"/>
          </w:p>
          <w:p>
            <w:pPr>
              <w:numPr>
                <w:ilvl w:val="0"/>
                <w:numId w:val="0"/>
              </w:numPr>
              <w:ind w:leftChars="0"/>
              <w:rPr>
                <w:rFonts w:hint="eastAsia"/>
                <w:lang w:val="en-US" w:eastAsia="zh-CN"/>
              </w:rPr>
            </w:pPr>
            <w:r>
              <w:rPr>
                <w:rFonts w:hint="eastAsia"/>
                <w:lang w:val="en-US" w:eastAsia="zh-CN"/>
              </w:rPr>
              <w:t>The development and dissemination of the project has, to a certain extent, promoted the school brand promotion of UWTSD and Swansea University, which has a positive impact on school admissions rates and development.</w:t>
            </w:r>
          </w:p>
          <w:p>
            <w:pPr>
              <w:numPr>
                <w:ilvl w:val="0"/>
                <w:numId w:val="0"/>
              </w:numPr>
              <w:ind w:leftChars="0"/>
              <w:rPr>
                <w:rFonts w:hint="eastAsia"/>
                <w:lang w:val="en-US" w:eastAsia="zh-CN"/>
              </w:rPr>
            </w:pPr>
            <w:r>
              <w:rPr>
                <w:rFonts w:hint="eastAsia"/>
                <w:lang w:val="en-US" w:eastAsia="zh-CN"/>
              </w:rPr>
              <w:t>The development of the project has promoted the improvement of the campus sports system of the two universities. The two schools combined basketball games to explore and use the system and cultural value of the game, standardize the school sports organization, and establish more reasonable school sports activities to guide students.</w:t>
            </w:r>
          </w:p>
          <w:p>
            <w:pPr>
              <w:pStyle w:val="2"/>
              <w:bidi w:val="0"/>
              <w:rPr>
                <w:rFonts w:hint="eastAsia"/>
                <w:lang w:val="en-US" w:eastAsia="zh-CN"/>
              </w:rPr>
            </w:pPr>
            <w:bookmarkStart w:id="2" w:name="_Toc30646"/>
            <w:r>
              <w:rPr>
                <w:rFonts w:hint="eastAsia" w:ascii="Calibri" w:hAnsi="Calibri" w:cs="Times New Roman"/>
                <w:b w:val="0"/>
                <w:bCs w:val="0"/>
                <w:i w:val="0"/>
                <w:iCs w:val="0"/>
                <w:sz w:val="22"/>
                <w:szCs w:val="22"/>
                <w:lang w:val="en-US" w:eastAsia="zh-CN" w:bidi="ar-SA"/>
              </w:rPr>
              <w:t>3.</w:t>
            </w:r>
            <w:r>
              <w:rPr>
                <w:rFonts w:hint="eastAsia" w:ascii="Calibri" w:hAnsi="Calibri" w:eastAsia="Times New Roman" w:cs="Times New Roman"/>
                <w:b w:val="0"/>
                <w:bCs w:val="0"/>
                <w:i w:val="0"/>
                <w:iCs w:val="0"/>
                <w:sz w:val="22"/>
                <w:szCs w:val="22"/>
                <w:lang w:val="en-US" w:eastAsia="zh-CN" w:bidi="ar-SA"/>
              </w:rPr>
              <w:t xml:space="preserve"> Potential outcome</w:t>
            </w:r>
            <w:bookmarkEnd w:id="2"/>
          </w:p>
          <w:p>
            <w:pPr>
              <w:numPr>
                <w:ilvl w:val="0"/>
                <w:numId w:val="0"/>
              </w:numPr>
              <w:ind w:leftChars="0"/>
              <w:rPr>
                <w:rFonts w:hint="default"/>
                <w:lang w:val="en-US" w:eastAsia="zh-CN"/>
              </w:rPr>
            </w:pPr>
            <w:r>
              <w:rPr>
                <w:rFonts w:hint="default"/>
                <w:lang w:val="en-US" w:eastAsia="zh-CN"/>
              </w:rPr>
              <w:t>The sponsor's brand is well publicized. Compared with the promotion of television, newspapers, the Internet and other media, the brand of the propaganda business in the school has a higher cost performance. The university campus not only has a good consumer market, but also establishes a good brand with a minimum of funds and in a short time.</w:t>
            </w:r>
          </w:p>
          <w:p>
            <w:pPr>
              <w:numPr>
                <w:ilvl w:val="0"/>
                <w:numId w:val="0"/>
              </w:numPr>
              <w:ind w:leftChars="0"/>
              <w:rPr>
                <w:rFonts w:hint="default"/>
                <w:lang w:val="en-US" w:eastAsia="zh-CN"/>
              </w:rPr>
            </w:pPr>
            <w:r>
              <w:rPr>
                <w:rFonts w:hint="default"/>
                <w:lang w:val="en-US" w:eastAsia="zh-CN"/>
              </w:rPr>
              <w:t xml:space="preserve">Strengthen the construction of competition culture, increase the attention of the leadership of the two universities to college </w:t>
            </w:r>
            <w:r>
              <w:rPr>
                <w:rFonts w:hint="eastAsia"/>
                <w:lang w:val="en-US" w:eastAsia="zh-CN"/>
              </w:rPr>
              <w:t>foo</w:t>
            </w:r>
            <w:r>
              <w:rPr>
                <w:rFonts w:hint="default"/>
                <w:lang w:val="en-US" w:eastAsia="zh-CN"/>
              </w:rPr>
              <w:t xml:space="preserve">tball leagues, </w:t>
            </w:r>
            <w:r>
              <w:rPr>
                <w:rFonts w:hint="eastAsia"/>
                <w:lang w:val="en-US" w:eastAsia="zh-CN"/>
              </w:rPr>
              <w:t>t</w:t>
            </w:r>
            <w:r>
              <w:rPr>
                <w:rFonts w:hint="default"/>
                <w:lang w:val="en-US" w:eastAsia="zh-CN"/>
              </w:rPr>
              <w:t xml:space="preserve">o improve and maintain sports venues, facilities and equipment, so that college students can enjoy better sports </w:t>
            </w:r>
            <w:r>
              <w:rPr>
                <w:rFonts w:hint="eastAsia"/>
                <w:lang w:val="en-US" w:eastAsia="zh-CN"/>
              </w:rPr>
              <w:t>environment</w:t>
            </w:r>
            <w:r>
              <w:rPr>
                <w:rFonts w:hint="default"/>
                <w:lang w:val="en-US" w:eastAsia="zh-CN"/>
              </w:rPr>
              <w:t>.</w:t>
            </w:r>
          </w:p>
          <w:p>
            <w:pPr>
              <w:pStyle w:val="12"/>
              <w:numPr>
                <w:ilvl w:val="0"/>
                <w:numId w:val="0"/>
              </w:numPr>
              <w:spacing w:after="0" w:line="240" w:lineRule="auto"/>
              <w:ind w:leftChars="0"/>
              <w:jc w:val="both"/>
            </w:pP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numId w:val="0"/>
              </w:numPr>
              <w:spacing w:after="0" w:line="240" w:lineRule="auto"/>
              <w:ind w:leftChars="0"/>
              <w:jc w:val="both"/>
            </w:pPr>
            <w:r>
              <w:rPr>
                <w:rFonts w:hint="eastAsia" w:eastAsia="宋体"/>
                <w:color w:val="0D0D0D" w:themeColor="text1" w:themeTint="F2"/>
                <w:lang w:val="en-US" w:eastAsia="zh-CN"/>
                <w14:textFill>
                  <w14:solidFill>
                    <w14:schemeClr w14:val="tx1">
                      <w14:lumMod w14:val="95000"/>
                      <w14:lumOff w14:val="5000"/>
                    </w14:schemeClr>
                  </w14:solidFill>
                </w14:textFill>
              </w:rPr>
              <w:t>6.</w:t>
            </w:r>
            <w:r>
              <w:rPr>
                <w:color w:val="0D0D0D" w:themeColor="text1" w:themeTint="F2"/>
                <w14:textFill>
                  <w14:solidFill>
                    <w14:schemeClr w14:val="tx1">
                      <w14:lumMod w14:val="95000"/>
                      <w14:lumOff w14:val="5000"/>
                    </w14:schemeClr>
                  </w14:solidFill>
                </w14:textFill>
              </w:rPr>
              <w:t xml:space="preserve"> risks</w:t>
            </w:r>
            <w:r>
              <w:t xml:space="preserve"> </w:t>
            </w:r>
            <w:r>
              <w:rPr>
                <w:rFonts w:hint="eastAsia" w:eastAsia="宋体"/>
                <w:lang w:val="en-US" w:eastAsia="zh-CN"/>
              </w:rPr>
              <w:t xml:space="preserve">and </w:t>
            </w:r>
            <w:bookmarkStart w:id="7" w:name="_GoBack"/>
            <w:bookmarkEnd w:id="7"/>
            <w:r>
              <w:t>overcome.</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5"/>
              <w:gridCol w:w="4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RISK</w:t>
                  </w:r>
                </w:p>
              </w:tc>
              <w:tc>
                <w:tcPr>
                  <w:tcW w:w="44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OVERCOME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00" w:type="dxa"/>
                </w:tcPr>
                <w:p>
                  <w:pPr>
                    <w:numPr>
                      <w:ilvl w:val="0"/>
                      <w:numId w:val="0"/>
                    </w:numPr>
                    <w:rPr>
                      <w:rFonts w:hint="default"/>
                      <w:lang w:val="en-US" w:eastAsia="zh-CN"/>
                    </w:rPr>
                  </w:pPr>
                  <w:r>
                    <w:rPr>
                      <w:rFonts w:hint="eastAsia" w:eastAsia="宋体"/>
                      <w:lang w:val="en-US" w:eastAsia="zh-CN"/>
                    </w:rPr>
                    <w:t xml:space="preserve"> </w:t>
                  </w:r>
                  <w:r>
                    <w:rPr>
                      <w:rFonts w:hint="default"/>
                      <w:lang w:val="en-US" w:eastAsia="zh-CN"/>
                    </w:rPr>
                    <w:t>Teacher and student participation is not high</w:t>
                  </w:r>
                </w:p>
                <w:p>
                  <w:pPr>
                    <w:pStyle w:val="12"/>
                    <w:numPr>
                      <w:ilvl w:val="0"/>
                      <w:numId w:val="0"/>
                    </w:numPr>
                    <w:spacing w:after="0" w:line="240" w:lineRule="auto"/>
                    <w:jc w:val="both"/>
                    <w:rPr>
                      <w:rFonts w:hint="eastAsia" w:eastAsia="宋体"/>
                      <w:vertAlign w:val="baseline"/>
                      <w:lang w:val="en-US" w:eastAsia="zh-CN"/>
                    </w:rPr>
                  </w:pPr>
                </w:p>
              </w:tc>
              <w:tc>
                <w:tcPr>
                  <w:tcW w:w="4400" w:type="dxa"/>
                </w:tcPr>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Effective publicity in the early stage of the project, attracting the public with generous prizes.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00" w:type="dxa"/>
                </w:tcPr>
                <w:p>
                  <w:pPr>
                    <w:rPr>
                      <w:rFonts w:hint="default"/>
                      <w:lang w:val="en-US" w:eastAsia="zh-CN"/>
                    </w:rPr>
                  </w:pPr>
                  <w:r>
                    <w:rPr>
                      <w:rFonts w:hint="default"/>
                      <w:lang w:val="en-US" w:eastAsia="zh-CN"/>
                    </w:rPr>
                    <w:t xml:space="preserve"> No sponsor found</w:t>
                  </w:r>
                </w:p>
                <w:p>
                  <w:pPr>
                    <w:pStyle w:val="12"/>
                    <w:numPr>
                      <w:ilvl w:val="0"/>
                      <w:numId w:val="0"/>
                    </w:numPr>
                    <w:spacing w:after="0" w:line="240" w:lineRule="auto"/>
                    <w:jc w:val="both"/>
                    <w:rPr>
                      <w:rFonts w:hint="eastAsia" w:eastAsia="宋体"/>
                      <w:vertAlign w:val="baseline"/>
                      <w:lang w:val="en-US" w:eastAsia="zh-CN"/>
                    </w:rPr>
                  </w:pPr>
                </w:p>
              </w:tc>
              <w:tc>
                <w:tcPr>
                  <w:tcW w:w="4400" w:type="dxa"/>
                </w:tcPr>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The school offers attractive conditions for sponsors. If no sponsor is willing to sponsor, the two universities will need to provide funding to support the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00" w:type="dxa"/>
                </w:tcPr>
                <w:p>
                  <w:pPr>
                    <w:rPr>
                      <w:rFonts w:hint="default"/>
                      <w:lang w:val="en-US" w:eastAsia="zh-CN"/>
                    </w:rPr>
                  </w:pPr>
                  <w:r>
                    <w:rPr>
                      <w:rFonts w:hint="default"/>
                      <w:lang w:val="en-US" w:eastAsia="zh-CN"/>
                    </w:rPr>
                    <w:t xml:space="preserve"> Competitors are injured</w:t>
                  </w:r>
                </w:p>
                <w:p>
                  <w:pPr>
                    <w:pStyle w:val="12"/>
                    <w:numPr>
                      <w:ilvl w:val="0"/>
                      <w:numId w:val="0"/>
                    </w:numPr>
                    <w:spacing w:after="0" w:line="240" w:lineRule="auto"/>
                    <w:jc w:val="both"/>
                    <w:rPr>
                      <w:rFonts w:hint="eastAsia" w:eastAsia="宋体"/>
                      <w:vertAlign w:val="baseline"/>
                      <w:lang w:val="en-US" w:eastAsia="zh-CN"/>
                    </w:rPr>
                  </w:pPr>
                </w:p>
              </w:tc>
              <w:tc>
                <w:tcPr>
                  <w:tcW w:w="4400" w:type="dxa"/>
                </w:tcPr>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Do a good job of logistics and safety of medical services to ensure that athletes will be treated soon after injury.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00" w:type="dxa"/>
                </w:tcPr>
                <w:p>
                  <w:pPr>
                    <w:pStyle w:val="12"/>
                    <w:numPr>
                      <w:ilvl w:val="0"/>
                      <w:numId w:val="0"/>
                    </w:numPr>
                    <w:spacing w:after="0" w:line="240" w:lineRule="auto"/>
                    <w:jc w:val="both"/>
                    <w:rPr>
                      <w:rFonts w:hint="eastAsia" w:eastAsia="宋体"/>
                      <w:vertAlign w:val="baseline"/>
                      <w:lang w:val="en-US" w:eastAsia="zh-CN"/>
                    </w:rPr>
                  </w:pPr>
                  <w:r>
                    <w:rPr>
                      <w:rFonts w:hint="default"/>
                      <w:lang w:val="en-US" w:eastAsia="zh-CN"/>
                    </w:rPr>
                    <w:t>The game was postponed due to weather</w:t>
                  </w:r>
                </w:p>
              </w:tc>
              <w:tc>
                <w:tcPr>
                  <w:tcW w:w="4400" w:type="dxa"/>
                </w:tcPr>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Make appropriate adjustments in the game time, make a second set of project planning to prepare for time changes.</w:t>
                  </w:r>
                </w:p>
              </w:tc>
            </w:tr>
          </w:tbl>
          <w:p>
            <w:pPr>
              <w:pStyle w:val="12"/>
              <w:numPr>
                <w:ilvl w:val="0"/>
                <w:numId w:val="0"/>
              </w:numPr>
              <w:spacing w:after="0" w:line="240" w:lineRule="auto"/>
              <w:ind w:leftChars="0"/>
              <w:jc w:val="both"/>
              <w:rPr>
                <w:rFonts w:hint="eastAsia" w:eastAsia="宋体"/>
                <w:lang w:val="en-US" w:eastAsia="zh-CN"/>
              </w:rPr>
            </w:pP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0"/>
              </w:numPr>
              <w:spacing w:after="0" w:line="240" w:lineRule="auto"/>
              <w:ind w:leftChars="0"/>
              <w:jc w:val="both"/>
            </w:pPr>
            <w:bookmarkStart w:id="3" w:name="OLE_LINK1"/>
            <w:r>
              <w:rPr>
                <w:rFonts w:hint="eastAsia" w:eastAsia="宋体"/>
                <w:color w:val="0D0D0D" w:themeColor="text1" w:themeTint="F2"/>
                <w:lang w:val="en-US" w:eastAsia="zh-CN"/>
                <w14:textFill>
                  <w14:solidFill>
                    <w14:schemeClr w14:val="tx1">
                      <w14:lumMod w14:val="95000"/>
                      <w14:lumOff w14:val="5000"/>
                    </w14:schemeClr>
                  </w14:solidFill>
                </w14:textFill>
              </w:rPr>
              <w:t>7</w:t>
            </w:r>
            <w:r>
              <w:rPr>
                <w:color w:val="0D0D0D" w:themeColor="text1" w:themeTint="F2"/>
                <w14:textFill>
                  <w14:solidFill>
                    <w14:schemeClr w14:val="tx1">
                      <w14:lumMod w14:val="95000"/>
                      <w14:lumOff w14:val="5000"/>
                    </w14:schemeClr>
                  </w14:solidFill>
                </w14:textFill>
              </w:rPr>
              <w:t xml:space="preserve"> resources</w:t>
            </w:r>
            <w:r>
              <w:t xml:space="preserve">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8"/>
              <w:gridCol w:w="2198"/>
              <w:gridCol w:w="2197"/>
              <w:gridCol w:w="2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RESOURCES</w:t>
                  </w:r>
                </w:p>
              </w:tc>
              <w:tc>
                <w:tcPr>
                  <w:tcW w:w="22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WHY</w:t>
                  </w:r>
                </w:p>
              </w:tc>
              <w:tc>
                <w:tcPr>
                  <w:tcW w:w="22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CONSTRAINTS</w:t>
                  </w:r>
                </w:p>
              </w:tc>
              <w:tc>
                <w:tcPr>
                  <w:tcW w:w="22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OVERCOME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tcPr>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People:</w:t>
                  </w:r>
                </w:p>
                <w:p>
                  <w:pPr>
                    <w:widowControl w:val="0"/>
                    <w:numPr>
                      <w:ilvl w:val="0"/>
                      <w:numId w:val="0"/>
                    </w:numPr>
                    <w:jc w:val="both"/>
                    <w:rPr>
                      <w:rFonts w:hint="eastAsia"/>
                      <w:lang w:val="en-US" w:eastAsia="zh-CN"/>
                    </w:rPr>
                  </w:pPr>
                  <w:r>
                    <w:rPr>
                      <w:rFonts w:hint="eastAsia"/>
                      <w:lang w:val="en-US" w:eastAsia="zh-CN"/>
                    </w:rPr>
                    <w:t>1.UWTSD LSM Society</w:t>
                  </w:r>
                </w:p>
                <w:p>
                  <w:pPr>
                    <w:widowControl w:val="0"/>
                    <w:numPr>
                      <w:ilvl w:val="0"/>
                      <w:numId w:val="0"/>
                    </w:numPr>
                    <w:jc w:val="both"/>
                    <w:rPr>
                      <w:rFonts w:hint="eastAsia"/>
                      <w:lang w:val="en-US" w:eastAsia="zh-CN"/>
                    </w:rPr>
                  </w:pPr>
                  <w:r>
                    <w:rPr>
                      <w:rFonts w:hint="eastAsia"/>
                      <w:lang w:val="en-US" w:eastAsia="zh-CN"/>
                    </w:rPr>
                    <w:t>2.Student union</w:t>
                  </w:r>
                </w:p>
                <w:p>
                  <w:pPr>
                    <w:widowControl w:val="0"/>
                    <w:numPr>
                      <w:ilvl w:val="0"/>
                      <w:numId w:val="0"/>
                    </w:numPr>
                    <w:jc w:val="both"/>
                    <w:rPr>
                      <w:rFonts w:hint="eastAsia"/>
                      <w:lang w:val="en-US" w:eastAsia="zh-CN"/>
                    </w:rPr>
                  </w:pPr>
                  <w:r>
                    <w:rPr>
                      <w:rFonts w:hint="eastAsia"/>
                      <w:lang w:val="en-US" w:eastAsia="zh-CN"/>
                    </w:rPr>
                    <w:t>3.Sponsor</w:t>
                  </w:r>
                </w:p>
                <w:p>
                  <w:pPr>
                    <w:widowControl w:val="0"/>
                    <w:numPr>
                      <w:ilvl w:val="0"/>
                      <w:numId w:val="0"/>
                    </w:numPr>
                    <w:jc w:val="both"/>
                    <w:rPr>
                      <w:rFonts w:hint="eastAsia"/>
                      <w:lang w:val="en-US" w:eastAsia="zh-CN"/>
                    </w:rPr>
                  </w:pPr>
                  <w:r>
                    <w:rPr>
                      <w:rFonts w:hint="eastAsia"/>
                      <w:lang w:val="en-US" w:eastAsia="zh-CN"/>
                    </w:rPr>
                    <w:t>4.Local newspaper office</w:t>
                  </w:r>
                </w:p>
                <w:p>
                  <w:pPr>
                    <w:pStyle w:val="12"/>
                    <w:numPr>
                      <w:ilvl w:val="0"/>
                      <w:numId w:val="0"/>
                    </w:numPr>
                    <w:spacing w:after="0" w:line="240" w:lineRule="auto"/>
                    <w:jc w:val="both"/>
                    <w:rPr>
                      <w:rFonts w:hint="default" w:eastAsia="宋体"/>
                      <w:vertAlign w:val="baseline"/>
                      <w:lang w:val="en-US" w:eastAsia="zh-CN"/>
                    </w:rPr>
                  </w:pPr>
                </w:p>
              </w:tc>
              <w:tc>
                <w:tcPr>
                  <w:tcW w:w="2200" w:type="dxa"/>
                </w:tcPr>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1，The members of the LSM community specialize in managing and developing sports, so the LSM team can help the project run smoothly.</w:t>
                  </w:r>
                </w:p>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2，The student union can be very appealing among students, can help promote the project, and can also play many important roles in the project.</w:t>
                  </w:r>
                </w:p>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3.The sponsor provides financial support for the project.</w:t>
                  </w:r>
                </w:p>
                <w:p>
                  <w:pPr>
                    <w:pStyle w:val="12"/>
                    <w:numPr>
                      <w:ilvl w:val="0"/>
                      <w:numId w:val="0"/>
                    </w:numPr>
                    <w:spacing w:after="0" w:line="240" w:lineRule="auto"/>
                    <w:jc w:val="both"/>
                    <w:rPr>
                      <w:rFonts w:hint="eastAsia" w:eastAsia="宋体"/>
                      <w:vertAlign w:val="baseline"/>
                      <w:lang w:val="en-US" w:eastAsia="zh-CN"/>
                    </w:rPr>
                  </w:pPr>
                  <w:r>
                    <w:rPr>
                      <w:rFonts w:hint="eastAsia" w:eastAsia="宋体"/>
                      <w:vertAlign w:val="baseline"/>
                      <w:lang w:val="en-US" w:eastAsia="zh-CN"/>
                    </w:rPr>
                    <w:t>4. Local newspapers carry out effective publicity for the project.</w:t>
                  </w:r>
                </w:p>
              </w:tc>
              <w:tc>
                <w:tcPr>
                  <w:tcW w:w="2200" w:type="dxa"/>
                </w:tcPr>
                <w:p>
                  <w:pPr>
                    <w:pStyle w:val="12"/>
                    <w:numPr>
                      <w:ilvl w:val="0"/>
                      <w:numId w:val="0"/>
                    </w:numPr>
                    <w:spacing w:after="0" w:line="240" w:lineRule="auto"/>
                    <w:jc w:val="both"/>
                    <w:rPr>
                      <w:rFonts w:hint="eastAsia" w:eastAsia="宋体"/>
                      <w:vertAlign w:val="baseline"/>
                      <w:lang w:val="en-US" w:eastAsia="zh-CN"/>
                    </w:rPr>
                  </w:pPr>
                  <w:r>
                    <w:rPr>
                      <w:rFonts w:hint="eastAsia"/>
                      <w:vertAlign w:val="baseline"/>
                    </w:rPr>
                    <w:t>No sponsor is willing to sponsor</w:t>
                  </w:r>
                  <w:r>
                    <w:rPr>
                      <w:rFonts w:hint="eastAsia" w:eastAsia="宋体"/>
                      <w:vertAlign w:val="baseline"/>
                      <w:lang w:val="en-US" w:eastAsia="zh-CN"/>
                    </w:rPr>
                    <w:t>.</w:t>
                  </w:r>
                </w:p>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Newspaper office charge more than budget.</w:t>
                  </w:r>
                </w:p>
              </w:tc>
              <w:tc>
                <w:tcPr>
                  <w:tcW w:w="2200" w:type="dxa"/>
                </w:tcPr>
                <w:p>
                  <w:pPr>
                    <w:pStyle w:val="12"/>
                    <w:numPr>
                      <w:ilvl w:val="0"/>
                      <w:numId w:val="0"/>
                    </w:numPr>
                    <w:spacing w:after="0" w:line="240" w:lineRule="auto"/>
                    <w:jc w:val="both"/>
                    <w:rPr>
                      <w:vertAlign w:val="baseline"/>
                    </w:rPr>
                  </w:pPr>
                  <w:r>
                    <w:rPr>
                      <w:rFonts w:hint="eastAsia"/>
                      <w:vertAlign w:val="baseline"/>
                    </w:rPr>
                    <w:t>Project funding will be shared between the two schools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tcPr>
                <w:p>
                  <w:pPr>
                    <w:widowControl w:val="0"/>
                    <w:numPr>
                      <w:ilvl w:val="0"/>
                      <w:numId w:val="0"/>
                    </w:numPr>
                    <w:jc w:val="both"/>
                    <w:rPr>
                      <w:rFonts w:hint="eastAsia"/>
                      <w:lang w:val="en-US" w:eastAsia="zh-CN"/>
                    </w:rPr>
                  </w:pPr>
                  <w:r>
                    <w:rPr>
                      <w:rFonts w:hint="eastAsia"/>
                      <w:lang w:val="en-US" w:eastAsia="zh-CN"/>
                    </w:rPr>
                    <w:t>Technology(For publicity）</w:t>
                  </w:r>
                </w:p>
                <w:p>
                  <w:pPr>
                    <w:widowControl w:val="0"/>
                    <w:numPr>
                      <w:ilvl w:val="0"/>
                      <w:numId w:val="0"/>
                    </w:numPr>
                    <w:jc w:val="both"/>
                    <w:rPr>
                      <w:rFonts w:hint="eastAsia"/>
                      <w:lang w:val="en-US" w:eastAsia="zh-CN"/>
                    </w:rPr>
                  </w:pPr>
                  <w:r>
                    <w:rPr>
                      <w:rFonts w:hint="eastAsia"/>
                      <w:lang w:val="en-US" w:eastAsia="zh-CN"/>
                    </w:rPr>
                    <w:t>1,Twitter, Facebook, instagram, WeChat, Weibo...</w:t>
                  </w:r>
                </w:p>
                <w:p>
                  <w:pPr>
                    <w:pStyle w:val="12"/>
                    <w:numPr>
                      <w:ilvl w:val="0"/>
                      <w:numId w:val="0"/>
                    </w:numPr>
                    <w:spacing w:after="0" w:line="240" w:lineRule="auto"/>
                    <w:jc w:val="both"/>
                    <w:rPr>
                      <w:vertAlign w:val="baseline"/>
                    </w:rPr>
                  </w:pPr>
                  <w:r>
                    <w:rPr>
                      <w:rFonts w:hint="eastAsia"/>
                      <w:lang w:val="en-US" w:eastAsia="zh-CN"/>
                    </w:rPr>
                    <w:t>2,Newspapers and other traditional media</w:t>
                  </w:r>
                </w:p>
              </w:tc>
              <w:tc>
                <w:tcPr>
                  <w:tcW w:w="2200" w:type="dxa"/>
                </w:tcPr>
                <w:p>
                  <w:pPr>
                    <w:pStyle w:val="12"/>
                    <w:numPr>
                      <w:ilvl w:val="0"/>
                      <w:numId w:val="0"/>
                    </w:numPr>
                    <w:spacing w:after="0" w:line="240" w:lineRule="auto"/>
                    <w:jc w:val="both"/>
                    <w:rPr>
                      <w:rFonts w:hint="eastAsia" w:eastAsia="宋体"/>
                      <w:vertAlign w:val="baseline"/>
                      <w:lang w:val="en-US" w:eastAsia="zh-CN"/>
                    </w:rPr>
                  </w:pPr>
                  <w:r>
                    <w:rPr>
                      <w:rFonts w:hint="default" w:eastAsia="宋体"/>
                      <w:vertAlign w:val="baseline"/>
                      <w:lang w:val="en-US" w:eastAsia="zh-CN"/>
                    </w:rPr>
                    <w:t>These websites are the most frequently used websites by young people and the general public, so it is easier for the public to see the information when promoting on these online platforms. Moreover, the production cost of online promotion is low, the speed is fast and the change is flexible</w:t>
                  </w:r>
                  <w:r>
                    <w:rPr>
                      <w:rFonts w:hint="eastAsia" w:eastAsia="宋体"/>
                      <w:vertAlign w:val="baseline"/>
                      <w:lang w:val="en-US" w:eastAsia="zh-CN"/>
                    </w:rPr>
                    <w:t>。</w:t>
                  </w:r>
                </w:p>
                <w:p>
                  <w:pPr>
                    <w:pStyle w:val="12"/>
                    <w:numPr>
                      <w:ilvl w:val="0"/>
                      <w:numId w:val="0"/>
                    </w:numPr>
                    <w:spacing w:after="0" w:line="240" w:lineRule="auto"/>
                    <w:jc w:val="both"/>
                    <w:rPr>
                      <w:rFonts w:hint="default" w:eastAsia="宋体"/>
                      <w:vertAlign w:val="baseline"/>
                      <w:lang w:val="en-US" w:eastAsia="zh-CN"/>
                    </w:rPr>
                  </w:pPr>
                  <w:r>
                    <w:rPr>
                      <w:rFonts w:hint="default" w:eastAsia="宋体"/>
                      <w:vertAlign w:val="baseline"/>
                      <w:lang w:val="en-US" w:eastAsia="zh-CN"/>
                    </w:rPr>
                    <w:t>Newspaper promotion programs make people more formal and important</w:t>
                  </w:r>
                </w:p>
              </w:tc>
              <w:tc>
                <w:tcPr>
                  <w:tcW w:w="2200" w:type="dxa"/>
                </w:tcPr>
                <w:p>
                  <w:pPr>
                    <w:pStyle w:val="12"/>
                    <w:numPr>
                      <w:ilvl w:val="0"/>
                      <w:numId w:val="0"/>
                    </w:numPr>
                    <w:spacing w:after="0" w:line="240" w:lineRule="auto"/>
                    <w:jc w:val="both"/>
                    <w:rPr>
                      <w:vertAlign w:val="baseline"/>
                    </w:rPr>
                  </w:pPr>
                  <w:r>
                    <w:rPr>
                      <w:rFonts w:hint="eastAsia"/>
                      <w:vertAlign w:val="baseline"/>
                    </w:rPr>
                    <w:t>Newspaper propaganda can be a big expense.</w:t>
                  </w:r>
                </w:p>
              </w:tc>
              <w:tc>
                <w:tcPr>
                  <w:tcW w:w="2200" w:type="dxa"/>
                </w:tcPr>
                <w:p>
                  <w:pPr>
                    <w:pStyle w:val="12"/>
                    <w:numPr>
                      <w:ilvl w:val="0"/>
                      <w:numId w:val="0"/>
                    </w:numPr>
                    <w:spacing w:after="0" w:line="240" w:lineRule="auto"/>
                    <w:jc w:val="both"/>
                    <w:rPr>
                      <w:vertAlign w:val="baseline"/>
                    </w:rPr>
                  </w:pPr>
                  <w:r>
                    <w:rPr>
                      <w:rFonts w:hint="eastAsia"/>
                      <w:vertAlign w:val="baseline"/>
                    </w:rPr>
                    <w:t>Get generous sponsorship from sponsors, or work hard to drive down the price of newspaper propaganda.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tcPr>
                <w:p>
                  <w:pPr>
                    <w:pStyle w:val="2"/>
                    <w:bidi w:val="0"/>
                    <w:rPr>
                      <w:rFonts w:hint="default" w:ascii="Calibri" w:hAnsi="Calibri" w:eastAsia="Times New Roman" w:cs="Times New Roman"/>
                      <w:b w:val="0"/>
                      <w:bCs w:val="0"/>
                      <w:i w:val="0"/>
                      <w:iCs w:val="0"/>
                      <w:sz w:val="22"/>
                      <w:szCs w:val="22"/>
                      <w:lang w:val="en-US" w:eastAsia="zh-CN" w:bidi="ar-SA"/>
                    </w:rPr>
                  </w:pPr>
                  <w:r>
                    <w:rPr>
                      <w:rFonts w:hint="eastAsia"/>
                      <w:lang w:val="en-US" w:eastAsia="zh-CN"/>
                    </w:rPr>
                    <w:t xml:space="preserve"> </w:t>
                  </w:r>
                  <w:r>
                    <w:rPr>
                      <w:rFonts w:hint="eastAsia" w:ascii="Calibri" w:hAnsi="Calibri" w:eastAsia="Times New Roman" w:cs="Times New Roman"/>
                      <w:b w:val="0"/>
                      <w:bCs w:val="0"/>
                      <w:i w:val="0"/>
                      <w:iCs w:val="0"/>
                      <w:sz w:val="22"/>
                      <w:szCs w:val="22"/>
                      <w:lang w:val="en-US" w:eastAsia="zh-CN" w:bidi="ar-SA"/>
                    </w:rPr>
                    <w:t>Time: semester 2</w:t>
                  </w:r>
                </w:p>
                <w:p>
                  <w:pPr>
                    <w:pStyle w:val="12"/>
                    <w:numPr>
                      <w:ilvl w:val="0"/>
                      <w:numId w:val="0"/>
                    </w:numPr>
                    <w:spacing w:after="0" w:line="240" w:lineRule="auto"/>
                    <w:jc w:val="both"/>
                    <w:rPr>
                      <w:vertAlign w:val="baseline"/>
                    </w:rPr>
                  </w:pPr>
                </w:p>
              </w:tc>
              <w:tc>
                <w:tcPr>
                  <w:tcW w:w="2200" w:type="dxa"/>
                </w:tcPr>
                <w:p>
                  <w:pPr>
                    <w:widowControl w:val="0"/>
                    <w:numPr>
                      <w:ilvl w:val="0"/>
                      <w:numId w:val="0"/>
                    </w:numPr>
                    <w:jc w:val="both"/>
                    <w:rPr>
                      <w:rFonts w:hint="eastAsia"/>
                      <w:lang w:val="en-US" w:eastAsia="zh-CN"/>
                    </w:rPr>
                  </w:pPr>
                  <w:r>
                    <w:rPr>
                      <w:rFonts w:hint="eastAsia"/>
                      <w:lang w:val="en-US" w:eastAsia="zh-CN"/>
                    </w:rPr>
                    <w:t>2020.1.6---2020.2.6 For advocacy and preparation</w:t>
                  </w:r>
                </w:p>
                <w:p>
                  <w:pPr>
                    <w:widowControl w:val="0"/>
                    <w:numPr>
                      <w:ilvl w:val="0"/>
                      <w:numId w:val="0"/>
                    </w:numPr>
                    <w:jc w:val="both"/>
                    <w:rPr>
                      <w:rFonts w:hint="eastAsia"/>
                      <w:lang w:val="en-US" w:eastAsia="zh-CN"/>
                    </w:rPr>
                  </w:pPr>
                  <w:r>
                    <w:rPr>
                      <w:rFonts w:hint="eastAsia"/>
                      <w:lang w:val="en-US" w:eastAsia="zh-CN"/>
                    </w:rPr>
                    <w:t>2020.2.7--2020.3.7 For competition</w:t>
                  </w:r>
                </w:p>
                <w:p>
                  <w:pPr>
                    <w:pStyle w:val="12"/>
                    <w:numPr>
                      <w:ilvl w:val="0"/>
                      <w:numId w:val="0"/>
                    </w:numPr>
                    <w:spacing w:after="0" w:line="240" w:lineRule="auto"/>
                    <w:jc w:val="both"/>
                    <w:rPr>
                      <w:vertAlign w:val="baseline"/>
                    </w:rPr>
                  </w:pPr>
                </w:p>
              </w:tc>
              <w:tc>
                <w:tcPr>
                  <w:tcW w:w="2200" w:type="dxa"/>
                </w:tcPr>
                <w:p>
                  <w:pPr>
                    <w:pStyle w:val="12"/>
                    <w:numPr>
                      <w:ilvl w:val="0"/>
                      <w:numId w:val="0"/>
                    </w:numPr>
                    <w:spacing w:after="0" w:line="240" w:lineRule="auto"/>
                    <w:jc w:val="both"/>
                    <w:rPr>
                      <w:vertAlign w:val="baseline"/>
                    </w:rPr>
                  </w:pPr>
                </w:p>
              </w:tc>
              <w:tc>
                <w:tcPr>
                  <w:tcW w:w="2200" w:type="dxa"/>
                </w:tcPr>
                <w:p>
                  <w:pPr>
                    <w:pStyle w:val="12"/>
                    <w:numPr>
                      <w:ilvl w:val="0"/>
                      <w:numId w:val="0"/>
                    </w:numPr>
                    <w:spacing w:after="0" w:line="240" w:lineRule="auto"/>
                    <w:jc w:val="both"/>
                    <w:rPr>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Data</w:t>
                  </w:r>
                </w:p>
              </w:tc>
              <w:tc>
                <w:tcPr>
                  <w:tcW w:w="2200" w:type="dxa"/>
                </w:tcPr>
                <w:p>
                  <w:pPr>
                    <w:pStyle w:val="12"/>
                    <w:numPr>
                      <w:ilvl w:val="0"/>
                      <w:numId w:val="0"/>
                    </w:numPr>
                    <w:spacing w:after="0" w:line="240" w:lineRule="auto"/>
                    <w:jc w:val="both"/>
                    <w:rPr>
                      <w:vertAlign w:val="baseline"/>
                    </w:rPr>
                  </w:pPr>
                  <w:r>
                    <w:rPr>
                      <w:rFonts w:hint="eastAsia"/>
                      <w:vertAlign w:val="baseline"/>
                    </w:rPr>
                    <w:t xml:space="preserve">To evaluate the participation, attention and opinions of college students on this project, as well as the attention and opinions of Swansea residents on the two local college </w:t>
                  </w:r>
                  <w:r>
                    <w:rPr>
                      <w:rFonts w:hint="eastAsia" w:eastAsia="宋体"/>
                      <w:vertAlign w:val="baseline"/>
                      <w:lang w:val="en-US" w:eastAsia="zh-CN"/>
                    </w:rPr>
                    <w:t>foot</w:t>
                  </w:r>
                  <w:r>
                    <w:rPr>
                      <w:rFonts w:hint="eastAsia"/>
                      <w:vertAlign w:val="baseline"/>
                    </w:rPr>
                    <w:t>ball leagues. Through these data, we can see the problems of project publicity and other aspects in order to make improvements to better publicize and promote the project.</w:t>
                  </w:r>
                </w:p>
              </w:tc>
              <w:tc>
                <w:tcPr>
                  <w:tcW w:w="2200" w:type="dxa"/>
                </w:tcPr>
                <w:p>
                  <w:pPr>
                    <w:pStyle w:val="12"/>
                    <w:numPr>
                      <w:ilvl w:val="0"/>
                      <w:numId w:val="0"/>
                    </w:numPr>
                    <w:spacing w:after="0" w:line="240" w:lineRule="auto"/>
                    <w:jc w:val="both"/>
                    <w:rPr>
                      <w:vertAlign w:val="baseline"/>
                    </w:rPr>
                  </w:pPr>
                  <w:r>
                    <w:rPr>
                      <w:rFonts w:hint="eastAsia"/>
                      <w:vertAlign w:val="baseline"/>
                    </w:rPr>
                    <w:t>The data fed back through the web platform may be unreliable.</w:t>
                  </w:r>
                </w:p>
              </w:tc>
              <w:tc>
                <w:tcPr>
                  <w:tcW w:w="2200" w:type="dxa"/>
                </w:tcPr>
                <w:p>
                  <w:pPr>
                    <w:pStyle w:val="12"/>
                    <w:numPr>
                      <w:ilvl w:val="0"/>
                      <w:numId w:val="0"/>
                    </w:numPr>
                    <w:spacing w:after="0" w:line="240" w:lineRule="auto"/>
                    <w:jc w:val="both"/>
                    <w:rPr>
                      <w:rFonts w:hint="eastAsia" w:eastAsia="宋体"/>
                      <w:vertAlign w:val="baseline"/>
                      <w:lang w:eastAsia="zh-CN"/>
                    </w:rPr>
                  </w:pPr>
                  <w:r>
                    <w:rPr>
                      <w:rFonts w:hint="eastAsia"/>
                      <w:vertAlign w:val="baseline"/>
                    </w:rPr>
                    <w:t>Obtain first-hand data through field trips</w:t>
                  </w:r>
                  <w:r>
                    <w:rPr>
                      <w:rFonts w:hint="eastAsia" w:eastAsia="宋体"/>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dxa"/>
                </w:tcPr>
                <w:p>
                  <w:pPr>
                    <w:pStyle w:val="12"/>
                    <w:numPr>
                      <w:ilvl w:val="0"/>
                      <w:numId w:val="0"/>
                    </w:numPr>
                    <w:spacing w:after="0" w:line="240" w:lineRule="auto"/>
                    <w:jc w:val="both"/>
                    <w:rPr>
                      <w:rFonts w:hint="default" w:eastAsia="宋体"/>
                      <w:vertAlign w:val="baseline"/>
                      <w:lang w:val="en-US" w:eastAsia="zh-CN"/>
                    </w:rPr>
                  </w:pPr>
                  <w:r>
                    <w:rPr>
                      <w:rFonts w:hint="eastAsia" w:eastAsia="宋体"/>
                      <w:vertAlign w:val="baseline"/>
                      <w:lang w:val="en-US" w:eastAsia="zh-CN"/>
                    </w:rPr>
                    <w:t>Cash</w:t>
                  </w:r>
                </w:p>
              </w:tc>
              <w:tc>
                <w:tcPr>
                  <w:tcW w:w="2200" w:type="dxa"/>
                </w:tcPr>
                <w:p>
                  <w:pPr>
                    <w:numPr>
                      <w:ilvl w:val="0"/>
                      <w:numId w:val="0"/>
                    </w:numPr>
                    <w:ind w:leftChars="0"/>
                    <w:rPr>
                      <w:vertAlign w:val="baseline"/>
                    </w:rPr>
                  </w:pPr>
                  <w:r>
                    <w:rPr>
                      <w:rFonts w:hint="default"/>
                      <w:lang w:val="en-US" w:eastAsia="zh-CN"/>
                    </w:rPr>
                    <w:t>Funding comes mainly from the activities of the two universities and sponsorship.</w:t>
                  </w:r>
                </w:p>
              </w:tc>
              <w:tc>
                <w:tcPr>
                  <w:tcW w:w="2200" w:type="dxa"/>
                </w:tcPr>
                <w:p>
                  <w:pPr>
                    <w:pStyle w:val="12"/>
                    <w:numPr>
                      <w:ilvl w:val="0"/>
                      <w:numId w:val="0"/>
                    </w:numPr>
                    <w:spacing w:after="0" w:line="240" w:lineRule="auto"/>
                    <w:jc w:val="both"/>
                    <w:rPr>
                      <w:rFonts w:hint="eastAsia"/>
                      <w:vertAlign w:val="baseline"/>
                    </w:rPr>
                  </w:pPr>
                  <w:r>
                    <w:rPr>
                      <w:rFonts w:hint="eastAsia"/>
                      <w:vertAlign w:val="baseline"/>
                    </w:rPr>
                    <w:t>The expenditure incurred during the project exceeded the budget.</w:t>
                  </w:r>
                </w:p>
                <w:p>
                  <w:pPr>
                    <w:pStyle w:val="12"/>
                    <w:numPr>
                      <w:ilvl w:val="0"/>
                      <w:numId w:val="0"/>
                    </w:numPr>
                    <w:spacing w:after="0" w:line="240" w:lineRule="auto"/>
                    <w:jc w:val="both"/>
                    <w:rPr>
                      <w:rFonts w:hint="eastAsia" w:eastAsia="宋体"/>
                      <w:vertAlign w:val="baseline"/>
                      <w:lang w:eastAsia="zh-CN"/>
                    </w:rPr>
                  </w:pPr>
                  <w:r>
                    <w:rPr>
                      <w:rFonts w:hint="eastAsia"/>
                      <w:vertAlign w:val="baseline"/>
                    </w:rPr>
                    <w:t>Did not raise as much as the budget</w:t>
                  </w:r>
                  <w:r>
                    <w:rPr>
                      <w:rFonts w:hint="eastAsia" w:eastAsia="宋体"/>
                      <w:vertAlign w:val="baseline"/>
                      <w:lang w:eastAsia="zh-CN"/>
                    </w:rPr>
                    <w:t>。</w:t>
                  </w:r>
                </w:p>
              </w:tc>
              <w:tc>
                <w:tcPr>
                  <w:tcW w:w="2200" w:type="dxa"/>
                </w:tcPr>
                <w:p>
                  <w:pPr>
                    <w:pStyle w:val="12"/>
                    <w:numPr>
                      <w:ilvl w:val="0"/>
                      <w:numId w:val="0"/>
                    </w:numPr>
                    <w:spacing w:after="0" w:line="240" w:lineRule="auto"/>
                    <w:jc w:val="both"/>
                    <w:rPr>
                      <w:vertAlign w:val="baseline"/>
                    </w:rPr>
                  </w:pPr>
                  <w:r>
                    <w:rPr>
                      <w:rFonts w:hint="eastAsia"/>
                      <w:vertAlign w:val="baseline"/>
                    </w:rPr>
                    <w:t>Apply to the school for funding to complete the project.</w:t>
                  </w:r>
                </w:p>
              </w:tc>
            </w:tr>
            <w:bookmarkEnd w:id="3"/>
          </w:tbl>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16" w:type="dxa"/>
          </w:tcPr>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tcPr>
          <w:p>
            <w:pPr>
              <w:pStyle w:val="12"/>
              <w:numPr>
                <w:ilvl w:val="0"/>
                <w:numId w:val="0"/>
              </w:numPr>
              <w:spacing w:after="0" w:line="240" w:lineRule="auto"/>
              <w:ind w:leftChars="0"/>
              <w:jc w:val="both"/>
              <w:rPr>
                <w:color w:val="FF0000"/>
              </w:rPr>
            </w:pPr>
            <w:bookmarkStart w:id="4" w:name="OLE_LINK3"/>
            <w:r>
              <w:rPr>
                <w:rFonts w:hint="eastAsia" w:eastAsia="宋体"/>
                <w:lang w:val="en-US" w:eastAsia="zh-CN"/>
              </w:rPr>
              <w:t>7.</w:t>
            </w:r>
            <w:r>
              <w:t>collect primary data</w:t>
            </w:r>
            <w:bookmarkEnd w:id="4"/>
            <w:r>
              <w:rPr>
                <w:rFonts w:hint="eastAsia" w:eastAsia="宋体"/>
                <w:lang w:val="en-US" w:eastAsia="zh-CN"/>
              </w:rPr>
              <w:t>.</w:t>
            </w:r>
          </w:p>
          <w:p>
            <w:pPr>
              <w:pStyle w:val="2"/>
              <w:bidi w:val="0"/>
              <w:rPr>
                <w:rFonts w:hint="eastAsia" w:ascii="Calibri" w:hAnsi="Calibri" w:eastAsia="Times New Roman" w:cs="Times New Roman"/>
                <w:b w:val="0"/>
                <w:bCs w:val="0"/>
                <w:i w:val="0"/>
                <w:iCs w:val="0"/>
                <w:sz w:val="22"/>
                <w:szCs w:val="22"/>
                <w:lang w:val="en-US" w:eastAsia="zh-CN" w:bidi="ar-SA"/>
              </w:rPr>
            </w:pPr>
            <w:bookmarkStart w:id="5" w:name="_Toc8771"/>
            <w:r>
              <w:rPr>
                <w:rFonts w:hint="eastAsia" w:ascii="Calibri" w:hAnsi="Calibri" w:eastAsia="Times New Roman" w:cs="Times New Roman"/>
                <w:b w:val="0"/>
                <w:bCs w:val="0"/>
                <w:i w:val="0"/>
                <w:iCs w:val="0"/>
                <w:sz w:val="22"/>
                <w:szCs w:val="22"/>
                <w:lang w:val="en-US" w:eastAsia="zh-CN" w:bidi="ar-SA"/>
              </w:rPr>
              <w:t>1 Social Media platforms:</w:t>
            </w:r>
            <w:bookmarkEnd w:id="5"/>
            <w:r>
              <w:rPr>
                <w:rFonts w:hint="eastAsia" w:ascii="Calibri" w:hAnsi="Calibri" w:eastAsia="Times New Roman" w:cs="Times New Roman"/>
                <w:b w:val="0"/>
                <w:bCs w:val="0"/>
                <w:i w:val="0"/>
                <w:iCs w:val="0"/>
                <w:sz w:val="22"/>
                <w:szCs w:val="22"/>
                <w:lang w:val="en-US" w:eastAsia="zh-CN" w:bidi="ar-SA"/>
              </w:rPr>
              <w:t xml:space="preserve"> </w:t>
            </w:r>
          </w:p>
          <w:p>
            <w:pPr>
              <w:numPr>
                <w:ilvl w:val="0"/>
                <w:numId w:val="0"/>
              </w:numPr>
              <w:ind w:leftChars="0"/>
              <w:rPr>
                <w:rFonts w:hint="default"/>
                <w:lang w:val="en-US" w:eastAsia="zh-CN"/>
              </w:rPr>
            </w:pPr>
            <w:r>
              <w:rPr>
                <w:rFonts w:hint="default"/>
                <w:lang w:val="en-US" w:eastAsia="zh-CN"/>
              </w:rPr>
              <w:t>Collect raw data from social media promotion channels such as Twitter, Facebook, instagram, WeChat, Weibo, etc., and view the traffic generated on their pages in the background to monitor the number of visitors, likes, and reposts. The background administrator can easily obtain this information Statistics can be used to further analyze this information and track student participation trends and peak times.</w:t>
            </w:r>
          </w:p>
          <w:p>
            <w:pPr>
              <w:pStyle w:val="2"/>
              <w:bidi w:val="0"/>
              <w:rPr>
                <w:rFonts w:hint="default" w:ascii="Calibri" w:hAnsi="Calibri" w:eastAsia="Times New Roman" w:cs="Times New Roman"/>
                <w:b w:val="0"/>
                <w:bCs w:val="0"/>
                <w:i w:val="0"/>
                <w:iCs w:val="0"/>
                <w:sz w:val="22"/>
                <w:szCs w:val="22"/>
                <w:lang w:val="en-US" w:eastAsia="zh-CN" w:bidi="ar-SA"/>
              </w:rPr>
            </w:pPr>
            <w:bookmarkStart w:id="6" w:name="_Toc78"/>
            <w:r>
              <w:rPr>
                <w:rFonts w:hint="default" w:ascii="Calibri" w:hAnsi="Calibri" w:eastAsia="Times New Roman" w:cs="Times New Roman"/>
                <w:b w:val="0"/>
                <w:bCs w:val="0"/>
                <w:i w:val="0"/>
                <w:iCs w:val="0"/>
                <w:sz w:val="22"/>
                <w:szCs w:val="22"/>
                <w:lang w:val="en-US" w:eastAsia="zh-CN" w:bidi="ar-SA"/>
              </w:rPr>
              <w:t>2.  Fieldwork</w:t>
            </w:r>
            <w:bookmarkEnd w:id="6"/>
          </w:p>
          <w:p>
            <w:pPr>
              <w:numPr>
                <w:ilvl w:val="0"/>
                <w:numId w:val="0"/>
              </w:numPr>
              <w:ind w:leftChars="0"/>
              <w:rPr>
                <w:rFonts w:hint="default"/>
                <w:lang w:val="en-US" w:eastAsia="zh-CN"/>
              </w:rPr>
            </w:pPr>
            <w:r>
              <w:rPr>
                <w:rFonts w:hint="default"/>
                <w:lang w:val="en-US" w:eastAsia="zh-CN"/>
              </w:rPr>
              <w:t>In order to obtain more accurate and detailed information, during the basketball league, watch the game on the spot and observe the record of the game and the venue facilities, information media, advertising sponsorship and so on. Randomly visited teachers and students of the two universities before and after the competition, as well as residents of Swansea, to get more project feedback and provide more accurate and detailed data for this study.</w:t>
            </w:r>
          </w:p>
          <w:p>
            <w:pPr>
              <w:spacing w:after="0" w:line="240" w:lineRule="auto"/>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9016" w:type="dxa"/>
          </w:tcPr>
          <w:p>
            <w:pPr>
              <w:pStyle w:val="12"/>
              <w:numPr>
                <w:ilvl w:val="0"/>
                <w:numId w:val="0"/>
              </w:numPr>
              <w:spacing w:after="0" w:line="240" w:lineRule="auto"/>
              <w:ind w:leftChars="0"/>
              <w:jc w:val="both"/>
            </w:pPr>
            <w:r>
              <w:rPr>
                <w:rFonts w:hint="eastAsia" w:eastAsia="宋体"/>
                <w:lang w:val="en-US" w:eastAsia="zh-CN"/>
              </w:rPr>
              <w:t>8.</w:t>
            </w:r>
            <w:r>
              <w:t xml:space="preserve">Operationalisation </w:t>
            </w:r>
          </w:p>
          <w:p>
            <w:pPr>
              <w:spacing w:after="0" w:line="240" w:lineRule="auto"/>
              <w:jc w:val="both"/>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Action</w:t>
                  </w:r>
                </w:p>
              </w:tc>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Date Started</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Date Finished</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Outcome Achieved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Contact relevant student union officers and LSM</w:t>
                  </w:r>
                </w:p>
              </w:tc>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January 6th 2020</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January 10th 2020</w:t>
                  </w:r>
                </w:p>
              </w:tc>
              <w:tc>
                <w:tcPr>
                  <w:tcW w:w="2131" w:type="dxa"/>
                </w:tcPr>
                <w:p>
                  <w:pPr>
                    <w:widowControl w:val="0"/>
                    <w:jc w:val="both"/>
                    <w:rPr>
                      <w:vertAlign w:val="baseline"/>
                    </w:rPr>
                  </w:pPr>
                  <w:r>
                    <w:rPr>
                      <w:rFonts w:hint="eastAsia"/>
                      <w:vertAlign w:val="baseline"/>
                    </w:rPr>
                    <w:t>The two student unions and the LSM community understand the project and are willing to participate in the project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val="0"/>
                    <w:jc w:val="both"/>
                    <w:rPr>
                      <w:vertAlign w:val="baseline"/>
                    </w:rPr>
                  </w:pPr>
                  <w:r>
                    <w:rPr>
                      <w:rFonts w:hint="eastAsia"/>
                      <w:vertAlign w:val="baseline"/>
                    </w:rPr>
                    <w:t>Online platform promotion and school promotion</w:t>
                  </w:r>
                </w:p>
              </w:tc>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January 11th 2020</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February 6th 2020</w:t>
                  </w:r>
                </w:p>
              </w:tc>
              <w:tc>
                <w:tcPr>
                  <w:tcW w:w="2131" w:type="dxa"/>
                </w:tcPr>
                <w:p>
                  <w:pPr>
                    <w:widowControl w:val="0"/>
                    <w:jc w:val="both"/>
                    <w:rPr>
                      <w:vertAlign w:val="baseline"/>
                    </w:rPr>
                  </w:pPr>
                  <w:r>
                    <w:rPr>
                      <w:rFonts w:hint="eastAsia"/>
                      <w:vertAlign w:val="baseline"/>
                    </w:rPr>
                    <w:t>Students and Swansea residents understand the project and receive positive feedback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2130" w:type="dxa"/>
                </w:tcPr>
                <w:p>
                  <w:pPr>
                    <w:widowControl w:val="0"/>
                    <w:jc w:val="both"/>
                    <w:rPr>
                      <w:vertAlign w:val="baseline"/>
                    </w:rPr>
                  </w:pPr>
                  <w:r>
                    <w:rPr>
                      <w:rFonts w:hint="eastAsia"/>
                      <w:vertAlign w:val="baseline"/>
                    </w:rPr>
                    <w:t>Contact newspaper</w:t>
                  </w:r>
                  <w:r>
                    <w:rPr>
                      <w:rFonts w:hint="eastAsia" w:eastAsia="宋体"/>
                      <w:vertAlign w:val="baseline"/>
                      <w:lang w:val="en-US" w:eastAsia="zh-CN"/>
                    </w:rPr>
                    <w:t xml:space="preserve"> office </w:t>
                  </w:r>
                  <w:r>
                    <w:rPr>
                      <w:rFonts w:hint="eastAsia"/>
                      <w:vertAlign w:val="baseline"/>
                    </w:rPr>
                    <w:t>for publicity</w:t>
                  </w:r>
                </w:p>
              </w:tc>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January 13th 2020</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January 20th 2020</w:t>
                  </w:r>
                </w:p>
              </w:tc>
              <w:tc>
                <w:tcPr>
                  <w:tcW w:w="2131" w:type="dxa"/>
                </w:tcPr>
                <w:p>
                  <w:pPr>
                    <w:widowControl w:val="0"/>
                    <w:jc w:val="both"/>
                    <w:rPr>
                      <w:vertAlign w:val="baseline"/>
                    </w:rPr>
                  </w:pPr>
                  <w:r>
                    <w:rPr>
                      <w:rFonts w:hint="eastAsia"/>
                      <w:vertAlign w:val="baseline"/>
                    </w:rPr>
                    <w:t>Newspapers are willing to publicize and promote within the project budget price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val="0"/>
                    <w:jc w:val="both"/>
                    <w:rPr>
                      <w:vertAlign w:val="baseline"/>
                    </w:rPr>
                  </w:pPr>
                  <w:r>
                    <w:rPr>
                      <w:rFonts w:hint="eastAsia"/>
                      <w:vertAlign w:val="baseline"/>
                    </w:rPr>
                    <w:t>Contact Sponsor</w:t>
                  </w:r>
                </w:p>
              </w:tc>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January 20th 2020</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January 31th 2020</w:t>
                  </w:r>
                </w:p>
              </w:tc>
              <w:tc>
                <w:tcPr>
                  <w:tcW w:w="2131" w:type="dxa"/>
                </w:tcPr>
                <w:p>
                  <w:pPr>
                    <w:widowControl w:val="0"/>
                    <w:jc w:val="both"/>
                    <w:rPr>
                      <w:vertAlign w:val="baseline"/>
                    </w:rPr>
                  </w:pPr>
                  <w:r>
                    <w:rPr>
                      <w:rFonts w:hint="eastAsia"/>
                      <w:vertAlign w:val="baseline"/>
                    </w:rPr>
                    <w:t>Contact sponsors who are willing to collaborate and get sponsorship at budget prices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val="0"/>
                    <w:jc w:val="both"/>
                    <w:rPr>
                      <w:vertAlign w:val="baseline"/>
                    </w:rPr>
                  </w:pPr>
                  <w:r>
                    <w:rPr>
                      <w:rFonts w:hint="eastAsia"/>
                      <w:vertAlign w:val="baseline"/>
                    </w:rPr>
                    <w:t>Procurement of uniforms and supplies</w:t>
                  </w:r>
                </w:p>
              </w:tc>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February 1th 2020</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February 6th 2020</w:t>
                  </w:r>
                </w:p>
              </w:tc>
              <w:tc>
                <w:tcPr>
                  <w:tcW w:w="2131" w:type="dxa"/>
                </w:tcPr>
                <w:p>
                  <w:pPr>
                    <w:widowControl w:val="0"/>
                    <w:jc w:val="both"/>
                    <w:rPr>
                      <w:vertAlign w:val="baseline"/>
                    </w:rPr>
                  </w:pPr>
                  <w:r>
                    <w:rPr>
                      <w:rFonts w:hint="eastAsia"/>
                      <w:vertAlign w:val="baseline"/>
                    </w:rPr>
                    <w:t>Buy all items in the plan and try to stay within budget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val="0"/>
                    <w:jc w:val="both"/>
                    <w:rPr>
                      <w:rFonts w:hint="eastAsia"/>
                      <w:vertAlign w:val="baseline"/>
                    </w:rPr>
                  </w:pPr>
                  <w:r>
                    <w:rPr>
                      <w:rFonts w:hint="eastAsia"/>
                      <w:vertAlign w:val="baseline"/>
                    </w:rPr>
                    <w:t>Game in progress</w:t>
                  </w:r>
                </w:p>
              </w:tc>
              <w:tc>
                <w:tcPr>
                  <w:tcW w:w="2130" w:type="dxa"/>
                </w:tcPr>
                <w:p>
                  <w:pPr>
                    <w:widowControl w:val="0"/>
                    <w:jc w:val="both"/>
                    <w:rPr>
                      <w:rFonts w:hint="default" w:eastAsia="宋体"/>
                      <w:vertAlign w:val="baseline"/>
                      <w:lang w:val="en-US" w:eastAsia="zh-CN"/>
                    </w:rPr>
                  </w:pPr>
                  <w:r>
                    <w:rPr>
                      <w:rFonts w:hint="eastAsia" w:eastAsia="宋体"/>
                      <w:vertAlign w:val="baseline"/>
                      <w:lang w:val="en-US" w:eastAsia="zh-CN"/>
                    </w:rPr>
                    <w:t>February 7th 2020</w:t>
                  </w:r>
                </w:p>
              </w:tc>
              <w:tc>
                <w:tcPr>
                  <w:tcW w:w="2131" w:type="dxa"/>
                </w:tcPr>
                <w:p>
                  <w:pPr>
                    <w:widowControl w:val="0"/>
                    <w:jc w:val="both"/>
                    <w:rPr>
                      <w:rFonts w:hint="default" w:eastAsia="宋体"/>
                      <w:vertAlign w:val="baseline"/>
                      <w:lang w:val="en-US" w:eastAsia="zh-CN"/>
                    </w:rPr>
                  </w:pPr>
                  <w:r>
                    <w:rPr>
                      <w:rFonts w:hint="eastAsia" w:eastAsia="宋体"/>
                      <w:vertAlign w:val="baseline"/>
                      <w:lang w:val="en-US" w:eastAsia="zh-CN"/>
                    </w:rPr>
                    <w:t>March 7th 2020</w:t>
                  </w:r>
                </w:p>
              </w:tc>
              <w:tc>
                <w:tcPr>
                  <w:tcW w:w="2131" w:type="dxa"/>
                </w:tcPr>
                <w:p>
                  <w:pPr>
                    <w:widowControl w:val="0"/>
                    <w:jc w:val="both"/>
                    <w:rPr>
                      <w:vertAlign w:val="baseline"/>
                    </w:rPr>
                  </w:pPr>
                  <w:r>
                    <w:rPr>
                      <w:rFonts w:hint="eastAsia"/>
                      <w:vertAlign w:val="baseline"/>
                    </w:rPr>
                    <w:t xml:space="preserve">The game </w:t>
                  </w:r>
                  <w:r>
                    <w:rPr>
                      <w:rFonts w:hint="eastAsia" w:eastAsia="宋体"/>
                      <w:vertAlign w:val="baseline"/>
                      <w:lang w:val="en-US" w:eastAsia="zh-CN"/>
                    </w:rPr>
                    <w:t>go</w:t>
                  </w:r>
                  <w:r>
                    <w:rPr>
                      <w:rFonts w:hint="eastAsia"/>
                      <w:vertAlign w:val="baseline"/>
                    </w:rPr>
                    <w:t xml:space="preserve"> on as scheduled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val="0"/>
                    <w:jc w:val="both"/>
                    <w:rPr>
                      <w:rFonts w:hint="eastAsia"/>
                      <w:vertAlign w:val="baseline"/>
                    </w:rPr>
                  </w:pPr>
                  <w:r>
                    <w:rPr>
                      <w:rFonts w:hint="eastAsia"/>
                      <w:vertAlign w:val="baseline"/>
                    </w:rPr>
                    <w:t>Field trip interview</w:t>
                  </w:r>
                </w:p>
              </w:tc>
              <w:tc>
                <w:tcPr>
                  <w:tcW w:w="2130" w:type="dxa"/>
                </w:tcPr>
                <w:p>
                  <w:pPr>
                    <w:widowControl w:val="0"/>
                    <w:jc w:val="both"/>
                    <w:rPr>
                      <w:vertAlign w:val="baseline"/>
                    </w:rPr>
                  </w:pPr>
                  <w:r>
                    <w:rPr>
                      <w:rFonts w:hint="eastAsia" w:eastAsia="宋体"/>
                      <w:vertAlign w:val="baseline"/>
                      <w:lang w:val="en-US" w:eastAsia="zh-CN"/>
                    </w:rPr>
                    <w:t>February 7th 2020</w:t>
                  </w:r>
                </w:p>
              </w:tc>
              <w:tc>
                <w:tcPr>
                  <w:tcW w:w="2131" w:type="dxa"/>
                </w:tcPr>
                <w:p>
                  <w:pPr>
                    <w:widowControl w:val="0"/>
                    <w:jc w:val="both"/>
                    <w:rPr>
                      <w:vertAlign w:val="baseline"/>
                    </w:rPr>
                  </w:pPr>
                  <w:r>
                    <w:rPr>
                      <w:rFonts w:hint="eastAsia" w:eastAsia="宋体"/>
                      <w:vertAlign w:val="baseline"/>
                      <w:lang w:val="en-US" w:eastAsia="zh-CN"/>
                    </w:rPr>
                    <w:t>March 7th 2020</w:t>
                  </w:r>
                </w:p>
              </w:tc>
              <w:tc>
                <w:tcPr>
                  <w:tcW w:w="2131" w:type="dxa"/>
                </w:tcPr>
                <w:p>
                  <w:pPr>
                    <w:widowControl w:val="0"/>
                    <w:jc w:val="both"/>
                    <w:rPr>
                      <w:vertAlign w:val="baseline"/>
                    </w:rPr>
                  </w:pPr>
                  <w:r>
                    <w:rPr>
                      <w:rFonts w:hint="eastAsia"/>
                      <w:vertAlign w:val="baseline"/>
                    </w:rPr>
                    <w:t>Conduct random interviews and inspections during the game to get real and effective feedback and data</w:t>
                  </w:r>
                </w:p>
              </w:tc>
            </w:tr>
          </w:tbl>
          <w:p>
            <w:pPr>
              <w:spacing w:after="0" w:line="240" w:lineRule="auto"/>
              <w:ind w:left="426"/>
              <w:jc w:val="both"/>
            </w:pPr>
          </w:p>
          <w:p>
            <w:pPr>
              <w:pStyle w:val="12"/>
              <w:spacing w:after="0" w:line="240" w:lineRule="auto"/>
              <w:ind w:left="426"/>
              <w:jc w:val="both"/>
            </w:pPr>
            <w:r>
              <w:t xml:space="preserve"> </w:t>
            </w:r>
          </w:p>
        </w:tc>
      </w:tr>
    </w:tbl>
    <w:p>
      <w:pPr>
        <w:jc w:val="both"/>
      </w:pPr>
    </w:p>
    <w:p>
      <w:pPr>
        <w:jc w:val="both"/>
      </w:pPr>
    </w:p>
    <w:p>
      <w:pPr>
        <w:jc w:val="both"/>
      </w:pP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 PAGE   \* MERGEFORMAT </w:instrText>
    </w:r>
    <w:r>
      <w:fldChar w:fldCharType="separate"/>
    </w:r>
    <w:r>
      <w:t>2</w:t>
    </w:r>
    <w: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A2CD35"/>
    <w:multiLevelType w:val="singleLevel"/>
    <w:tmpl w:val="C2A2CD35"/>
    <w:lvl w:ilvl="0" w:tentative="0">
      <w:start w:val="2"/>
      <w:numFmt w:val="decimal"/>
      <w:suff w:val="space"/>
      <w:lvlText w:val="%1."/>
      <w:lvlJc w:val="left"/>
    </w:lvl>
  </w:abstractNum>
  <w:abstractNum w:abstractNumId="1">
    <w:nsid w:val="464C0D10"/>
    <w:multiLevelType w:val="multilevel"/>
    <w:tmpl w:val="464C0D10"/>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4E"/>
    <w:rsid w:val="000964F8"/>
    <w:rsid w:val="001174BC"/>
    <w:rsid w:val="0018081D"/>
    <w:rsid w:val="00224492"/>
    <w:rsid w:val="0022493F"/>
    <w:rsid w:val="0032486A"/>
    <w:rsid w:val="00332E1E"/>
    <w:rsid w:val="00365749"/>
    <w:rsid w:val="0040108D"/>
    <w:rsid w:val="004648C0"/>
    <w:rsid w:val="004C50EB"/>
    <w:rsid w:val="004D299A"/>
    <w:rsid w:val="004D7416"/>
    <w:rsid w:val="00531F3E"/>
    <w:rsid w:val="00561C79"/>
    <w:rsid w:val="005C7329"/>
    <w:rsid w:val="006256BA"/>
    <w:rsid w:val="00736048"/>
    <w:rsid w:val="00892DBB"/>
    <w:rsid w:val="008B1BE4"/>
    <w:rsid w:val="00A04578"/>
    <w:rsid w:val="00A270F7"/>
    <w:rsid w:val="00A81723"/>
    <w:rsid w:val="00AD1F6C"/>
    <w:rsid w:val="00B154E9"/>
    <w:rsid w:val="00B72DDC"/>
    <w:rsid w:val="00BB5129"/>
    <w:rsid w:val="00BF3EB1"/>
    <w:rsid w:val="00C4434E"/>
    <w:rsid w:val="00C47110"/>
    <w:rsid w:val="00D0526A"/>
    <w:rsid w:val="00DC2A62"/>
    <w:rsid w:val="00DE7664"/>
    <w:rsid w:val="00DF1581"/>
    <w:rsid w:val="00E44163"/>
    <w:rsid w:val="00F162E1"/>
    <w:rsid w:val="00F93930"/>
    <w:rsid w:val="0BC861FF"/>
    <w:rsid w:val="182060B9"/>
    <w:rsid w:val="1C282BFA"/>
    <w:rsid w:val="1D3C66E5"/>
    <w:rsid w:val="35C15648"/>
    <w:rsid w:val="4D5F633D"/>
    <w:rsid w:val="4DDB1FB1"/>
    <w:rsid w:val="587538FA"/>
    <w:rsid w:val="64174974"/>
    <w:rsid w:val="691E7DBC"/>
    <w:rsid w:val="759B47A9"/>
    <w:rsid w:val="7AC1089A"/>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en-GB" w:eastAsia="en-US" w:bidi="ar-SA"/>
    </w:rPr>
  </w:style>
  <w:style w:type="paragraph" w:styleId="2">
    <w:name w:val="heading 2"/>
    <w:basedOn w:val="1"/>
    <w:next w:val="1"/>
    <w:link w:val="15"/>
    <w:qFormat/>
    <w:locked/>
    <w:uiPriority w:val="99"/>
    <w:pPr>
      <w:keepNext/>
      <w:spacing w:before="240" w:after="60"/>
      <w:outlineLvl w:val="1"/>
    </w:pPr>
    <w:rPr>
      <w:rFonts w:ascii="Arial" w:hAnsi="Arial" w:cs="Arial"/>
      <w:b/>
      <w:bCs/>
      <w:i/>
      <w:i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11"/>
    <w:semiHidden/>
    <w:uiPriority w:val="99"/>
    <w:pPr>
      <w:spacing w:after="0" w:line="240" w:lineRule="auto"/>
    </w:pPr>
    <w:rPr>
      <w:rFonts w:ascii="Tahoma" w:hAnsi="Tahoma" w:cs="Tahoma"/>
      <w:sz w:val="16"/>
      <w:szCs w:val="16"/>
    </w:rPr>
  </w:style>
  <w:style w:type="paragraph" w:styleId="4">
    <w:name w:val="footer"/>
    <w:basedOn w:val="1"/>
    <w:link w:val="14"/>
    <w:uiPriority w:val="99"/>
    <w:pPr>
      <w:tabs>
        <w:tab w:val="center" w:pos="4513"/>
        <w:tab w:val="right" w:pos="9026"/>
      </w:tabs>
      <w:spacing w:after="0" w:line="240" w:lineRule="auto"/>
    </w:pPr>
  </w:style>
  <w:style w:type="paragraph" w:styleId="5">
    <w:name w:val="header"/>
    <w:basedOn w:val="1"/>
    <w:link w:val="13"/>
    <w:qFormat/>
    <w:uiPriority w:val="99"/>
    <w:pPr>
      <w:tabs>
        <w:tab w:val="center" w:pos="4513"/>
        <w:tab w:val="right" w:pos="9026"/>
      </w:tabs>
      <w:spacing w:after="0" w:line="240" w:lineRule="auto"/>
    </w:pPr>
  </w:style>
  <w:style w:type="table" w:styleId="7">
    <w:name w:val="Table Grid"/>
    <w:basedOn w:val="6"/>
    <w:uiPriority w:val="99"/>
    <w:pPr>
      <w:spacing w:after="0" w:line="240" w:lineRule="auto"/>
    </w:pPr>
    <w:rPr>
      <w:rFonts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locked/>
    <w:uiPriority w:val="22"/>
    <w:rPr>
      <w:rFonts w:cs="Times New Roman"/>
      <w:b/>
    </w:rPr>
  </w:style>
  <w:style w:type="character" w:customStyle="1" w:styleId="10">
    <w:name w:val="Heading 2 Char"/>
    <w:basedOn w:val="8"/>
    <w:link w:val="2"/>
    <w:qFormat/>
    <w:locked/>
    <w:uiPriority w:val="99"/>
    <w:rPr>
      <w:rFonts w:ascii="Arial" w:hAnsi="Arial" w:cs="Arial"/>
      <w:b/>
      <w:bCs/>
      <w:i/>
      <w:iCs/>
      <w:sz w:val="28"/>
      <w:szCs w:val="28"/>
      <w:lang w:val="zh-CN" w:eastAsia="en-US"/>
    </w:rPr>
  </w:style>
  <w:style w:type="character" w:customStyle="1" w:styleId="11">
    <w:name w:val="Balloon Text Char"/>
    <w:basedOn w:val="8"/>
    <w:link w:val="3"/>
    <w:semiHidden/>
    <w:qFormat/>
    <w:locked/>
    <w:uiPriority w:val="99"/>
    <w:rPr>
      <w:rFonts w:ascii="Tahoma" w:hAnsi="Tahoma" w:cs="Tahoma"/>
      <w:sz w:val="16"/>
      <w:szCs w:val="16"/>
    </w:rPr>
  </w:style>
  <w:style w:type="paragraph" w:styleId="12">
    <w:name w:val="List Paragraph"/>
    <w:basedOn w:val="1"/>
    <w:qFormat/>
    <w:uiPriority w:val="99"/>
    <w:pPr>
      <w:ind w:left="720"/>
      <w:contextualSpacing/>
    </w:pPr>
  </w:style>
  <w:style w:type="character" w:customStyle="1" w:styleId="13">
    <w:name w:val="Header Char"/>
    <w:basedOn w:val="8"/>
    <w:link w:val="5"/>
    <w:qFormat/>
    <w:locked/>
    <w:uiPriority w:val="99"/>
    <w:rPr>
      <w:rFonts w:cs="Times New Roman"/>
    </w:rPr>
  </w:style>
  <w:style w:type="character" w:customStyle="1" w:styleId="14">
    <w:name w:val="Footer Char"/>
    <w:basedOn w:val="8"/>
    <w:link w:val="4"/>
    <w:qFormat/>
    <w:locked/>
    <w:uiPriority w:val="99"/>
    <w:rPr>
      <w:rFonts w:cs="Times New Roman"/>
    </w:rPr>
  </w:style>
  <w:style w:type="character" w:customStyle="1" w:styleId="15">
    <w:name w:val="标题 2 Char"/>
    <w:link w:val="2"/>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44C18F-C5BA-4B2E-A018-87B2C7701FEB}">
  <ds:schemaRefs/>
</ds:datastoreItem>
</file>

<file path=customXml/itemProps3.xml><?xml version="1.0" encoding="utf-8"?>
<ds:datastoreItem xmlns:ds="http://schemas.openxmlformats.org/officeDocument/2006/customXml" ds:itemID="{463D3D0A-3F94-4711-9655-67BA8CA9A9CC}">
  <ds:schemaRefs/>
</ds:datastoreItem>
</file>

<file path=customXml/itemProps4.xml><?xml version="1.0" encoding="utf-8"?>
<ds:datastoreItem xmlns:ds="http://schemas.openxmlformats.org/officeDocument/2006/customXml" ds:itemID="{57E65957-BCD0-4B7F-B99E-444EDD0DAB9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306</Words>
  <Characters>1746</Characters>
  <Lines>14</Lines>
  <Paragraphs>4</Paragraphs>
  <TotalTime>44</TotalTime>
  <ScaleCrop>false</ScaleCrop>
  <LinksUpToDate>false</LinksUpToDate>
  <CharactersWithSpaces>2048</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2019-09-24T12:22:00Z</dcterms:created>
  <dc:creator>Ciotek Server</dc:creator>
  <cp:lastModifiedBy>张岳岳岳岳岳岳岳</cp:lastModifiedBy>
  <dcterms:modified xsi:type="dcterms:W3CDTF">2019-12-06T11:03:02Z</dcterms:modified>
  <dc:title> </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2052-11.1.0.9208</vt:lpwstr>
  </property>
</Properties>
</file>