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502B7C2" w14:textId="77777777" w:rsidR="009622A0" w:rsidRDefault="00000000" w:rsidP="00FF6DBC">
      <w:pPr>
        <w:ind w:firstLine="720"/>
      </w:pPr>
      <w:r>
        <w:t>The Subject of saddles and equestrianism is a fascinating topic. The connection between a knight and his horse is paramount, however this is very rarely explored.</w:t>
      </w:r>
      <w:r w:rsidR="00460EDD">
        <w:t xml:space="preserve"> The Study of Horses and equestrianism was brought forward for examination by academia most prominently by Ann Hyland in her book “The Medieval Warhorse</w:t>
      </w:r>
      <w:r w:rsidR="0033786C">
        <w:t>: From Byzantium to the Crusades</w:t>
      </w:r>
      <w:r w:rsidR="00460EDD">
        <w:t>”</w:t>
      </w:r>
      <w:r>
        <w:rPr>
          <w:rStyle w:val="FootnoteReference"/>
        </w:rPr>
        <w:footnoteReference w:id="1"/>
      </w:r>
      <w:r w:rsidR="00460EDD">
        <w:t>. While the study of the role of animals in history is a growing subject there is almost nothing on the equipment used.</w:t>
      </w:r>
      <w:r>
        <w:t xml:space="preserve"> A Reconstruction of a late 12</w:t>
      </w:r>
      <w:r w:rsidRPr="00130691">
        <w:rPr>
          <w:vertAlign w:val="superscript"/>
        </w:rPr>
        <w:t>th</w:t>
      </w:r>
      <w:r w:rsidR="00130691">
        <w:t>-early 13</w:t>
      </w:r>
      <w:r w:rsidR="00130691" w:rsidRPr="00130691">
        <w:rPr>
          <w:vertAlign w:val="superscript"/>
        </w:rPr>
        <w:t>th</w:t>
      </w:r>
      <w:r>
        <w:t>-century war saddle will allow for a close look at both the battlefield role of knights and the culture of knighthood and equestrianism in this period.</w:t>
      </w:r>
      <w:r w:rsidR="00FF6DBC">
        <w:t xml:space="preserve"> </w:t>
      </w:r>
      <w:r w:rsidR="00EC1EC8">
        <w:t>A</w:t>
      </w:r>
      <w:r w:rsidR="00FF6DBC">
        <w:t xml:space="preserve"> reconstruction</w:t>
      </w:r>
      <w:r w:rsidR="00EC1EC8">
        <w:t xml:space="preserve"> alone, while very interesting and educational, is almost useless in that it is merely an artefact. However, when it is paired with a written report analysing both the methods used and the primary sources that informed the project reconstruction can be an incredibly useful endeavour. A report with pictures detailing the process and sources used when paired with the saddle itself elevates the project.</w:t>
      </w:r>
      <w:r w:rsidR="00D73BC4">
        <w:t xml:space="preserve"> </w:t>
      </w:r>
    </w:p>
    <w:p w14:paraId="64507088" w14:textId="77777777" w:rsidR="000506F2" w:rsidRDefault="00000000" w:rsidP="00FF6DBC">
      <w:pPr>
        <w:ind w:firstLine="720"/>
      </w:pPr>
      <w:r>
        <w:rPr>
          <w:noProof/>
        </w:rPr>
        <w:pict w14:anchorId="7AA65F66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242.4pt;margin-top:185.7pt;width:208.9pt;height:.05pt;z-index:251659264" stroked="f">
            <v:textbox style="mso-fit-shape-to-text:t" inset="0,0,0,0">
              <w:txbxContent>
                <w:p w14:paraId="1B3E7621" w14:textId="77777777" w:rsidR="0033786C" w:rsidRPr="00EF2FEA" w:rsidRDefault="00000000" w:rsidP="0033786C">
                  <w:pPr>
                    <w:pStyle w:val="Caption"/>
                    <w:rPr>
                      <w:noProof/>
                      <w:sz w:val="22"/>
                      <w:szCs w:val="22"/>
                    </w:rPr>
                  </w:pPr>
                  <w:r>
                    <w:t xml:space="preserve">Figure </w:t>
                  </w:r>
                  <w:r w:rsidR="00C45819">
                    <w:fldChar w:fldCharType="begin"/>
                  </w:r>
                  <w:r>
                    <w:instrText xml:space="preserve"> SEQ Figure \* ARABIC </w:instrText>
                  </w:r>
                  <w:r w:rsidR="00C45819">
                    <w:fldChar w:fldCharType="separate"/>
                  </w:r>
                  <w:r w:rsidR="00C45819">
                    <w:rPr>
                      <w:noProof/>
                    </w:rPr>
                    <w:t>1</w:t>
                  </w:r>
                  <w:r w:rsidR="00C45819">
                    <w:rPr>
                      <w:noProof/>
                    </w:rPr>
                    <w:fldChar w:fldCharType="end"/>
                  </w:r>
                  <w:r>
                    <w:t xml:space="preserve"> </w:t>
                  </w:r>
                  <w:r w:rsidRPr="00CB3C2E">
                    <w:t>Cambridge MS O.9.34 Romance of Alexander</w:t>
                  </w:r>
                  <w:r>
                    <w:t xml:space="preserve"> 1250 </w:t>
                  </w:r>
                </w:p>
              </w:txbxContent>
            </v:textbox>
            <w10:wrap type="square"/>
          </v:shape>
        </w:pict>
      </w:r>
      <w:r>
        <w:rPr>
          <w:noProof/>
        </w:rPr>
        <w:drawing>
          <wp:anchor distT="0" distB="0" distL="114300" distR="114300" simplePos="0" relativeHeight="251658240" behindDoc="0" locked="0" layoutInCell="1" allowOverlap="1" wp14:anchorId="5BA6CC41" wp14:editId="1017A3AC">
            <wp:simplePos x="0" y="0"/>
            <wp:positionH relativeFrom="column">
              <wp:posOffset>3078480</wp:posOffset>
            </wp:positionH>
            <wp:positionV relativeFrom="paragraph">
              <wp:posOffset>113030</wp:posOffset>
            </wp:positionV>
            <wp:extent cx="2653030" cy="2188324"/>
            <wp:effectExtent l="0" t="0" r="0" b="0"/>
            <wp:wrapSquare wrapText="bothSides"/>
            <wp:docPr id="1190005980" name="Picture 2" descr="A drawing of a person holding a spear and a hor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90005980" name="Picture 2" descr="A drawing of a person holding a spear and a hors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3030" cy="218832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EC1EC8">
        <w:t>This History Independent Project has two halves, the first is the research half, as my dissertation covering the evolution of saddles I have been closely examining saddles for almost a year now.</w:t>
      </w:r>
      <w:r w:rsidR="006C64FB">
        <w:t xml:space="preserve"> For this half identifying relevant primary source and secondary source material for the reconstruction is paramount.</w:t>
      </w:r>
      <w:r w:rsidR="00460EDD">
        <w:t xml:space="preserve"> There are numerous primary source materials needed</w:t>
      </w:r>
      <w:r w:rsidR="00121013">
        <w:t>, including a number of visual references, and written sources, to be able to figure out what it presents.</w:t>
      </w:r>
      <w:r w:rsidR="00130691">
        <w:t xml:space="preserve"> The way I have chosen to do this reconstruction is to select a few primary images to use to inform this reconstruction. </w:t>
      </w:r>
      <w:r>
        <w:t xml:space="preserve">Sources that are useful to </w:t>
      </w:r>
      <w:r w:rsidR="00130691">
        <w:t xml:space="preserve">this </w:t>
      </w:r>
      <w:r>
        <w:t>reconstruction are those like</w:t>
      </w:r>
      <w:r w:rsidR="00130691">
        <w:t xml:space="preserve"> Figure 1</w:t>
      </w:r>
      <w:r>
        <w:rPr>
          <w:rStyle w:val="FootnoteReference"/>
        </w:rPr>
        <w:footnoteReference w:id="2"/>
      </w:r>
      <w:r w:rsidR="00130691">
        <w:t xml:space="preserve"> </w:t>
      </w:r>
      <w:r>
        <w:t xml:space="preserve">where no rider is astride the horse. This allows for an Unobstructed view of the saddle. </w:t>
      </w:r>
    </w:p>
    <w:p w14:paraId="7CF9F030" w14:textId="77777777" w:rsidR="00F46527" w:rsidRDefault="00000000" w:rsidP="00F46527">
      <w:pPr>
        <w:ind w:firstLine="720"/>
      </w:pPr>
      <w:r>
        <w:t>The list of secondary source material to consider</w:t>
      </w:r>
      <w:r w:rsidR="0033786C">
        <w:t xml:space="preserve"> is significantly shorter than that of the primary source material, mainly due to a shortage of scholarship on this topic. Books such as the aforementioned “The Medieval Warhorse: From Byzantium to the Crusades” and the confusingly named “The Medieval Warhorse", by R.H.C. Davis</w:t>
      </w:r>
      <w:r>
        <w:rPr>
          <w:rStyle w:val="FootnoteReference"/>
        </w:rPr>
        <w:footnoteReference w:id="3"/>
      </w:r>
      <w:r w:rsidR="0033786C">
        <w:t xml:space="preserve"> are crucial, as well as works like “The Medieval Horse and Its Equipment, c.1150-1450” by John Clark.</w:t>
      </w:r>
      <w:r>
        <w:rPr>
          <w:rStyle w:val="FootnoteReference"/>
        </w:rPr>
        <w:footnoteReference w:id="4"/>
      </w:r>
      <w:r w:rsidR="0033786C">
        <w:t xml:space="preserve"> It is also important to consider other reconstruction attempts. In my reading on the topic I have encountered a reconstruction of a 14</w:t>
      </w:r>
      <w:r w:rsidR="0033786C" w:rsidRPr="0033786C">
        <w:rPr>
          <w:vertAlign w:val="superscript"/>
        </w:rPr>
        <w:t>th</w:t>
      </w:r>
      <w:r w:rsidR="0033786C">
        <w:t>-15</w:t>
      </w:r>
      <w:r w:rsidR="0033786C" w:rsidRPr="0033786C">
        <w:rPr>
          <w:vertAlign w:val="superscript"/>
        </w:rPr>
        <w:t>th</w:t>
      </w:r>
      <w:r w:rsidR="0033786C">
        <w:t xml:space="preserve"> Century saddle by Arne Koets, a famous re-enactment jouster, and dressage rider. While Mr Koets' reconstruction is of a later date and was not made solely for academic purposes, his insight into his own process will be invaluable because of his real experiences in the saddle.</w:t>
      </w:r>
    </w:p>
    <w:p w14:paraId="1B805907" w14:textId="77777777" w:rsidR="00E915FD" w:rsidRDefault="00000000" w:rsidP="00E915FD">
      <w:pPr>
        <w:ind w:firstLine="720"/>
      </w:pPr>
      <w:r>
        <w:t xml:space="preserve">Once the first set of data is procured </w:t>
      </w:r>
      <w:r w:rsidR="00391D6A">
        <w:t xml:space="preserve">that provides the information for the recreation the work can begin. Because of the time stresses involved with this project, this initial stage should </w:t>
      </w:r>
      <w:r w:rsidR="00391D6A">
        <w:lastRenderedPageBreak/>
        <w:t xml:space="preserve">be fairly fast. Picking a saddle and buying all the needed materials so that there is time to </w:t>
      </w:r>
      <w:r>
        <w:t xml:space="preserve">actually do the reconstruction. </w:t>
      </w:r>
    </w:p>
    <w:p w14:paraId="25E41120" w14:textId="77777777" w:rsidR="007874DA" w:rsidRDefault="00000000" w:rsidP="00E915FD">
      <w:pPr>
        <w:ind w:firstLine="720"/>
      </w:pPr>
      <w:r>
        <w:t>The project plan I have put together is this project, for the first few days after lectures end, I will be in the library finding the primary source I need for the reconstruction.</w:t>
      </w:r>
      <w:r w:rsidR="00723ED7">
        <w:t xml:space="preserve"> I will look for sources that allow me to fill the gaps left in pictorial depictions. I am aware of "</w:t>
      </w:r>
      <w:r w:rsidR="00723ED7" w:rsidRPr="00B15F3C">
        <w:t>On divers arts; the treatise of Theophilus</w:t>
      </w:r>
      <w:r w:rsidR="00723ED7">
        <w:t xml:space="preserve"> Presbyter” which is an early-mid 12</w:t>
      </w:r>
      <w:r w:rsidR="00723ED7" w:rsidRPr="00723ED7">
        <w:rPr>
          <w:vertAlign w:val="superscript"/>
        </w:rPr>
        <w:t>th</w:t>
      </w:r>
      <w:r w:rsidR="00723ED7">
        <w:t>-century text on how to make various objects.</w:t>
      </w:r>
      <w:r>
        <w:rPr>
          <w:rStyle w:val="FootnoteReference"/>
        </w:rPr>
        <w:footnoteReference w:id="5"/>
      </w:r>
      <w:r w:rsidR="00723ED7">
        <w:t xml:space="preserve"> That will be my first port of call to determine if it has anything on saddles. </w:t>
      </w:r>
      <w:r w:rsidR="00AA0F6B">
        <w:t xml:space="preserve">In this time I will order the supplies needed to do the reconstruction. </w:t>
      </w:r>
    </w:p>
    <w:p w14:paraId="3971B937" w14:textId="77777777" w:rsidR="005A1636" w:rsidRDefault="00000000" w:rsidP="005A1636">
      <w:pPr>
        <w:ind w:firstLine="720"/>
      </w:pPr>
      <w:r>
        <w:t xml:space="preserve">In the second week, I will continue my research and start outlining the report that is to go alongside the reconstruction. </w:t>
      </w:r>
      <w:r w:rsidR="00E77AFC">
        <w:t xml:space="preserve">While I won't be able to fill out the report until the actual work on the saddle has been done </w:t>
      </w:r>
      <w:r w:rsidR="00BB791A">
        <w:t xml:space="preserve">outlining the report and framing the whole thing will make the work much easier once I have begun to do the work on it. </w:t>
      </w:r>
      <w:r w:rsidR="00AA0F6B">
        <w:t xml:space="preserve">If the supplies needed for this reconstruction arrive in time, I can begin to do the work. </w:t>
      </w:r>
    </w:p>
    <w:p w14:paraId="5ADB3C7C" w14:textId="77777777" w:rsidR="005A1636" w:rsidRDefault="005A1636" w:rsidP="005A1636">
      <w:pPr>
        <w:ind w:firstLine="720"/>
      </w:pPr>
    </w:p>
    <w:p w14:paraId="27AC4228" w14:textId="77777777" w:rsidR="005A1636" w:rsidRDefault="00723ED7" w:rsidP="005A1636">
      <w:pPr>
        <w:ind w:firstLine="720"/>
      </w:pPr>
      <w:r>
        <w:tab/>
        <w:t xml:space="preserve">Starting the </w:t>
      </w:r>
      <w:r w:rsidR="00000000">
        <w:t>third</w:t>
      </w:r>
      <w:r>
        <w:t xml:space="preserve"> week after I have found my resources I will begin the work on the actual saddle itself. I have a saddle tree already carved, it is broken which means it will need to be fixed before it can be reconstructed. </w:t>
      </w:r>
      <w:r w:rsidR="00000000">
        <w:t>Once I have fixed and sorted the saddle tree out I will begin to do the rest of the work.</w:t>
      </w:r>
    </w:p>
    <w:p w14:paraId="1672BB98" w14:textId="77777777" w:rsidR="00C45819" w:rsidRDefault="00000000" w:rsidP="00C45819">
      <w:pPr>
        <w:ind w:firstLine="720"/>
      </w:pPr>
      <w:r>
        <w:rPr>
          <w:noProof/>
        </w:rPr>
        <w:drawing>
          <wp:anchor distT="0" distB="0" distL="114300" distR="114300" simplePos="0" relativeHeight="251661312" behindDoc="0" locked="0" layoutInCell="1" allowOverlap="1" wp14:anchorId="1FD88691" wp14:editId="50AF32C7">
            <wp:simplePos x="0" y="0"/>
            <wp:positionH relativeFrom="column">
              <wp:posOffset>2811780</wp:posOffset>
            </wp:positionH>
            <wp:positionV relativeFrom="paragraph">
              <wp:posOffset>9525</wp:posOffset>
            </wp:positionV>
            <wp:extent cx="3185160" cy="3080385"/>
            <wp:effectExtent l="0" t="0" r="0" b="0"/>
            <wp:wrapSquare wrapText="bothSides"/>
            <wp:docPr id="883773685" name="Picture 3" descr="A drawing of a person on a hors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83773685" name="Picture 3" descr="A drawing of a person on a horse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185160" cy="308038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>
        <w:rPr>
          <w:noProof/>
        </w:rPr>
        <w:pict w14:anchorId="6C3BEEC8">
          <v:shape id="_x0000_s1026" type="#_x0000_t202" style="position:absolute;left:0;text-align:left;margin-left:206.4pt;margin-top:247.8pt;width:250.8pt;height:.05pt;z-index:251660288;mso-position-horizontal-relative:text;mso-position-vertical-relative:text" stroked="f">
            <v:textbox style="mso-fit-shape-to-text:t" inset="0,0,0,0">
              <w:txbxContent>
                <w:p w14:paraId="1EDA081B" w14:textId="77777777" w:rsidR="00C45819" w:rsidRPr="002B502B" w:rsidRDefault="00000000" w:rsidP="00C45819">
                  <w:pPr>
                    <w:pStyle w:val="Caption"/>
                    <w:rPr>
                      <w:noProof/>
                      <w:sz w:val="22"/>
                      <w:szCs w:val="22"/>
                    </w:rPr>
                  </w:pPr>
                  <w:r>
                    <w:t xml:space="preserve">Figure </w:t>
                  </w:r>
                  <w:fldSimple w:instr=" SEQ Figure \* ARABIC ">
                    <w:r>
                      <w:rPr>
                        <w:noProof/>
                      </w:rPr>
                      <w:t>2</w:t>
                    </w:r>
                  </w:fldSimple>
                  <w:r>
                    <w:t xml:space="preserve"> </w:t>
                  </w:r>
                  <w:r w:rsidRPr="008B1B58">
                    <w:t>BL Burney 216 Historia adversus paganos</w:t>
                  </w:r>
                  <w:r>
                    <w:t xml:space="preserve"> 1126-1175</w:t>
                  </w:r>
                </w:p>
              </w:txbxContent>
            </v:textbox>
            <w10:wrap type="square"/>
          </v:shape>
        </w:pict>
      </w:r>
      <w:r w:rsidR="005A1636">
        <w:t xml:space="preserve">In order to have a completed saddle, I will have to sand the wood to a smooth finish, apply authentic Gesso, rabbit hide glue, and chalk, sand that and apply a number of coats to the desired finish. Then I will have to paint the saddle with authentically made paints made of egg tempera and pigments. </w:t>
      </w:r>
      <w:r w:rsidR="009B0C30">
        <w:t xml:space="preserve">I will then have to sew together the saddle covers made from authentically made fabrics. The saddle covers will be based on iconography from the period. </w:t>
      </w:r>
    </w:p>
    <w:p w14:paraId="178F1DB4" w14:textId="0C1B5850" w:rsidR="00C45819" w:rsidRDefault="00000000" w:rsidP="00587A61">
      <w:pPr>
        <w:ind w:firstLine="720"/>
      </w:pPr>
      <w:r>
        <w:t>Figure 2</w:t>
      </w:r>
      <w:r>
        <w:rPr>
          <w:rStyle w:val="FootnoteReference"/>
        </w:rPr>
        <w:footnoteReference w:id="6"/>
      </w:r>
      <w:r>
        <w:t xml:space="preserve"> provides an insight into how the saddles of the period had 2 separate saddle covers, one for under the saddle and one for over the tree itself and under the rider. The lower one is depicted in beige in this manuscript image.</w:t>
      </w:r>
    </w:p>
    <w:p w14:paraId="687351D0" w14:textId="77777777" w:rsidR="00C45819" w:rsidRDefault="00000000" w:rsidP="00C45819">
      <w:pPr>
        <w:ind w:firstLine="720"/>
      </w:pPr>
      <w:r>
        <w:t xml:space="preserve">Overall this project will be challenging, not only because of the time restraint but also the actual </w:t>
      </w:r>
      <w:r w:rsidR="00297523">
        <w:t xml:space="preserve">skill required for the </w:t>
      </w:r>
      <w:r>
        <w:t xml:space="preserve">project. </w:t>
      </w:r>
      <w:r w:rsidR="00297523">
        <w:t>The subject has not been covered in huge amounts of detail by academia. This project is incredibly interesting, and I am looking forward to being able to complete it well.</w:t>
      </w:r>
    </w:p>
    <w:p w14:paraId="50BA09EB" w14:textId="77777777" w:rsidR="00587A61" w:rsidRDefault="00587A61" w:rsidP="00C45819">
      <w:pPr>
        <w:ind w:firstLine="720"/>
      </w:pPr>
    </w:p>
    <w:p w14:paraId="2B168715" w14:textId="77777777" w:rsidR="00F77FEA" w:rsidRDefault="00000000" w:rsidP="00C45819">
      <w:pPr>
        <w:ind w:firstLine="720"/>
        <w:rPr>
          <w:b/>
          <w:bCs/>
        </w:rPr>
      </w:pPr>
      <w:r>
        <w:rPr>
          <w:b/>
          <w:bCs/>
        </w:rPr>
        <w:t>Bibliography</w:t>
      </w:r>
    </w:p>
    <w:p w14:paraId="1A490766" w14:textId="77777777" w:rsidR="00F77FEA" w:rsidRPr="00F77FEA" w:rsidRDefault="00000000" w:rsidP="00F77FEA">
      <w:pPr>
        <w:ind w:firstLine="720"/>
      </w:pPr>
      <w:r w:rsidRPr="00F77FEA">
        <w:t xml:space="preserve">Clark, John, </w:t>
      </w:r>
      <w:r w:rsidRPr="00F77FEA">
        <w:rPr>
          <w:i/>
          <w:iCs/>
        </w:rPr>
        <w:t>The Medieval Horse and Its Equipment, c.1150–c.1450</w:t>
      </w:r>
      <w:r w:rsidRPr="00F77FEA">
        <w:t xml:space="preserve"> (London: HMSO, 1995; repr. Woodbridge: Boydell, 2004/2011)</w:t>
      </w:r>
    </w:p>
    <w:p w14:paraId="7EAD9490" w14:textId="77777777" w:rsidR="00F77FEA" w:rsidRPr="00F77FEA" w:rsidRDefault="00000000" w:rsidP="00F77FEA">
      <w:pPr>
        <w:ind w:firstLine="720"/>
      </w:pPr>
      <w:r w:rsidRPr="00F77FEA">
        <w:t xml:space="preserve">Davis, R. H. C. (Ralph Henry Carless), </w:t>
      </w:r>
      <w:r w:rsidRPr="00F77FEA">
        <w:rPr>
          <w:i/>
          <w:iCs/>
        </w:rPr>
        <w:t>The Medieval Warhorse: Origin, Development, and Redevelopment</w:t>
      </w:r>
      <w:r w:rsidRPr="00F77FEA">
        <w:t xml:space="preserve"> (London: Thames and Hudson, 1989)</w:t>
      </w:r>
    </w:p>
    <w:p w14:paraId="64296793" w14:textId="77777777" w:rsidR="00F77FEA" w:rsidRPr="00F77FEA" w:rsidRDefault="00000000" w:rsidP="00F77FEA">
      <w:pPr>
        <w:ind w:firstLine="720"/>
      </w:pPr>
      <w:r w:rsidRPr="00F77FEA">
        <w:t xml:space="preserve">Hyland, Ann, </w:t>
      </w:r>
      <w:r w:rsidRPr="00F77FEA">
        <w:rPr>
          <w:i/>
          <w:iCs/>
        </w:rPr>
        <w:t>The Medieval Warhorse: From Byzantium to the Crusades</w:t>
      </w:r>
      <w:r w:rsidRPr="00F77FEA">
        <w:t xml:space="preserve"> (Stroud: Alan Sutton, 1994)</w:t>
      </w:r>
    </w:p>
    <w:p w14:paraId="237757A2" w14:textId="77777777" w:rsidR="00F77FEA" w:rsidRPr="00F77FEA" w:rsidRDefault="00000000" w:rsidP="00F77FEA">
      <w:pPr>
        <w:ind w:firstLine="720"/>
      </w:pPr>
      <w:r w:rsidRPr="00F77FEA">
        <w:rPr>
          <w:i/>
          <w:iCs/>
        </w:rPr>
        <w:t>British Library, MS Burney 216, Historia adversus paganos</w:t>
      </w:r>
      <w:r w:rsidRPr="00F77FEA">
        <w:t>, fol. 32v (York, 1126–1175)</w:t>
      </w:r>
    </w:p>
    <w:p w14:paraId="3469A48A" w14:textId="77777777" w:rsidR="00F77FEA" w:rsidRPr="00F77FEA" w:rsidRDefault="00000000" w:rsidP="00F77FEA">
      <w:pPr>
        <w:ind w:firstLine="720"/>
      </w:pPr>
      <w:r w:rsidRPr="00F77FEA">
        <w:rPr>
          <w:i/>
          <w:iCs/>
        </w:rPr>
        <w:t>Cambridge University Library, MS O.9.34, Romance of Alexander</w:t>
      </w:r>
      <w:r w:rsidRPr="00F77FEA">
        <w:t>, fol. 34r (St Albans, c.1250)</w:t>
      </w:r>
    </w:p>
    <w:p w14:paraId="53DA0EEF" w14:textId="77777777" w:rsidR="00F77FEA" w:rsidRPr="00F77FEA" w:rsidRDefault="00000000" w:rsidP="00F77FEA">
      <w:pPr>
        <w:ind w:firstLine="720"/>
      </w:pPr>
      <w:r w:rsidRPr="00F77FEA">
        <w:t xml:space="preserve">Theophilus, </w:t>
      </w:r>
      <w:r w:rsidRPr="00F77FEA">
        <w:rPr>
          <w:i/>
          <w:iCs/>
        </w:rPr>
        <w:t>On Divers Arts: The Treatise of Theophilus</w:t>
      </w:r>
      <w:r w:rsidRPr="00F77FEA">
        <w:t>, ed. and trans. by John G. Hawthorne and Cyril Stanley Smith (Chicago: University of Chicago Press, 1963)</w:t>
      </w:r>
    </w:p>
    <w:p w14:paraId="6F7BC7A1" w14:textId="77777777" w:rsidR="00F77FEA" w:rsidRPr="00F77FEA" w:rsidRDefault="00F77FEA" w:rsidP="00C45819">
      <w:pPr>
        <w:ind w:firstLine="720"/>
      </w:pPr>
    </w:p>
    <w:sectPr w:rsidR="00F77FEA" w:rsidRPr="00F77FE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91E7AD" w14:textId="77777777" w:rsidR="00DC3E7F" w:rsidRDefault="00DC3E7F">
      <w:pPr>
        <w:spacing w:after="0" w:line="240" w:lineRule="auto"/>
      </w:pPr>
      <w:r>
        <w:separator/>
      </w:r>
    </w:p>
  </w:endnote>
  <w:endnote w:type="continuationSeparator" w:id="0">
    <w:p w14:paraId="32704481" w14:textId="77777777" w:rsidR="00DC3E7F" w:rsidRDefault="00DC3E7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8E8AEB9" w14:textId="77777777" w:rsidR="00DC3E7F" w:rsidRDefault="00DC3E7F" w:rsidP="007D43B4">
      <w:pPr>
        <w:spacing w:after="0" w:line="240" w:lineRule="auto"/>
      </w:pPr>
      <w:r>
        <w:separator/>
      </w:r>
    </w:p>
  </w:footnote>
  <w:footnote w:type="continuationSeparator" w:id="0">
    <w:p w14:paraId="5A5CA528" w14:textId="77777777" w:rsidR="00DC3E7F" w:rsidRDefault="00DC3E7F" w:rsidP="007D43B4">
      <w:pPr>
        <w:spacing w:after="0" w:line="240" w:lineRule="auto"/>
      </w:pPr>
      <w:r>
        <w:continuationSeparator/>
      </w:r>
    </w:p>
  </w:footnote>
  <w:footnote w:id="1">
    <w:p w14:paraId="32292403" w14:textId="77777777" w:rsidR="00460EDD" w:rsidRDefault="00000000" w:rsidP="00460EDD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7801" w:rsidRPr="00657801">
        <w:t>Ann</w:t>
      </w:r>
      <w:r w:rsidR="00657801">
        <w:t xml:space="preserve"> </w:t>
      </w:r>
      <w:r w:rsidR="00657801" w:rsidRPr="00657801">
        <w:t xml:space="preserve">Hyland, </w:t>
      </w:r>
      <w:r w:rsidR="00657801" w:rsidRPr="00657801">
        <w:rPr>
          <w:i/>
          <w:iCs/>
        </w:rPr>
        <w:t>The Medieval Warhorse</w:t>
      </w:r>
      <w:r w:rsidR="00657801" w:rsidRPr="00657801">
        <w:rPr>
          <w:rFonts w:ascii="Arial" w:hAnsi="Arial" w:cs="Arial"/>
          <w:i/>
          <w:iCs/>
        </w:rPr>
        <w:t> </w:t>
      </w:r>
      <w:r w:rsidR="00657801" w:rsidRPr="00657801">
        <w:rPr>
          <w:i/>
          <w:iCs/>
        </w:rPr>
        <w:t>: From Byzantium to the Crusades</w:t>
      </w:r>
      <w:r w:rsidR="00657801" w:rsidRPr="00657801">
        <w:t xml:space="preserve"> (Alan Sutton, 1994)</w:t>
      </w:r>
    </w:p>
  </w:footnote>
  <w:footnote w:id="2">
    <w:p w14:paraId="6F5764D3" w14:textId="77777777" w:rsidR="0033786C" w:rsidRDefault="00000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88134A" w:rsidRPr="0088134A">
        <w:rPr>
          <w:i/>
          <w:iCs/>
        </w:rPr>
        <w:t>Cambridge University Library, MS O.9.34, Romance of Alexander</w:t>
      </w:r>
      <w:r w:rsidR="0088134A" w:rsidRPr="0088134A">
        <w:t>, fol. 34r (St Albans, c.1250).</w:t>
      </w:r>
    </w:p>
  </w:footnote>
  <w:footnote w:id="3">
    <w:p w14:paraId="06C3D569" w14:textId="77777777" w:rsidR="00B05732" w:rsidRDefault="00000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657801" w:rsidRPr="00657801">
        <w:t>R. H. C</w:t>
      </w:r>
      <w:r w:rsidR="00657801">
        <w:t xml:space="preserve">. </w:t>
      </w:r>
      <w:r w:rsidR="00657801" w:rsidRPr="00657801">
        <w:t xml:space="preserve">Davis, (Ralph Henry Carless), </w:t>
      </w:r>
      <w:r w:rsidR="00657801" w:rsidRPr="00657801">
        <w:rPr>
          <w:i/>
          <w:iCs/>
        </w:rPr>
        <w:t>The Medieval Warhorse</w:t>
      </w:r>
      <w:r w:rsidR="00657801" w:rsidRPr="00657801">
        <w:rPr>
          <w:rFonts w:ascii="Arial" w:hAnsi="Arial" w:cs="Arial"/>
          <w:i/>
          <w:iCs/>
        </w:rPr>
        <w:t> </w:t>
      </w:r>
      <w:r w:rsidR="00657801" w:rsidRPr="00657801">
        <w:rPr>
          <w:i/>
          <w:iCs/>
        </w:rPr>
        <w:t>: Origin, Development, and Redevelopment</w:t>
      </w:r>
      <w:r w:rsidR="00657801" w:rsidRPr="00657801">
        <w:t xml:space="preserve"> (Thames and Hudson, 1989)</w:t>
      </w:r>
    </w:p>
  </w:footnote>
  <w:footnote w:id="4">
    <w:p w14:paraId="21DEE035" w14:textId="77777777" w:rsidR="00140BE6" w:rsidRDefault="00000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140BE6">
        <w:t xml:space="preserve">John Clark, </w:t>
      </w:r>
      <w:r w:rsidRPr="00140BE6">
        <w:rPr>
          <w:i/>
          <w:iCs/>
        </w:rPr>
        <w:t>The Medieval Horse and Its Equipment, c.1150–c.1450</w:t>
      </w:r>
      <w:r w:rsidRPr="00140BE6">
        <w:t xml:space="preserve"> (London: HMSO, 1995; repr. Woodbridge: Boydell, 2004/2011).</w:t>
      </w:r>
    </w:p>
  </w:footnote>
  <w:footnote w:id="5">
    <w:p w14:paraId="7E4C1A88" w14:textId="77777777" w:rsidR="00723ED7" w:rsidRDefault="00000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9D13AB" w:rsidRPr="009D13AB">
        <w:t xml:space="preserve">Theophilus, </w:t>
      </w:r>
      <w:r w:rsidR="009D13AB" w:rsidRPr="009D13AB">
        <w:rPr>
          <w:i/>
          <w:iCs/>
        </w:rPr>
        <w:t>On Divers Arts: The Treatise of Theophilus</w:t>
      </w:r>
      <w:r w:rsidR="009D13AB" w:rsidRPr="009D13AB">
        <w:t>, ed. and trans. by John G. Hawthorne and Cyril Stanley Smith (Chicago: University of Chicago Press, 1963).</w:t>
      </w:r>
    </w:p>
  </w:footnote>
  <w:footnote w:id="6">
    <w:p w14:paraId="48A2C5F9" w14:textId="77777777" w:rsidR="00F008CB" w:rsidRDefault="00000000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Pr="00F008CB">
        <w:rPr>
          <w:i/>
          <w:iCs/>
        </w:rPr>
        <w:t>British Library, MS Burney 216, Historia adversus paganos</w:t>
      </w:r>
      <w:r w:rsidRPr="00F008CB">
        <w:t>, fol. 32v (York, 1126–1175).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7C9B"/>
    <w:rsid w:val="000506F2"/>
    <w:rsid w:val="000B483D"/>
    <w:rsid w:val="000C71AB"/>
    <w:rsid w:val="00121013"/>
    <w:rsid w:val="00130691"/>
    <w:rsid w:val="00140BE6"/>
    <w:rsid w:val="00297523"/>
    <w:rsid w:val="002B502B"/>
    <w:rsid w:val="002B7C9B"/>
    <w:rsid w:val="0033786C"/>
    <w:rsid w:val="00391D6A"/>
    <w:rsid w:val="00460EDD"/>
    <w:rsid w:val="00587A61"/>
    <w:rsid w:val="005A1636"/>
    <w:rsid w:val="00657801"/>
    <w:rsid w:val="006C64FB"/>
    <w:rsid w:val="00723ED7"/>
    <w:rsid w:val="007874DA"/>
    <w:rsid w:val="00797FAE"/>
    <w:rsid w:val="007B2ED4"/>
    <w:rsid w:val="007D43B4"/>
    <w:rsid w:val="0088134A"/>
    <w:rsid w:val="008B1B58"/>
    <w:rsid w:val="009622A0"/>
    <w:rsid w:val="009B0C30"/>
    <w:rsid w:val="009D13AB"/>
    <w:rsid w:val="00A71CD5"/>
    <w:rsid w:val="00AA0F6B"/>
    <w:rsid w:val="00B05732"/>
    <w:rsid w:val="00B15F3C"/>
    <w:rsid w:val="00BB791A"/>
    <w:rsid w:val="00BE32A9"/>
    <w:rsid w:val="00C45819"/>
    <w:rsid w:val="00CB3C2E"/>
    <w:rsid w:val="00D73BC4"/>
    <w:rsid w:val="00DC3E7F"/>
    <w:rsid w:val="00E77AFC"/>
    <w:rsid w:val="00E915FD"/>
    <w:rsid w:val="00EC1EC8"/>
    <w:rsid w:val="00EF2FEA"/>
    <w:rsid w:val="00F008CB"/>
    <w:rsid w:val="00F46527"/>
    <w:rsid w:val="00F77FEA"/>
    <w:rsid w:val="00FF6DB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."/>
  <w:listSeparator w:val=","/>
  <w14:docId w14:val="6D3DC740"/>
  <w15:chartTrackingRefBased/>
  <w15:docId w15:val="{47FAA92E-0D1B-436A-84F8-7EF6729792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B2ED4"/>
  </w:style>
  <w:style w:type="paragraph" w:styleId="Heading1">
    <w:name w:val="heading 1"/>
    <w:basedOn w:val="Normal"/>
    <w:next w:val="Normal"/>
    <w:link w:val="Heading1Char"/>
    <w:uiPriority w:val="9"/>
    <w:qFormat/>
    <w:rsid w:val="002B7C9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B7C9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B7C9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B7C9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7C9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7C9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7C9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7C9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7C9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B7C9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B7C9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B7C9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B7C9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7C9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7C9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7C9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7C9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7C9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B7C9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B7C9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7C9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7C9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B7C9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B7C9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B7C9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B7C9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7C9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7C9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B7C9B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7D43B4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D43B4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D43B4"/>
    <w:rPr>
      <w:vertAlign w:val="superscript"/>
    </w:rPr>
  </w:style>
  <w:style w:type="paragraph" w:styleId="Caption">
    <w:name w:val="caption"/>
    <w:basedOn w:val="Normal"/>
    <w:next w:val="Normal"/>
    <w:uiPriority w:val="35"/>
    <w:unhideWhenUsed/>
    <w:qFormat/>
    <w:rsid w:val="0033786C"/>
    <w:pPr>
      <w:spacing w:after="200" w:line="240" w:lineRule="auto"/>
    </w:pPr>
    <w:rPr>
      <w:i/>
      <w:iCs/>
      <w:color w:val="0E2841" w:themeColor="text2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jpeg"/><Relationship Id="rId5" Type="http://schemas.openxmlformats.org/officeDocument/2006/relationships/endnotes" Target="endnotes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898</Words>
  <Characters>5119</Characters>
  <Application>Microsoft Office Word</Application>
  <DocSecurity>0</DocSecurity>
  <Lines>42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6005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Agne G</dc:creator>
  <cp:lastModifiedBy>Agne G</cp:lastModifiedBy>
  <cp:revision>29</cp:revision>
  <dcterms:created xsi:type="dcterms:W3CDTF">2025-04-17T14:09:00Z</dcterms:created>
  <dcterms:modified xsi:type="dcterms:W3CDTF">2025-04-17T17:12:00Z</dcterms:modified>
</cp:coreProperties>
</file>