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vertAlign w:val="baseline"/>
          <w:rtl w:val="0"/>
        </w:rPr>
        <w:t>THIS SHEET MUST BE THE FIRST PAGE OF THE ASSIGNMENT YOU ARE SUBMITTING  (DO NOT SEND AS A SEPARATE FILE)</w:t>
      </w:r>
    </w:p>
    <w:tbl>
      <w:tblPr>
        <w:tblW w:w="9637"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10"/>
        <w:gridCol w:w="461"/>
        <w:gridCol w:w="1694"/>
        <w:gridCol w:w="311"/>
        <w:gridCol w:w="1961"/>
      </w:tblGrid>
      <w:tr>
        <w:tblPrEx>
          <w:shd w:val="clear" w:color="auto" w:fill="ced7e7"/>
        </w:tblPrEx>
        <w:trPr>
          <w:trHeight w:val="454"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ced7e7"/>
        </w:tblPrEx>
        <w:trPr>
          <w:trHeight w:val="7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Student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Email: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1300653@student.uwtsd.ac.uk</w:t>
            </w:r>
          </w:p>
        </w:tc>
      </w:tr>
      <w:tr>
        <w:tblPrEx>
          <w:shd w:val="clear" w:color="auto" w:fill="ced7e7"/>
        </w:tblPrEx>
        <w:trPr>
          <w:trHeight w:val="1443" w:hRule="atLeast"/>
        </w:trPr>
        <w:tc>
          <w:tcPr>
            <w:tcW w:type="dxa" w:w="5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CLCL7003</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Theory and Methodology for the Study of Ancient Religions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w:t>
            </w:r>
          </w:p>
        </w:tc>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ced7e7"/>
        </w:tblPrEx>
        <w:trPr>
          <w:trHeight w:val="979"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2,500 word essay </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24/01/18</w:t>
            </w:r>
          </w:p>
        </w:tc>
      </w:tr>
      <w:tr>
        <w:tblPrEx>
          <w:shd w:val="clear" w:color="auto" w:fill="ced7e7"/>
        </w:tblPrEx>
        <w:trPr>
          <w:trHeight w:val="818"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This assignment is for the       1</w:t>
            </w:r>
            <w:r>
              <w:rPr>
                <w:rFonts w:ascii="Arial" w:hAnsi="Arial"/>
                <w:u w:color="000000"/>
                <w:vertAlign w:val="superscript"/>
                <w:rtl w:val="0"/>
                <w:lang w:val="en-US"/>
              </w:rPr>
              <w:t xml:space="preserve">st </w:t>
            </w:r>
            <w:r>
              <w:rPr>
                <w:rFonts w:ascii="Arial" w:hAnsi="Arial"/>
                <w:u w:color="000000"/>
                <w:rtl w:val="0"/>
                <w:lang w:val="en-US"/>
              </w:rPr>
              <w:t xml:space="preserve">    2</w:t>
            </w:r>
            <w:r>
              <w:rPr>
                <w:rFonts w:ascii="Arial" w:hAnsi="Arial"/>
                <w:u w:color="000000"/>
                <w:vertAlign w:val="superscript"/>
                <w:rtl w:val="0"/>
                <w:lang w:val="en-US"/>
              </w:rPr>
              <w:t>nd</w:t>
            </w:r>
            <w:r>
              <w:rPr>
                <w:rFonts w:ascii="Arial" w:hAnsi="Arial"/>
                <w:u w:color="000000"/>
                <w:rtl w:val="0"/>
                <w:lang w:val="en-US"/>
              </w:rPr>
              <w:t xml:space="preserve">       3</w:t>
            </w:r>
            <w:r>
              <w:rPr>
                <w:rFonts w:ascii="Arial" w:hAnsi="Arial"/>
                <w:u w:color="000000"/>
                <w:vertAlign w:val="superscript"/>
                <w:rtl w:val="0"/>
                <w:lang w:val="en-US"/>
              </w:rPr>
              <w:t>rd</w:t>
            </w:r>
            <w:r>
              <w:rPr>
                <w:rFonts w:ascii="Arial" w:hAnsi="Arial"/>
                <w:u w:color="000000"/>
                <w:rtl w:val="0"/>
                <w:lang w:val="en-US"/>
              </w:rPr>
              <w:t xml:space="preserve">        4</w:t>
            </w:r>
            <w:r>
              <w:rPr>
                <w:rFonts w:ascii="Arial" w:hAnsi="Arial"/>
                <w:u w:color="000000"/>
                <w:vertAlign w:val="superscript"/>
                <w:rtl w:val="0"/>
                <w:lang w:val="en-US"/>
              </w:rPr>
              <w:t>th</w:t>
            </w:r>
            <w:r>
              <w:rPr>
                <w:rFonts w:ascii="Arial" w:hAnsi="Arial"/>
                <w:u w:color="000000"/>
                <w:rtl w:val="0"/>
                <w:lang w:val="en-US"/>
              </w:rPr>
              <w:t xml:space="preserve">       5</w:t>
            </w:r>
            <w:r>
              <w:rPr>
                <w:rFonts w:ascii="Arial" w:hAnsi="Arial"/>
                <w:u w:color="000000"/>
                <w:vertAlign w:val="superscript"/>
                <w:rtl w:val="0"/>
                <w:lang w:val="en-US"/>
              </w:rPr>
              <w:t>th</w:t>
            </w:r>
            <w:r>
              <w:rPr>
                <w:rFonts w:ascii="Arial" w:hAnsi="Arial"/>
                <w:u w:color="000000"/>
                <w:rtl w:val="0"/>
                <w:lang w:val="en-US"/>
              </w:rPr>
              <w:t xml:space="preserve">       6</w:t>
            </w:r>
            <w:r>
              <w:rPr>
                <w:rFonts w:ascii="Arial" w:hAnsi="Arial"/>
                <w:u w:color="000000"/>
                <w:vertAlign w:val="superscript"/>
                <w:rtl w:val="0"/>
                <w:lang w:val="en-US"/>
              </w:rPr>
              <w:t>th</w:t>
            </w:r>
            <w:r>
              <w:rPr>
                <w:rFonts w:ascii="Arial" w:hAnsi="Arial"/>
                <w:u w:color="000000"/>
                <w:rtl w:val="0"/>
                <w:lang w:val="en-US"/>
              </w:rPr>
              <w:t xml:space="preserve"> </w:t>
            </w:r>
            <w:r>
              <w:rPr>
                <w:rFonts w:ascii="Arial" w:hAnsi="Arial"/>
                <w:b w:val="1"/>
                <w:bCs w:val="1"/>
                <w:u w:color="000000"/>
                <w:rtl w:val="0"/>
                <w:lang w:val="en-US"/>
              </w:rPr>
              <w:t xml:space="preserve">   </w:t>
            </w:r>
            <w:r>
              <w:rPr>
                <w:rFonts w:ascii="Arial" w:hAnsi="Arial"/>
                <w:u w:color="000000"/>
                <w:rtl w:val="0"/>
                <w:lang w:val="en-US"/>
              </w:rPr>
              <w:t>module of the degree</w:t>
            </w:r>
          </w:p>
        </w:tc>
      </w:tr>
      <w:tr>
        <w:tblPrEx>
          <w:shd w:val="clear" w:color="auto" w:fill="ced7e7"/>
        </w:tblPrEx>
        <w:trPr>
          <w:trHeight w:val="2090"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Signed</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 xml:space="preserve"> 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4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rtl w:val="0"/>
                <w:lang w:val="en-US"/>
              </w:rPr>
            </w:pPr>
          </w:p>
          <w:p>
            <w:pPr>
              <w:pStyle w:val="Body"/>
              <w:jc w:val="left"/>
              <w:rPr>
                <w:rFonts w:ascii="Arial" w:cs="Arial" w:hAnsi="Arial" w:eastAsia="Arial"/>
                <w:sz w:val="24"/>
                <w:szCs w:val="24"/>
                <w:u w:color="000000"/>
              </w:rPr>
            </w:pPr>
            <w:r>
              <w:rPr>
                <w:rFonts w:ascii="Arial" w:hAnsi="Arial"/>
                <w:b w:val="1"/>
                <w:bCs w:val="1"/>
                <w:sz w:val="24"/>
                <w:szCs w:val="24"/>
                <w:u w:color="000000"/>
                <w:rtl w:val="0"/>
                <w:lang w:val="en-US"/>
              </w:rPr>
              <w:t>Assignment Mark</w:t>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1</w:t>
            </w:r>
            <w:r>
              <w:rPr>
                <w:rFonts w:ascii="Arial" w:hAnsi="Arial"/>
                <w:sz w:val="20"/>
                <w:szCs w:val="20"/>
                <w:u w:color="000000"/>
                <w:vertAlign w:val="superscript"/>
                <w:rtl w:val="0"/>
                <w:lang w:val="en-US"/>
              </w:rPr>
              <w:t>st</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2</w:t>
            </w:r>
            <w:r>
              <w:rPr>
                <w:rFonts w:ascii="Arial" w:hAnsi="Arial"/>
                <w:sz w:val="20"/>
                <w:szCs w:val="20"/>
                <w:u w:color="000000"/>
                <w:vertAlign w:val="superscript"/>
                <w:rtl w:val="0"/>
                <w:lang w:val="en-US"/>
              </w:rPr>
              <w:t>nd</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s/Moderator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External Examiner</w:t>
            </w:r>
            <w:r>
              <w:rPr>
                <w:rFonts w:ascii="Arial" w:hAnsi="Arial" w:hint="default"/>
                <w:sz w:val="20"/>
                <w:szCs w:val="20"/>
                <w:u w:color="000000"/>
                <w:rtl w:val="0"/>
                <w:lang w:val="en-US"/>
              </w:rPr>
              <w:t>’</w:t>
            </w:r>
            <w:r>
              <w:rPr>
                <w:rFonts w:ascii="Arial" w:hAnsi="Arial"/>
                <w:sz w:val="20"/>
                <w:szCs w:val="20"/>
                <w:u w:color="000000"/>
                <w:rtl w:val="0"/>
                <w:lang w:val="en-US"/>
              </w:rPr>
              <w:t>s mark (if relevant)</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b w:val="1"/>
                <w:bCs w:val="1"/>
                <w:sz w:val="20"/>
                <w:szCs w:val="20"/>
                <w:u w:color="000000"/>
                <w:rtl w:val="0"/>
              </w:rPr>
            </w:pPr>
            <w:r>
              <w:rPr>
                <w:rFonts w:ascii="Arial" w:hAnsi="Arial"/>
                <w:b w:val="1"/>
                <w:bCs w:val="1"/>
                <w:sz w:val="20"/>
                <w:szCs w:val="20"/>
                <w:u w:color="000000"/>
                <w:rtl w:val="0"/>
                <w:lang w:val="en-US"/>
              </w:rPr>
              <w:t>Final Mark</w:t>
            </w:r>
          </w:p>
          <w:p>
            <w:pPr>
              <w:pStyle w:val="Body"/>
              <w:bidi w:val="0"/>
              <w:ind w:left="0" w:right="0" w:firstLine="0"/>
              <w:jc w:val="left"/>
              <w:rPr>
                <w:rFonts w:ascii="Arial" w:cs="Arial" w:hAnsi="Arial" w:eastAsia="Arial"/>
                <w:b w:val="1"/>
                <w:bCs w:val="1"/>
                <w:sz w:val="20"/>
                <w:szCs w:val="20"/>
                <w:u w:color="000000"/>
                <w:rtl w:val="0"/>
              </w:rPr>
            </w:pPr>
            <w:r>
              <w:rPr>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r>
          </w:p>
        </w:tc>
      </w:tr>
      <w:tr>
        <w:tblPrEx>
          <w:shd w:val="clear" w:color="auto" w:fill="ced7e7"/>
        </w:tblPrEx>
        <w:trPr>
          <w:trHeight w:val="332" w:hRule="atLeast"/>
        </w:trPr>
        <w:tc>
          <w:tcPr>
            <w:tcW w:type="dxa" w:w="73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27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19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88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External Examiner</w:t>
            </w:r>
            <w:r>
              <w:rPr>
                <w:rFonts w:ascii="Arial" w:hAnsi="Arial" w:hint="default"/>
                <w:b w:val="1"/>
                <w:bCs w:val="1"/>
                <w:u w:color="000000"/>
                <w:rtl w:val="0"/>
                <w:lang w:val="en-US"/>
              </w:rPr>
              <w:t>’</w:t>
            </w:r>
            <w:r>
              <w:rPr>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External Examiner</w:t>
            </w:r>
            <w:r>
              <w:rPr>
                <w:rFonts w:ascii="Arial" w:hAnsi="Arial" w:hint="default"/>
                <w:u w:color="000000"/>
                <w:rtl w:val="0"/>
                <w:lang w:val="en-US"/>
              </w:rPr>
              <w:t>’</w:t>
            </w:r>
            <w:r>
              <w:rPr>
                <w:rFonts w:ascii="Arial" w:hAnsi="Arial"/>
                <w:u w:color="000000"/>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pStyle w:val="Body"/>
        <w:spacing w:line="360" w:lineRule="auto"/>
        <w:ind w:left="283" w:right="284" w:firstLine="0"/>
        <w:jc w:val="center"/>
        <w:rPr>
          <w:rFonts w:ascii="Trebuchet MS" w:cs="Trebuchet MS" w:hAnsi="Trebuchet MS" w:eastAsia="Trebuchet MS"/>
          <w:sz w:val="24"/>
          <w:szCs w:val="24"/>
          <w:u w:val="single"/>
        </w:rPr>
      </w:pPr>
    </w:p>
    <w:p>
      <w:pPr>
        <w:pStyle w:val="Body"/>
        <w:spacing w:line="360" w:lineRule="auto"/>
        <w:ind w:left="283" w:right="284" w:firstLine="0"/>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In what ways can we assess roots of the conflict between Greek religion and Jewish religion during the reign of Antioch</w:t>
      </w:r>
      <w:r>
        <w:rPr>
          <w:rFonts w:ascii="Times New Roman" w:hAnsi="Times New Roman"/>
          <w:sz w:val="24"/>
          <w:szCs w:val="24"/>
          <w:u w:val="single"/>
          <w:rtl w:val="0"/>
          <w:lang w:val="en-US"/>
        </w:rPr>
        <w:t>u</w:t>
      </w:r>
      <w:r>
        <w:rPr>
          <w:rFonts w:ascii="Times New Roman" w:hAnsi="Times New Roman"/>
          <w:sz w:val="24"/>
          <w:szCs w:val="24"/>
          <w:u w:val="single"/>
          <w:rtl w:val="0"/>
          <w:lang w:val="en-US"/>
        </w:rPr>
        <w:t>s IV in terms of ideology and types of evidence?</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The conflict that raged between the Jewish rebels led by the Hasmonaeans and the Seleucid Empire between 167</w:t>
      </w:r>
      <w:r>
        <w:rPr>
          <w:rFonts w:ascii="Times New Roman" w:hAnsi="Times New Roman" w:hint="default"/>
          <w:sz w:val="24"/>
          <w:szCs w:val="24"/>
          <w:rtl w:val="0"/>
          <w:lang w:val="en-US"/>
        </w:rPr>
        <w:t>—</w:t>
      </w:r>
      <w:r>
        <w:rPr>
          <w:rFonts w:ascii="Times New Roman" w:hAnsi="Times New Roman"/>
          <w:sz w:val="24"/>
          <w:szCs w:val="24"/>
          <w:rtl w:val="0"/>
          <w:lang w:val="en-US"/>
        </w:rPr>
        <w:t xml:space="preserve">160 BC was the culmination of events that had gradually heightened tensions between the people of Judea and their Seleucid rulers. It is often viewed as the clash of civilisations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traditional Judaism on the one hand, and Hellenism on the other. However, there are a myriad of potential factors which contributed to the revolt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factors which suggest a less religious element. This essay shall focus on the ways in which we can assess the roots of the conflict and will discuss, largely, to what extent was the conflict a religious one. In addition, a discussion of the sources for the conflict is also necessary, as they may shape our perceptions of events.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It is appropriate to begin with a discussion of the sources that are available to us when examining the conflict: 1 and 2 Maccabees; and the accounts written by Josephus of the events of the revolt in </w:t>
      </w:r>
      <w:r>
        <w:rPr>
          <w:rFonts w:ascii="Times New Roman" w:hAnsi="Times New Roman"/>
          <w:i w:val="1"/>
          <w:iCs w:val="1"/>
          <w:sz w:val="24"/>
          <w:szCs w:val="24"/>
          <w:rtl w:val="0"/>
          <w:lang w:val="en-US"/>
        </w:rPr>
        <w:t>The Jewish War</w:t>
      </w:r>
      <w:r>
        <w:rPr>
          <w:rFonts w:ascii="Times New Roman" w:hAnsi="Times New Roman"/>
          <w:sz w:val="24"/>
          <w:szCs w:val="24"/>
          <w:rtl w:val="0"/>
          <w:lang w:val="en-US"/>
        </w:rPr>
        <w:t xml:space="preserve"> and </w:t>
      </w:r>
      <w:r>
        <w:rPr>
          <w:rFonts w:ascii="Times New Roman" w:hAnsi="Times New Roman"/>
          <w:i w:val="1"/>
          <w:iCs w:val="1"/>
          <w:sz w:val="24"/>
          <w:szCs w:val="24"/>
          <w:rtl w:val="0"/>
          <w:lang w:val="en-US"/>
        </w:rPr>
        <w:t>Antiquities of the Jew</w:t>
      </w:r>
      <w:r>
        <w:rPr>
          <w:rFonts w:ascii="Times New Roman" w:hAnsi="Times New Roman"/>
          <w:sz w:val="24"/>
          <w:szCs w:val="24"/>
          <w:rtl w:val="0"/>
          <w:lang w:val="en-US"/>
        </w:rPr>
        <w:t>s. It is important to note that all four of these sources are written from the Jewish perspective of the conflict. In addition, each was written with their own aims and agendas in mind. It is necessary therefore to bear this in consideration when examining the revolt. Josephus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accounts of the revolt are found in </w:t>
      </w:r>
      <w:r>
        <w:rPr>
          <w:rFonts w:ascii="Times New Roman" w:hAnsi="Times New Roman"/>
          <w:i w:val="1"/>
          <w:iCs w:val="1"/>
          <w:sz w:val="24"/>
          <w:szCs w:val="24"/>
          <w:rtl w:val="0"/>
          <w:lang w:val="en-US"/>
        </w:rPr>
        <w:t>The Jewish War</w:t>
      </w:r>
      <w:r>
        <w:rPr>
          <w:rFonts w:ascii="Times New Roman" w:hAnsi="Times New Roman"/>
          <w:sz w:val="24"/>
          <w:szCs w:val="24"/>
          <w:rtl w:val="0"/>
          <w:lang w:val="en-US"/>
        </w:rPr>
        <w:t xml:space="preserve"> and </w:t>
      </w:r>
      <w:r>
        <w:rPr>
          <w:rFonts w:ascii="Times New Roman" w:hAnsi="Times New Roman"/>
          <w:i w:val="1"/>
          <w:iCs w:val="1"/>
          <w:sz w:val="24"/>
          <w:szCs w:val="24"/>
          <w:rtl w:val="0"/>
          <w:lang w:val="en-US"/>
        </w:rPr>
        <w:t>Antiquities of the Jew</w:t>
      </w:r>
      <w:r>
        <w:rPr>
          <w:rFonts w:ascii="Times New Roman" w:hAnsi="Times New Roman"/>
          <w:sz w:val="24"/>
          <w:szCs w:val="24"/>
          <w:rtl w:val="0"/>
          <w:lang w:val="en-US"/>
        </w:rPr>
        <w:t>s. The account in Antiquities is a paraphrase of 1 Maccabees, while his other account has been dismissed as confused, leaving us to rely on 1 and 2 Maccabees instead as the most comprehensive sources (Grabbe 2002: 7).</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1 Maccabees was originally written in Hebrew but has survived in Greek (Bar-Kochva 2002: 151). The date of its composition has been placed in various times, ranging from the early years of the reign of John Hyrcanus to that of Alexander Jannaeus; written by someone from the generation of the revolt if the earlier date is ascribed to the work, or an author who relied on written and oral sources if the later date is accepted (Bar-Kochva 2002: 152). Bezalel Bar-Kochva states that amongst scholars the opinion is that the sources of the author</w:t>
      </w:r>
      <w:r>
        <w:rPr>
          <w:rFonts w:ascii="Times New Roman" w:hAnsi="Times New Roman" w:hint="default"/>
          <w:sz w:val="24"/>
          <w:szCs w:val="24"/>
          <w:rtl w:val="0"/>
          <w:lang w:val="en-US"/>
        </w:rPr>
        <w:t>’</w:t>
      </w:r>
      <w:r>
        <w:rPr>
          <w:rFonts w:ascii="Times New Roman" w:hAnsi="Times New Roman"/>
          <w:sz w:val="24"/>
          <w:szCs w:val="24"/>
          <w:rtl w:val="0"/>
          <w:lang w:val="en-US"/>
        </w:rPr>
        <w:t xml:space="preserve">s information are generally reliable, but that the style and presentation is problematic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the author seems partial to using biblical phraseology and associations, a consequence being that this </w:t>
      </w:r>
      <w:r>
        <w:rPr>
          <w:rFonts w:ascii="Times New Roman" w:hAnsi="Times New Roman" w:hint="default"/>
          <w:sz w:val="24"/>
          <w:szCs w:val="24"/>
          <w:rtl w:val="0"/>
          <w:lang w:val="en-US"/>
        </w:rPr>
        <w:t>“</w:t>
      </w:r>
      <w:r>
        <w:rPr>
          <w:rFonts w:ascii="Times New Roman" w:hAnsi="Times New Roman"/>
          <w:sz w:val="24"/>
          <w:szCs w:val="24"/>
          <w:rtl w:val="0"/>
          <w:lang w:val="en-US"/>
        </w:rPr>
        <w:t>occassionally [obscures] and even [distorts] the historical picture</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rPr>
        <w:t>2002: 152</w:t>
      </w:r>
      <w:r>
        <w:rPr>
          <w:rFonts w:ascii="Times New Roman" w:hAnsi="Times New Roman"/>
          <w:sz w:val="24"/>
          <w:szCs w:val="24"/>
          <w:rtl w:val="0"/>
          <w:lang w:val="en-US"/>
        </w:rPr>
        <w:t>).  Some have even denied the historicity of the events portrayed in 1 Maccabees, believing that the author combined information of the Seleucid Empire and the Hasmonaeans and placed them within stylistic models and patterns of the Bible (</w:t>
      </w:r>
      <w:r>
        <w:rPr>
          <w:rFonts w:ascii="Times New Roman" w:hAnsi="Times New Roman"/>
          <w:sz w:val="24"/>
          <w:szCs w:val="24"/>
          <w:rtl w:val="0"/>
        </w:rPr>
        <w:t>Bar-Kochva 2002: 15</w:t>
      </w:r>
      <w:r>
        <w:rPr>
          <w:rFonts w:ascii="Times New Roman" w:hAnsi="Times New Roman"/>
          <w:sz w:val="24"/>
          <w:szCs w:val="24"/>
          <w:rtl w:val="0"/>
          <w:lang w:val="en-US"/>
        </w:rPr>
        <w:t xml:space="preserve">3). Indeed, the presentation of Judas Maccabaeus in 1 Maccabees is of </w:t>
      </w:r>
      <w:r>
        <w:rPr>
          <w:rFonts w:ascii="Times New Roman" w:hAnsi="Times New Roman" w:hint="default"/>
          <w:sz w:val="24"/>
          <w:szCs w:val="24"/>
          <w:rtl w:val="0"/>
          <w:lang w:val="en-US"/>
        </w:rPr>
        <w:t>“</w:t>
      </w:r>
      <w:r>
        <w:rPr>
          <w:rFonts w:ascii="Times New Roman" w:hAnsi="Times New Roman"/>
          <w:sz w:val="24"/>
          <w:szCs w:val="24"/>
          <w:rtl w:val="0"/>
          <w:lang w:val="en-US"/>
        </w:rPr>
        <w:t xml:space="preserve">a new </w:t>
      </w:r>
      <w:r>
        <w:rPr>
          <w:rFonts w:ascii="Times New Roman" w:hAnsi="Times New Roman" w:hint="default"/>
          <w:sz w:val="24"/>
          <w:szCs w:val="24"/>
          <w:rtl w:val="0"/>
          <w:lang w:val="en-US"/>
        </w:rPr>
        <w:t>‘</w:t>
      </w:r>
      <w:r>
        <w:rPr>
          <w:rFonts w:ascii="Times New Roman" w:hAnsi="Times New Roman"/>
          <w:sz w:val="24"/>
          <w:szCs w:val="24"/>
          <w:rtl w:val="0"/>
          <w:lang w:val="en-US"/>
        </w:rPr>
        <w:t>lion of Judah</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a new David facing a Seleucid Goliath, and a new S</w:t>
      </w:r>
      <w:r>
        <w:rPr>
          <w:rFonts w:ascii="Times New Roman" w:hAnsi="Times New Roman"/>
          <w:sz w:val="24"/>
          <w:szCs w:val="24"/>
          <w:rtl w:val="0"/>
          <w:lang w:val="en-US"/>
        </w:rPr>
        <w:t>o</w:t>
      </w:r>
      <w:r>
        <w:rPr>
          <w:rFonts w:ascii="Times New Roman" w:hAnsi="Times New Roman"/>
          <w:sz w:val="24"/>
          <w:szCs w:val="24"/>
          <w:rtl w:val="0"/>
          <w:lang w:val="en-US"/>
        </w:rPr>
        <w:t>lomon dedicating a new altar</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lang w:val="en-US"/>
        </w:rPr>
        <w:t>Berthelot</w:t>
      </w:r>
      <w:r>
        <w:rPr>
          <w:rFonts w:ascii="Times New Roman" w:hAnsi="Times New Roman"/>
          <w:sz w:val="24"/>
          <w:szCs w:val="24"/>
          <w:rtl w:val="0"/>
          <w:lang w:val="en-US"/>
        </w:rPr>
        <w:t xml:space="preserve"> 2014: 74-75). As such, </w:t>
      </w:r>
      <w:r>
        <w:rPr>
          <w:rFonts w:ascii="Times New Roman" w:hAnsi="Times New Roman"/>
          <w:sz w:val="24"/>
          <w:szCs w:val="24"/>
          <w:rtl w:val="0"/>
          <w:lang w:val="en-US"/>
        </w:rPr>
        <w:t xml:space="preserve">Katell Berthelot </w:t>
      </w:r>
      <w:r>
        <w:rPr>
          <w:rFonts w:ascii="Times" w:hAnsi="Times"/>
          <w:sz w:val="24"/>
          <w:szCs w:val="24"/>
          <w:rtl w:val="0"/>
          <w:lang w:val="en-US"/>
        </w:rPr>
        <w:t xml:space="preserve">states that 1 Maccabees is </w:t>
      </w:r>
      <w:r>
        <w:rPr>
          <w:rFonts w:ascii="Times" w:hAnsi="Times" w:hint="default"/>
          <w:sz w:val="24"/>
          <w:szCs w:val="24"/>
          <w:rtl w:val="0"/>
          <w:lang w:val="en-US"/>
        </w:rPr>
        <w:t>“</w:t>
      </w:r>
      <w:r>
        <w:rPr>
          <w:rFonts w:ascii="Times" w:hAnsi="Times"/>
          <w:sz w:val="24"/>
          <w:szCs w:val="24"/>
          <w:rtl w:val="0"/>
          <w:lang w:val="en-US"/>
        </w:rPr>
        <w:t>a work of propaganda which aims at legitimising the Hasmonaean dynasty</w:t>
      </w:r>
      <w:r>
        <w:rPr>
          <w:rFonts w:ascii="Times" w:hAnsi="Times" w:hint="default"/>
          <w:sz w:val="24"/>
          <w:szCs w:val="24"/>
          <w:rtl w:val="0"/>
          <w:lang w:val="en-US"/>
        </w:rPr>
        <w:t>”</w:t>
      </w:r>
      <w:r>
        <w:rPr>
          <w:rFonts w:ascii="Times" w:hAnsi="Times"/>
          <w:sz w:val="24"/>
          <w:szCs w:val="24"/>
          <w:rtl w:val="0"/>
          <w:lang w:val="en-US"/>
        </w:rPr>
        <w:t xml:space="preserve">, one which is characterised by a phenomenon termed </w:t>
      </w:r>
      <w:r>
        <w:rPr>
          <w:rFonts w:ascii="Times" w:hAnsi="Times" w:hint="default"/>
          <w:sz w:val="24"/>
          <w:szCs w:val="24"/>
          <w:rtl w:val="0"/>
          <w:lang w:val="en-US"/>
        </w:rPr>
        <w:t>‘</w:t>
      </w:r>
      <w:r>
        <w:rPr>
          <w:rFonts w:ascii="Times" w:hAnsi="Times"/>
          <w:sz w:val="24"/>
          <w:szCs w:val="24"/>
          <w:rtl w:val="0"/>
          <w:lang w:val="en-US"/>
        </w:rPr>
        <w:t>canonical assimilation</w:t>
      </w:r>
      <w:r>
        <w:rPr>
          <w:rFonts w:ascii="Times" w:hAnsi="Times" w:hint="default"/>
          <w:sz w:val="24"/>
          <w:szCs w:val="24"/>
          <w:rtl w:val="0"/>
          <w:lang w:val="en-US"/>
        </w:rPr>
        <w:t xml:space="preserve">’ </w:t>
      </w:r>
      <w:r>
        <w:rPr>
          <w:rFonts w:ascii="Times" w:hAnsi="Times"/>
          <w:sz w:val="24"/>
          <w:szCs w:val="24"/>
          <w:rtl w:val="0"/>
          <w:lang w:val="en-US"/>
        </w:rPr>
        <w:t>(2014: 74).</w:t>
      </w:r>
      <w:r>
        <w:rPr>
          <w:rFonts w:ascii="Times New Roman" w:hAnsi="Times New Roman"/>
          <w:sz w:val="24"/>
          <w:szCs w:val="24"/>
          <w:rtl w:val="0"/>
          <w:lang w:val="en-US"/>
        </w:rPr>
        <w:t xml:space="preserve"> The latter comparison of Judas to Solomon is particularly relevant, and is one that is presented in 2 Maccabees also.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2 Maccabees is, as the author states, an abridgement of a five-volume work by Jason of Cyrene (2 Maccabees 2:23). It focuses in particular on the conflict of personalities in Jerusalem, the Hellenistic reforms that were introduced there, and the persecution of the Jewish </w:t>
      </w:r>
      <w:r>
        <w:rPr>
          <w:rFonts w:ascii="Times New Roman" w:hAnsi="Times New Roman" w:hint="default"/>
          <w:sz w:val="24"/>
          <w:szCs w:val="24"/>
          <w:rtl w:val="0"/>
          <w:lang w:val="en-US"/>
        </w:rPr>
        <w:t>‘</w:t>
      </w:r>
      <w:r>
        <w:rPr>
          <w:rFonts w:ascii="Times New Roman" w:hAnsi="Times New Roman"/>
          <w:sz w:val="24"/>
          <w:szCs w:val="24"/>
          <w:rtl w:val="0"/>
          <w:lang w:val="en-US"/>
        </w:rPr>
        <w:t>martyrs</w:t>
      </w:r>
      <w:r>
        <w:rPr>
          <w:rFonts w:ascii="Times New Roman" w:hAnsi="Times New Roman" w:hint="default"/>
          <w:sz w:val="24"/>
          <w:szCs w:val="24"/>
          <w:rtl w:val="0"/>
          <w:lang w:val="en-US"/>
        </w:rPr>
        <w:t xml:space="preserve">’ </w:t>
      </w:r>
      <w:r>
        <w:rPr>
          <w:rFonts w:ascii="Times New Roman" w:hAnsi="Times New Roman"/>
          <w:sz w:val="24"/>
          <w:szCs w:val="24"/>
          <w:rtl w:val="0"/>
          <w:lang w:val="en-US"/>
        </w:rPr>
        <w:t>(Bar-Kochva 2002: 171). Bar Kochva believes that the main didactic-religious purpose is to demonstrate that God will not allow his chosen people to fall despite his anger and punishments that he visits upon them (2002: 171). However, there is an alternative way in which to view 2 Maccabees. As was previously mentioned, both 1 and 2 Maccabees (the latter in particular) focus on the pollution of the Temple by Antiochus and its subsequent re-dedication by Judas Maccabaeus. The emphasis on righting Antiochus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sacrilege is important because, if 2 Maccabees is viewed as a </w:t>
      </w:r>
      <w:r>
        <w:rPr>
          <w:rFonts w:ascii="Times New Roman" w:hAnsi="Times New Roman"/>
          <w:i w:val="1"/>
          <w:iCs w:val="1"/>
          <w:sz w:val="24"/>
          <w:szCs w:val="24"/>
          <w:rtl w:val="0"/>
          <w:lang w:val="en-US"/>
        </w:rPr>
        <w:t>dynastic</w:t>
      </w:r>
      <w:r>
        <w:rPr>
          <w:rFonts w:ascii="Times New Roman" w:hAnsi="Times New Roman"/>
          <w:sz w:val="24"/>
          <w:szCs w:val="24"/>
          <w:rtl w:val="0"/>
          <w:lang w:val="en-US"/>
        </w:rPr>
        <w:t xml:space="preserve"> history, a narrative scheme can be identified of sin-retribution-reconciliation-restoration, which is utilised to legitimise the Hasmonaean dynasty (Honigman 2014: 69), a structure familiar to certain biblical texts. What Honigman calls the </w:t>
      </w:r>
      <w:r>
        <w:rPr>
          <w:rFonts w:ascii="Times New Roman" w:hAnsi="Times New Roman" w:hint="default"/>
          <w:sz w:val="24"/>
          <w:szCs w:val="24"/>
          <w:rtl w:val="0"/>
          <w:lang w:val="en-US"/>
        </w:rPr>
        <w:t>‘</w:t>
      </w:r>
      <w:r>
        <w:rPr>
          <w:rFonts w:ascii="Times New Roman" w:hAnsi="Times New Roman"/>
          <w:sz w:val="24"/>
          <w:szCs w:val="24"/>
          <w:rtl w:val="0"/>
          <w:lang w:val="en-US"/>
        </w:rPr>
        <w:t>reconstruction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period of the text of 2 Maccabees, which relates the rededication of the Temple by Judas after Antiochus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defilement, is what makes victory in the revolt possible (2014: 83). A common theme of Near-Eastern monarchies was the close links between temple of the city and the king, and the same was true of the kingdom of Judah (Honigman 2014: 68). </w:t>
      </w:r>
      <w:r>
        <w:rPr>
          <w:rFonts w:ascii="Times New Roman" w:hAnsi="Times New Roman"/>
          <w:sz w:val="24"/>
          <w:szCs w:val="24"/>
          <w:rtl w:val="0"/>
          <w:lang w:val="en-US"/>
        </w:rPr>
        <w:t>By drawing on the religious aspects of the conflict,</w:t>
      </w:r>
      <w:r>
        <w:rPr>
          <w:rFonts w:ascii="Times New Roman" w:hAnsi="Times New Roman"/>
          <w:sz w:val="24"/>
          <w:szCs w:val="24"/>
          <w:rtl w:val="0"/>
          <w:lang w:val="en-US"/>
        </w:rPr>
        <w:t xml:space="preserve"> in particular on the desecration of the Temple by Antiochus,</w:t>
      </w:r>
      <w:r>
        <w:rPr>
          <w:rFonts w:ascii="Times New Roman" w:hAnsi="Times New Roman"/>
          <w:sz w:val="24"/>
          <w:szCs w:val="24"/>
          <w:rtl w:val="0"/>
          <w:lang w:val="en-US"/>
        </w:rPr>
        <w:t xml:space="preserve"> the revolt led by the Maccabees against the Seleucid Empire is granted legitimacy.</w:t>
      </w:r>
      <w:r>
        <w:rPr>
          <w:rFonts w:ascii="Times New Roman" w:hAnsi="Times New Roman"/>
          <w:sz w:val="24"/>
          <w:szCs w:val="24"/>
          <w:rtl w:val="0"/>
          <w:lang w:val="en-US"/>
        </w:rPr>
        <w:t xml:space="preserve"> In fact, Sylvie Honigman contends that a proper analysis of the texts reveals that there was no religious persecution by Antiochus IV, and that religious issues were not the primary cause of the rebellion, if at all (2014: 3). The military suppression and the religious suppression are in fact one and the same (Honigman 2014: 45), the religious aspect being emphasised as part of the aforementioned narrative structure.</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We shall now turn our attention to exploring the roots of the conflict itself in detail. When discussing the Maccabean revolt and its roots, in the words of ancient historian Erich S. Gruen (2003: 264): </w:t>
      </w:r>
      <w:r>
        <w:rPr>
          <w:rFonts w:ascii="Times New Roman" w:hAnsi="Times New Roman" w:hint="default"/>
          <w:sz w:val="24"/>
          <w:szCs w:val="24"/>
          <w:rtl w:val="0"/>
          <w:lang w:val="en-US"/>
        </w:rPr>
        <w:t>“</w:t>
      </w:r>
      <w:r>
        <w:rPr>
          <w:rFonts w:ascii="Times New Roman" w:hAnsi="Times New Roman"/>
          <w:sz w:val="24"/>
          <w:szCs w:val="24"/>
          <w:rtl w:val="0"/>
          <w:lang w:val="en-US"/>
        </w:rPr>
        <w:t>The notion of an irreconcilable cultural conflict needs to be abandoned.</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 idea that the conflict was an inevitable clash of cultures is not borne out when looking at the years preceding its beginning. Antiochus IV Epiphanes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father, Antiochus III </w:t>
      </w:r>
      <w:r>
        <w:rPr>
          <w:rFonts w:ascii="Times New Roman" w:hAnsi="Times New Roman" w:hint="default"/>
          <w:sz w:val="24"/>
          <w:szCs w:val="24"/>
          <w:rtl w:val="0"/>
          <w:lang w:val="en-US"/>
        </w:rPr>
        <w:t>‘</w:t>
      </w:r>
      <w:r>
        <w:rPr>
          <w:rFonts w:ascii="Times New Roman" w:hAnsi="Times New Roman"/>
          <w:sz w:val="24"/>
          <w:szCs w:val="24"/>
          <w:rtl w:val="0"/>
          <w:lang w:val="en-US"/>
        </w:rPr>
        <w:t>the Great</w:t>
      </w:r>
      <w:r>
        <w:rPr>
          <w:rFonts w:ascii="Times New Roman" w:hAnsi="Times New Roman" w:hint="default"/>
          <w:sz w:val="24"/>
          <w:szCs w:val="24"/>
          <w:rtl w:val="0"/>
          <w:lang w:val="en-US"/>
        </w:rPr>
        <w:t>’</w:t>
      </w:r>
      <w:r>
        <w:rPr>
          <w:rFonts w:ascii="Times New Roman" w:hAnsi="Times New Roman"/>
          <w:sz w:val="24"/>
          <w:szCs w:val="24"/>
          <w:rtl w:val="0"/>
          <w:lang w:val="en-US"/>
        </w:rPr>
        <w:t>, had good relations with Jews. Following the wresting of Jerusalem from the hands of Ptolemaic forces in 198 BC, Antiochus took steps that were very beneficial to its people. He pledged to rebuild damaged areas of the city, authorised the continued construction of the  Second Temple, supplied animals for sacrifice, and abolished taxes for a time, amongst various other measures (Gruen 2003: 266). Perhaps the most important of these policies was the guarantee that Jews could live under their own laws. Gruen believes that the collaboration between Jews and the Seleucid authorities bore fruit and was successful until the last years of the reign of Antiochus III</w:t>
      </w:r>
      <w:r>
        <w:rPr>
          <w:rFonts w:ascii="Times New Roman" w:hAnsi="Times New Roman" w:hint="default"/>
          <w:sz w:val="24"/>
          <w:szCs w:val="24"/>
          <w:rtl w:val="0"/>
          <w:lang w:val="en-US"/>
        </w:rPr>
        <w:t>’</w:t>
      </w:r>
      <w:r>
        <w:rPr>
          <w:rFonts w:ascii="Times New Roman" w:hAnsi="Times New Roman"/>
          <w:sz w:val="24"/>
          <w:szCs w:val="24"/>
          <w:rtl w:val="0"/>
          <w:lang w:val="en-US"/>
        </w:rPr>
        <w:t>s successor, Seleucus IV Philopator, when internal Jewish conflict between Onias III and Simon began (Gruen 2003: 266).</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Furthermore, following the end of the conflict and the establishment of an independent Jewish kingdom, the Maccabees were not so eager to cast off the cloak of Hellenism. There is evidence to suggest that the Jerusalem gymnasium (</w:t>
      </w:r>
      <w:r>
        <w:rPr>
          <w:rFonts w:ascii="Times New Roman" w:hAnsi="Times New Roman"/>
          <w:sz w:val="24"/>
          <w:szCs w:val="24"/>
          <w:rtl w:val="0"/>
          <w:lang w:val="en-US"/>
        </w:rPr>
        <w:t xml:space="preserve">a facet of </w:t>
      </w:r>
      <w:r>
        <w:rPr>
          <w:rFonts w:ascii="Times New Roman" w:hAnsi="Times New Roman"/>
          <w:sz w:val="24"/>
          <w:szCs w:val="24"/>
          <w:rtl w:val="0"/>
          <w:lang w:val="en-US"/>
        </w:rPr>
        <w:t>H</w:t>
      </w:r>
      <w:r>
        <w:rPr>
          <w:rFonts w:ascii="Times New Roman" w:hAnsi="Times New Roman"/>
          <w:sz w:val="24"/>
          <w:szCs w:val="24"/>
          <w:rtl w:val="0"/>
          <w:lang w:val="en-US"/>
        </w:rPr>
        <w:t>ellenism that had been so abhorrent to the author</w:t>
      </w:r>
      <w:r>
        <w:rPr>
          <w:rFonts w:ascii="Times New Roman" w:hAnsi="Times New Roman"/>
          <w:sz w:val="24"/>
          <w:szCs w:val="24"/>
          <w:rtl w:val="0"/>
          <w:lang w:val="en-US"/>
        </w:rPr>
        <w:t>s</w:t>
      </w:r>
      <w:r>
        <w:rPr>
          <w:rFonts w:ascii="Times New Roman" w:hAnsi="Times New Roman"/>
          <w:sz w:val="24"/>
          <w:szCs w:val="24"/>
          <w:rtl w:val="0"/>
          <w:lang w:val="en-US"/>
        </w:rPr>
        <w:t xml:space="preserve"> of Maccabees</w:t>
      </w:r>
      <w:r>
        <w:rPr>
          <w:rFonts w:ascii="Times New Roman" w:hAnsi="Times New Roman"/>
          <w:sz w:val="24"/>
          <w:szCs w:val="24"/>
          <w:rtl w:val="0"/>
          <w:lang w:val="en-US"/>
        </w:rPr>
        <w:t xml:space="preserve">) and the ephebate introduced by Jason were retained by Judas Maccabaeus, his brothers, and their successors. There were other, perhaps more peripheral aspects of Hellenism retained by the Hasmonaeans. They adopted Greek names; their coinage bore Hellenistic symbols (such as the Seleucid anchor), some featuring Hebrew on the obverse and Greek on the reverse. The purple garb of the High Priest resembled clothing seen in the Seleucid court </w:t>
      </w:r>
      <w:r>
        <w:rPr>
          <w:rFonts w:ascii="Times New Roman" w:hAnsi="Times New Roman"/>
          <w:sz w:val="24"/>
          <w:szCs w:val="24"/>
          <w:rtl w:val="0"/>
        </w:rPr>
        <w:t>(Gruen 2003: 269)</w:t>
      </w:r>
      <w:r>
        <w:rPr>
          <w:rFonts w:ascii="Times New Roman" w:hAnsi="Times New Roman"/>
          <w:sz w:val="24"/>
          <w:szCs w:val="24"/>
          <w:rtl w:val="0"/>
          <w:lang w:val="en-US"/>
        </w:rPr>
        <w:t xml:space="preserve">. These associations with Hellenism seem no more offensive to Judaism than those created by Jason, lending weight to the idea that the conflict was not a result of friction between the two.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One section of Jewish society of the time that is seen as providing the impetus for the conflict is that of the Hellenistic Jews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people referred to in 1 Maccabees 1:11 as </w:t>
      </w:r>
      <w:r>
        <w:rPr>
          <w:rFonts w:ascii="Times New Roman" w:hAnsi="Times New Roman" w:hint="default"/>
          <w:sz w:val="24"/>
          <w:szCs w:val="24"/>
          <w:rtl w:val="0"/>
        </w:rPr>
        <w:t>“</w:t>
      </w:r>
      <w:r>
        <w:rPr>
          <w:rFonts w:ascii="Times New Roman" w:hAnsi="Times New Roman"/>
          <w:sz w:val="24"/>
          <w:szCs w:val="24"/>
          <w:rtl w:val="0"/>
          <w:lang w:val="es-ES_tradnl"/>
        </w:rPr>
        <w:t>renegades</w:t>
      </w:r>
      <w:r>
        <w:rPr>
          <w:rFonts w:ascii="Times New Roman" w:hAnsi="Times New Roman" w:hint="default"/>
          <w:sz w:val="24"/>
          <w:szCs w:val="24"/>
          <w:rtl w:val="0"/>
        </w:rPr>
        <w:t>”</w:t>
      </w:r>
      <w:r>
        <w:rPr>
          <w:rFonts w:ascii="Times New Roman" w:hAnsi="Times New Roman"/>
          <w:sz w:val="24"/>
          <w:szCs w:val="24"/>
          <w:rtl w:val="0"/>
        </w:rPr>
        <w:t>.</w:t>
      </w:r>
      <w:r>
        <w:rPr>
          <w:rFonts w:ascii="Times New Roman" w:hAnsi="Times New Roman"/>
          <w:sz w:val="24"/>
          <w:szCs w:val="24"/>
          <w:rtl w:val="0"/>
          <w:lang w:val="en-US"/>
        </w:rPr>
        <w:t xml:space="preserve"> The actions of two men in particular were influential in sowing the seeds of the conflict.  These men were Jason, the brother of the Jewish high priest Onias III; and Menelaus, the brother of Simon the Benjamite. Jason proposed to Antiochus that in exchange for the office of high priest, he would make a payment of a total of 590 talents, construct a gymnasium, and change the name of Jerusalem to Antioch </w:t>
      </w:r>
      <w:r>
        <w:rPr>
          <w:rFonts w:ascii="Times New Roman" w:hAnsi="Times New Roman"/>
          <w:sz w:val="24"/>
          <w:szCs w:val="24"/>
          <w:rtl w:val="0"/>
          <w:lang w:val="it-IT"/>
        </w:rPr>
        <w:t>(2 Macc</w:t>
      </w:r>
      <w:r>
        <w:rPr>
          <w:rFonts w:ascii="Times New Roman" w:hAnsi="Times New Roman"/>
          <w:sz w:val="24"/>
          <w:szCs w:val="24"/>
          <w:rtl w:val="0"/>
          <w:lang w:val="en-US"/>
        </w:rPr>
        <w:t>.</w:t>
      </w:r>
      <w:r>
        <w:rPr>
          <w:rFonts w:ascii="Times New Roman" w:hAnsi="Times New Roman"/>
          <w:sz w:val="24"/>
          <w:szCs w:val="24"/>
          <w:rtl w:val="0"/>
        </w:rPr>
        <w:t xml:space="preserve"> 4:7-10)</w:t>
      </w:r>
      <w:r>
        <w:rPr>
          <w:rFonts w:ascii="Times New Roman" w:hAnsi="Times New Roman" w:hint="default"/>
          <w:sz w:val="24"/>
          <w:szCs w:val="24"/>
          <w:rtl w:val="0"/>
          <w:lang w:val="en-US"/>
        </w:rPr>
        <w:t xml:space="preserve"> — </w:t>
      </w:r>
      <w:r>
        <w:rPr>
          <w:rFonts w:ascii="Times New Roman" w:hAnsi="Times New Roman"/>
          <w:sz w:val="24"/>
          <w:szCs w:val="24"/>
          <w:rtl w:val="0"/>
          <w:lang w:val="en-US"/>
        </w:rPr>
        <w:t xml:space="preserve">in effect promising the transformation of the city into a Greek-style </w:t>
      </w:r>
      <w:r>
        <w:rPr>
          <w:rFonts w:ascii="Times New Roman" w:hAnsi="Times New Roman"/>
          <w:i w:val="1"/>
          <w:iCs w:val="1"/>
          <w:sz w:val="24"/>
          <w:szCs w:val="24"/>
          <w:rtl w:val="0"/>
          <w:lang w:val="en-US"/>
        </w:rPr>
        <w:t>polis</w:t>
      </w:r>
      <w:r>
        <w:rPr>
          <w:rFonts w:ascii="Times New Roman" w:hAnsi="Times New Roman"/>
          <w:sz w:val="24"/>
          <w:szCs w:val="24"/>
          <w:rtl w:val="0"/>
          <w:lang w:val="en-US"/>
        </w:rPr>
        <w:t>. Jason</w:t>
      </w:r>
      <w:r>
        <w:rPr>
          <w:rFonts w:ascii="Times New Roman" w:hAnsi="Times New Roman" w:hint="default"/>
          <w:sz w:val="24"/>
          <w:szCs w:val="24"/>
          <w:rtl w:val="0"/>
          <w:lang w:val="en-US"/>
        </w:rPr>
        <w:t>’</w:t>
      </w:r>
      <w:r>
        <w:rPr>
          <w:rFonts w:ascii="Times New Roman" w:hAnsi="Times New Roman"/>
          <w:sz w:val="24"/>
          <w:szCs w:val="24"/>
          <w:rtl w:val="0"/>
          <w:lang w:val="en-US"/>
        </w:rPr>
        <w:t>s actions have been the subject of a number of interpretations by scholars. Lester Grabbe believes that Jason</w:t>
      </w:r>
      <w:r>
        <w:rPr>
          <w:rFonts w:ascii="Times New Roman" w:hAnsi="Times New Roman" w:hint="default"/>
          <w:sz w:val="24"/>
          <w:szCs w:val="24"/>
          <w:rtl w:val="0"/>
          <w:lang w:val="en-US"/>
        </w:rPr>
        <w:t>’</w:t>
      </w:r>
      <w:r>
        <w:rPr>
          <w:rFonts w:ascii="Times New Roman" w:hAnsi="Times New Roman"/>
          <w:sz w:val="24"/>
          <w:szCs w:val="24"/>
          <w:rtl w:val="0"/>
          <w:lang w:val="en-US"/>
        </w:rPr>
        <w:t>s Hellenistic reform did not affect Jewish worship, but was only concerned with secular matters (2002: 15-16). There is little evidence to suggest that any of his reforms breached Torah, aside from his seizure of the High Priesthood (Grabbe 2002: 19). It has also been argued that Jason</w:t>
      </w:r>
      <w:r>
        <w:rPr>
          <w:rFonts w:ascii="Times New Roman" w:hAnsi="Times New Roman" w:hint="default"/>
          <w:sz w:val="24"/>
          <w:szCs w:val="24"/>
          <w:rtl w:val="0"/>
          <w:lang w:val="en-US"/>
        </w:rPr>
        <w:t>’</w:t>
      </w:r>
      <w:r>
        <w:rPr>
          <w:rFonts w:ascii="Times New Roman" w:hAnsi="Times New Roman"/>
          <w:sz w:val="24"/>
          <w:szCs w:val="24"/>
          <w:rtl w:val="0"/>
          <w:lang w:val="en-US"/>
        </w:rPr>
        <w:t>s reforms were part of an effort to improve Jerusalem</w:t>
      </w:r>
      <w:r>
        <w:rPr>
          <w:rFonts w:ascii="Times New Roman" w:hAnsi="Times New Roman" w:hint="default"/>
          <w:sz w:val="24"/>
          <w:szCs w:val="24"/>
          <w:rtl w:val="0"/>
          <w:lang w:val="en-US"/>
        </w:rPr>
        <w:t>’</w:t>
      </w:r>
      <w:r>
        <w:rPr>
          <w:rFonts w:ascii="Times New Roman" w:hAnsi="Times New Roman"/>
          <w:sz w:val="24"/>
          <w:szCs w:val="24"/>
          <w:rtl w:val="0"/>
          <w:lang w:val="en-US"/>
        </w:rPr>
        <w:t xml:space="preserve">s economy. Making Jerusalem a </w:t>
      </w:r>
      <w:r>
        <w:rPr>
          <w:rFonts w:ascii="Times New Roman" w:hAnsi="Times New Roman"/>
          <w:i w:val="1"/>
          <w:iCs w:val="1"/>
          <w:sz w:val="24"/>
          <w:szCs w:val="24"/>
          <w:rtl w:val="0"/>
          <w:lang w:val="en-US"/>
        </w:rPr>
        <w:t>polis</w:t>
      </w:r>
      <w:r>
        <w:rPr>
          <w:rFonts w:ascii="Times New Roman" w:hAnsi="Times New Roman"/>
          <w:sz w:val="24"/>
          <w:szCs w:val="24"/>
          <w:rtl w:val="0"/>
          <w:lang w:val="en-US"/>
        </w:rPr>
        <w:t xml:space="preserve"> would have opened the city up to trade and commerce, and transform what Grabbe calls </w:t>
      </w:r>
      <w:r>
        <w:rPr>
          <w:rFonts w:ascii="Times New Roman" w:hAnsi="Times New Roman" w:hint="default"/>
          <w:sz w:val="24"/>
          <w:szCs w:val="24"/>
          <w:rtl w:val="0"/>
          <w:lang w:val="en-US"/>
        </w:rPr>
        <w:t>“</w:t>
      </w:r>
      <w:r>
        <w:rPr>
          <w:rFonts w:ascii="Times New Roman" w:hAnsi="Times New Roman"/>
          <w:sz w:val="24"/>
          <w:szCs w:val="24"/>
          <w:rtl w:val="0"/>
          <w:lang w:val="en-US"/>
        </w:rPr>
        <w:t>a provincial backwater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(2002: 19) into something of a more </w:t>
      </w:r>
      <w:r>
        <w:rPr>
          <w:rFonts w:ascii="Times New Roman" w:hAnsi="Times New Roman" w:hint="default"/>
          <w:sz w:val="24"/>
          <w:szCs w:val="24"/>
          <w:rtl w:val="0"/>
          <w:lang w:val="en-US"/>
        </w:rPr>
        <w:t>‘</w:t>
      </w:r>
      <w:r>
        <w:rPr>
          <w:rFonts w:ascii="Times New Roman" w:hAnsi="Times New Roman"/>
          <w:sz w:val="24"/>
          <w:szCs w:val="24"/>
          <w:rtl w:val="0"/>
          <w:lang w:val="en-US"/>
        </w:rPr>
        <w:t>modern</w:t>
      </w:r>
      <w:r>
        <w:rPr>
          <w:rFonts w:ascii="Times New Roman" w:hAnsi="Times New Roman" w:hint="default"/>
          <w:sz w:val="24"/>
          <w:szCs w:val="24"/>
          <w:rtl w:val="0"/>
          <w:lang w:val="en-US"/>
        </w:rPr>
        <w:t xml:space="preserve">’ </w:t>
      </w:r>
      <w:r>
        <w:rPr>
          <w:rFonts w:ascii="Times New Roman" w:hAnsi="Times New Roman"/>
          <w:sz w:val="24"/>
          <w:szCs w:val="24"/>
          <w:rtl w:val="0"/>
          <w:lang w:val="en-US"/>
        </w:rPr>
        <w:t>city.</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From the account in 2 Maccabees, we can infer that Jason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motivation was to gain favour with Antiochus which stemmed from personal ambition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to obtain the position of high priest from his brother </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 from genuine wishes to improve the city of Jerusalem not from a commitment to introducing Hellenistic elements to Judaism. Menelaus</w:t>
      </w:r>
      <w:r>
        <w:rPr>
          <w:rFonts w:ascii="Times New Roman" w:hAnsi="Times New Roman" w:hint="default"/>
          <w:sz w:val="24"/>
          <w:szCs w:val="24"/>
          <w:rtl w:val="0"/>
          <w:lang w:val="en-US"/>
        </w:rPr>
        <w:t xml:space="preserve">’ </w:t>
      </w:r>
      <w:r>
        <w:rPr>
          <w:rFonts w:ascii="Times New Roman" w:hAnsi="Times New Roman"/>
          <w:sz w:val="24"/>
          <w:szCs w:val="24"/>
          <w:rtl w:val="0"/>
          <w:lang w:val="en-US"/>
        </w:rPr>
        <w:t>actions also bear the hallmarks of personal ambition, perhaps even more so than Jason. Menelaus effectively outbid Jason for the office of high priesthood, and in so doing looted the temple of the sacred vessels to finance the payment to Antiochus. This action had known consequences, while Jason</w:t>
      </w:r>
      <w:r>
        <w:rPr>
          <w:rFonts w:ascii="Times New Roman" w:hAnsi="Times New Roman" w:hint="default"/>
          <w:sz w:val="24"/>
          <w:szCs w:val="24"/>
          <w:rtl w:val="0"/>
          <w:lang w:val="en-US"/>
        </w:rPr>
        <w:t>’</w:t>
      </w:r>
      <w:r>
        <w:rPr>
          <w:rFonts w:ascii="Times New Roman" w:hAnsi="Times New Roman"/>
          <w:sz w:val="24"/>
          <w:szCs w:val="24"/>
          <w:rtl w:val="0"/>
          <w:lang w:val="en-US"/>
        </w:rPr>
        <w:t>s reforms, though recounted with vitriol, did not. Rioting broke out in the streets upon hearing of Menelaus</w:t>
      </w:r>
      <w:r>
        <w:rPr>
          <w:rFonts w:ascii="Times New Roman" w:hAnsi="Times New Roman" w:hint="default"/>
          <w:sz w:val="24"/>
          <w:szCs w:val="24"/>
          <w:rtl w:val="0"/>
          <w:lang w:val="en-US"/>
        </w:rPr>
        <w:t xml:space="preserve">’ </w:t>
      </w:r>
      <w:r>
        <w:rPr>
          <w:rFonts w:ascii="Times New Roman" w:hAnsi="Times New Roman"/>
          <w:sz w:val="24"/>
          <w:szCs w:val="24"/>
          <w:rtl w:val="0"/>
          <w:lang w:val="en-US"/>
        </w:rPr>
        <w:t>plunder of the Temple, an act which violated its holiness and was an affront to the Jewish religious sensibilities (Grabbe 2002: 15), while Jason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Hellenisation engendered no such response. Menelaus may be viewed as the single person who did more to bring about the conflict than any other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even more than Antiochus, whose harsh actions may have been a response to conflict initiated by Menelaus.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Klaus Bringmann also suggested that the </w:t>
      </w:r>
      <w:r>
        <w:rPr>
          <w:rFonts w:ascii="Times New Roman" w:hAnsi="Times New Roman" w:hint="default"/>
          <w:sz w:val="24"/>
          <w:szCs w:val="24"/>
          <w:rtl w:val="0"/>
          <w:lang w:val="en-US"/>
        </w:rPr>
        <w:t>‘</w:t>
      </w:r>
      <w:r>
        <w:rPr>
          <w:rFonts w:ascii="Times New Roman" w:hAnsi="Times New Roman"/>
          <w:sz w:val="24"/>
          <w:szCs w:val="24"/>
          <w:rtl w:val="0"/>
          <w:lang w:val="en-US"/>
        </w:rPr>
        <w:t>religious reform</w:t>
      </w:r>
      <w:r>
        <w:rPr>
          <w:rFonts w:ascii="Times New Roman" w:hAnsi="Times New Roman" w:hint="default"/>
          <w:sz w:val="24"/>
          <w:szCs w:val="24"/>
          <w:rtl w:val="0"/>
          <w:lang w:val="en-US"/>
        </w:rPr>
        <w:t xml:space="preserve">’ </w:t>
      </w:r>
      <w:r>
        <w:rPr>
          <w:rFonts w:ascii="Times New Roman" w:hAnsi="Times New Roman"/>
          <w:sz w:val="24"/>
          <w:szCs w:val="24"/>
          <w:rtl w:val="0"/>
          <w:lang w:val="en-US"/>
        </w:rPr>
        <w:t>introduced by Antiochus was the result of Menelaus</w:t>
      </w:r>
      <w:r>
        <w:rPr>
          <w:rFonts w:ascii="Times New Roman" w:hAnsi="Times New Roman" w:hint="default"/>
          <w:sz w:val="24"/>
          <w:szCs w:val="24"/>
          <w:rtl w:val="0"/>
          <w:lang w:val="en-US"/>
        </w:rPr>
        <w:t xml:space="preserve">’ </w:t>
      </w:r>
      <w:r>
        <w:rPr>
          <w:rFonts w:ascii="Times New Roman" w:hAnsi="Times New Roman"/>
          <w:sz w:val="24"/>
          <w:szCs w:val="24"/>
          <w:rtl w:val="0"/>
          <w:lang w:val="en-US"/>
        </w:rPr>
        <w:t>political ambitions, borne out by his desire to weaken the hereditary priesthood and solidify his own power (Bringmann cited in Honigman 2014: 16). Antiochus was unaware that adopting such reforms would have the consequence that it did, and as a result the rebellion was the consequence of a tragic misunderstanding (Honigman 2014: 16). Likely many years after the event had taken place, Jason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actions were seen by the authors of the books of Maccabees as the beginning of the conflict, but as they had no evidence that laws had been broken, they referred to him in stereotypical language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after all, he must have been wicked for the subsequent calamities to have occurred (Grabbe 2002: 19-20).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Antiochus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actions may not have been motivated by the desire to eradicate the Jewish religion, but by more practical concerns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primarily the need for money. His father Antiochus III had been dealt with significant financial blow by the Treaty of Apamea in 188 BC </w:t>
      </w:r>
      <w:r>
        <w:rPr>
          <w:rFonts w:ascii="Times New Roman" w:hAnsi="Times New Roman" w:hint="default"/>
          <w:sz w:val="24"/>
          <w:szCs w:val="24"/>
          <w:rtl w:val="0"/>
          <w:lang w:val="en-US"/>
        </w:rPr>
        <w:t xml:space="preserve">— </w:t>
      </w:r>
      <w:r>
        <w:rPr>
          <w:rFonts w:ascii="Times New Roman" w:hAnsi="Times New Roman"/>
          <w:sz w:val="24"/>
          <w:szCs w:val="24"/>
          <w:rtl w:val="0"/>
          <w:lang w:val="en-US"/>
        </w:rPr>
        <w:t>an immediate payment of 3,000 silver talents and 50 to Eumenes of Pergamon; and a further 12,000 talents to the Romans and 350 to Eumenes paid in instalments (Honigman 2014: 319). Elias Bickermann and Bringmann both noted the financial situation in which Antiochus IV found himself. While Bickermann noted the indemnity imposed by the Treaty of Apamaea, Bringmann also noted that Antiochus, a newcomer to the Seleucid throne, would have needed to secure his position at court by offering bribes (Bringmann 1983: cited in Honigman 2014: 15), a consideration that must have been amplified in Antiochus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mind </w:t>
      </w:r>
      <w:r>
        <w:rPr>
          <w:rFonts w:ascii="Times New Roman" w:hAnsi="Times New Roman" w:hint="default"/>
          <w:sz w:val="24"/>
          <w:szCs w:val="24"/>
          <w:rtl w:val="0"/>
          <w:lang w:val="en-US"/>
        </w:rPr>
        <w:t xml:space="preserve">— </w:t>
      </w:r>
      <w:r>
        <w:rPr>
          <w:rFonts w:ascii="Times New Roman" w:hAnsi="Times New Roman"/>
          <w:sz w:val="24"/>
          <w:szCs w:val="24"/>
          <w:rtl w:val="0"/>
          <w:lang w:val="en-US"/>
        </w:rPr>
        <w:t>he was, after all, a usurper. The need for money is perhaps reflected in Jason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substantial offering of 560 talents in exchange for the high priesthood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 offer that was accepted and later outdone by an even greater offer by Menelaus. </w:t>
      </w:r>
      <w:r>
        <w:rPr>
          <w:rFonts w:ascii="Times New Roman" w:hAnsi="Times New Roman"/>
          <w:sz w:val="24"/>
          <w:szCs w:val="24"/>
          <w:rtl w:val="0"/>
          <w:lang w:val="en-US"/>
        </w:rPr>
        <w:t>The looting in the storming of Jerusalem may likewise indicate this need.</w:t>
      </w:r>
      <w:r>
        <w:rPr>
          <w:rFonts w:ascii="Times New Roman" w:hAnsi="Times New Roman"/>
          <w:sz w:val="24"/>
          <w:szCs w:val="24"/>
          <w:rtl w:val="0"/>
          <w:lang w:val="en-US"/>
        </w:rPr>
        <w:t xml:space="preserve"> On the other hand, it may just be the case that Antiochus would not reject on offer of what was essentially </w:t>
      </w:r>
      <w:r>
        <w:rPr>
          <w:rFonts w:ascii="Times New Roman" w:hAnsi="Times New Roman" w:hint="default"/>
          <w:sz w:val="24"/>
          <w:szCs w:val="24"/>
          <w:rtl w:val="0"/>
          <w:lang w:val="en-US"/>
        </w:rPr>
        <w:t>‘</w:t>
      </w:r>
      <w:r>
        <w:rPr>
          <w:rFonts w:ascii="Times New Roman" w:hAnsi="Times New Roman"/>
          <w:sz w:val="24"/>
          <w:szCs w:val="24"/>
          <w:rtl w:val="0"/>
          <w:lang w:val="en-US"/>
        </w:rPr>
        <w:t>free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money, and might not reflect the </w:t>
      </w:r>
      <w:r>
        <w:rPr>
          <w:rFonts w:ascii="Times New Roman" w:hAnsi="Times New Roman"/>
          <w:i w:val="1"/>
          <w:iCs w:val="1"/>
          <w:sz w:val="24"/>
          <w:szCs w:val="24"/>
          <w:rtl w:val="0"/>
          <w:lang w:val="en-US"/>
        </w:rPr>
        <w:t>need</w:t>
      </w:r>
      <w:r>
        <w:rPr>
          <w:rFonts w:ascii="Times New Roman" w:hAnsi="Times New Roman"/>
          <w:sz w:val="24"/>
          <w:szCs w:val="24"/>
          <w:rtl w:val="0"/>
          <w:lang w:val="en-US"/>
        </w:rPr>
        <w:t xml:space="preserve"> for it.</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The conflict may have owed more to Antiochus</w:t>
      </w:r>
      <w:r>
        <w:rPr>
          <w:rFonts w:ascii="Times New Roman" w:hAnsi="Times New Roman" w:hint="default"/>
          <w:sz w:val="24"/>
          <w:szCs w:val="24"/>
          <w:rtl w:val="0"/>
        </w:rPr>
        <w:t xml:space="preserve">’ </w:t>
      </w:r>
      <w:r>
        <w:rPr>
          <w:rFonts w:ascii="Times New Roman" w:hAnsi="Times New Roman"/>
          <w:sz w:val="24"/>
          <w:szCs w:val="24"/>
          <w:rtl w:val="0"/>
          <w:lang w:val="en-US"/>
        </w:rPr>
        <w:t xml:space="preserve">personality </w:t>
      </w:r>
      <w:r>
        <w:rPr>
          <w:rFonts w:ascii="Times New Roman" w:hAnsi="Times New Roman"/>
          <w:sz w:val="24"/>
          <w:szCs w:val="24"/>
          <w:rtl w:val="0"/>
          <w:lang w:val="en-US"/>
        </w:rPr>
        <w:t>than to religious concerns. Antiochus exacerbated the conflict caused by his rather inept management of the situation. Gruen attributes Antiochus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violent actions following his withdrawal from Egypt to the desire to reassert his power and halt a possible decline in his authority in the area, or as a way to punish Jews who had caused tumult in his absence. He also believes that there is little evidence that Antiochus desired subject peoples to be converted to Hellenism (Gruen 2003: 268). In a suggestion that seems much closer to the truth, it has been proposed that the civil strife between Jason and Menalaus caused Antiochus to believe that the city of Jerusalem had risen in revolt against him, which resulted in his storming of the city and looting of the Temple (Honigman 2014: 277). If we accept the narrative at face value, and believe that such events did take place (though this is unlikely), Antiochus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subsequent defilement of the Temple and persecution of Judaism may have been a consequence of Antiochus attempting to restore order to the city following the tumult between Menalaus and Jason, though his banning/persecution of Jewish practices would only have made things worse. That would suggest that Antiochus was a rather inept ruler.</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conclusion, the roots of the conflict between Judaism and Hellenism were most irreligious, though the main actors at play were entrenched in the Jewish religion, being as they were High Priests. The conflict, which had its main origins in different (though related) factors, was later given a profoundly different emphasis when the events were recounted in the literature of 1 and 2 Maccabees </w:t>
      </w:r>
      <w:r>
        <w:rPr>
          <w:rFonts w:ascii="Times New Roman" w:hAnsi="Times New Roman" w:hint="default"/>
          <w:sz w:val="24"/>
          <w:szCs w:val="24"/>
          <w:rtl w:val="0"/>
          <w:lang w:val="en-US"/>
        </w:rPr>
        <w:t xml:space="preserve">— </w:t>
      </w:r>
      <w:r>
        <w:rPr>
          <w:rFonts w:ascii="Times New Roman" w:hAnsi="Times New Roman"/>
          <w:sz w:val="24"/>
          <w:szCs w:val="24"/>
          <w:rtl w:val="0"/>
          <w:lang w:val="en-US"/>
        </w:rPr>
        <w:t>e</w:t>
      </w:r>
      <w:r>
        <w:rPr>
          <w:rFonts w:ascii="Times New Roman" w:hAnsi="Times New Roman"/>
          <w:sz w:val="24"/>
          <w:szCs w:val="24"/>
          <w:rtl w:val="0"/>
          <w:lang w:val="en-US"/>
        </w:rPr>
        <w:t xml:space="preserve">lements of truth </w:t>
      </w:r>
      <w:r>
        <w:rPr>
          <w:rFonts w:ascii="Times New Roman" w:hAnsi="Times New Roman"/>
          <w:sz w:val="24"/>
          <w:szCs w:val="24"/>
          <w:rtl w:val="0"/>
          <w:lang w:val="en-US"/>
        </w:rPr>
        <w:t>were</w:t>
      </w:r>
      <w:r>
        <w:rPr>
          <w:rFonts w:ascii="Times New Roman" w:hAnsi="Times New Roman"/>
          <w:sz w:val="24"/>
          <w:szCs w:val="24"/>
          <w:rtl w:val="0"/>
          <w:lang w:val="en-US"/>
        </w:rPr>
        <w:t xml:space="preserve"> glossed over with a veneer of religion in order to confer legitimacy upon the Hasmonaean dynasty</w:t>
      </w:r>
      <w:r>
        <w:rPr>
          <w:rFonts w:ascii="Times New Roman" w:hAnsi="Times New Roman"/>
          <w:sz w:val="24"/>
          <w:szCs w:val="24"/>
          <w:rtl w:val="0"/>
          <w:lang w:val="en-US"/>
        </w:rPr>
        <w:t xml:space="preserve">. The conflict was not a clash between Judaism and Hellenism, indeed, elements of Hellenism would live on in Judaea for many years to come. The revolt and its sources are also a fascinating insight into how events can be shaped and altered to fit into a narrative which has a particular aim in mind.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Bibliography</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All Biblical quotations are taken from the New Revised Standard Version Anglicised Edition of the Bible (Oxford: Oxford University Press) unless otherwise stated.</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Bar-Kochva. 2002. </w:t>
      </w:r>
      <w:r>
        <w:rPr>
          <w:rFonts w:ascii="Times New Roman" w:hAnsi="Times New Roman"/>
          <w:i w:val="1"/>
          <w:iCs w:val="1"/>
          <w:sz w:val="24"/>
          <w:szCs w:val="24"/>
          <w:rtl w:val="0"/>
          <w:lang w:val="en-US"/>
        </w:rPr>
        <w:t>Judas Maccabaeus: The Jewish Struggle Against the Seleucids</w:t>
      </w:r>
      <w:r>
        <w:rPr>
          <w:rFonts w:ascii="Times New Roman" w:hAnsi="Times New Roman"/>
          <w:sz w:val="24"/>
          <w:szCs w:val="24"/>
          <w:rtl w:val="0"/>
          <w:lang w:val="en-US"/>
        </w:rPr>
        <w:t>. Cambridge: Cambridge University Press.</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Bertherlot, K. 2014. Judas Maccabeus</w:t>
      </w:r>
      <w:r>
        <w:rPr>
          <w:rFonts w:ascii="Times New Roman" w:hAnsi="Times New Roman" w:hint="default"/>
          <w:sz w:val="24"/>
          <w:szCs w:val="24"/>
          <w:rtl w:val="0"/>
        </w:rPr>
        <w:t xml:space="preserve">’ </w:t>
      </w:r>
      <w:r>
        <w:rPr>
          <w:rFonts w:ascii="Times New Roman" w:hAnsi="Times New Roman"/>
          <w:sz w:val="24"/>
          <w:szCs w:val="24"/>
          <w:rtl w:val="0"/>
          <w:lang w:val="en-US"/>
        </w:rPr>
        <w:t>wars against</w:t>
      </w:r>
      <w:r>
        <w:rPr>
          <w:rFonts w:ascii="Times New Roman" w:hAnsi="Times New Roman"/>
          <w:sz w:val="24"/>
          <w:szCs w:val="24"/>
          <w:rtl w:val="0"/>
        </w:rPr>
        <w:t xml:space="preserve"> J</w:t>
      </w:r>
      <w:r>
        <w:rPr>
          <w:rFonts w:ascii="Times New Roman" w:hAnsi="Times New Roman"/>
          <w:sz w:val="24"/>
          <w:szCs w:val="24"/>
          <w:rtl w:val="0"/>
          <w:lang w:val="en-US"/>
        </w:rPr>
        <w:t>udaea</w:t>
      </w:r>
      <w:r>
        <w:rPr>
          <w:rFonts w:ascii="Times New Roman" w:hAnsi="Times New Roman" w:hint="default"/>
          <w:sz w:val="24"/>
          <w:szCs w:val="24"/>
          <w:rtl w:val="0"/>
        </w:rPr>
        <w:t>’</w:t>
      </w:r>
      <w:r>
        <w:rPr>
          <w:rFonts w:ascii="Times New Roman" w:hAnsi="Times New Roman"/>
          <w:sz w:val="24"/>
          <w:szCs w:val="24"/>
          <w:rtl w:val="0"/>
          <w:lang w:val="en-US"/>
        </w:rPr>
        <w:t>s</w:t>
      </w:r>
      <w:r>
        <w:rPr>
          <w:rFonts w:ascii="Times New Roman" w:hAnsi="Times New Roman"/>
          <w:sz w:val="24"/>
          <w:szCs w:val="24"/>
          <w:rtl w:val="0"/>
        </w:rPr>
        <w:t xml:space="preserve"> </w:t>
      </w:r>
      <w:r>
        <w:rPr>
          <w:rFonts w:ascii="Times New Roman" w:hAnsi="Times New Roman"/>
          <w:sz w:val="24"/>
          <w:szCs w:val="24"/>
          <w:rtl w:val="0"/>
          <w:lang w:val="en-US"/>
        </w:rPr>
        <w:t xml:space="preserve">neighbours in </w:t>
      </w:r>
      <w:r>
        <w:rPr>
          <w:rFonts w:ascii="Times New Roman" w:hAnsi="Times New Roman"/>
          <w:sz w:val="24"/>
          <w:szCs w:val="24"/>
          <w:rtl w:val="0"/>
          <w:lang w:val="ru-RU"/>
        </w:rPr>
        <w:t xml:space="preserve"> 1 </w:t>
      </w:r>
      <w:r>
        <w:rPr>
          <w:rFonts w:ascii="Times New Roman" w:hAnsi="Times New Roman"/>
          <w:sz w:val="24"/>
          <w:szCs w:val="24"/>
          <w:rtl w:val="0"/>
          <w:lang w:val="en-US"/>
        </w:rPr>
        <w:t>Maccabees</w:t>
      </w:r>
      <w:r>
        <w:rPr>
          <w:rFonts w:ascii="Times New Roman" w:hAnsi="Times New Roman"/>
          <w:sz w:val="24"/>
          <w:szCs w:val="24"/>
          <w:rtl w:val="0"/>
        </w:rPr>
        <w:t xml:space="preserve"> 5: </w:t>
      </w:r>
      <w:r>
        <w:rPr>
          <w:rFonts w:ascii="Times New Roman" w:hAnsi="Times New Roman"/>
          <w:sz w:val="24"/>
          <w:szCs w:val="24"/>
          <w:rtl w:val="0"/>
          <w:lang w:val="en-US"/>
        </w:rPr>
        <w:t xml:space="preserve">a reassessment of the evidence. In Electrum Vol. 21: 73-85.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Honingman, S. 2014. </w:t>
      </w:r>
      <w:r>
        <w:rPr>
          <w:rFonts w:ascii="Times New Roman" w:hAnsi="Times New Roman"/>
          <w:i w:val="1"/>
          <w:iCs w:val="1"/>
          <w:sz w:val="24"/>
          <w:szCs w:val="24"/>
          <w:rtl w:val="0"/>
          <w:lang w:val="en-US"/>
        </w:rPr>
        <w:t>Tales of High Priests and Taxes: the Books of the Maccabees and Judaean Rebellion against Antiochus IV</w:t>
      </w:r>
      <w:r>
        <w:rPr>
          <w:rFonts w:ascii="Times New Roman" w:hAnsi="Times New Roman"/>
          <w:sz w:val="24"/>
          <w:szCs w:val="24"/>
          <w:rtl w:val="0"/>
          <w:lang w:val="en-US"/>
        </w:rPr>
        <w:t>. Oakland: University of California Press.</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Grabbe, L.L. 2002. "The Hellenistic city of Jerusalem" in Bartlett, J.R. (ed). </w:t>
      </w:r>
      <w:r>
        <w:rPr>
          <w:rFonts w:ascii="Times New Roman" w:hAnsi="Times New Roman"/>
          <w:i w:val="1"/>
          <w:iCs w:val="1"/>
          <w:sz w:val="24"/>
          <w:szCs w:val="24"/>
          <w:rtl w:val="0"/>
          <w:lang w:val="en-US"/>
        </w:rPr>
        <w:t>Jews in the Hellenistic and Roman Cities</w:t>
      </w:r>
      <w:r>
        <w:rPr>
          <w:rFonts w:ascii="Times New Roman" w:hAnsi="Times New Roman"/>
          <w:sz w:val="24"/>
          <w:szCs w:val="24"/>
          <w:rtl w:val="0"/>
          <w:lang w:val="it-IT"/>
        </w:rPr>
        <w:t>. London</w:t>
      </w:r>
      <w:r>
        <w:rPr>
          <w:rFonts w:ascii="Times New Roman" w:hAnsi="Times New Roman"/>
          <w:sz w:val="24"/>
          <w:szCs w:val="24"/>
          <w:rtl w:val="0"/>
          <w:lang w:val="en-US"/>
        </w:rPr>
        <w:t>: Routledge</w:t>
      </w:r>
      <w:r>
        <w:rPr>
          <w:rFonts w:ascii="Times New Roman" w:hAnsi="Times New Roman"/>
          <w:sz w:val="24"/>
          <w:szCs w:val="24"/>
          <w:rtl w:val="0"/>
        </w:rPr>
        <w:t xml:space="preserve">. </w:t>
      </w:r>
      <w:r>
        <w:rPr>
          <w:rFonts w:ascii="Times New Roman" w:hAnsi="Times New Roman"/>
          <w:sz w:val="24"/>
          <w:szCs w:val="24"/>
          <w:rtl w:val="0"/>
          <w:lang w:val="en-US"/>
        </w:rPr>
        <w:t>6-21.</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pPr>
      <w:r>
        <w:rPr>
          <w:rFonts w:ascii="Times New Roman" w:hAnsi="Times New Roman"/>
          <w:sz w:val="24"/>
          <w:szCs w:val="24"/>
          <w:rtl w:val="0"/>
          <w:lang w:val="en-US"/>
        </w:rPr>
        <w:t xml:space="preserve">Gruen, E. S.. 2003. </w:t>
      </w:r>
      <w:r>
        <w:rPr>
          <w:rFonts w:ascii="Times New Roman" w:hAnsi="Times New Roman" w:hint="default"/>
          <w:sz w:val="24"/>
          <w:szCs w:val="24"/>
          <w:rtl w:val="0"/>
          <w:lang w:val="en-US"/>
        </w:rPr>
        <w:t>“</w:t>
      </w:r>
      <w:r>
        <w:rPr>
          <w:rFonts w:ascii="Times New Roman" w:hAnsi="Times New Roman"/>
          <w:sz w:val="24"/>
          <w:szCs w:val="24"/>
          <w:rtl w:val="0"/>
          <w:lang w:val="en-US"/>
        </w:rPr>
        <w:t>Jews and Greeks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Erskine, A. (ed).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"https://www-dawsonera-com.ezproxy.uwtsd.ac.uk/abstract/9781405154413"</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Companion to the Hellenistic World</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Oxford: Blackwell.</w:t>
      </w:r>
      <w:r>
        <w:rPr>
          <w:rFonts w:ascii="Times New Roman" w:cs="Times New Roman" w:hAnsi="Times New Roman" w:eastAsia="Times New Roman"/>
          <w:sz w:val="24"/>
          <w:szCs w:val="24"/>
        </w:rPr>
      </w:r>
    </w:p>
    <w:sectPr>
      <w:headerReference w:type="default" r:id="rId5"/>
      <w:footerReference w:type="default" r:id="rId6"/>
      <w:pgSz w:w="11906" w:h="16838" w:orient="portrait"/>
      <w:pgMar w:top="1417" w:right="1134" w:bottom="1417"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Pr>
      <w:tab/>
    </w:r>
    <w:r>
      <w:rPr>
        <w:rFonts w:ascii="Times New Roman" w:hAnsi="Times New Roman"/>
      </w:rPr>
      <w:fldChar w:fldCharType="begin" w:fldLock="0"/>
    </w:r>
    <w:r>
      <w:rPr>
        <w:rFonts w:ascii="Times New Roman" w:hAnsi="Times New Roman"/>
      </w:rPr>
      <w:instrText xml:space="preserve"> PAGE </w:instrText>
    </w:r>
    <w:r>
      <w:rPr>
        <w:rFonts w:ascii="Times New Roman" w:hAnsi="Times New Roman"/>
      </w:rPr>
      <w:fldChar w:fldCharType="separate" w:fldLock="0"/>
    </w:r>
    <w:r>
      <w:rPr>
        <w:rFonts w:ascii="Times New Roman" w:hAnsi="Times New Roman"/>
      </w:rPr>
      <w:t>9</w:t>
    </w:r>
    <w:r>
      <w:rPr>
        <w:rFonts w:ascii="Times New Roman" w:hAnsi="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Link">
    <w:name w:val="Link"/>
    <w:rPr>
      <w:u w:val="single"/>
    </w:rPr>
  </w:style>
  <w:style w:type="character" w:styleId="Hyperlink.0">
    <w:name w:val="Hyperlink.0"/>
    <w:basedOn w:val="Link"/>
    <w:next w:val="Hyperlink.0"/>
    <w:rPr>
      <w:i w:val="1"/>
      <w:iCs w:val="1"/>
      <w:u w:val="no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