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E7391BB" w14:textId="77777777" w:rsidR="00504A66" w:rsidRDefault="00504A66">
      <w:pPr>
        <w:jc w:val="center"/>
        <w:rPr>
          <w:b/>
          <w:bCs/>
        </w:rPr>
      </w:pPr>
    </w:p>
    <w:p w14:paraId="02AA618B" w14:textId="77777777" w:rsidR="00504A66" w:rsidRDefault="00504A66">
      <w:pPr>
        <w:jc w:val="center"/>
        <w:rPr>
          <w:b/>
          <w:bCs/>
        </w:rPr>
      </w:pPr>
    </w:p>
    <w:p w14:paraId="5D6CC439" w14:textId="77777777" w:rsidR="00504A66" w:rsidRDefault="00504A66">
      <w:pPr>
        <w:jc w:val="center"/>
        <w:rPr>
          <w:b/>
          <w:bCs/>
        </w:rPr>
      </w:pPr>
    </w:p>
    <w:p w14:paraId="30B0976D" w14:textId="77777777" w:rsidR="00504A66" w:rsidRDefault="00504A66">
      <w:pPr>
        <w:jc w:val="center"/>
        <w:rPr>
          <w:b/>
          <w:bCs/>
        </w:rPr>
      </w:pPr>
    </w:p>
    <w:p w14:paraId="01ADFD7A" w14:textId="77777777" w:rsidR="009758AD" w:rsidRDefault="009758AD">
      <w:pPr>
        <w:jc w:val="center"/>
        <w:rPr>
          <w:b/>
          <w:bCs/>
        </w:rPr>
      </w:pPr>
    </w:p>
    <w:p w14:paraId="0AE1F2BC" w14:textId="77777777" w:rsidR="009758AD" w:rsidRDefault="009758AD">
      <w:pPr>
        <w:jc w:val="center"/>
        <w:rPr>
          <w:b/>
          <w:bCs/>
        </w:rPr>
      </w:pPr>
    </w:p>
    <w:p w14:paraId="1929DFBB" w14:textId="77777777" w:rsidR="009758AD" w:rsidRDefault="009758AD">
      <w:pPr>
        <w:jc w:val="center"/>
        <w:rPr>
          <w:b/>
          <w:bCs/>
        </w:rPr>
      </w:pPr>
    </w:p>
    <w:p w14:paraId="7678D3B3" w14:textId="77777777" w:rsidR="009758AD" w:rsidRDefault="009758AD">
      <w:pPr>
        <w:jc w:val="center"/>
        <w:rPr>
          <w:b/>
          <w:bCs/>
        </w:rPr>
      </w:pPr>
    </w:p>
    <w:p w14:paraId="145E75A0" w14:textId="77777777" w:rsidR="00504A66" w:rsidRDefault="00504A66">
      <w:pPr>
        <w:jc w:val="center"/>
        <w:rPr>
          <w:b/>
          <w:bCs/>
        </w:rPr>
      </w:pPr>
    </w:p>
    <w:p w14:paraId="06D3331A" w14:textId="77777777" w:rsidR="00504A66" w:rsidRDefault="00504A66">
      <w:pPr>
        <w:jc w:val="center"/>
        <w:rPr>
          <w:b/>
          <w:bCs/>
        </w:rPr>
      </w:pPr>
    </w:p>
    <w:p w14:paraId="6F5C13DB" w14:textId="77777777" w:rsidR="00504A66" w:rsidRDefault="00504A66">
      <w:pPr>
        <w:jc w:val="center"/>
        <w:rPr>
          <w:b/>
          <w:bCs/>
        </w:rPr>
      </w:pPr>
    </w:p>
    <w:p w14:paraId="3A72A73A" w14:textId="77777777" w:rsidR="00504A66" w:rsidRDefault="00504A66">
      <w:pPr>
        <w:jc w:val="center"/>
        <w:rPr>
          <w:b/>
          <w:bCs/>
        </w:rPr>
      </w:pPr>
    </w:p>
    <w:p w14:paraId="5B8640D9" w14:textId="77777777" w:rsidR="0021542A" w:rsidRDefault="00504A66">
      <w:pPr>
        <w:jc w:val="center"/>
        <w:rPr>
          <w:sz w:val="32"/>
        </w:rPr>
      </w:pPr>
      <w:r w:rsidRPr="00504A66">
        <w:rPr>
          <w:b/>
          <w:bCs/>
          <w:sz w:val="32"/>
        </w:rPr>
        <w:t>PROJECT MANAGEMENT PLAN FOR THE REDEVELOPMENT OF A METROPOLITAN CENTRAL TRANSPORT HUB IN THE UNITED KINGDOM</w:t>
      </w:r>
      <w:r w:rsidRPr="00504A66">
        <w:rPr>
          <w:sz w:val="32"/>
        </w:rPr>
        <w:t xml:space="preserve"> </w:t>
      </w:r>
    </w:p>
    <w:p w14:paraId="4872AA6F" w14:textId="77777777" w:rsidR="009758AD" w:rsidRDefault="009758AD">
      <w:pPr>
        <w:rPr>
          <w:sz w:val="32"/>
        </w:rPr>
      </w:pPr>
      <w:r>
        <w:rPr>
          <w:sz w:val="32"/>
        </w:rPr>
        <w:br w:type="page"/>
      </w:r>
    </w:p>
    <w:sdt>
      <w:sdtPr>
        <w:rPr>
          <w:rFonts w:ascii="Times New Roman" w:eastAsia="Times New Roman" w:hAnsi="Times New Roman" w:cs="Times New Roman"/>
          <w:color w:val="auto"/>
          <w:sz w:val="24"/>
          <w:szCs w:val="24"/>
          <w:lang w:val="en" w:eastAsia="en-IN"/>
        </w:rPr>
        <w:id w:val="1291325321"/>
        <w:docPartObj>
          <w:docPartGallery w:val="Table of Contents"/>
          <w:docPartUnique/>
        </w:docPartObj>
      </w:sdtPr>
      <w:sdtEndPr>
        <w:rPr>
          <w:b/>
          <w:bCs/>
          <w:noProof/>
        </w:rPr>
      </w:sdtEndPr>
      <w:sdtContent>
        <w:p w14:paraId="720149D9" w14:textId="77777777" w:rsidR="009758AD" w:rsidRPr="009758AD" w:rsidRDefault="009758AD" w:rsidP="009758AD">
          <w:pPr>
            <w:pStyle w:val="TOCHeading"/>
            <w:spacing w:line="360" w:lineRule="auto"/>
            <w:jc w:val="center"/>
            <w:rPr>
              <w:rFonts w:ascii="Times New Roman" w:hAnsi="Times New Roman" w:cs="Times New Roman"/>
              <w:b/>
              <w:color w:val="000000" w:themeColor="text1"/>
              <w:sz w:val="28"/>
              <w:szCs w:val="24"/>
            </w:rPr>
          </w:pPr>
          <w:r w:rsidRPr="009758AD">
            <w:rPr>
              <w:rFonts w:ascii="Times New Roman" w:hAnsi="Times New Roman" w:cs="Times New Roman"/>
              <w:b/>
              <w:color w:val="000000" w:themeColor="text1"/>
              <w:sz w:val="28"/>
              <w:szCs w:val="24"/>
            </w:rPr>
            <w:t>TABLE OF CONTENTS</w:t>
          </w:r>
        </w:p>
        <w:p w14:paraId="367B0EC1" w14:textId="77777777" w:rsidR="009758AD" w:rsidRPr="009758AD" w:rsidRDefault="009758AD" w:rsidP="009758AD">
          <w:pPr>
            <w:pStyle w:val="TOC1"/>
            <w:tabs>
              <w:tab w:val="right" w:leader="dot" w:pos="9350"/>
            </w:tabs>
            <w:rPr>
              <w:noProof/>
              <w:color w:val="000000" w:themeColor="text1"/>
            </w:rPr>
          </w:pPr>
          <w:r w:rsidRPr="009758AD">
            <w:rPr>
              <w:color w:val="000000" w:themeColor="text1"/>
            </w:rPr>
            <w:fldChar w:fldCharType="begin"/>
          </w:r>
          <w:r w:rsidRPr="009758AD">
            <w:rPr>
              <w:color w:val="000000" w:themeColor="text1"/>
            </w:rPr>
            <w:instrText xml:space="preserve"> TOC \o "1-3" \h \z \u </w:instrText>
          </w:r>
          <w:r w:rsidRPr="009758AD">
            <w:rPr>
              <w:color w:val="000000" w:themeColor="text1"/>
            </w:rPr>
            <w:fldChar w:fldCharType="separate"/>
          </w:r>
          <w:hyperlink w:anchor="_Toc232518559" w:history="1">
            <w:r w:rsidRPr="009758AD">
              <w:rPr>
                <w:rStyle w:val="Hyperlink"/>
                <w:noProof/>
                <w:color w:val="000000" w:themeColor="text1"/>
              </w:rPr>
              <w:t>PART A: PROJECT PROPOSAL POSTER</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_Toc232518559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3</w:t>
            </w:r>
            <w:r w:rsidRPr="009758AD">
              <w:rPr>
                <w:noProof/>
                <w:webHidden/>
                <w:color w:val="000000" w:themeColor="text1"/>
              </w:rPr>
              <w:fldChar w:fldCharType="end"/>
            </w:r>
          </w:hyperlink>
        </w:p>
        <w:p w14:paraId="29F1E4CC" w14:textId="77777777" w:rsidR="009758AD" w:rsidRPr="009758AD" w:rsidRDefault="009758AD" w:rsidP="009758AD">
          <w:pPr>
            <w:pStyle w:val="TOC2"/>
            <w:tabs>
              <w:tab w:val="right" w:leader="dot" w:pos="9350"/>
            </w:tabs>
            <w:rPr>
              <w:noProof/>
              <w:color w:val="000000" w:themeColor="text1"/>
            </w:rPr>
          </w:pPr>
          <w:hyperlink w:anchor="_Toc232518560" w:history="1">
            <w:r w:rsidRPr="009758AD">
              <w:rPr>
                <w:rStyle w:val="Hyperlink"/>
                <w:noProof/>
                <w:color w:val="000000" w:themeColor="text1"/>
              </w:rPr>
              <w:t>1. Project Background and Rationale</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_Toc232518560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3</w:t>
            </w:r>
            <w:r w:rsidRPr="009758AD">
              <w:rPr>
                <w:noProof/>
                <w:webHidden/>
                <w:color w:val="000000" w:themeColor="text1"/>
              </w:rPr>
              <w:fldChar w:fldCharType="end"/>
            </w:r>
          </w:hyperlink>
        </w:p>
        <w:p w14:paraId="3FE3220D" w14:textId="77777777" w:rsidR="009758AD" w:rsidRPr="009758AD" w:rsidRDefault="009758AD" w:rsidP="009758AD">
          <w:pPr>
            <w:pStyle w:val="TOC2"/>
            <w:tabs>
              <w:tab w:val="right" w:leader="dot" w:pos="9350"/>
            </w:tabs>
            <w:rPr>
              <w:noProof/>
              <w:color w:val="000000" w:themeColor="text1"/>
            </w:rPr>
          </w:pPr>
          <w:hyperlink w:anchor="_Toc232518561" w:history="1">
            <w:r w:rsidRPr="009758AD">
              <w:rPr>
                <w:rStyle w:val="Hyperlink"/>
                <w:noProof/>
                <w:color w:val="000000" w:themeColor="text1"/>
              </w:rPr>
              <w:t>2. Project Aim and Objectives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_Toc232518561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3</w:t>
            </w:r>
            <w:r w:rsidRPr="009758AD">
              <w:rPr>
                <w:noProof/>
                <w:webHidden/>
                <w:color w:val="000000" w:themeColor="text1"/>
              </w:rPr>
              <w:fldChar w:fldCharType="end"/>
            </w:r>
          </w:hyperlink>
        </w:p>
        <w:p w14:paraId="079E328E" w14:textId="77777777" w:rsidR="009758AD" w:rsidRPr="009758AD" w:rsidRDefault="009758AD" w:rsidP="009758AD">
          <w:pPr>
            <w:pStyle w:val="TOC2"/>
            <w:tabs>
              <w:tab w:val="right" w:leader="dot" w:pos="9350"/>
            </w:tabs>
            <w:rPr>
              <w:noProof/>
              <w:color w:val="000000" w:themeColor="text1"/>
            </w:rPr>
          </w:pPr>
          <w:hyperlink w:anchor="_Toc232518562" w:history="1">
            <w:r w:rsidRPr="009758AD">
              <w:rPr>
                <w:rStyle w:val="Hyperlink"/>
                <w:noProof/>
                <w:color w:val="000000" w:themeColor="text1"/>
              </w:rPr>
              <w:t>3. Project Scope and Boundaries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_Toc232518562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3</w:t>
            </w:r>
            <w:r w:rsidRPr="009758AD">
              <w:rPr>
                <w:noProof/>
                <w:webHidden/>
                <w:color w:val="000000" w:themeColor="text1"/>
              </w:rPr>
              <w:fldChar w:fldCharType="end"/>
            </w:r>
          </w:hyperlink>
        </w:p>
        <w:p w14:paraId="5B061F4A" w14:textId="77777777" w:rsidR="009758AD" w:rsidRPr="009758AD" w:rsidRDefault="009758AD" w:rsidP="009758AD">
          <w:pPr>
            <w:pStyle w:val="TOC2"/>
            <w:tabs>
              <w:tab w:val="right" w:leader="dot" w:pos="9350"/>
            </w:tabs>
            <w:rPr>
              <w:noProof/>
              <w:color w:val="000000" w:themeColor="text1"/>
            </w:rPr>
          </w:pPr>
          <w:hyperlink w:anchor="_Toc232518563" w:history="1">
            <w:r w:rsidRPr="009758AD">
              <w:rPr>
                <w:rStyle w:val="Hyperlink"/>
                <w:noProof/>
                <w:color w:val="000000" w:themeColor="text1"/>
              </w:rPr>
              <w:t>4. Key Stakeholders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_Toc232518563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4</w:t>
            </w:r>
            <w:r w:rsidRPr="009758AD">
              <w:rPr>
                <w:noProof/>
                <w:webHidden/>
                <w:color w:val="000000" w:themeColor="text1"/>
              </w:rPr>
              <w:fldChar w:fldCharType="end"/>
            </w:r>
          </w:hyperlink>
        </w:p>
        <w:p w14:paraId="14EB5272" w14:textId="77777777" w:rsidR="009758AD" w:rsidRPr="009758AD" w:rsidRDefault="009758AD" w:rsidP="009758AD">
          <w:pPr>
            <w:pStyle w:val="TOC2"/>
            <w:tabs>
              <w:tab w:val="right" w:leader="dot" w:pos="9350"/>
            </w:tabs>
            <w:rPr>
              <w:noProof/>
              <w:color w:val="000000" w:themeColor="text1"/>
            </w:rPr>
          </w:pPr>
          <w:hyperlink w:anchor="_Toc232518564" w:history="1">
            <w:r w:rsidRPr="009758AD">
              <w:rPr>
                <w:rStyle w:val="Hyperlink"/>
                <w:noProof/>
                <w:color w:val="000000" w:themeColor="text1"/>
              </w:rPr>
              <w:t>5. High-Level Risks and Trade-offs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_Toc232518564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4</w:t>
            </w:r>
            <w:r w:rsidRPr="009758AD">
              <w:rPr>
                <w:noProof/>
                <w:webHidden/>
                <w:color w:val="000000" w:themeColor="text1"/>
              </w:rPr>
              <w:fldChar w:fldCharType="end"/>
            </w:r>
          </w:hyperlink>
        </w:p>
        <w:p w14:paraId="22C69CDB" w14:textId="77777777" w:rsidR="009758AD" w:rsidRPr="009758AD" w:rsidRDefault="009758AD" w:rsidP="009758AD">
          <w:pPr>
            <w:pStyle w:val="TOC2"/>
            <w:tabs>
              <w:tab w:val="right" w:leader="dot" w:pos="9350"/>
            </w:tabs>
            <w:rPr>
              <w:noProof/>
              <w:color w:val="000000" w:themeColor="text1"/>
            </w:rPr>
          </w:pPr>
          <w:hyperlink w:anchor="_Toc232518565" w:history="1">
            <w:r w:rsidRPr="009758AD">
              <w:rPr>
                <w:rStyle w:val="Hyperlink"/>
                <w:noProof/>
                <w:color w:val="000000" w:themeColor="text1"/>
              </w:rPr>
              <w:t>6. Strategic Value of the Project</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_Toc232518565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4</w:t>
            </w:r>
            <w:r w:rsidRPr="009758AD">
              <w:rPr>
                <w:noProof/>
                <w:webHidden/>
                <w:color w:val="000000" w:themeColor="text1"/>
              </w:rPr>
              <w:fldChar w:fldCharType="end"/>
            </w:r>
          </w:hyperlink>
        </w:p>
        <w:p w14:paraId="387C554D" w14:textId="77777777" w:rsidR="009758AD" w:rsidRPr="009758AD" w:rsidRDefault="009758AD" w:rsidP="009758AD">
          <w:pPr>
            <w:pStyle w:val="TOC1"/>
            <w:tabs>
              <w:tab w:val="right" w:leader="dot" w:pos="9350"/>
            </w:tabs>
            <w:rPr>
              <w:noProof/>
              <w:color w:val="000000" w:themeColor="text1"/>
            </w:rPr>
          </w:pPr>
          <w:hyperlink w:anchor="_Toc232518566" w:history="1">
            <w:r w:rsidRPr="009758AD">
              <w:rPr>
                <w:rStyle w:val="Hyperlink"/>
                <w:noProof/>
                <w:color w:val="000000" w:themeColor="text1"/>
              </w:rPr>
              <w:t>PART B: CRITICAL REFLECTION ON FEEDBACK</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_Toc232518566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5</w:t>
            </w:r>
            <w:r w:rsidRPr="009758AD">
              <w:rPr>
                <w:noProof/>
                <w:webHidden/>
                <w:color w:val="000000" w:themeColor="text1"/>
              </w:rPr>
              <w:fldChar w:fldCharType="end"/>
            </w:r>
          </w:hyperlink>
        </w:p>
        <w:p w14:paraId="14E1395A" w14:textId="77777777" w:rsidR="009758AD" w:rsidRPr="009758AD" w:rsidRDefault="009758AD" w:rsidP="009758AD">
          <w:pPr>
            <w:pStyle w:val="TOC2"/>
            <w:tabs>
              <w:tab w:val="right" w:leader="dot" w:pos="9350"/>
            </w:tabs>
            <w:rPr>
              <w:noProof/>
              <w:color w:val="000000" w:themeColor="text1"/>
            </w:rPr>
          </w:pPr>
          <w:hyperlink w:anchor="_Toc232518567" w:history="1">
            <w:r w:rsidRPr="009758AD">
              <w:rPr>
                <w:rStyle w:val="Hyperlink"/>
                <w:noProof/>
                <w:color w:val="000000" w:themeColor="text1"/>
              </w:rPr>
              <w:t>1. Introduction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_Toc232518567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5</w:t>
            </w:r>
            <w:r w:rsidRPr="009758AD">
              <w:rPr>
                <w:noProof/>
                <w:webHidden/>
                <w:color w:val="000000" w:themeColor="text1"/>
              </w:rPr>
              <w:fldChar w:fldCharType="end"/>
            </w:r>
          </w:hyperlink>
        </w:p>
        <w:p w14:paraId="1F61E506" w14:textId="77777777" w:rsidR="009758AD" w:rsidRPr="009758AD" w:rsidRDefault="009758AD" w:rsidP="009758AD">
          <w:pPr>
            <w:pStyle w:val="TOC2"/>
            <w:tabs>
              <w:tab w:val="right" w:leader="dot" w:pos="9350"/>
            </w:tabs>
            <w:rPr>
              <w:noProof/>
              <w:color w:val="000000" w:themeColor="text1"/>
            </w:rPr>
          </w:pPr>
          <w:hyperlink w:anchor="_Toc232518568" w:history="1">
            <w:r w:rsidRPr="009758AD">
              <w:rPr>
                <w:rStyle w:val="Hyperlink"/>
                <w:noProof/>
                <w:color w:val="000000" w:themeColor="text1"/>
              </w:rPr>
              <w:t>2. Key Strengths Identified</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_Toc232518568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5</w:t>
            </w:r>
            <w:r w:rsidRPr="009758AD">
              <w:rPr>
                <w:noProof/>
                <w:webHidden/>
                <w:color w:val="000000" w:themeColor="text1"/>
              </w:rPr>
              <w:fldChar w:fldCharType="end"/>
            </w:r>
          </w:hyperlink>
        </w:p>
        <w:p w14:paraId="099BDAEB" w14:textId="77777777" w:rsidR="009758AD" w:rsidRPr="009758AD" w:rsidRDefault="009758AD" w:rsidP="009758AD">
          <w:pPr>
            <w:pStyle w:val="TOC2"/>
            <w:tabs>
              <w:tab w:val="right" w:leader="dot" w:pos="9350"/>
            </w:tabs>
            <w:rPr>
              <w:noProof/>
              <w:color w:val="000000" w:themeColor="text1"/>
            </w:rPr>
          </w:pPr>
          <w:hyperlink w:anchor="_Toc232518569" w:history="1">
            <w:r w:rsidRPr="009758AD">
              <w:rPr>
                <w:rStyle w:val="Hyperlink"/>
                <w:noProof/>
                <w:color w:val="000000" w:themeColor="text1"/>
              </w:rPr>
              <w:t>3. Areas for Improvement</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_Toc232518569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5</w:t>
            </w:r>
            <w:r w:rsidRPr="009758AD">
              <w:rPr>
                <w:noProof/>
                <w:webHidden/>
                <w:color w:val="000000" w:themeColor="text1"/>
              </w:rPr>
              <w:fldChar w:fldCharType="end"/>
            </w:r>
          </w:hyperlink>
        </w:p>
        <w:p w14:paraId="3B2A24A4" w14:textId="77777777" w:rsidR="009758AD" w:rsidRPr="009758AD" w:rsidRDefault="009758AD" w:rsidP="009758AD">
          <w:pPr>
            <w:pStyle w:val="TOC2"/>
            <w:tabs>
              <w:tab w:val="right" w:leader="dot" w:pos="9350"/>
            </w:tabs>
            <w:rPr>
              <w:noProof/>
              <w:color w:val="000000" w:themeColor="text1"/>
            </w:rPr>
          </w:pPr>
          <w:hyperlink w:anchor="_Toc232518570" w:history="1">
            <w:r w:rsidRPr="009758AD">
              <w:rPr>
                <w:rStyle w:val="Hyperlink"/>
                <w:noProof/>
                <w:color w:val="000000" w:themeColor="text1"/>
              </w:rPr>
              <w:t>4. Changes Made to Final PMP</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_Toc232518570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6</w:t>
            </w:r>
            <w:r w:rsidRPr="009758AD">
              <w:rPr>
                <w:noProof/>
                <w:webHidden/>
                <w:color w:val="000000" w:themeColor="text1"/>
              </w:rPr>
              <w:fldChar w:fldCharType="end"/>
            </w:r>
          </w:hyperlink>
        </w:p>
        <w:p w14:paraId="5ACC750D" w14:textId="77777777" w:rsidR="009758AD" w:rsidRPr="009758AD" w:rsidRDefault="009758AD" w:rsidP="009758AD">
          <w:pPr>
            <w:pStyle w:val="TOC2"/>
            <w:tabs>
              <w:tab w:val="right" w:leader="dot" w:pos="9350"/>
            </w:tabs>
            <w:rPr>
              <w:noProof/>
              <w:color w:val="000000" w:themeColor="text1"/>
            </w:rPr>
          </w:pPr>
          <w:hyperlink w:anchor="_Toc232518571" w:history="1">
            <w:r w:rsidRPr="009758AD">
              <w:rPr>
                <w:rStyle w:val="Hyperlink"/>
                <w:noProof/>
                <w:color w:val="000000" w:themeColor="text1"/>
              </w:rPr>
              <w:t>5. Conclusion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_Toc232518571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6</w:t>
            </w:r>
            <w:r w:rsidRPr="009758AD">
              <w:rPr>
                <w:noProof/>
                <w:webHidden/>
                <w:color w:val="000000" w:themeColor="text1"/>
              </w:rPr>
              <w:fldChar w:fldCharType="end"/>
            </w:r>
          </w:hyperlink>
        </w:p>
        <w:p w14:paraId="70B36CE1" w14:textId="77777777" w:rsidR="009758AD" w:rsidRPr="009758AD" w:rsidRDefault="009758AD" w:rsidP="009758AD">
          <w:pPr>
            <w:pStyle w:val="TOC1"/>
            <w:tabs>
              <w:tab w:val="right" w:leader="dot" w:pos="9350"/>
            </w:tabs>
            <w:rPr>
              <w:noProof/>
              <w:color w:val="000000" w:themeColor="text1"/>
            </w:rPr>
          </w:pPr>
          <w:hyperlink w:anchor="_Toc232518572" w:history="1">
            <w:r w:rsidRPr="009758AD">
              <w:rPr>
                <w:rStyle w:val="Hyperlink"/>
                <w:noProof/>
                <w:color w:val="000000" w:themeColor="text1"/>
              </w:rPr>
              <w:t>PART C: PROJECT MANAGEMENT PLAN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_Toc232518572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7</w:t>
            </w:r>
            <w:r w:rsidRPr="009758AD">
              <w:rPr>
                <w:noProof/>
                <w:webHidden/>
                <w:color w:val="000000" w:themeColor="text1"/>
              </w:rPr>
              <w:fldChar w:fldCharType="end"/>
            </w:r>
          </w:hyperlink>
        </w:p>
        <w:p w14:paraId="2E64E8ED" w14:textId="77777777" w:rsidR="009758AD" w:rsidRPr="009758AD" w:rsidRDefault="009758AD" w:rsidP="009758AD">
          <w:pPr>
            <w:pStyle w:val="TOC2"/>
            <w:tabs>
              <w:tab w:val="right" w:leader="dot" w:pos="9350"/>
            </w:tabs>
            <w:rPr>
              <w:noProof/>
              <w:color w:val="000000" w:themeColor="text1"/>
            </w:rPr>
          </w:pPr>
          <w:hyperlink w:anchor="_Toc232518573" w:history="1">
            <w:r w:rsidRPr="009758AD">
              <w:rPr>
                <w:rStyle w:val="Hyperlink"/>
                <w:noProof/>
                <w:color w:val="000000" w:themeColor="text1"/>
              </w:rPr>
              <w:t>1. Introduction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_Toc232518573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7</w:t>
            </w:r>
            <w:r w:rsidRPr="009758AD">
              <w:rPr>
                <w:noProof/>
                <w:webHidden/>
                <w:color w:val="000000" w:themeColor="text1"/>
              </w:rPr>
              <w:fldChar w:fldCharType="end"/>
            </w:r>
          </w:hyperlink>
        </w:p>
        <w:p w14:paraId="7048A93B" w14:textId="77777777" w:rsidR="009758AD" w:rsidRPr="009758AD" w:rsidRDefault="009758AD" w:rsidP="009758AD">
          <w:pPr>
            <w:pStyle w:val="TOC2"/>
            <w:tabs>
              <w:tab w:val="right" w:leader="dot" w:pos="9350"/>
            </w:tabs>
            <w:rPr>
              <w:noProof/>
              <w:color w:val="000000" w:themeColor="text1"/>
            </w:rPr>
          </w:pPr>
          <w:hyperlink w:anchor="_Toc232518574" w:history="1">
            <w:r w:rsidRPr="009758AD">
              <w:rPr>
                <w:rStyle w:val="Hyperlink"/>
                <w:noProof/>
                <w:color w:val="000000" w:themeColor="text1"/>
              </w:rPr>
              <w:t>2. Project Description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_Toc232518574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7</w:t>
            </w:r>
            <w:r w:rsidRPr="009758AD">
              <w:rPr>
                <w:noProof/>
                <w:webHidden/>
                <w:color w:val="000000" w:themeColor="text1"/>
              </w:rPr>
              <w:fldChar w:fldCharType="end"/>
            </w:r>
          </w:hyperlink>
        </w:p>
        <w:p w14:paraId="2E91342C" w14:textId="77777777" w:rsidR="009758AD" w:rsidRPr="009758AD" w:rsidRDefault="009758AD" w:rsidP="009758AD">
          <w:pPr>
            <w:pStyle w:val="TOC3"/>
            <w:tabs>
              <w:tab w:val="right" w:leader="dot" w:pos="9350"/>
            </w:tabs>
            <w:rPr>
              <w:noProof/>
              <w:color w:val="000000" w:themeColor="text1"/>
            </w:rPr>
          </w:pPr>
          <w:hyperlink w:anchor="_Toc232518575" w:history="1">
            <w:r w:rsidRPr="009758AD">
              <w:rPr>
                <w:rStyle w:val="Hyperlink"/>
                <w:noProof/>
                <w:color w:val="000000" w:themeColor="text1"/>
              </w:rPr>
              <w:t>2.1 Project Overview</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_Toc232518575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7</w:t>
            </w:r>
            <w:r w:rsidRPr="009758AD">
              <w:rPr>
                <w:noProof/>
                <w:webHidden/>
                <w:color w:val="000000" w:themeColor="text1"/>
              </w:rPr>
              <w:fldChar w:fldCharType="end"/>
            </w:r>
          </w:hyperlink>
        </w:p>
        <w:p w14:paraId="138B3981" w14:textId="77777777" w:rsidR="009758AD" w:rsidRPr="009758AD" w:rsidRDefault="009758AD" w:rsidP="009758AD">
          <w:pPr>
            <w:pStyle w:val="TOC3"/>
            <w:tabs>
              <w:tab w:val="right" w:leader="dot" w:pos="9350"/>
            </w:tabs>
            <w:rPr>
              <w:noProof/>
              <w:color w:val="000000" w:themeColor="text1"/>
            </w:rPr>
          </w:pPr>
          <w:hyperlink w:anchor="_Toc232518576" w:history="1">
            <w:r w:rsidRPr="009758AD">
              <w:rPr>
                <w:rStyle w:val="Hyperlink"/>
                <w:noProof/>
                <w:color w:val="000000" w:themeColor="text1"/>
              </w:rPr>
              <w:t>2.2 Project Justification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_Toc232518576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8</w:t>
            </w:r>
            <w:r w:rsidRPr="009758AD">
              <w:rPr>
                <w:noProof/>
                <w:webHidden/>
                <w:color w:val="000000" w:themeColor="text1"/>
              </w:rPr>
              <w:fldChar w:fldCharType="end"/>
            </w:r>
          </w:hyperlink>
        </w:p>
        <w:p w14:paraId="5F29C235" w14:textId="77777777" w:rsidR="009758AD" w:rsidRPr="009758AD" w:rsidRDefault="009758AD" w:rsidP="009758AD">
          <w:pPr>
            <w:pStyle w:val="TOC3"/>
            <w:tabs>
              <w:tab w:val="right" w:leader="dot" w:pos="9350"/>
            </w:tabs>
            <w:rPr>
              <w:noProof/>
              <w:color w:val="000000" w:themeColor="text1"/>
            </w:rPr>
          </w:pPr>
          <w:hyperlink w:anchor="_Toc232518577" w:history="1">
            <w:r w:rsidRPr="009758AD">
              <w:rPr>
                <w:rStyle w:val="Hyperlink"/>
                <w:noProof/>
                <w:color w:val="000000" w:themeColor="text1"/>
              </w:rPr>
              <w:t>2.3 Project Objectives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_Toc232518577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8</w:t>
            </w:r>
            <w:r w:rsidRPr="009758AD">
              <w:rPr>
                <w:noProof/>
                <w:webHidden/>
                <w:color w:val="000000" w:themeColor="text1"/>
              </w:rPr>
              <w:fldChar w:fldCharType="end"/>
            </w:r>
          </w:hyperlink>
        </w:p>
        <w:p w14:paraId="600C5BDF" w14:textId="77777777" w:rsidR="009758AD" w:rsidRPr="009758AD" w:rsidRDefault="009758AD" w:rsidP="009758AD">
          <w:pPr>
            <w:pStyle w:val="TOC2"/>
            <w:tabs>
              <w:tab w:val="right" w:leader="dot" w:pos="9350"/>
            </w:tabs>
            <w:rPr>
              <w:noProof/>
              <w:color w:val="000000" w:themeColor="text1"/>
            </w:rPr>
          </w:pPr>
          <w:hyperlink w:anchor="_Toc232518578" w:history="1">
            <w:r w:rsidRPr="009758AD">
              <w:rPr>
                <w:rStyle w:val="Hyperlink"/>
                <w:noProof/>
                <w:color w:val="000000" w:themeColor="text1"/>
              </w:rPr>
              <w:t>3. Project Scope</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_Toc232518578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8</w:t>
            </w:r>
            <w:r w:rsidRPr="009758AD">
              <w:rPr>
                <w:noProof/>
                <w:webHidden/>
                <w:color w:val="000000" w:themeColor="text1"/>
              </w:rPr>
              <w:fldChar w:fldCharType="end"/>
            </w:r>
          </w:hyperlink>
        </w:p>
        <w:p w14:paraId="552D5413" w14:textId="77777777" w:rsidR="009758AD" w:rsidRPr="009758AD" w:rsidRDefault="009758AD" w:rsidP="009758AD">
          <w:pPr>
            <w:pStyle w:val="TOC3"/>
            <w:tabs>
              <w:tab w:val="right" w:leader="dot" w:pos="9350"/>
            </w:tabs>
            <w:rPr>
              <w:noProof/>
              <w:color w:val="000000" w:themeColor="text1"/>
            </w:rPr>
          </w:pPr>
          <w:hyperlink w:anchor="_Toc232518579" w:history="1">
            <w:r w:rsidRPr="009758AD">
              <w:rPr>
                <w:rStyle w:val="Hyperlink"/>
                <w:noProof/>
                <w:color w:val="000000" w:themeColor="text1"/>
              </w:rPr>
              <w:t>3.1 In-Scope Activities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_Toc232518579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8</w:t>
            </w:r>
            <w:r w:rsidRPr="009758AD">
              <w:rPr>
                <w:noProof/>
                <w:webHidden/>
                <w:color w:val="000000" w:themeColor="text1"/>
              </w:rPr>
              <w:fldChar w:fldCharType="end"/>
            </w:r>
          </w:hyperlink>
        </w:p>
        <w:p w14:paraId="46FF437B" w14:textId="77777777" w:rsidR="009758AD" w:rsidRPr="009758AD" w:rsidRDefault="009758AD" w:rsidP="009758AD">
          <w:pPr>
            <w:pStyle w:val="TOC3"/>
            <w:tabs>
              <w:tab w:val="right" w:leader="dot" w:pos="9350"/>
            </w:tabs>
            <w:rPr>
              <w:noProof/>
              <w:color w:val="000000" w:themeColor="text1"/>
            </w:rPr>
          </w:pPr>
          <w:hyperlink w:anchor="_Toc232518580" w:history="1">
            <w:r w:rsidRPr="009758AD">
              <w:rPr>
                <w:rStyle w:val="Hyperlink"/>
                <w:noProof/>
                <w:color w:val="000000" w:themeColor="text1"/>
              </w:rPr>
              <w:t>3.2 Out-of-Scope Activities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_Toc232518580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9</w:t>
            </w:r>
            <w:r w:rsidRPr="009758AD">
              <w:rPr>
                <w:noProof/>
                <w:webHidden/>
                <w:color w:val="000000" w:themeColor="text1"/>
              </w:rPr>
              <w:fldChar w:fldCharType="end"/>
            </w:r>
          </w:hyperlink>
        </w:p>
        <w:p w14:paraId="49CC92B6" w14:textId="77777777" w:rsidR="009758AD" w:rsidRPr="009758AD" w:rsidRDefault="009758AD" w:rsidP="009758AD">
          <w:pPr>
            <w:pStyle w:val="TOC3"/>
            <w:tabs>
              <w:tab w:val="right" w:leader="dot" w:pos="9350"/>
            </w:tabs>
            <w:rPr>
              <w:noProof/>
              <w:color w:val="000000" w:themeColor="text1"/>
            </w:rPr>
          </w:pPr>
          <w:hyperlink w:anchor="_Toc232518581" w:history="1">
            <w:r w:rsidRPr="009758AD">
              <w:rPr>
                <w:rStyle w:val="Hyperlink"/>
                <w:noProof/>
                <w:color w:val="000000" w:themeColor="text1"/>
              </w:rPr>
              <w:t>3.3 Assumptions and Constraints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_Toc232518581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9</w:t>
            </w:r>
            <w:r w:rsidRPr="009758AD">
              <w:rPr>
                <w:noProof/>
                <w:webHidden/>
                <w:color w:val="000000" w:themeColor="text1"/>
              </w:rPr>
              <w:fldChar w:fldCharType="end"/>
            </w:r>
          </w:hyperlink>
        </w:p>
        <w:p w14:paraId="48251F77" w14:textId="77777777" w:rsidR="009758AD" w:rsidRPr="009758AD" w:rsidRDefault="009758AD" w:rsidP="009758AD">
          <w:pPr>
            <w:pStyle w:val="TOC2"/>
            <w:tabs>
              <w:tab w:val="right" w:leader="dot" w:pos="9350"/>
            </w:tabs>
            <w:rPr>
              <w:noProof/>
              <w:color w:val="000000" w:themeColor="text1"/>
            </w:rPr>
          </w:pPr>
          <w:hyperlink w:anchor="_Toc232518582" w:history="1">
            <w:r w:rsidRPr="009758AD">
              <w:rPr>
                <w:rStyle w:val="Hyperlink"/>
                <w:noProof/>
                <w:color w:val="000000" w:themeColor="text1"/>
              </w:rPr>
              <w:t>4. Work Breakdown Structure (WBS)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_Toc232518582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9</w:t>
            </w:r>
            <w:r w:rsidRPr="009758AD">
              <w:rPr>
                <w:noProof/>
                <w:webHidden/>
                <w:color w:val="000000" w:themeColor="text1"/>
              </w:rPr>
              <w:fldChar w:fldCharType="end"/>
            </w:r>
          </w:hyperlink>
        </w:p>
        <w:p w14:paraId="5334FFC8" w14:textId="77777777" w:rsidR="009758AD" w:rsidRPr="009758AD" w:rsidRDefault="009758AD" w:rsidP="009758AD">
          <w:pPr>
            <w:pStyle w:val="TOC2"/>
            <w:tabs>
              <w:tab w:val="right" w:leader="dot" w:pos="9350"/>
            </w:tabs>
            <w:rPr>
              <w:noProof/>
              <w:color w:val="000000" w:themeColor="text1"/>
            </w:rPr>
          </w:pPr>
          <w:hyperlink w:anchor="_Toc232518583" w:history="1">
            <w:r w:rsidRPr="009758AD">
              <w:rPr>
                <w:rStyle w:val="Hyperlink"/>
                <w:noProof/>
                <w:color w:val="000000" w:themeColor="text1"/>
              </w:rPr>
              <w:t>5. Quad Chart</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_Toc232518583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10</w:t>
            </w:r>
            <w:r w:rsidRPr="009758AD">
              <w:rPr>
                <w:noProof/>
                <w:webHidden/>
                <w:color w:val="000000" w:themeColor="text1"/>
              </w:rPr>
              <w:fldChar w:fldCharType="end"/>
            </w:r>
          </w:hyperlink>
        </w:p>
        <w:p w14:paraId="3345768C" w14:textId="77777777" w:rsidR="009758AD" w:rsidRPr="009758AD" w:rsidRDefault="009758AD" w:rsidP="009758AD">
          <w:pPr>
            <w:pStyle w:val="TOC2"/>
            <w:tabs>
              <w:tab w:val="right" w:leader="dot" w:pos="9350"/>
            </w:tabs>
            <w:rPr>
              <w:noProof/>
              <w:color w:val="000000" w:themeColor="text1"/>
            </w:rPr>
          </w:pPr>
          <w:hyperlink w:anchor="_Toc232518584" w:history="1">
            <w:r w:rsidRPr="009758AD">
              <w:rPr>
                <w:rStyle w:val="Hyperlink"/>
                <w:noProof/>
                <w:color w:val="000000" w:themeColor="text1"/>
              </w:rPr>
              <w:t>6. Gantt Chart</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_Toc232518584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11</w:t>
            </w:r>
            <w:r w:rsidRPr="009758AD">
              <w:rPr>
                <w:noProof/>
                <w:webHidden/>
                <w:color w:val="000000" w:themeColor="text1"/>
              </w:rPr>
              <w:fldChar w:fldCharType="end"/>
            </w:r>
          </w:hyperlink>
        </w:p>
        <w:p w14:paraId="0AE19900" w14:textId="77777777" w:rsidR="009758AD" w:rsidRPr="009758AD" w:rsidRDefault="009758AD" w:rsidP="009758AD">
          <w:pPr>
            <w:pStyle w:val="TOC2"/>
            <w:tabs>
              <w:tab w:val="right" w:leader="dot" w:pos="9350"/>
            </w:tabs>
            <w:rPr>
              <w:noProof/>
              <w:color w:val="000000" w:themeColor="text1"/>
            </w:rPr>
          </w:pPr>
          <w:hyperlink w:anchor="_Toc232518585" w:history="1">
            <w:r w:rsidRPr="009758AD">
              <w:rPr>
                <w:rStyle w:val="Hyperlink"/>
                <w:noProof/>
                <w:color w:val="000000" w:themeColor="text1"/>
              </w:rPr>
              <w:t>7. Stakeholder Involvement</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_Toc232518585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12</w:t>
            </w:r>
            <w:r w:rsidRPr="009758AD">
              <w:rPr>
                <w:noProof/>
                <w:webHidden/>
                <w:color w:val="000000" w:themeColor="text1"/>
              </w:rPr>
              <w:fldChar w:fldCharType="end"/>
            </w:r>
          </w:hyperlink>
        </w:p>
        <w:p w14:paraId="0BB75B10" w14:textId="77777777" w:rsidR="009758AD" w:rsidRPr="009758AD" w:rsidRDefault="009758AD" w:rsidP="009758AD">
          <w:pPr>
            <w:pStyle w:val="TOC3"/>
            <w:tabs>
              <w:tab w:val="right" w:leader="dot" w:pos="9350"/>
            </w:tabs>
            <w:rPr>
              <w:noProof/>
              <w:color w:val="000000" w:themeColor="text1"/>
            </w:rPr>
          </w:pPr>
          <w:hyperlink w:anchor="_Toc232518586" w:history="1">
            <w:r w:rsidRPr="009758AD">
              <w:rPr>
                <w:rStyle w:val="Hyperlink"/>
                <w:noProof/>
                <w:color w:val="000000" w:themeColor="text1"/>
              </w:rPr>
              <w:t>7.1 Stakeholder Identification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_Toc232518586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12</w:t>
            </w:r>
            <w:r w:rsidRPr="009758AD">
              <w:rPr>
                <w:noProof/>
                <w:webHidden/>
                <w:color w:val="000000" w:themeColor="text1"/>
              </w:rPr>
              <w:fldChar w:fldCharType="end"/>
            </w:r>
          </w:hyperlink>
        </w:p>
        <w:p w14:paraId="142D21EC" w14:textId="77777777" w:rsidR="009758AD" w:rsidRPr="009758AD" w:rsidRDefault="009758AD" w:rsidP="009758AD">
          <w:pPr>
            <w:pStyle w:val="TOC3"/>
            <w:tabs>
              <w:tab w:val="right" w:leader="dot" w:pos="9350"/>
            </w:tabs>
            <w:rPr>
              <w:noProof/>
              <w:color w:val="000000" w:themeColor="text1"/>
            </w:rPr>
          </w:pPr>
          <w:hyperlink w:anchor="_Toc232518587" w:history="1">
            <w:r w:rsidRPr="009758AD">
              <w:rPr>
                <w:rStyle w:val="Hyperlink"/>
                <w:noProof/>
                <w:color w:val="000000" w:themeColor="text1"/>
              </w:rPr>
              <w:t>7.2 Stakeholder Power-Interest Matrix</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_Toc232518587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13</w:t>
            </w:r>
            <w:r w:rsidRPr="009758AD">
              <w:rPr>
                <w:noProof/>
                <w:webHidden/>
                <w:color w:val="000000" w:themeColor="text1"/>
              </w:rPr>
              <w:fldChar w:fldCharType="end"/>
            </w:r>
          </w:hyperlink>
        </w:p>
        <w:p w14:paraId="227B1B8D" w14:textId="77777777" w:rsidR="009758AD" w:rsidRPr="009758AD" w:rsidRDefault="009758AD" w:rsidP="009758AD">
          <w:pPr>
            <w:pStyle w:val="TOC2"/>
            <w:tabs>
              <w:tab w:val="right" w:leader="dot" w:pos="9350"/>
            </w:tabs>
            <w:rPr>
              <w:noProof/>
              <w:color w:val="000000" w:themeColor="text1"/>
            </w:rPr>
          </w:pPr>
          <w:hyperlink w:anchor="_Toc232518588" w:history="1">
            <w:r w:rsidRPr="009758AD">
              <w:rPr>
                <w:rStyle w:val="Hyperlink"/>
                <w:noProof/>
                <w:color w:val="000000" w:themeColor="text1"/>
              </w:rPr>
              <w:t>8. Allocation of Resources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_Toc232518588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14</w:t>
            </w:r>
            <w:r w:rsidRPr="009758AD">
              <w:rPr>
                <w:noProof/>
                <w:webHidden/>
                <w:color w:val="000000" w:themeColor="text1"/>
              </w:rPr>
              <w:fldChar w:fldCharType="end"/>
            </w:r>
          </w:hyperlink>
        </w:p>
        <w:p w14:paraId="67DCA844" w14:textId="77777777" w:rsidR="009758AD" w:rsidRPr="009758AD" w:rsidRDefault="009758AD" w:rsidP="009758AD">
          <w:pPr>
            <w:pStyle w:val="TOC3"/>
            <w:tabs>
              <w:tab w:val="right" w:leader="dot" w:pos="9350"/>
            </w:tabs>
            <w:rPr>
              <w:noProof/>
              <w:color w:val="000000" w:themeColor="text1"/>
            </w:rPr>
          </w:pPr>
          <w:hyperlink w:anchor="_Toc232518589" w:history="1">
            <w:r w:rsidRPr="009758AD">
              <w:rPr>
                <w:rStyle w:val="Hyperlink"/>
                <w:noProof/>
                <w:color w:val="000000" w:themeColor="text1"/>
              </w:rPr>
              <w:t>8.1 Human Resources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_Toc232518589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14</w:t>
            </w:r>
            <w:r w:rsidRPr="009758AD">
              <w:rPr>
                <w:noProof/>
                <w:webHidden/>
                <w:color w:val="000000" w:themeColor="text1"/>
              </w:rPr>
              <w:fldChar w:fldCharType="end"/>
            </w:r>
          </w:hyperlink>
        </w:p>
        <w:p w14:paraId="173033D0" w14:textId="77777777" w:rsidR="009758AD" w:rsidRPr="009758AD" w:rsidRDefault="009758AD" w:rsidP="009758AD">
          <w:pPr>
            <w:pStyle w:val="TOC3"/>
            <w:tabs>
              <w:tab w:val="right" w:leader="dot" w:pos="9350"/>
            </w:tabs>
            <w:rPr>
              <w:noProof/>
              <w:color w:val="000000" w:themeColor="text1"/>
            </w:rPr>
          </w:pPr>
          <w:hyperlink w:anchor="_Toc232518590" w:history="1">
            <w:r w:rsidRPr="009758AD">
              <w:rPr>
                <w:rStyle w:val="Hyperlink"/>
                <w:noProof/>
                <w:color w:val="000000" w:themeColor="text1"/>
              </w:rPr>
              <w:t>8.2 Financial Resources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_Toc232518590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15</w:t>
            </w:r>
            <w:r w:rsidRPr="009758AD">
              <w:rPr>
                <w:noProof/>
                <w:webHidden/>
                <w:color w:val="000000" w:themeColor="text1"/>
              </w:rPr>
              <w:fldChar w:fldCharType="end"/>
            </w:r>
          </w:hyperlink>
        </w:p>
        <w:p w14:paraId="2F4076C0" w14:textId="77777777" w:rsidR="009758AD" w:rsidRPr="009758AD" w:rsidRDefault="009758AD" w:rsidP="009758AD">
          <w:pPr>
            <w:pStyle w:val="TOC3"/>
            <w:tabs>
              <w:tab w:val="right" w:leader="dot" w:pos="9350"/>
            </w:tabs>
            <w:rPr>
              <w:noProof/>
              <w:color w:val="000000" w:themeColor="text1"/>
            </w:rPr>
          </w:pPr>
          <w:hyperlink w:anchor="_Toc232518591" w:history="1">
            <w:r w:rsidRPr="009758AD">
              <w:rPr>
                <w:rStyle w:val="Hyperlink"/>
                <w:noProof/>
                <w:color w:val="000000" w:themeColor="text1"/>
              </w:rPr>
              <w:t>8.3 Physical Resources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_Toc232518591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15</w:t>
            </w:r>
            <w:r w:rsidRPr="009758AD">
              <w:rPr>
                <w:noProof/>
                <w:webHidden/>
                <w:color w:val="000000" w:themeColor="text1"/>
              </w:rPr>
              <w:fldChar w:fldCharType="end"/>
            </w:r>
          </w:hyperlink>
        </w:p>
        <w:p w14:paraId="57186277" w14:textId="77777777" w:rsidR="009758AD" w:rsidRPr="009758AD" w:rsidRDefault="009758AD" w:rsidP="009758AD">
          <w:pPr>
            <w:pStyle w:val="TOC2"/>
            <w:tabs>
              <w:tab w:val="right" w:leader="dot" w:pos="9350"/>
            </w:tabs>
            <w:rPr>
              <w:noProof/>
              <w:color w:val="000000" w:themeColor="text1"/>
            </w:rPr>
          </w:pPr>
          <w:hyperlink w:anchor="_Toc232518592" w:history="1">
            <w:r w:rsidRPr="009758AD">
              <w:rPr>
                <w:rStyle w:val="Hyperlink"/>
                <w:noProof/>
                <w:color w:val="000000" w:themeColor="text1"/>
              </w:rPr>
              <w:t>9. Risk Analysis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_Toc232518592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15</w:t>
            </w:r>
            <w:r w:rsidRPr="009758AD">
              <w:rPr>
                <w:noProof/>
                <w:webHidden/>
                <w:color w:val="000000" w:themeColor="text1"/>
              </w:rPr>
              <w:fldChar w:fldCharType="end"/>
            </w:r>
          </w:hyperlink>
        </w:p>
        <w:p w14:paraId="5D864A57" w14:textId="77777777" w:rsidR="009758AD" w:rsidRPr="009758AD" w:rsidRDefault="009758AD" w:rsidP="009758AD">
          <w:pPr>
            <w:pStyle w:val="TOC3"/>
            <w:tabs>
              <w:tab w:val="right" w:leader="dot" w:pos="9350"/>
            </w:tabs>
            <w:rPr>
              <w:noProof/>
              <w:color w:val="000000" w:themeColor="text1"/>
            </w:rPr>
          </w:pPr>
          <w:hyperlink w:anchor="_Toc232518593" w:history="1">
            <w:r w:rsidRPr="009758AD">
              <w:rPr>
                <w:rStyle w:val="Hyperlink"/>
                <w:noProof/>
                <w:color w:val="000000" w:themeColor="text1"/>
              </w:rPr>
              <w:t>9.1 Risk Identification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_Toc232518593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15</w:t>
            </w:r>
            <w:r w:rsidRPr="009758AD">
              <w:rPr>
                <w:noProof/>
                <w:webHidden/>
                <w:color w:val="000000" w:themeColor="text1"/>
              </w:rPr>
              <w:fldChar w:fldCharType="end"/>
            </w:r>
          </w:hyperlink>
        </w:p>
        <w:p w14:paraId="03DEE704" w14:textId="77777777" w:rsidR="009758AD" w:rsidRPr="009758AD" w:rsidRDefault="009758AD" w:rsidP="009758AD">
          <w:pPr>
            <w:pStyle w:val="TOC3"/>
            <w:tabs>
              <w:tab w:val="right" w:leader="dot" w:pos="9350"/>
            </w:tabs>
            <w:rPr>
              <w:noProof/>
              <w:color w:val="000000" w:themeColor="text1"/>
            </w:rPr>
          </w:pPr>
          <w:hyperlink w:anchor="_Toc232518594" w:history="1">
            <w:r w:rsidRPr="009758AD">
              <w:rPr>
                <w:rStyle w:val="Hyperlink"/>
                <w:noProof/>
                <w:color w:val="000000" w:themeColor="text1"/>
              </w:rPr>
              <w:t>9.2 Risk Assessment</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_Toc232518594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16</w:t>
            </w:r>
            <w:r w:rsidRPr="009758AD">
              <w:rPr>
                <w:noProof/>
                <w:webHidden/>
                <w:color w:val="000000" w:themeColor="text1"/>
              </w:rPr>
              <w:fldChar w:fldCharType="end"/>
            </w:r>
          </w:hyperlink>
        </w:p>
        <w:p w14:paraId="19513E27" w14:textId="77777777" w:rsidR="009758AD" w:rsidRPr="009758AD" w:rsidRDefault="009758AD" w:rsidP="009758AD">
          <w:pPr>
            <w:pStyle w:val="TOC3"/>
            <w:tabs>
              <w:tab w:val="right" w:leader="dot" w:pos="9350"/>
            </w:tabs>
            <w:rPr>
              <w:noProof/>
              <w:color w:val="000000" w:themeColor="text1"/>
            </w:rPr>
          </w:pPr>
          <w:hyperlink w:anchor="_Toc232518595" w:history="1">
            <w:r w:rsidRPr="009758AD">
              <w:rPr>
                <w:rStyle w:val="Hyperlink"/>
                <w:noProof/>
                <w:color w:val="000000" w:themeColor="text1"/>
              </w:rPr>
              <w:t>9.3 Risk Response Strategies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_Toc232518595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16</w:t>
            </w:r>
            <w:r w:rsidRPr="009758AD">
              <w:rPr>
                <w:noProof/>
                <w:webHidden/>
                <w:color w:val="000000" w:themeColor="text1"/>
              </w:rPr>
              <w:fldChar w:fldCharType="end"/>
            </w:r>
          </w:hyperlink>
        </w:p>
        <w:p w14:paraId="5CCA0C66" w14:textId="77777777" w:rsidR="009758AD" w:rsidRPr="009758AD" w:rsidRDefault="009758AD" w:rsidP="009758AD">
          <w:pPr>
            <w:pStyle w:val="TOC3"/>
            <w:tabs>
              <w:tab w:val="right" w:leader="dot" w:pos="9350"/>
            </w:tabs>
            <w:rPr>
              <w:noProof/>
              <w:color w:val="000000" w:themeColor="text1"/>
            </w:rPr>
          </w:pPr>
          <w:hyperlink w:anchor="_Toc232518596" w:history="1">
            <w:r w:rsidRPr="009758AD">
              <w:rPr>
                <w:rStyle w:val="Hyperlink"/>
                <w:noProof/>
                <w:color w:val="000000" w:themeColor="text1"/>
              </w:rPr>
              <w:t>9.4 Risk Monitoring</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_Toc232518596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17</w:t>
            </w:r>
            <w:r w:rsidRPr="009758AD">
              <w:rPr>
                <w:noProof/>
                <w:webHidden/>
                <w:color w:val="000000" w:themeColor="text1"/>
              </w:rPr>
              <w:fldChar w:fldCharType="end"/>
            </w:r>
          </w:hyperlink>
        </w:p>
        <w:p w14:paraId="4E4A81AA" w14:textId="77777777" w:rsidR="009758AD" w:rsidRPr="009758AD" w:rsidRDefault="009758AD" w:rsidP="009758AD">
          <w:pPr>
            <w:pStyle w:val="TOC2"/>
            <w:tabs>
              <w:tab w:val="right" w:leader="dot" w:pos="9350"/>
            </w:tabs>
            <w:rPr>
              <w:noProof/>
              <w:color w:val="000000" w:themeColor="text1"/>
            </w:rPr>
          </w:pPr>
          <w:hyperlink w:anchor="_Toc232518597" w:history="1">
            <w:r w:rsidRPr="009758AD">
              <w:rPr>
                <w:rStyle w:val="Hyperlink"/>
                <w:noProof/>
                <w:color w:val="000000" w:themeColor="text1"/>
              </w:rPr>
              <w:t>10. Conclusion</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_Toc232518597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17</w:t>
            </w:r>
            <w:r w:rsidRPr="009758AD">
              <w:rPr>
                <w:noProof/>
                <w:webHidden/>
                <w:color w:val="000000" w:themeColor="text1"/>
              </w:rPr>
              <w:fldChar w:fldCharType="end"/>
            </w:r>
          </w:hyperlink>
        </w:p>
        <w:p w14:paraId="1B5D4415" w14:textId="77777777" w:rsidR="009758AD" w:rsidRPr="009758AD" w:rsidRDefault="009758AD" w:rsidP="009758AD">
          <w:pPr>
            <w:pStyle w:val="TOC1"/>
            <w:tabs>
              <w:tab w:val="right" w:leader="dot" w:pos="9350"/>
            </w:tabs>
            <w:rPr>
              <w:noProof/>
              <w:color w:val="000000" w:themeColor="text1"/>
            </w:rPr>
          </w:pPr>
          <w:hyperlink w:anchor="_Toc232518598" w:history="1">
            <w:r w:rsidRPr="009758AD">
              <w:rPr>
                <w:rStyle w:val="Hyperlink"/>
                <w:noProof/>
                <w:color w:val="000000" w:themeColor="text1"/>
              </w:rPr>
              <w:t>Reference List</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_Toc232518598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18</w:t>
            </w:r>
            <w:r w:rsidRPr="009758AD">
              <w:rPr>
                <w:noProof/>
                <w:webHidden/>
                <w:color w:val="000000" w:themeColor="text1"/>
              </w:rPr>
              <w:fldChar w:fldCharType="end"/>
            </w:r>
          </w:hyperlink>
        </w:p>
        <w:p w14:paraId="64098DA1" w14:textId="77777777" w:rsidR="009758AD" w:rsidRPr="009758AD" w:rsidRDefault="009758AD" w:rsidP="009758AD">
          <w:pPr>
            <w:pStyle w:val="TOC1"/>
            <w:tabs>
              <w:tab w:val="right" w:leader="dot" w:pos="9350"/>
            </w:tabs>
            <w:rPr>
              <w:noProof/>
              <w:color w:val="000000" w:themeColor="text1"/>
            </w:rPr>
          </w:pPr>
          <w:hyperlink w:anchor="_Toc232518599" w:history="1">
            <w:r w:rsidRPr="009758AD">
              <w:rPr>
                <w:rStyle w:val="Hyperlink"/>
                <w:noProof/>
                <w:color w:val="000000" w:themeColor="text1"/>
              </w:rPr>
              <w:t>Appendices</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_Toc232518599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21</w:t>
            </w:r>
            <w:r w:rsidRPr="009758AD">
              <w:rPr>
                <w:noProof/>
                <w:webHidden/>
                <w:color w:val="000000" w:themeColor="text1"/>
              </w:rPr>
              <w:fldChar w:fldCharType="end"/>
            </w:r>
          </w:hyperlink>
        </w:p>
        <w:p w14:paraId="5D8B3593" w14:textId="77777777" w:rsidR="009758AD" w:rsidRPr="009758AD" w:rsidRDefault="009758AD" w:rsidP="009758AD">
          <w:pPr>
            <w:pStyle w:val="TOC2"/>
            <w:tabs>
              <w:tab w:val="right" w:leader="dot" w:pos="9350"/>
            </w:tabs>
            <w:rPr>
              <w:noProof/>
              <w:color w:val="000000" w:themeColor="text1"/>
            </w:rPr>
          </w:pPr>
          <w:hyperlink w:anchor="_Toc232518600" w:history="1">
            <w:r w:rsidRPr="009758AD">
              <w:rPr>
                <w:rStyle w:val="Hyperlink"/>
                <w:noProof/>
                <w:color w:val="000000" w:themeColor="text1"/>
              </w:rPr>
              <w:t>Appendix 1: Poster</w:t>
            </w:r>
            <w:r w:rsidRPr="009758AD">
              <w:rPr>
                <w:noProof/>
                <w:webHidden/>
                <w:color w:val="000000" w:themeColor="text1"/>
              </w:rPr>
              <w:tab/>
            </w:r>
            <w:r w:rsidRPr="009758AD">
              <w:rPr>
                <w:noProof/>
                <w:webHidden/>
                <w:color w:val="000000" w:themeColor="text1"/>
              </w:rPr>
              <w:fldChar w:fldCharType="begin"/>
            </w:r>
            <w:r w:rsidRPr="009758AD">
              <w:rPr>
                <w:noProof/>
                <w:webHidden/>
                <w:color w:val="000000" w:themeColor="text1"/>
              </w:rPr>
              <w:instrText xml:space="preserve"> PAGEREF _Toc232518600 \h </w:instrText>
            </w:r>
            <w:r w:rsidRPr="009758AD">
              <w:rPr>
                <w:noProof/>
                <w:webHidden/>
                <w:color w:val="000000" w:themeColor="text1"/>
              </w:rPr>
            </w:r>
            <w:r w:rsidRPr="009758AD">
              <w:rPr>
                <w:noProof/>
                <w:webHidden/>
                <w:color w:val="000000" w:themeColor="text1"/>
              </w:rPr>
              <w:fldChar w:fldCharType="separate"/>
            </w:r>
            <w:r w:rsidRPr="009758AD">
              <w:rPr>
                <w:noProof/>
                <w:webHidden/>
                <w:color w:val="000000" w:themeColor="text1"/>
              </w:rPr>
              <w:t>21</w:t>
            </w:r>
            <w:r w:rsidRPr="009758AD">
              <w:rPr>
                <w:noProof/>
                <w:webHidden/>
                <w:color w:val="000000" w:themeColor="text1"/>
              </w:rPr>
              <w:fldChar w:fldCharType="end"/>
            </w:r>
          </w:hyperlink>
        </w:p>
        <w:p w14:paraId="40932B4F" w14:textId="77777777" w:rsidR="009758AD" w:rsidRDefault="009758AD" w:rsidP="009758AD">
          <w:r w:rsidRPr="009758AD">
            <w:rPr>
              <w:b/>
              <w:bCs/>
              <w:noProof/>
              <w:color w:val="000000" w:themeColor="text1"/>
            </w:rPr>
            <w:fldChar w:fldCharType="end"/>
          </w:r>
        </w:p>
      </w:sdtContent>
    </w:sdt>
    <w:p w14:paraId="68F1468B" w14:textId="77777777" w:rsidR="009758AD" w:rsidRPr="00504A66" w:rsidRDefault="009758AD" w:rsidP="009758AD">
      <w:pPr>
        <w:rPr>
          <w:sz w:val="32"/>
        </w:rPr>
      </w:pPr>
    </w:p>
    <w:p w14:paraId="0B2C4254" w14:textId="77777777" w:rsidR="0021542A" w:rsidRDefault="00DC5DF9">
      <w:pPr>
        <w:jc w:val="center"/>
      </w:pPr>
      <w:r>
        <w:br w:type="page"/>
      </w:r>
    </w:p>
    <w:p w14:paraId="3BF93F59" w14:textId="77777777" w:rsidR="0021542A" w:rsidRDefault="00DC5DF9">
      <w:pPr>
        <w:pStyle w:val="Heading1"/>
      </w:pPr>
      <w:bookmarkStart w:id="0" w:name="_p9q1fqpiqybe" w:colFirst="0" w:colLast="0"/>
      <w:bookmarkStart w:id="1" w:name="_Toc232518559"/>
      <w:bookmarkEnd w:id="0"/>
      <w:r>
        <w:lastRenderedPageBreak/>
        <w:t>PART A: PROJECT PROPOSAL POSTER</w:t>
      </w:r>
      <w:bookmarkEnd w:id="1"/>
    </w:p>
    <w:p w14:paraId="640000F6" w14:textId="77777777" w:rsidR="0021542A" w:rsidRDefault="00DC5DF9">
      <w:pPr>
        <w:pStyle w:val="Heading2"/>
      </w:pPr>
      <w:bookmarkStart w:id="2" w:name="_ys50b5okakvt" w:colFirst="0" w:colLast="0"/>
      <w:bookmarkStart w:id="3" w:name="_Toc232518560"/>
      <w:bookmarkEnd w:id="2"/>
      <w:r>
        <w:t>1. Project Background and Rationale</w:t>
      </w:r>
      <w:bookmarkEnd w:id="3"/>
      <w:r>
        <w:t xml:space="preserve"> </w:t>
      </w:r>
    </w:p>
    <w:p w14:paraId="6F31D014" w14:textId="77777777" w:rsidR="0021542A" w:rsidRDefault="00DC5DF9">
      <w:r>
        <w:t>A 40-year-old city centre transport node was suddenly forced to close due to structural safety concerns and has shed light upon crucial urban transport vulnerabilities. When there is a lack of capacity in the multimodal hubs, it can impact their economies and operations and lead to substantial economic losses and delays given the number of trips they support, especially involving large volumes of freight</w:t>
      </w:r>
      <w:r w:rsidR="00504A66">
        <w:t xml:space="preserve"> (</w:t>
      </w:r>
      <w:r w:rsidR="00504A66" w:rsidRPr="0017248E">
        <w:rPr>
          <w:color w:val="222222"/>
          <w:szCs w:val="20"/>
          <w:shd w:val="clear" w:color="auto" w:fill="FFFFFF"/>
        </w:rPr>
        <w:t>Ravagnan</w:t>
      </w:r>
      <w:r w:rsidR="00504A66">
        <w:rPr>
          <w:color w:val="222222"/>
          <w:szCs w:val="20"/>
          <w:shd w:val="clear" w:color="auto" w:fill="FFFFFF"/>
        </w:rPr>
        <w:t xml:space="preserve"> </w:t>
      </w:r>
      <w:r w:rsidR="00504A66">
        <w:rPr>
          <w:i/>
          <w:color w:val="222222"/>
          <w:szCs w:val="20"/>
          <w:shd w:val="clear" w:color="auto" w:fill="FFFFFF"/>
        </w:rPr>
        <w:t>et al.,</w:t>
      </w:r>
      <w:r w:rsidR="00504A66">
        <w:rPr>
          <w:color w:val="222222"/>
          <w:szCs w:val="20"/>
          <w:shd w:val="clear" w:color="auto" w:fill="FFFFFF"/>
        </w:rPr>
        <w:t xml:space="preserve"> 2022</w:t>
      </w:r>
      <w:r w:rsidR="00504A66">
        <w:t>)</w:t>
      </w:r>
      <w:r>
        <w:t>. The closure has resulted in various travel time issues, as well as making logistical networks and business operations around the closure areas more inefficient. Moreover, the ageing infrastructure is not up to today's requirements for accessibility, sustainability and digital mobility</w:t>
      </w:r>
      <w:r w:rsidR="00504A66">
        <w:t xml:space="preserve"> (</w:t>
      </w:r>
      <w:r w:rsidR="00504A66" w:rsidRPr="0017248E">
        <w:rPr>
          <w:color w:val="222222"/>
          <w:szCs w:val="20"/>
          <w:shd w:val="clear" w:color="auto" w:fill="FFFFFF"/>
        </w:rPr>
        <w:t>Leyba</w:t>
      </w:r>
      <w:r w:rsidR="00504A66">
        <w:rPr>
          <w:color w:val="222222"/>
          <w:szCs w:val="20"/>
          <w:shd w:val="clear" w:color="auto" w:fill="FFFFFF"/>
        </w:rPr>
        <w:t xml:space="preserve"> </w:t>
      </w:r>
      <w:r w:rsidR="00504A66">
        <w:rPr>
          <w:i/>
          <w:color w:val="222222"/>
          <w:szCs w:val="20"/>
          <w:shd w:val="clear" w:color="auto" w:fill="FFFFFF"/>
        </w:rPr>
        <w:t>et al.,</w:t>
      </w:r>
      <w:r w:rsidR="00504A66">
        <w:rPr>
          <w:color w:val="222222"/>
          <w:szCs w:val="20"/>
          <w:shd w:val="clear" w:color="auto" w:fill="FFFFFF"/>
        </w:rPr>
        <w:t xml:space="preserve"> 2024</w:t>
      </w:r>
      <w:r w:rsidR="00504A66">
        <w:t>)</w:t>
      </w:r>
      <w:r>
        <w:t>. With the delay in intervention, the congestion situation would be exacerbated, the region would be less competitive and would have higher maintenance costs in the long-term.</w:t>
      </w:r>
    </w:p>
    <w:p w14:paraId="650892FD" w14:textId="77777777" w:rsidR="0021542A" w:rsidRDefault="00DC5DF9">
      <w:pPr>
        <w:pStyle w:val="Heading2"/>
      </w:pPr>
      <w:bookmarkStart w:id="4" w:name="_ec3w5txfka6t" w:colFirst="0" w:colLast="0"/>
      <w:bookmarkStart w:id="5" w:name="_Toc232518561"/>
      <w:bookmarkEnd w:id="4"/>
      <w:r>
        <w:t>2. Project Aim and Objectives</w:t>
      </w:r>
      <w:bookmarkEnd w:id="5"/>
      <w:r>
        <w:t xml:space="preserve"> </w:t>
      </w:r>
    </w:p>
    <w:p w14:paraId="14FBDA31" w14:textId="77777777" w:rsidR="0021542A" w:rsidRDefault="00DC5DF9">
      <w:pPr>
        <w:rPr>
          <w:b/>
          <w:bCs/>
          <w:i/>
          <w:iCs/>
        </w:rPr>
      </w:pPr>
      <w:r>
        <w:rPr>
          <w:b/>
          <w:bCs/>
          <w:i/>
          <w:iCs/>
        </w:rPr>
        <w:t>Aim:</w:t>
      </w:r>
    </w:p>
    <w:p w14:paraId="1CEE3AF5" w14:textId="77777777" w:rsidR="0021542A" w:rsidRDefault="00DC5DF9">
      <w:r>
        <w:t>To transform the central transport hub into a safe, sustainable, digitally-enabled and fully-accessible multimodal transport hub.</w:t>
      </w:r>
    </w:p>
    <w:p w14:paraId="7A588278" w14:textId="77777777" w:rsidR="0021542A" w:rsidRDefault="00DC5DF9">
      <w:pPr>
        <w:rPr>
          <w:b/>
          <w:bCs/>
          <w:i/>
          <w:iCs/>
        </w:rPr>
      </w:pPr>
      <w:r>
        <w:rPr>
          <w:b/>
          <w:bCs/>
          <w:i/>
          <w:iCs/>
        </w:rPr>
        <w:t>Objectives:</w:t>
      </w:r>
    </w:p>
    <w:p w14:paraId="30924203" w14:textId="77777777" w:rsidR="00A8011D" w:rsidRPr="005D63BC" w:rsidRDefault="00A8011D" w:rsidP="00A8011D">
      <w:pPr>
        <w:pStyle w:val="ListParagraph"/>
        <w:numPr>
          <w:ilvl w:val="0"/>
          <w:numId w:val="6"/>
        </w:numPr>
      </w:pPr>
      <w:r w:rsidRPr="00A8011D">
        <w:rPr>
          <w:b/>
          <w:bCs/>
        </w:rPr>
        <w:t>Specific:</w:t>
      </w:r>
      <w:r w:rsidRPr="00A8011D">
        <w:rPr>
          <w:bCs/>
        </w:rPr>
        <w:t xml:space="preserve"> Restore 100% of transport hub operations within 36 months</w:t>
      </w:r>
      <w:r w:rsidRPr="005D63BC">
        <w:t xml:space="preserve"> of project commencement. </w:t>
      </w:r>
    </w:p>
    <w:p w14:paraId="75FB2FB3" w14:textId="77777777" w:rsidR="00A8011D" w:rsidRPr="005D63BC" w:rsidRDefault="00A8011D" w:rsidP="00A8011D">
      <w:pPr>
        <w:pStyle w:val="ListParagraph"/>
        <w:numPr>
          <w:ilvl w:val="0"/>
          <w:numId w:val="6"/>
        </w:numPr>
      </w:pPr>
      <w:r w:rsidRPr="00A8011D">
        <w:rPr>
          <w:b/>
          <w:bCs/>
        </w:rPr>
        <w:t>Measurable:</w:t>
      </w:r>
      <w:r w:rsidRPr="00A8011D">
        <w:rPr>
          <w:bCs/>
        </w:rPr>
        <w:t xml:space="preserve"> Achieve 100% compliance with UK safety and accessibility regulations before commissioning</w:t>
      </w:r>
      <w:r w:rsidRPr="005D63BC">
        <w:t xml:space="preserve"> of the redeveloped hub. </w:t>
      </w:r>
    </w:p>
    <w:p w14:paraId="4061D239" w14:textId="77777777" w:rsidR="00A8011D" w:rsidRPr="005D63BC" w:rsidRDefault="00A8011D" w:rsidP="00A8011D">
      <w:pPr>
        <w:pStyle w:val="ListParagraph"/>
        <w:numPr>
          <w:ilvl w:val="0"/>
          <w:numId w:val="6"/>
        </w:numPr>
      </w:pPr>
      <w:r w:rsidRPr="00A8011D">
        <w:rPr>
          <w:b/>
          <w:bCs/>
        </w:rPr>
        <w:t>Achievable:</w:t>
      </w:r>
      <w:r w:rsidRPr="00A8011D">
        <w:rPr>
          <w:bCs/>
        </w:rPr>
        <w:t xml:space="preserve"> Implement integrated smart ticketing and digital passenger/freight management systems by project completion.</w:t>
      </w:r>
      <w:r w:rsidRPr="005D63BC">
        <w:t xml:space="preserve"> </w:t>
      </w:r>
    </w:p>
    <w:p w14:paraId="03CAB9A4" w14:textId="77777777" w:rsidR="00A8011D" w:rsidRPr="005D63BC" w:rsidRDefault="00A8011D" w:rsidP="00A8011D">
      <w:pPr>
        <w:pStyle w:val="ListParagraph"/>
        <w:numPr>
          <w:ilvl w:val="0"/>
          <w:numId w:val="6"/>
        </w:numPr>
      </w:pPr>
      <w:r w:rsidRPr="00A8011D">
        <w:rPr>
          <w:b/>
          <w:bCs/>
        </w:rPr>
        <w:t>Relevant:</w:t>
      </w:r>
      <w:r w:rsidRPr="00A8011D">
        <w:rPr>
          <w:bCs/>
        </w:rPr>
        <w:t xml:space="preserve"> Reduce operational carbon emissions by 30% within one year of the hub becoming operational.</w:t>
      </w:r>
      <w:r w:rsidRPr="005D63BC">
        <w:t xml:space="preserve"> </w:t>
      </w:r>
    </w:p>
    <w:p w14:paraId="13406F65" w14:textId="77777777" w:rsidR="00A8011D" w:rsidRPr="00A8011D" w:rsidRDefault="00A8011D" w:rsidP="00A8011D">
      <w:pPr>
        <w:pStyle w:val="ListParagraph"/>
        <w:numPr>
          <w:ilvl w:val="0"/>
          <w:numId w:val="6"/>
        </w:numPr>
      </w:pPr>
      <w:r w:rsidRPr="00A8011D">
        <w:rPr>
          <w:b/>
          <w:bCs/>
        </w:rPr>
        <w:t>Time-bound:</w:t>
      </w:r>
      <w:r w:rsidRPr="00A8011D">
        <w:rPr>
          <w:bCs/>
        </w:rPr>
        <w:t xml:space="preserve"> Increase passenger handling capacity by 20% within 12 months of reopening the transport hub.</w:t>
      </w:r>
    </w:p>
    <w:p w14:paraId="29FE2C9E" w14:textId="77777777" w:rsidR="0021542A" w:rsidRDefault="00DC5DF9">
      <w:pPr>
        <w:pStyle w:val="Heading2"/>
      </w:pPr>
      <w:bookmarkStart w:id="6" w:name="_8bp58ui2snxn" w:colFirst="0" w:colLast="0"/>
      <w:bookmarkStart w:id="7" w:name="_Toc232518562"/>
      <w:bookmarkEnd w:id="6"/>
      <w:r>
        <w:t>3. Project Scope and Boundaries</w:t>
      </w:r>
      <w:bookmarkEnd w:id="7"/>
      <w:r>
        <w:t xml:space="preserve"> </w:t>
      </w:r>
    </w:p>
    <w:p w14:paraId="17026259" w14:textId="77777777" w:rsidR="0021542A" w:rsidRDefault="00DC5DF9">
      <w:pPr>
        <w:rPr>
          <w:b/>
          <w:bCs/>
        </w:rPr>
      </w:pPr>
      <w:r>
        <w:rPr>
          <w:b/>
          <w:bCs/>
        </w:rPr>
        <w:t>In Scope</w:t>
      </w:r>
    </w:p>
    <w:p w14:paraId="5183A59B" w14:textId="77777777" w:rsidR="0021542A" w:rsidRDefault="00DC5DF9">
      <w:pPr>
        <w:numPr>
          <w:ilvl w:val="0"/>
          <w:numId w:val="1"/>
        </w:numPr>
      </w:pPr>
      <w:r>
        <w:t>Maintain the structural improvement as well as modernisation of hub facilities.</w:t>
      </w:r>
    </w:p>
    <w:p w14:paraId="42750AC4" w14:textId="77777777" w:rsidR="0021542A" w:rsidRDefault="00DC5DF9">
      <w:pPr>
        <w:numPr>
          <w:ilvl w:val="0"/>
          <w:numId w:val="1"/>
        </w:numPr>
      </w:pPr>
      <w:r>
        <w:t>Building of integrated bus, rail, and freight exchange infrastructure</w:t>
      </w:r>
      <w:r w:rsidR="00504A66">
        <w:t xml:space="preserve"> (</w:t>
      </w:r>
      <w:r w:rsidR="00504A66" w:rsidRPr="0017248E">
        <w:rPr>
          <w:color w:val="222222"/>
          <w:szCs w:val="20"/>
          <w:shd w:val="clear" w:color="auto" w:fill="FFFFFF"/>
        </w:rPr>
        <w:t>Banerjee</w:t>
      </w:r>
      <w:r w:rsidR="00504A66">
        <w:rPr>
          <w:color w:val="222222"/>
          <w:szCs w:val="20"/>
          <w:shd w:val="clear" w:color="auto" w:fill="FFFFFF"/>
        </w:rPr>
        <w:t>, 2022</w:t>
      </w:r>
      <w:r w:rsidR="00504A66">
        <w:t>)</w:t>
      </w:r>
      <w:r>
        <w:t>.</w:t>
      </w:r>
    </w:p>
    <w:p w14:paraId="1F2AEAC8" w14:textId="77777777" w:rsidR="0021542A" w:rsidRDefault="00DC5DF9">
      <w:pPr>
        <w:numPr>
          <w:ilvl w:val="0"/>
          <w:numId w:val="1"/>
        </w:numPr>
      </w:pPr>
      <w:r>
        <w:lastRenderedPageBreak/>
        <w:t>Incorporate renewable energy as well as low-carbon transport processes.</w:t>
      </w:r>
    </w:p>
    <w:p w14:paraId="4C7DAB82" w14:textId="77777777" w:rsidR="0021542A" w:rsidRDefault="00DC5DF9">
      <w:pPr>
        <w:spacing w:after="160"/>
        <w:rPr>
          <w:b/>
          <w:bCs/>
        </w:rPr>
      </w:pPr>
      <w:r>
        <w:rPr>
          <w:b/>
          <w:bCs/>
        </w:rPr>
        <w:t>Out of Scope</w:t>
      </w:r>
    </w:p>
    <w:p w14:paraId="0C29848E" w14:textId="77777777" w:rsidR="0021542A" w:rsidRDefault="00DC5DF9">
      <w:pPr>
        <w:numPr>
          <w:ilvl w:val="0"/>
          <w:numId w:val="2"/>
        </w:numPr>
      </w:pPr>
      <w:r>
        <w:t>Housing property improvement</w:t>
      </w:r>
    </w:p>
    <w:p w14:paraId="2FCEE566" w14:textId="77777777" w:rsidR="0021542A" w:rsidRDefault="00DC5DF9">
      <w:pPr>
        <w:numPr>
          <w:ilvl w:val="0"/>
          <w:numId w:val="2"/>
        </w:numPr>
      </w:pPr>
      <w:r>
        <w:t>Expand the extensive city transport network processes</w:t>
      </w:r>
      <w:r w:rsidR="00504A66">
        <w:t xml:space="preserve"> (</w:t>
      </w:r>
      <w:r w:rsidR="00504A66" w:rsidRPr="0017248E">
        <w:rPr>
          <w:color w:val="222222"/>
          <w:szCs w:val="20"/>
          <w:shd w:val="clear" w:color="auto" w:fill="FFFFFF"/>
        </w:rPr>
        <w:t>Saha</w:t>
      </w:r>
      <w:r w:rsidR="00504A66">
        <w:rPr>
          <w:color w:val="222222"/>
          <w:szCs w:val="20"/>
          <w:shd w:val="clear" w:color="auto" w:fill="FFFFFF"/>
        </w:rPr>
        <w:t>, 2022</w:t>
      </w:r>
      <w:r w:rsidR="00504A66">
        <w:t>)</w:t>
      </w:r>
      <w:r>
        <w:t>.</w:t>
      </w:r>
    </w:p>
    <w:p w14:paraId="2F433B2B" w14:textId="77777777" w:rsidR="0021542A" w:rsidRDefault="00DC5DF9" w:rsidP="00A8011D">
      <w:pPr>
        <w:numPr>
          <w:ilvl w:val="0"/>
          <w:numId w:val="2"/>
        </w:numPr>
        <w:spacing w:after="160"/>
      </w:pPr>
      <w:r>
        <w:t>Focus on unrelated municipal infrastructure projects.</w:t>
      </w:r>
    </w:p>
    <w:p w14:paraId="4141B48B" w14:textId="77777777" w:rsidR="0021542A" w:rsidRDefault="00DC5DF9">
      <w:pPr>
        <w:pStyle w:val="Heading2"/>
      </w:pPr>
      <w:bookmarkStart w:id="8" w:name="_v2cbugmp4gib" w:colFirst="0" w:colLast="0"/>
      <w:bookmarkStart w:id="9" w:name="_Toc232518563"/>
      <w:bookmarkEnd w:id="8"/>
      <w:r>
        <w:t>4. Key Stakeholders</w:t>
      </w:r>
      <w:bookmarkEnd w:id="9"/>
      <w:r>
        <w:t xml:space="preserve"> </w:t>
      </w:r>
    </w:p>
    <w:p w14:paraId="10B7FCC2" w14:textId="77777777" w:rsidR="0021542A" w:rsidRDefault="00DC5DF9">
      <w:pPr>
        <w:numPr>
          <w:ilvl w:val="0"/>
          <w:numId w:val="3"/>
        </w:numPr>
      </w:pPr>
      <w:r>
        <w:t xml:space="preserve">Bus and Rail transport </w:t>
      </w:r>
    </w:p>
    <w:p w14:paraId="7D686428" w14:textId="77777777" w:rsidR="0021542A" w:rsidRDefault="00DC5DF9">
      <w:pPr>
        <w:numPr>
          <w:ilvl w:val="0"/>
          <w:numId w:val="3"/>
        </w:numPr>
      </w:pPr>
      <w:r>
        <w:t>Investors and local businesses</w:t>
      </w:r>
    </w:p>
    <w:p w14:paraId="28D74FE3" w14:textId="77777777" w:rsidR="0021542A" w:rsidRDefault="00DC5DF9">
      <w:pPr>
        <w:numPr>
          <w:ilvl w:val="0"/>
          <w:numId w:val="3"/>
        </w:numPr>
      </w:pPr>
      <w:r>
        <w:t>Department for Transport (DfT)</w:t>
      </w:r>
    </w:p>
    <w:p w14:paraId="67208CF5" w14:textId="77777777" w:rsidR="0021542A" w:rsidRDefault="00DC5DF9">
      <w:pPr>
        <w:numPr>
          <w:ilvl w:val="0"/>
          <w:numId w:val="3"/>
        </w:numPr>
      </w:pPr>
      <w:r>
        <w:t>Passengers and Commuters</w:t>
      </w:r>
    </w:p>
    <w:p w14:paraId="66CC7682" w14:textId="77777777" w:rsidR="0021542A" w:rsidRDefault="00DC5DF9">
      <w:pPr>
        <w:numPr>
          <w:ilvl w:val="0"/>
          <w:numId w:val="3"/>
        </w:numPr>
      </w:pPr>
      <w:r>
        <w:t>Accessibility Advocacy Groups</w:t>
      </w:r>
    </w:p>
    <w:p w14:paraId="4CEB3B75" w14:textId="77777777" w:rsidR="00000FF5" w:rsidRDefault="00DC5DF9" w:rsidP="00000FF5">
      <w:pPr>
        <w:numPr>
          <w:ilvl w:val="0"/>
          <w:numId w:val="3"/>
        </w:numPr>
      </w:pPr>
      <w:r>
        <w:t>Indigenous Authority</w:t>
      </w:r>
    </w:p>
    <w:p w14:paraId="7754D65C" w14:textId="77777777" w:rsidR="0021542A" w:rsidRDefault="0021542A" w:rsidP="00000FF5"/>
    <w:tbl>
      <w:tblPr>
        <w:tblW w:w="8491" w:type="dxa"/>
        <w:jc w:val="center"/>
        <w:tblLook w:val="04A0" w:firstRow="1" w:lastRow="0" w:firstColumn="1" w:lastColumn="0" w:noHBand="0" w:noVBand="1"/>
      </w:tblPr>
      <w:tblGrid>
        <w:gridCol w:w="2243"/>
        <w:gridCol w:w="1538"/>
        <w:gridCol w:w="1570"/>
        <w:gridCol w:w="3140"/>
      </w:tblGrid>
      <w:tr w:rsidR="00000FF5" w:rsidRPr="00000FF5" w14:paraId="387E367C" w14:textId="77777777" w:rsidTr="00000FF5">
        <w:trPr>
          <w:trHeight w:val="234"/>
          <w:jc w:val="center"/>
        </w:trPr>
        <w:tc>
          <w:tcPr>
            <w:tcW w:w="2243" w:type="dxa"/>
            <w:tcBorders>
              <w:top w:val="single" w:sz="4" w:space="0" w:color="auto"/>
              <w:left w:val="single" w:sz="4" w:space="0" w:color="auto"/>
              <w:bottom w:val="single" w:sz="4" w:space="0" w:color="auto"/>
              <w:right w:val="single" w:sz="4" w:space="0" w:color="auto"/>
            </w:tcBorders>
            <w:shd w:val="clear" w:color="000000" w:fill="F8CBAD"/>
            <w:vAlign w:val="center"/>
            <w:hideMark/>
          </w:tcPr>
          <w:p w14:paraId="0CB085FB" w14:textId="77777777" w:rsidR="00000FF5" w:rsidRPr="00000FF5" w:rsidRDefault="00000FF5" w:rsidP="00000FF5">
            <w:pPr>
              <w:jc w:val="center"/>
              <w:rPr>
                <w:b/>
                <w:bCs/>
                <w:color w:val="000000"/>
                <w:szCs w:val="16"/>
                <w:lang w:val="en-IN"/>
              </w:rPr>
            </w:pPr>
            <w:r w:rsidRPr="00000FF5">
              <w:rPr>
                <w:b/>
                <w:bCs/>
                <w:color w:val="000000"/>
                <w:szCs w:val="16"/>
                <w:lang w:val="en-IN"/>
              </w:rPr>
              <w:t>Stakeholder</w:t>
            </w:r>
          </w:p>
        </w:tc>
        <w:tc>
          <w:tcPr>
            <w:tcW w:w="1538" w:type="dxa"/>
            <w:tcBorders>
              <w:top w:val="single" w:sz="4" w:space="0" w:color="auto"/>
              <w:left w:val="nil"/>
              <w:bottom w:val="single" w:sz="4" w:space="0" w:color="auto"/>
              <w:right w:val="single" w:sz="4" w:space="0" w:color="auto"/>
            </w:tcBorders>
            <w:shd w:val="clear" w:color="000000" w:fill="F8CBAD"/>
            <w:vAlign w:val="center"/>
            <w:hideMark/>
          </w:tcPr>
          <w:p w14:paraId="6B1099B7" w14:textId="77777777" w:rsidR="00000FF5" w:rsidRPr="00000FF5" w:rsidRDefault="00000FF5" w:rsidP="00000FF5">
            <w:pPr>
              <w:jc w:val="center"/>
              <w:rPr>
                <w:b/>
                <w:bCs/>
                <w:color w:val="000000"/>
                <w:szCs w:val="16"/>
                <w:lang w:val="en-IN"/>
              </w:rPr>
            </w:pPr>
            <w:r w:rsidRPr="00000FF5">
              <w:rPr>
                <w:b/>
                <w:bCs/>
                <w:color w:val="000000"/>
                <w:szCs w:val="16"/>
                <w:lang w:val="en-IN"/>
              </w:rPr>
              <w:t>Influence</w:t>
            </w:r>
          </w:p>
        </w:tc>
        <w:tc>
          <w:tcPr>
            <w:tcW w:w="1570" w:type="dxa"/>
            <w:tcBorders>
              <w:top w:val="single" w:sz="4" w:space="0" w:color="auto"/>
              <w:left w:val="nil"/>
              <w:bottom w:val="single" w:sz="4" w:space="0" w:color="auto"/>
              <w:right w:val="single" w:sz="4" w:space="0" w:color="auto"/>
            </w:tcBorders>
            <w:shd w:val="clear" w:color="000000" w:fill="F8CBAD"/>
            <w:vAlign w:val="center"/>
            <w:hideMark/>
          </w:tcPr>
          <w:p w14:paraId="76E5EFC6" w14:textId="77777777" w:rsidR="00000FF5" w:rsidRPr="00000FF5" w:rsidRDefault="00000FF5" w:rsidP="00000FF5">
            <w:pPr>
              <w:jc w:val="center"/>
              <w:rPr>
                <w:b/>
                <w:bCs/>
                <w:color w:val="000000"/>
                <w:szCs w:val="16"/>
                <w:lang w:val="en-IN"/>
              </w:rPr>
            </w:pPr>
            <w:r w:rsidRPr="00000FF5">
              <w:rPr>
                <w:b/>
                <w:bCs/>
                <w:color w:val="000000"/>
                <w:szCs w:val="16"/>
                <w:lang w:val="en-IN"/>
              </w:rPr>
              <w:t>Interest</w:t>
            </w:r>
          </w:p>
        </w:tc>
        <w:tc>
          <w:tcPr>
            <w:tcW w:w="3140" w:type="dxa"/>
            <w:tcBorders>
              <w:top w:val="single" w:sz="4" w:space="0" w:color="auto"/>
              <w:left w:val="nil"/>
              <w:bottom w:val="single" w:sz="4" w:space="0" w:color="auto"/>
              <w:right w:val="single" w:sz="4" w:space="0" w:color="auto"/>
            </w:tcBorders>
            <w:shd w:val="clear" w:color="000000" w:fill="F8CBAD"/>
            <w:vAlign w:val="center"/>
            <w:hideMark/>
          </w:tcPr>
          <w:p w14:paraId="6E2C6727" w14:textId="77777777" w:rsidR="00000FF5" w:rsidRPr="00000FF5" w:rsidRDefault="00000FF5" w:rsidP="00000FF5">
            <w:pPr>
              <w:jc w:val="center"/>
              <w:rPr>
                <w:b/>
                <w:bCs/>
                <w:color w:val="000000"/>
                <w:szCs w:val="16"/>
                <w:lang w:val="en-IN"/>
              </w:rPr>
            </w:pPr>
            <w:r w:rsidRPr="00000FF5">
              <w:rPr>
                <w:b/>
                <w:bCs/>
                <w:color w:val="000000"/>
                <w:szCs w:val="16"/>
                <w:lang w:val="en-IN"/>
              </w:rPr>
              <w:t>Engagement Strategy</w:t>
            </w:r>
          </w:p>
        </w:tc>
      </w:tr>
      <w:tr w:rsidR="00000FF5" w:rsidRPr="00000FF5" w14:paraId="2F3ADB49" w14:textId="77777777" w:rsidTr="00000FF5">
        <w:trPr>
          <w:trHeight w:val="528"/>
          <w:jc w:val="center"/>
        </w:trPr>
        <w:tc>
          <w:tcPr>
            <w:tcW w:w="2243" w:type="dxa"/>
            <w:tcBorders>
              <w:top w:val="nil"/>
              <w:left w:val="single" w:sz="4" w:space="0" w:color="auto"/>
              <w:bottom w:val="single" w:sz="4" w:space="0" w:color="auto"/>
              <w:right w:val="single" w:sz="4" w:space="0" w:color="auto"/>
            </w:tcBorders>
            <w:vAlign w:val="center"/>
            <w:hideMark/>
          </w:tcPr>
          <w:p w14:paraId="5CFCFB80" w14:textId="77777777" w:rsidR="00000FF5" w:rsidRPr="00000FF5" w:rsidRDefault="00000FF5" w:rsidP="00000FF5">
            <w:pPr>
              <w:jc w:val="left"/>
              <w:rPr>
                <w:color w:val="000000"/>
                <w:szCs w:val="16"/>
                <w:lang w:val="en-IN"/>
              </w:rPr>
            </w:pPr>
            <w:r w:rsidRPr="00000FF5">
              <w:rPr>
                <w:color w:val="000000"/>
                <w:szCs w:val="16"/>
                <w:lang w:val="en-IN"/>
              </w:rPr>
              <w:t>Department for Transport (DfT)</w:t>
            </w:r>
          </w:p>
        </w:tc>
        <w:tc>
          <w:tcPr>
            <w:tcW w:w="1538" w:type="dxa"/>
            <w:tcBorders>
              <w:top w:val="nil"/>
              <w:left w:val="nil"/>
              <w:bottom w:val="single" w:sz="4" w:space="0" w:color="auto"/>
              <w:right w:val="single" w:sz="4" w:space="0" w:color="auto"/>
            </w:tcBorders>
            <w:shd w:val="clear" w:color="000000" w:fill="FF0000"/>
            <w:vAlign w:val="center"/>
            <w:hideMark/>
          </w:tcPr>
          <w:p w14:paraId="70495023" w14:textId="77777777" w:rsidR="00000FF5" w:rsidRPr="00000FF5" w:rsidRDefault="00000FF5" w:rsidP="00000FF5">
            <w:pPr>
              <w:jc w:val="left"/>
              <w:rPr>
                <w:color w:val="000000"/>
                <w:szCs w:val="16"/>
                <w:lang w:val="en-IN"/>
              </w:rPr>
            </w:pPr>
            <w:r w:rsidRPr="00000FF5">
              <w:rPr>
                <w:color w:val="000000"/>
                <w:szCs w:val="16"/>
                <w:lang w:val="en-IN"/>
              </w:rPr>
              <w:t>High</w:t>
            </w:r>
          </w:p>
        </w:tc>
        <w:tc>
          <w:tcPr>
            <w:tcW w:w="1570" w:type="dxa"/>
            <w:tcBorders>
              <w:top w:val="nil"/>
              <w:left w:val="nil"/>
              <w:bottom w:val="single" w:sz="4" w:space="0" w:color="auto"/>
              <w:right w:val="single" w:sz="4" w:space="0" w:color="auto"/>
            </w:tcBorders>
            <w:shd w:val="clear" w:color="000000" w:fill="FF0000"/>
            <w:vAlign w:val="center"/>
            <w:hideMark/>
          </w:tcPr>
          <w:p w14:paraId="47944B78" w14:textId="77777777" w:rsidR="00000FF5" w:rsidRPr="00000FF5" w:rsidRDefault="00000FF5" w:rsidP="00000FF5">
            <w:pPr>
              <w:jc w:val="left"/>
              <w:rPr>
                <w:color w:val="000000"/>
                <w:szCs w:val="16"/>
                <w:lang w:val="en-IN"/>
              </w:rPr>
            </w:pPr>
            <w:r w:rsidRPr="00000FF5">
              <w:rPr>
                <w:color w:val="000000"/>
                <w:szCs w:val="16"/>
                <w:lang w:val="en-IN"/>
              </w:rPr>
              <w:t>High</w:t>
            </w:r>
          </w:p>
        </w:tc>
        <w:tc>
          <w:tcPr>
            <w:tcW w:w="3140" w:type="dxa"/>
            <w:tcBorders>
              <w:top w:val="nil"/>
              <w:left w:val="nil"/>
              <w:bottom w:val="single" w:sz="4" w:space="0" w:color="auto"/>
              <w:right w:val="single" w:sz="4" w:space="0" w:color="auto"/>
            </w:tcBorders>
            <w:vAlign w:val="center"/>
            <w:hideMark/>
          </w:tcPr>
          <w:p w14:paraId="1F202512" w14:textId="77777777" w:rsidR="00000FF5" w:rsidRPr="00000FF5" w:rsidRDefault="00000FF5" w:rsidP="00000FF5">
            <w:pPr>
              <w:jc w:val="left"/>
              <w:rPr>
                <w:color w:val="000000"/>
                <w:szCs w:val="16"/>
                <w:lang w:val="en-IN"/>
              </w:rPr>
            </w:pPr>
            <w:r w:rsidRPr="00000FF5">
              <w:rPr>
                <w:color w:val="000000"/>
                <w:szCs w:val="16"/>
                <w:lang w:val="en-IN"/>
              </w:rPr>
              <w:t>Manage closely through regular progress meetings and reporting.</w:t>
            </w:r>
          </w:p>
        </w:tc>
      </w:tr>
      <w:tr w:rsidR="00000FF5" w:rsidRPr="00000FF5" w14:paraId="1438D961" w14:textId="77777777" w:rsidTr="00000FF5">
        <w:trPr>
          <w:trHeight w:val="528"/>
          <w:jc w:val="center"/>
        </w:trPr>
        <w:tc>
          <w:tcPr>
            <w:tcW w:w="2243" w:type="dxa"/>
            <w:tcBorders>
              <w:top w:val="nil"/>
              <w:left w:val="single" w:sz="4" w:space="0" w:color="auto"/>
              <w:bottom w:val="single" w:sz="4" w:space="0" w:color="auto"/>
              <w:right w:val="single" w:sz="4" w:space="0" w:color="auto"/>
            </w:tcBorders>
            <w:vAlign w:val="center"/>
            <w:hideMark/>
          </w:tcPr>
          <w:p w14:paraId="7FFB5EC0" w14:textId="77777777" w:rsidR="00000FF5" w:rsidRPr="00000FF5" w:rsidRDefault="00000FF5" w:rsidP="00000FF5">
            <w:pPr>
              <w:jc w:val="left"/>
              <w:rPr>
                <w:color w:val="000000"/>
                <w:szCs w:val="16"/>
                <w:lang w:val="en-IN"/>
              </w:rPr>
            </w:pPr>
            <w:r w:rsidRPr="00000FF5">
              <w:rPr>
                <w:color w:val="000000"/>
                <w:szCs w:val="16"/>
                <w:lang w:val="en-IN"/>
              </w:rPr>
              <w:t>Local Authority</w:t>
            </w:r>
          </w:p>
        </w:tc>
        <w:tc>
          <w:tcPr>
            <w:tcW w:w="1538" w:type="dxa"/>
            <w:tcBorders>
              <w:top w:val="nil"/>
              <w:left w:val="nil"/>
              <w:bottom w:val="single" w:sz="4" w:space="0" w:color="auto"/>
              <w:right w:val="single" w:sz="4" w:space="0" w:color="auto"/>
            </w:tcBorders>
            <w:shd w:val="clear" w:color="000000" w:fill="FFFF00"/>
            <w:vAlign w:val="center"/>
            <w:hideMark/>
          </w:tcPr>
          <w:p w14:paraId="696EE6C8" w14:textId="77777777" w:rsidR="00000FF5" w:rsidRPr="00000FF5" w:rsidRDefault="00000FF5" w:rsidP="00000FF5">
            <w:pPr>
              <w:jc w:val="left"/>
              <w:rPr>
                <w:color w:val="000000"/>
                <w:szCs w:val="16"/>
                <w:lang w:val="en-IN"/>
              </w:rPr>
            </w:pPr>
            <w:r w:rsidRPr="00000FF5">
              <w:rPr>
                <w:color w:val="000000"/>
                <w:szCs w:val="16"/>
                <w:lang w:val="en-IN"/>
              </w:rPr>
              <w:t>Medium</w:t>
            </w:r>
          </w:p>
        </w:tc>
        <w:tc>
          <w:tcPr>
            <w:tcW w:w="1570" w:type="dxa"/>
            <w:tcBorders>
              <w:top w:val="nil"/>
              <w:left w:val="nil"/>
              <w:bottom w:val="single" w:sz="4" w:space="0" w:color="auto"/>
              <w:right w:val="single" w:sz="4" w:space="0" w:color="auto"/>
            </w:tcBorders>
            <w:shd w:val="clear" w:color="000000" w:fill="FF0000"/>
            <w:vAlign w:val="center"/>
            <w:hideMark/>
          </w:tcPr>
          <w:p w14:paraId="5E986A3C" w14:textId="77777777" w:rsidR="00000FF5" w:rsidRPr="00000FF5" w:rsidRDefault="00000FF5" w:rsidP="00000FF5">
            <w:pPr>
              <w:jc w:val="left"/>
              <w:rPr>
                <w:color w:val="000000"/>
                <w:szCs w:val="16"/>
                <w:lang w:val="en-IN"/>
              </w:rPr>
            </w:pPr>
            <w:r w:rsidRPr="00000FF5">
              <w:rPr>
                <w:color w:val="000000"/>
                <w:szCs w:val="16"/>
                <w:lang w:val="en-IN"/>
              </w:rPr>
              <w:t>High</w:t>
            </w:r>
          </w:p>
        </w:tc>
        <w:tc>
          <w:tcPr>
            <w:tcW w:w="3140" w:type="dxa"/>
            <w:tcBorders>
              <w:top w:val="nil"/>
              <w:left w:val="nil"/>
              <w:bottom w:val="single" w:sz="4" w:space="0" w:color="auto"/>
              <w:right w:val="single" w:sz="4" w:space="0" w:color="auto"/>
            </w:tcBorders>
            <w:vAlign w:val="center"/>
            <w:hideMark/>
          </w:tcPr>
          <w:p w14:paraId="18306900" w14:textId="77777777" w:rsidR="00000FF5" w:rsidRPr="00000FF5" w:rsidRDefault="00000FF5" w:rsidP="00000FF5">
            <w:pPr>
              <w:jc w:val="left"/>
              <w:rPr>
                <w:color w:val="000000"/>
                <w:szCs w:val="16"/>
                <w:lang w:val="en-IN"/>
              </w:rPr>
            </w:pPr>
            <w:r w:rsidRPr="00000FF5">
              <w:rPr>
                <w:color w:val="000000"/>
                <w:szCs w:val="16"/>
                <w:lang w:val="en-IN"/>
              </w:rPr>
              <w:t>Engage in decision-making and regulatory approvals.</w:t>
            </w:r>
          </w:p>
        </w:tc>
      </w:tr>
      <w:tr w:rsidR="00000FF5" w:rsidRPr="00000FF5" w14:paraId="56AD18E7" w14:textId="77777777" w:rsidTr="00000FF5">
        <w:trPr>
          <w:trHeight w:val="528"/>
          <w:jc w:val="center"/>
        </w:trPr>
        <w:tc>
          <w:tcPr>
            <w:tcW w:w="2243" w:type="dxa"/>
            <w:tcBorders>
              <w:top w:val="nil"/>
              <w:left w:val="single" w:sz="4" w:space="0" w:color="auto"/>
              <w:bottom w:val="single" w:sz="4" w:space="0" w:color="auto"/>
              <w:right w:val="single" w:sz="4" w:space="0" w:color="auto"/>
            </w:tcBorders>
            <w:vAlign w:val="center"/>
            <w:hideMark/>
          </w:tcPr>
          <w:p w14:paraId="63F81070" w14:textId="77777777" w:rsidR="00000FF5" w:rsidRPr="00000FF5" w:rsidRDefault="00000FF5" w:rsidP="00000FF5">
            <w:pPr>
              <w:jc w:val="left"/>
              <w:rPr>
                <w:color w:val="000000"/>
                <w:szCs w:val="16"/>
                <w:lang w:val="en-IN"/>
              </w:rPr>
            </w:pPr>
            <w:r w:rsidRPr="00000FF5">
              <w:rPr>
                <w:color w:val="000000"/>
                <w:szCs w:val="16"/>
                <w:lang w:val="en-IN"/>
              </w:rPr>
              <w:t>Transport Operators (Rail &amp; Bus)</w:t>
            </w:r>
          </w:p>
        </w:tc>
        <w:tc>
          <w:tcPr>
            <w:tcW w:w="1538" w:type="dxa"/>
            <w:tcBorders>
              <w:top w:val="nil"/>
              <w:left w:val="nil"/>
              <w:bottom w:val="single" w:sz="4" w:space="0" w:color="auto"/>
              <w:right w:val="single" w:sz="4" w:space="0" w:color="auto"/>
            </w:tcBorders>
            <w:shd w:val="clear" w:color="000000" w:fill="FF0000"/>
            <w:vAlign w:val="center"/>
            <w:hideMark/>
          </w:tcPr>
          <w:p w14:paraId="3E9B8D5A" w14:textId="77777777" w:rsidR="00000FF5" w:rsidRPr="00000FF5" w:rsidRDefault="00000FF5" w:rsidP="00000FF5">
            <w:pPr>
              <w:jc w:val="left"/>
              <w:rPr>
                <w:color w:val="000000"/>
                <w:szCs w:val="16"/>
                <w:lang w:val="en-IN"/>
              </w:rPr>
            </w:pPr>
            <w:r w:rsidRPr="00000FF5">
              <w:rPr>
                <w:color w:val="000000"/>
                <w:szCs w:val="16"/>
                <w:lang w:val="en-IN"/>
              </w:rPr>
              <w:t>High</w:t>
            </w:r>
          </w:p>
        </w:tc>
        <w:tc>
          <w:tcPr>
            <w:tcW w:w="1570" w:type="dxa"/>
            <w:tcBorders>
              <w:top w:val="nil"/>
              <w:left w:val="nil"/>
              <w:bottom w:val="single" w:sz="4" w:space="0" w:color="auto"/>
              <w:right w:val="single" w:sz="4" w:space="0" w:color="auto"/>
            </w:tcBorders>
            <w:shd w:val="clear" w:color="000000" w:fill="FFFF00"/>
            <w:vAlign w:val="center"/>
            <w:hideMark/>
          </w:tcPr>
          <w:p w14:paraId="708A886A" w14:textId="77777777" w:rsidR="00000FF5" w:rsidRPr="00000FF5" w:rsidRDefault="00000FF5" w:rsidP="00000FF5">
            <w:pPr>
              <w:jc w:val="left"/>
              <w:rPr>
                <w:color w:val="000000"/>
                <w:szCs w:val="16"/>
                <w:lang w:val="en-IN"/>
              </w:rPr>
            </w:pPr>
            <w:r w:rsidRPr="00000FF5">
              <w:rPr>
                <w:color w:val="000000"/>
                <w:szCs w:val="16"/>
                <w:lang w:val="en-IN"/>
              </w:rPr>
              <w:t>Medium</w:t>
            </w:r>
          </w:p>
        </w:tc>
        <w:tc>
          <w:tcPr>
            <w:tcW w:w="3140" w:type="dxa"/>
            <w:tcBorders>
              <w:top w:val="nil"/>
              <w:left w:val="nil"/>
              <w:bottom w:val="single" w:sz="4" w:space="0" w:color="auto"/>
              <w:right w:val="single" w:sz="4" w:space="0" w:color="auto"/>
            </w:tcBorders>
            <w:vAlign w:val="center"/>
            <w:hideMark/>
          </w:tcPr>
          <w:p w14:paraId="0DA038BB" w14:textId="77777777" w:rsidR="00000FF5" w:rsidRPr="00000FF5" w:rsidRDefault="00000FF5" w:rsidP="00000FF5">
            <w:pPr>
              <w:jc w:val="left"/>
              <w:rPr>
                <w:color w:val="000000"/>
                <w:szCs w:val="16"/>
                <w:lang w:val="en-IN"/>
              </w:rPr>
            </w:pPr>
            <w:r w:rsidRPr="00000FF5">
              <w:rPr>
                <w:color w:val="000000"/>
                <w:szCs w:val="16"/>
                <w:lang w:val="en-IN"/>
              </w:rPr>
              <w:t>Collaborate throughout planning, construction, and testing phases.</w:t>
            </w:r>
          </w:p>
        </w:tc>
      </w:tr>
      <w:tr w:rsidR="00000FF5" w:rsidRPr="00000FF5" w14:paraId="7AAE51DA" w14:textId="77777777" w:rsidTr="00000FF5">
        <w:trPr>
          <w:trHeight w:val="528"/>
          <w:jc w:val="center"/>
        </w:trPr>
        <w:tc>
          <w:tcPr>
            <w:tcW w:w="2243" w:type="dxa"/>
            <w:tcBorders>
              <w:top w:val="nil"/>
              <w:left w:val="single" w:sz="4" w:space="0" w:color="auto"/>
              <w:bottom w:val="single" w:sz="4" w:space="0" w:color="auto"/>
              <w:right w:val="single" w:sz="4" w:space="0" w:color="auto"/>
            </w:tcBorders>
            <w:vAlign w:val="center"/>
            <w:hideMark/>
          </w:tcPr>
          <w:p w14:paraId="49A12DE2" w14:textId="77777777" w:rsidR="00000FF5" w:rsidRPr="00000FF5" w:rsidRDefault="00000FF5" w:rsidP="00000FF5">
            <w:pPr>
              <w:jc w:val="left"/>
              <w:rPr>
                <w:color w:val="000000"/>
                <w:szCs w:val="16"/>
                <w:lang w:val="en-IN"/>
              </w:rPr>
            </w:pPr>
            <w:r w:rsidRPr="00000FF5">
              <w:rPr>
                <w:color w:val="000000"/>
                <w:szCs w:val="16"/>
                <w:lang w:val="en-IN"/>
              </w:rPr>
              <w:t>Local Businesses</w:t>
            </w:r>
          </w:p>
        </w:tc>
        <w:tc>
          <w:tcPr>
            <w:tcW w:w="1538" w:type="dxa"/>
            <w:tcBorders>
              <w:top w:val="nil"/>
              <w:left w:val="nil"/>
              <w:bottom w:val="single" w:sz="4" w:space="0" w:color="auto"/>
              <w:right w:val="single" w:sz="4" w:space="0" w:color="auto"/>
            </w:tcBorders>
            <w:shd w:val="clear" w:color="000000" w:fill="FFFF00"/>
            <w:vAlign w:val="center"/>
            <w:hideMark/>
          </w:tcPr>
          <w:p w14:paraId="476A1A62" w14:textId="77777777" w:rsidR="00000FF5" w:rsidRPr="00000FF5" w:rsidRDefault="00000FF5" w:rsidP="00000FF5">
            <w:pPr>
              <w:jc w:val="left"/>
              <w:rPr>
                <w:color w:val="000000"/>
                <w:szCs w:val="16"/>
                <w:lang w:val="en-IN"/>
              </w:rPr>
            </w:pPr>
            <w:r w:rsidRPr="00000FF5">
              <w:rPr>
                <w:color w:val="000000"/>
                <w:szCs w:val="16"/>
                <w:lang w:val="en-IN"/>
              </w:rPr>
              <w:t>Medium</w:t>
            </w:r>
          </w:p>
        </w:tc>
        <w:tc>
          <w:tcPr>
            <w:tcW w:w="1570" w:type="dxa"/>
            <w:tcBorders>
              <w:top w:val="nil"/>
              <w:left w:val="nil"/>
              <w:bottom w:val="single" w:sz="4" w:space="0" w:color="auto"/>
              <w:right w:val="single" w:sz="4" w:space="0" w:color="auto"/>
            </w:tcBorders>
            <w:shd w:val="clear" w:color="000000" w:fill="FF0000"/>
            <w:vAlign w:val="center"/>
            <w:hideMark/>
          </w:tcPr>
          <w:p w14:paraId="4C82EEED" w14:textId="77777777" w:rsidR="00000FF5" w:rsidRPr="00000FF5" w:rsidRDefault="00000FF5" w:rsidP="00000FF5">
            <w:pPr>
              <w:jc w:val="left"/>
              <w:rPr>
                <w:color w:val="000000"/>
                <w:szCs w:val="16"/>
                <w:lang w:val="en-IN"/>
              </w:rPr>
            </w:pPr>
            <w:r w:rsidRPr="00000FF5">
              <w:rPr>
                <w:color w:val="000000"/>
                <w:szCs w:val="16"/>
                <w:lang w:val="en-IN"/>
              </w:rPr>
              <w:t>High</w:t>
            </w:r>
          </w:p>
        </w:tc>
        <w:tc>
          <w:tcPr>
            <w:tcW w:w="3140" w:type="dxa"/>
            <w:tcBorders>
              <w:top w:val="nil"/>
              <w:left w:val="nil"/>
              <w:bottom w:val="single" w:sz="4" w:space="0" w:color="auto"/>
              <w:right w:val="single" w:sz="4" w:space="0" w:color="auto"/>
            </w:tcBorders>
            <w:vAlign w:val="center"/>
            <w:hideMark/>
          </w:tcPr>
          <w:p w14:paraId="5614E552" w14:textId="77777777" w:rsidR="00000FF5" w:rsidRPr="00000FF5" w:rsidRDefault="00000FF5" w:rsidP="00000FF5">
            <w:pPr>
              <w:jc w:val="left"/>
              <w:rPr>
                <w:color w:val="000000"/>
                <w:szCs w:val="16"/>
                <w:lang w:val="en-IN"/>
              </w:rPr>
            </w:pPr>
            <w:r w:rsidRPr="00000FF5">
              <w:rPr>
                <w:color w:val="000000"/>
                <w:szCs w:val="16"/>
                <w:lang w:val="en-IN"/>
              </w:rPr>
              <w:t>Keep informed through consultations and project updates.</w:t>
            </w:r>
          </w:p>
        </w:tc>
      </w:tr>
      <w:tr w:rsidR="00000FF5" w:rsidRPr="00000FF5" w14:paraId="69D92EB8" w14:textId="77777777" w:rsidTr="00000FF5">
        <w:trPr>
          <w:trHeight w:val="704"/>
          <w:jc w:val="center"/>
        </w:trPr>
        <w:tc>
          <w:tcPr>
            <w:tcW w:w="2243" w:type="dxa"/>
            <w:tcBorders>
              <w:top w:val="nil"/>
              <w:left w:val="single" w:sz="4" w:space="0" w:color="auto"/>
              <w:bottom w:val="single" w:sz="4" w:space="0" w:color="auto"/>
              <w:right w:val="single" w:sz="4" w:space="0" w:color="auto"/>
            </w:tcBorders>
            <w:vAlign w:val="center"/>
            <w:hideMark/>
          </w:tcPr>
          <w:p w14:paraId="0C871AF3" w14:textId="77777777" w:rsidR="00000FF5" w:rsidRPr="00000FF5" w:rsidRDefault="00000FF5" w:rsidP="00000FF5">
            <w:pPr>
              <w:jc w:val="left"/>
              <w:rPr>
                <w:color w:val="000000"/>
                <w:szCs w:val="16"/>
                <w:lang w:val="en-IN"/>
              </w:rPr>
            </w:pPr>
            <w:r w:rsidRPr="00000FF5">
              <w:rPr>
                <w:color w:val="000000"/>
                <w:szCs w:val="16"/>
                <w:lang w:val="en-IN"/>
              </w:rPr>
              <w:t>Passengers and Commuters</w:t>
            </w:r>
          </w:p>
        </w:tc>
        <w:tc>
          <w:tcPr>
            <w:tcW w:w="1538" w:type="dxa"/>
            <w:tcBorders>
              <w:top w:val="nil"/>
              <w:left w:val="nil"/>
              <w:bottom w:val="single" w:sz="4" w:space="0" w:color="auto"/>
              <w:right w:val="single" w:sz="4" w:space="0" w:color="auto"/>
            </w:tcBorders>
            <w:shd w:val="clear" w:color="000000" w:fill="00B050"/>
            <w:vAlign w:val="center"/>
            <w:hideMark/>
          </w:tcPr>
          <w:p w14:paraId="36218E68" w14:textId="77777777" w:rsidR="00000FF5" w:rsidRPr="00000FF5" w:rsidRDefault="00000FF5" w:rsidP="00000FF5">
            <w:pPr>
              <w:jc w:val="left"/>
              <w:rPr>
                <w:color w:val="000000"/>
                <w:szCs w:val="16"/>
                <w:lang w:val="en-IN"/>
              </w:rPr>
            </w:pPr>
            <w:r w:rsidRPr="00000FF5">
              <w:rPr>
                <w:color w:val="000000"/>
                <w:szCs w:val="16"/>
                <w:lang w:val="en-IN"/>
              </w:rPr>
              <w:t>Low</w:t>
            </w:r>
          </w:p>
        </w:tc>
        <w:tc>
          <w:tcPr>
            <w:tcW w:w="1570" w:type="dxa"/>
            <w:tcBorders>
              <w:top w:val="nil"/>
              <w:left w:val="nil"/>
              <w:bottom w:val="single" w:sz="4" w:space="0" w:color="auto"/>
              <w:right w:val="single" w:sz="4" w:space="0" w:color="auto"/>
            </w:tcBorders>
            <w:shd w:val="clear" w:color="000000" w:fill="FFFF00"/>
            <w:vAlign w:val="center"/>
            <w:hideMark/>
          </w:tcPr>
          <w:p w14:paraId="4060F31D" w14:textId="77777777" w:rsidR="00000FF5" w:rsidRPr="00000FF5" w:rsidRDefault="00000FF5" w:rsidP="00000FF5">
            <w:pPr>
              <w:jc w:val="left"/>
              <w:rPr>
                <w:color w:val="000000"/>
                <w:szCs w:val="16"/>
                <w:lang w:val="en-IN"/>
              </w:rPr>
            </w:pPr>
            <w:r w:rsidRPr="00000FF5">
              <w:rPr>
                <w:color w:val="000000"/>
                <w:szCs w:val="16"/>
                <w:lang w:val="en-IN"/>
              </w:rPr>
              <w:t>Medium</w:t>
            </w:r>
          </w:p>
        </w:tc>
        <w:tc>
          <w:tcPr>
            <w:tcW w:w="3140" w:type="dxa"/>
            <w:tcBorders>
              <w:top w:val="nil"/>
              <w:left w:val="nil"/>
              <w:bottom w:val="single" w:sz="4" w:space="0" w:color="auto"/>
              <w:right w:val="single" w:sz="4" w:space="0" w:color="auto"/>
            </w:tcBorders>
            <w:vAlign w:val="center"/>
            <w:hideMark/>
          </w:tcPr>
          <w:p w14:paraId="625B7660" w14:textId="77777777" w:rsidR="00000FF5" w:rsidRPr="00000FF5" w:rsidRDefault="00000FF5" w:rsidP="00000FF5">
            <w:pPr>
              <w:jc w:val="left"/>
              <w:rPr>
                <w:color w:val="000000"/>
                <w:szCs w:val="16"/>
                <w:lang w:val="en-IN"/>
              </w:rPr>
            </w:pPr>
            <w:r w:rsidRPr="00000FF5">
              <w:rPr>
                <w:color w:val="000000"/>
                <w:szCs w:val="16"/>
                <w:lang w:val="en-IN"/>
              </w:rPr>
              <w:t>Provide regular communication regarding project progress and service changes.</w:t>
            </w:r>
          </w:p>
        </w:tc>
      </w:tr>
      <w:tr w:rsidR="00000FF5" w:rsidRPr="00000FF5" w14:paraId="6D01DC71" w14:textId="77777777" w:rsidTr="00000FF5">
        <w:trPr>
          <w:trHeight w:val="704"/>
          <w:jc w:val="center"/>
        </w:trPr>
        <w:tc>
          <w:tcPr>
            <w:tcW w:w="2243" w:type="dxa"/>
            <w:tcBorders>
              <w:top w:val="nil"/>
              <w:left w:val="single" w:sz="4" w:space="0" w:color="auto"/>
              <w:bottom w:val="single" w:sz="4" w:space="0" w:color="auto"/>
              <w:right w:val="single" w:sz="4" w:space="0" w:color="auto"/>
            </w:tcBorders>
            <w:vAlign w:val="center"/>
            <w:hideMark/>
          </w:tcPr>
          <w:p w14:paraId="4BE22D9F" w14:textId="77777777" w:rsidR="00000FF5" w:rsidRPr="00000FF5" w:rsidRDefault="00000FF5" w:rsidP="00000FF5">
            <w:pPr>
              <w:jc w:val="left"/>
              <w:rPr>
                <w:color w:val="000000"/>
                <w:szCs w:val="16"/>
                <w:lang w:val="en-IN"/>
              </w:rPr>
            </w:pPr>
            <w:r w:rsidRPr="00000FF5">
              <w:rPr>
                <w:color w:val="000000"/>
                <w:szCs w:val="16"/>
                <w:lang w:val="en-IN"/>
              </w:rPr>
              <w:lastRenderedPageBreak/>
              <w:t>Accessibility Advocacy Groups</w:t>
            </w:r>
          </w:p>
        </w:tc>
        <w:tc>
          <w:tcPr>
            <w:tcW w:w="1538" w:type="dxa"/>
            <w:tcBorders>
              <w:top w:val="nil"/>
              <w:left w:val="nil"/>
              <w:bottom w:val="single" w:sz="4" w:space="0" w:color="auto"/>
              <w:right w:val="single" w:sz="4" w:space="0" w:color="auto"/>
            </w:tcBorders>
            <w:shd w:val="clear" w:color="000000" w:fill="FFFF00"/>
            <w:vAlign w:val="center"/>
            <w:hideMark/>
          </w:tcPr>
          <w:p w14:paraId="3EFD125D" w14:textId="77777777" w:rsidR="00000FF5" w:rsidRPr="00000FF5" w:rsidRDefault="00000FF5" w:rsidP="00000FF5">
            <w:pPr>
              <w:jc w:val="left"/>
              <w:rPr>
                <w:color w:val="000000"/>
                <w:szCs w:val="16"/>
                <w:lang w:val="en-IN"/>
              </w:rPr>
            </w:pPr>
            <w:r w:rsidRPr="00000FF5">
              <w:rPr>
                <w:color w:val="000000"/>
                <w:szCs w:val="16"/>
                <w:lang w:val="en-IN"/>
              </w:rPr>
              <w:t>Medium</w:t>
            </w:r>
          </w:p>
        </w:tc>
        <w:tc>
          <w:tcPr>
            <w:tcW w:w="1570" w:type="dxa"/>
            <w:tcBorders>
              <w:top w:val="nil"/>
              <w:left w:val="nil"/>
              <w:bottom w:val="single" w:sz="4" w:space="0" w:color="auto"/>
              <w:right w:val="single" w:sz="4" w:space="0" w:color="auto"/>
            </w:tcBorders>
            <w:shd w:val="clear" w:color="000000" w:fill="FF0000"/>
            <w:vAlign w:val="center"/>
            <w:hideMark/>
          </w:tcPr>
          <w:p w14:paraId="0DB65F51" w14:textId="77777777" w:rsidR="00000FF5" w:rsidRPr="00000FF5" w:rsidRDefault="00000FF5" w:rsidP="00000FF5">
            <w:pPr>
              <w:jc w:val="left"/>
              <w:rPr>
                <w:color w:val="000000"/>
                <w:szCs w:val="16"/>
                <w:lang w:val="en-IN"/>
              </w:rPr>
            </w:pPr>
            <w:r w:rsidRPr="00000FF5">
              <w:rPr>
                <w:color w:val="000000"/>
                <w:szCs w:val="16"/>
                <w:lang w:val="en-IN"/>
              </w:rPr>
              <w:t>High</w:t>
            </w:r>
          </w:p>
        </w:tc>
        <w:tc>
          <w:tcPr>
            <w:tcW w:w="3140" w:type="dxa"/>
            <w:tcBorders>
              <w:top w:val="nil"/>
              <w:left w:val="nil"/>
              <w:bottom w:val="single" w:sz="4" w:space="0" w:color="auto"/>
              <w:right w:val="single" w:sz="4" w:space="0" w:color="auto"/>
            </w:tcBorders>
            <w:vAlign w:val="center"/>
            <w:hideMark/>
          </w:tcPr>
          <w:p w14:paraId="28735EA0" w14:textId="77777777" w:rsidR="00000FF5" w:rsidRPr="00000FF5" w:rsidRDefault="00000FF5" w:rsidP="00000FF5">
            <w:pPr>
              <w:jc w:val="left"/>
              <w:rPr>
                <w:color w:val="000000"/>
                <w:szCs w:val="16"/>
                <w:lang w:val="en-IN"/>
              </w:rPr>
            </w:pPr>
            <w:r w:rsidRPr="00000FF5">
              <w:rPr>
                <w:color w:val="000000"/>
                <w:szCs w:val="16"/>
                <w:lang w:val="en-IN"/>
              </w:rPr>
              <w:t>Conduct consultation meetings to ensure inclusive design requirements are met.</w:t>
            </w:r>
          </w:p>
        </w:tc>
      </w:tr>
      <w:tr w:rsidR="00000FF5" w:rsidRPr="00000FF5" w14:paraId="598A134C" w14:textId="77777777" w:rsidTr="00000FF5">
        <w:trPr>
          <w:trHeight w:val="528"/>
          <w:jc w:val="center"/>
        </w:trPr>
        <w:tc>
          <w:tcPr>
            <w:tcW w:w="2243" w:type="dxa"/>
            <w:tcBorders>
              <w:top w:val="nil"/>
              <w:left w:val="single" w:sz="4" w:space="0" w:color="auto"/>
              <w:bottom w:val="single" w:sz="4" w:space="0" w:color="auto"/>
              <w:right w:val="single" w:sz="4" w:space="0" w:color="auto"/>
            </w:tcBorders>
            <w:vAlign w:val="center"/>
            <w:hideMark/>
          </w:tcPr>
          <w:p w14:paraId="7B72BD5A" w14:textId="77777777" w:rsidR="00000FF5" w:rsidRPr="00000FF5" w:rsidRDefault="00000FF5" w:rsidP="00000FF5">
            <w:pPr>
              <w:jc w:val="left"/>
              <w:rPr>
                <w:color w:val="000000"/>
                <w:szCs w:val="16"/>
                <w:lang w:val="en-IN"/>
              </w:rPr>
            </w:pPr>
            <w:r w:rsidRPr="00000FF5">
              <w:rPr>
                <w:color w:val="000000"/>
                <w:szCs w:val="16"/>
                <w:lang w:val="en-IN"/>
              </w:rPr>
              <w:t>Investors/Funding Bodies</w:t>
            </w:r>
          </w:p>
        </w:tc>
        <w:tc>
          <w:tcPr>
            <w:tcW w:w="1538" w:type="dxa"/>
            <w:tcBorders>
              <w:top w:val="nil"/>
              <w:left w:val="nil"/>
              <w:bottom w:val="single" w:sz="4" w:space="0" w:color="auto"/>
              <w:right w:val="single" w:sz="4" w:space="0" w:color="auto"/>
            </w:tcBorders>
            <w:shd w:val="clear" w:color="000000" w:fill="FF0000"/>
            <w:vAlign w:val="center"/>
            <w:hideMark/>
          </w:tcPr>
          <w:p w14:paraId="7BD731E2" w14:textId="77777777" w:rsidR="00000FF5" w:rsidRPr="00000FF5" w:rsidRDefault="00000FF5" w:rsidP="00000FF5">
            <w:pPr>
              <w:jc w:val="left"/>
              <w:rPr>
                <w:color w:val="000000"/>
                <w:szCs w:val="16"/>
                <w:lang w:val="en-IN"/>
              </w:rPr>
            </w:pPr>
            <w:r w:rsidRPr="00000FF5">
              <w:rPr>
                <w:color w:val="000000"/>
                <w:szCs w:val="16"/>
                <w:lang w:val="en-IN"/>
              </w:rPr>
              <w:t>High</w:t>
            </w:r>
          </w:p>
        </w:tc>
        <w:tc>
          <w:tcPr>
            <w:tcW w:w="1570" w:type="dxa"/>
            <w:tcBorders>
              <w:top w:val="nil"/>
              <w:left w:val="nil"/>
              <w:bottom w:val="single" w:sz="4" w:space="0" w:color="auto"/>
              <w:right w:val="single" w:sz="4" w:space="0" w:color="auto"/>
            </w:tcBorders>
            <w:shd w:val="clear" w:color="000000" w:fill="FFFF00"/>
            <w:vAlign w:val="center"/>
            <w:hideMark/>
          </w:tcPr>
          <w:p w14:paraId="09A1A59D" w14:textId="77777777" w:rsidR="00000FF5" w:rsidRPr="00000FF5" w:rsidRDefault="00000FF5" w:rsidP="00000FF5">
            <w:pPr>
              <w:jc w:val="left"/>
              <w:rPr>
                <w:color w:val="000000"/>
                <w:szCs w:val="16"/>
                <w:lang w:val="en-IN"/>
              </w:rPr>
            </w:pPr>
            <w:r w:rsidRPr="00000FF5">
              <w:rPr>
                <w:color w:val="000000"/>
                <w:szCs w:val="16"/>
                <w:lang w:val="en-IN"/>
              </w:rPr>
              <w:t>Medium</w:t>
            </w:r>
          </w:p>
        </w:tc>
        <w:tc>
          <w:tcPr>
            <w:tcW w:w="3140" w:type="dxa"/>
            <w:tcBorders>
              <w:top w:val="nil"/>
              <w:left w:val="nil"/>
              <w:bottom w:val="single" w:sz="4" w:space="0" w:color="auto"/>
              <w:right w:val="single" w:sz="4" w:space="0" w:color="auto"/>
            </w:tcBorders>
            <w:vAlign w:val="center"/>
            <w:hideMark/>
          </w:tcPr>
          <w:p w14:paraId="195B2AEA" w14:textId="77777777" w:rsidR="00000FF5" w:rsidRPr="00000FF5" w:rsidRDefault="00000FF5" w:rsidP="00000FF5">
            <w:pPr>
              <w:jc w:val="left"/>
              <w:rPr>
                <w:color w:val="000000"/>
                <w:szCs w:val="16"/>
                <w:lang w:val="en-IN"/>
              </w:rPr>
            </w:pPr>
            <w:r w:rsidRPr="00000FF5">
              <w:rPr>
                <w:color w:val="000000"/>
                <w:szCs w:val="16"/>
                <w:lang w:val="en-IN"/>
              </w:rPr>
              <w:t>Provide performance reports and financial updates.</w:t>
            </w:r>
          </w:p>
        </w:tc>
      </w:tr>
    </w:tbl>
    <w:p w14:paraId="21131E9B" w14:textId="77777777" w:rsidR="00BC7415" w:rsidRDefault="00BC7415" w:rsidP="00BC7415">
      <w:pPr>
        <w:jc w:val="center"/>
      </w:pPr>
      <w:r>
        <w:t>(Source: self-created)</w:t>
      </w:r>
    </w:p>
    <w:p w14:paraId="7589EB89" w14:textId="77777777" w:rsidR="00BC7415" w:rsidRDefault="00BC7415" w:rsidP="00BC7415">
      <w:pPr>
        <w:pStyle w:val="Heading2"/>
      </w:pPr>
      <w:r>
        <w:t xml:space="preserve">5. Project Governance and control </w:t>
      </w:r>
    </w:p>
    <w:tbl>
      <w:tblPr>
        <w:tblW w:w="7967" w:type="dxa"/>
        <w:jc w:val="center"/>
        <w:tblLook w:val="04A0" w:firstRow="1" w:lastRow="0" w:firstColumn="1" w:lastColumn="0" w:noHBand="0" w:noVBand="1"/>
      </w:tblPr>
      <w:tblGrid>
        <w:gridCol w:w="3760"/>
        <w:gridCol w:w="4207"/>
      </w:tblGrid>
      <w:tr w:rsidR="00BC7415" w:rsidRPr="00BC7415" w14:paraId="5F8096AC" w14:textId="77777777" w:rsidTr="00BC7415">
        <w:trPr>
          <w:trHeight w:val="309"/>
          <w:jc w:val="center"/>
        </w:trPr>
        <w:tc>
          <w:tcPr>
            <w:tcW w:w="3760" w:type="dxa"/>
            <w:tcBorders>
              <w:top w:val="single" w:sz="4" w:space="0" w:color="auto"/>
              <w:left w:val="single" w:sz="4" w:space="0" w:color="auto"/>
              <w:bottom w:val="single" w:sz="4" w:space="0" w:color="auto"/>
              <w:right w:val="single" w:sz="4" w:space="0" w:color="auto"/>
            </w:tcBorders>
            <w:shd w:val="clear" w:color="000000" w:fill="FFE699"/>
            <w:vAlign w:val="center"/>
            <w:hideMark/>
          </w:tcPr>
          <w:p w14:paraId="471DCEB2" w14:textId="77777777" w:rsidR="00BC7415" w:rsidRPr="00BC7415" w:rsidRDefault="00BC7415" w:rsidP="00BC7415">
            <w:pPr>
              <w:spacing w:line="240" w:lineRule="auto"/>
              <w:jc w:val="center"/>
              <w:rPr>
                <w:b/>
                <w:bCs/>
                <w:color w:val="000000"/>
                <w:sz w:val="20"/>
                <w:szCs w:val="16"/>
                <w:lang w:val="en-IN"/>
              </w:rPr>
            </w:pPr>
            <w:r w:rsidRPr="00BC7415">
              <w:rPr>
                <w:b/>
                <w:bCs/>
                <w:color w:val="000000"/>
                <w:sz w:val="20"/>
                <w:szCs w:val="16"/>
                <w:lang w:val="en-IN"/>
              </w:rPr>
              <w:t>Governance Activity</w:t>
            </w:r>
          </w:p>
        </w:tc>
        <w:tc>
          <w:tcPr>
            <w:tcW w:w="4207" w:type="dxa"/>
            <w:tcBorders>
              <w:top w:val="single" w:sz="4" w:space="0" w:color="auto"/>
              <w:left w:val="nil"/>
              <w:bottom w:val="single" w:sz="4" w:space="0" w:color="auto"/>
              <w:right w:val="single" w:sz="4" w:space="0" w:color="auto"/>
            </w:tcBorders>
            <w:shd w:val="clear" w:color="000000" w:fill="FFE699"/>
            <w:vAlign w:val="center"/>
            <w:hideMark/>
          </w:tcPr>
          <w:p w14:paraId="5D8F5A1B" w14:textId="77777777" w:rsidR="00BC7415" w:rsidRPr="00BC7415" w:rsidRDefault="00BC7415" w:rsidP="00BC7415">
            <w:pPr>
              <w:spacing w:line="240" w:lineRule="auto"/>
              <w:jc w:val="center"/>
              <w:rPr>
                <w:b/>
                <w:bCs/>
                <w:color w:val="000000"/>
                <w:sz w:val="20"/>
                <w:szCs w:val="16"/>
                <w:lang w:val="en-IN"/>
              </w:rPr>
            </w:pPr>
            <w:r w:rsidRPr="00BC7415">
              <w:rPr>
                <w:b/>
                <w:bCs/>
                <w:color w:val="000000"/>
                <w:sz w:val="20"/>
                <w:szCs w:val="16"/>
                <w:lang w:val="en-IN"/>
              </w:rPr>
              <w:t>Purpose</w:t>
            </w:r>
          </w:p>
        </w:tc>
      </w:tr>
      <w:tr w:rsidR="00BC7415" w:rsidRPr="00BC7415" w14:paraId="451BCF35" w14:textId="77777777" w:rsidTr="00BC7415">
        <w:trPr>
          <w:trHeight w:val="696"/>
          <w:jc w:val="center"/>
        </w:trPr>
        <w:tc>
          <w:tcPr>
            <w:tcW w:w="3760" w:type="dxa"/>
            <w:tcBorders>
              <w:top w:val="nil"/>
              <w:left w:val="single" w:sz="4" w:space="0" w:color="auto"/>
              <w:bottom w:val="single" w:sz="4" w:space="0" w:color="auto"/>
              <w:right w:val="single" w:sz="4" w:space="0" w:color="auto"/>
            </w:tcBorders>
            <w:vAlign w:val="center"/>
            <w:hideMark/>
          </w:tcPr>
          <w:p w14:paraId="63212EA8"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Monthly Steering Committee Reviews</w:t>
            </w:r>
          </w:p>
        </w:tc>
        <w:tc>
          <w:tcPr>
            <w:tcW w:w="4207" w:type="dxa"/>
            <w:tcBorders>
              <w:top w:val="nil"/>
              <w:left w:val="nil"/>
              <w:bottom w:val="single" w:sz="4" w:space="0" w:color="auto"/>
              <w:right w:val="single" w:sz="4" w:space="0" w:color="auto"/>
            </w:tcBorders>
            <w:vAlign w:val="center"/>
            <w:hideMark/>
          </w:tcPr>
          <w:p w14:paraId="0B07CBA2"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Monitor project progress and strategic alignment.</w:t>
            </w:r>
          </w:p>
        </w:tc>
      </w:tr>
      <w:tr w:rsidR="00BC7415" w:rsidRPr="00BC7415" w14:paraId="4BC8F573" w14:textId="77777777" w:rsidTr="00BC7415">
        <w:trPr>
          <w:trHeight w:val="696"/>
          <w:jc w:val="center"/>
        </w:trPr>
        <w:tc>
          <w:tcPr>
            <w:tcW w:w="3760" w:type="dxa"/>
            <w:tcBorders>
              <w:top w:val="nil"/>
              <w:left w:val="single" w:sz="4" w:space="0" w:color="auto"/>
              <w:bottom w:val="single" w:sz="4" w:space="0" w:color="auto"/>
              <w:right w:val="single" w:sz="4" w:space="0" w:color="auto"/>
            </w:tcBorders>
            <w:vAlign w:val="center"/>
            <w:hideMark/>
          </w:tcPr>
          <w:p w14:paraId="56E8F76C"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Stage-Gate Approval Process</w:t>
            </w:r>
          </w:p>
        </w:tc>
        <w:tc>
          <w:tcPr>
            <w:tcW w:w="4207" w:type="dxa"/>
            <w:tcBorders>
              <w:top w:val="nil"/>
              <w:left w:val="nil"/>
              <w:bottom w:val="single" w:sz="4" w:space="0" w:color="auto"/>
              <w:right w:val="single" w:sz="4" w:space="0" w:color="auto"/>
            </w:tcBorders>
            <w:vAlign w:val="center"/>
            <w:hideMark/>
          </w:tcPr>
          <w:p w14:paraId="4268DBE7"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Ensure formal approval before progressing to the next project phase.</w:t>
            </w:r>
          </w:p>
        </w:tc>
      </w:tr>
      <w:tr w:rsidR="00BC7415" w:rsidRPr="00BC7415" w14:paraId="0E6B8E8E" w14:textId="77777777" w:rsidTr="00BC7415">
        <w:trPr>
          <w:trHeight w:val="696"/>
          <w:jc w:val="center"/>
        </w:trPr>
        <w:tc>
          <w:tcPr>
            <w:tcW w:w="3760" w:type="dxa"/>
            <w:tcBorders>
              <w:top w:val="nil"/>
              <w:left w:val="single" w:sz="4" w:space="0" w:color="auto"/>
              <w:bottom w:val="single" w:sz="4" w:space="0" w:color="auto"/>
              <w:right w:val="single" w:sz="4" w:space="0" w:color="auto"/>
            </w:tcBorders>
            <w:vAlign w:val="center"/>
            <w:hideMark/>
          </w:tcPr>
          <w:p w14:paraId="777D1005"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Change Control Board</w:t>
            </w:r>
          </w:p>
        </w:tc>
        <w:tc>
          <w:tcPr>
            <w:tcW w:w="4207" w:type="dxa"/>
            <w:tcBorders>
              <w:top w:val="nil"/>
              <w:left w:val="nil"/>
              <w:bottom w:val="single" w:sz="4" w:space="0" w:color="auto"/>
              <w:right w:val="single" w:sz="4" w:space="0" w:color="auto"/>
            </w:tcBorders>
            <w:vAlign w:val="center"/>
            <w:hideMark/>
          </w:tcPr>
          <w:p w14:paraId="13DC8874"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Evaluate and approve scope, cost, or schedule changes.</w:t>
            </w:r>
          </w:p>
        </w:tc>
      </w:tr>
      <w:tr w:rsidR="00BC7415" w:rsidRPr="00BC7415" w14:paraId="7302ED82" w14:textId="77777777" w:rsidTr="00BC7415">
        <w:trPr>
          <w:trHeight w:val="696"/>
          <w:jc w:val="center"/>
        </w:trPr>
        <w:tc>
          <w:tcPr>
            <w:tcW w:w="3760" w:type="dxa"/>
            <w:tcBorders>
              <w:top w:val="nil"/>
              <w:left w:val="single" w:sz="4" w:space="0" w:color="auto"/>
              <w:bottom w:val="single" w:sz="4" w:space="0" w:color="auto"/>
              <w:right w:val="single" w:sz="4" w:space="0" w:color="auto"/>
            </w:tcBorders>
            <w:vAlign w:val="center"/>
            <w:hideMark/>
          </w:tcPr>
          <w:p w14:paraId="4F488AD8"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Risk Review Meetings</w:t>
            </w:r>
          </w:p>
        </w:tc>
        <w:tc>
          <w:tcPr>
            <w:tcW w:w="4207" w:type="dxa"/>
            <w:tcBorders>
              <w:top w:val="nil"/>
              <w:left w:val="nil"/>
              <w:bottom w:val="single" w:sz="4" w:space="0" w:color="auto"/>
              <w:right w:val="single" w:sz="4" w:space="0" w:color="auto"/>
            </w:tcBorders>
            <w:vAlign w:val="center"/>
            <w:hideMark/>
          </w:tcPr>
          <w:p w14:paraId="2D034F38"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Identify, assess, and monitor emerging project risks.</w:t>
            </w:r>
          </w:p>
        </w:tc>
      </w:tr>
      <w:tr w:rsidR="00BC7415" w:rsidRPr="00BC7415" w14:paraId="3DCD2F74" w14:textId="77777777" w:rsidTr="00BC7415">
        <w:trPr>
          <w:trHeight w:val="696"/>
          <w:jc w:val="center"/>
        </w:trPr>
        <w:tc>
          <w:tcPr>
            <w:tcW w:w="3760" w:type="dxa"/>
            <w:tcBorders>
              <w:top w:val="nil"/>
              <w:left w:val="single" w:sz="4" w:space="0" w:color="auto"/>
              <w:bottom w:val="single" w:sz="4" w:space="0" w:color="auto"/>
              <w:right w:val="single" w:sz="4" w:space="0" w:color="auto"/>
            </w:tcBorders>
            <w:vAlign w:val="center"/>
            <w:hideMark/>
          </w:tcPr>
          <w:p w14:paraId="525E9015"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Progress Reporting Dashboard</w:t>
            </w:r>
          </w:p>
        </w:tc>
        <w:tc>
          <w:tcPr>
            <w:tcW w:w="4207" w:type="dxa"/>
            <w:tcBorders>
              <w:top w:val="nil"/>
              <w:left w:val="nil"/>
              <w:bottom w:val="single" w:sz="4" w:space="0" w:color="auto"/>
              <w:right w:val="single" w:sz="4" w:space="0" w:color="auto"/>
            </w:tcBorders>
            <w:vAlign w:val="center"/>
            <w:hideMark/>
          </w:tcPr>
          <w:p w14:paraId="10CA5936" w14:textId="77777777" w:rsidR="00BC7415" w:rsidRPr="00BC7415" w:rsidRDefault="00BC7415" w:rsidP="00BC7415">
            <w:pPr>
              <w:spacing w:line="240" w:lineRule="auto"/>
              <w:jc w:val="left"/>
              <w:rPr>
                <w:color w:val="000000"/>
                <w:sz w:val="20"/>
                <w:szCs w:val="16"/>
                <w:lang w:val="en-IN"/>
              </w:rPr>
            </w:pPr>
            <w:r w:rsidRPr="00BC7415">
              <w:rPr>
                <w:color w:val="000000"/>
                <w:sz w:val="20"/>
                <w:szCs w:val="16"/>
                <w:lang w:val="en-IN"/>
              </w:rPr>
              <w:t>Track KPIs, milestones, budget, and project performance.</w:t>
            </w:r>
          </w:p>
        </w:tc>
      </w:tr>
    </w:tbl>
    <w:p w14:paraId="03A24FE2" w14:textId="77777777" w:rsidR="00BC7415" w:rsidRDefault="00BC7415" w:rsidP="00BC7415">
      <w:pPr>
        <w:jc w:val="center"/>
      </w:pPr>
      <w:r>
        <w:t>(Source: self-created)</w:t>
      </w:r>
    </w:p>
    <w:p w14:paraId="04DF434F" w14:textId="77777777" w:rsidR="0021542A" w:rsidRDefault="00BC7415">
      <w:pPr>
        <w:pStyle w:val="Heading2"/>
      </w:pPr>
      <w:bookmarkStart w:id="10" w:name="_i6u63k2874u1" w:colFirst="0" w:colLast="0"/>
      <w:bookmarkStart w:id="11" w:name="_Toc232518564"/>
      <w:bookmarkEnd w:id="10"/>
      <w:r>
        <w:t>6</w:t>
      </w:r>
      <w:r w:rsidR="00DC5DF9">
        <w:t>. High-Level Risks and Trade-offs</w:t>
      </w:r>
      <w:bookmarkEnd w:id="11"/>
      <w:r w:rsidR="00DC5DF9">
        <w:t xml:space="preserve"> </w:t>
      </w:r>
    </w:p>
    <w:p w14:paraId="0425D5A4" w14:textId="77777777" w:rsidR="0021542A" w:rsidRDefault="00DC5DF9">
      <w:pPr>
        <w:rPr>
          <w:b/>
          <w:bCs/>
          <w:i/>
          <w:iCs/>
        </w:rPr>
      </w:pPr>
      <w:r>
        <w:rPr>
          <w:b/>
          <w:bCs/>
          <w:i/>
          <w:iCs/>
        </w:rPr>
        <w:t>Key Risks</w:t>
      </w:r>
    </w:p>
    <w:p w14:paraId="3A81A0F0" w14:textId="77777777" w:rsidR="0021542A" w:rsidRDefault="00DC5DF9">
      <w:r>
        <w:t>There are several strategic and operational risks facing the redevelopment project that could have an impact on delivering the project successfully. Higher costs of construction materials, higher inflation rates and a shortage of labour will mean that there is the potential for big increases in costs, on top of this public-sector funding</w:t>
      </w:r>
      <w:r w:rsidR="00504A66">
        <w:t xml:space="preserve"> (</w:t>
      </w:r>
      <w:r w:rsidR="00504A66" w:rsidRPr="0017248E">
        <w:rPr>
          <w:color w:val="222222"/>
          <w:szCs w:val="20"/>
          <w:shd w:val="clear" w:color="auto" w:fill="FFFFFF"/>
        </w:rPr>
        <w:t>Landis</w:t>
      </w:r>
      <w:r w:rsidR="00504A66">
        <w:rPr>
          <w:color w:val="222222"/>
          <w:szCs w:val="20"/>
          <w:shd w:val="clear" w:color="auto" w:fill="FFFFFF"/>
        </w:rPr>
        <w:t>, 2022</w:t>
      </w:r>
      <w:r w:rsidR="00504A66">
        <w:t>)</w:t>
      </w:r>
      <w:r>
        <w:t>. Using all three elements of rail, bus and freight infrastructure makes the process even more complex, and so increases the risk of delay, especially if several contractors and regulatory bodies are involved.</w:t>
      </w:r>
    </w:p>
    <w:tbl>
      <w:tblPr>
        <w:tblW w:w="8206" w:type="dxa"/>
        <w:jc w:val="center"/>
        <w:tblLook w:val="04A0" w:firstRow="1" w:lastRow="0" w:firstColumn="1" w:lastColumn="0" w:noHBand="0" w:noVBand="1"/>
      </w:tblPr>
      <w:tblGrid>
        <w:gridCol w:w="1945"/>
        <w:gridCol w:w="1655"/>
        <w:gridCol w:w="1811"/>
        <w:gridCol w:w="2795"/>
      </w:tblGrid>
      <w:tr w:rsidR="00000FF5" w:rsidRPr="00000FF5" w14:paraId="285FFDDB" w14:textId="77777777" w:rsidTr="00000FF5">
        <w:trPr>
          <w:trHeight w:val="389"/>
          <w:jc w:val="center"/>
        </w:trPr>
        <w:tc>
          <w:tcPr>
            <w:tcW w:w="1945" w:type="dxa"/>
            <w:tcBorders>
              <w:top w:val="single" w:sz="4" w:space="0" w:color="auto"/>
              <w:left w:val="single" w:sz="4" w:space="0" w:color="auto"/>
              <w:bottom w:val="single" w:sz="4" w:space="0" w:color="auto"/>
              <w:right w:val="single" w:sz="4" w:space="0" w:color="auto"/>
            </w:tcBorders>
            <w:shd w:val="clear" w:color="auto" w:fill="B6DDE8" w:themeFill="accent5" w:themeFillTint="66"/>
            <w:vAlign w:val="center"/>
            <w:hideMark/>
          </w:tcPr>
          <w:p w14:paraId="1A07DF0C" w14:textId="77777777" w:rsidR="00000FF5" w:rsidRPr="00000FF5" w:rsidRDefault="00000FF5" w:rsidP="00000FF5">
            <w:pPr>
              <w:jc w:val="center"/>
              <w:rPr>
                <w:b/>
                <w:bCs/>
                <w:color w:val="000000"/>
                <w:sz w:val="18"/>
                <w:szCs w:val="18"/>
                <w:lang w:val="en-IN"/>
              </w:rPr>
            </w:pPr>
            <w:r w:rsidRPr="00000FF5">
              <w:rPr>
                <w:b/>
                <w:bCs/>
                <w:color w:val="000000"/>
                <w:sz w:val="18"/>
                <w:szCs w:val="18"/>
                <w:lang w:val="en-IN"/>
              </w:rPr>
              <w:t>Risk</w:t>
            </w:r>
          </w:p>
        </w:tc>
        <w:tc>
          <w:tcPr>
            <w:tcW w:w="1655" w:type="dxa"/>
            <w:tcBorders>
              <w:top w:val="single" w:sz="4" w:space="0" w:color="auto"/>
              <w:left w:val="nil"/>
              <w:bottom w:val="single" w:sz="4" w:space="0" w:color="auto"/>
              <w:right w:val="single" w:sz="4" w:space="0" w:color="auto"/>
            </w:tcBorders>
            <w:shd w:val="clear" w:color="auto" w:fill="B6DDE8" w:themeFill="accent5" w:themeFillTint="66"/>
            <w:vAlign w:val="center"/>
            <w:hideMark/>
          </w:tcPr>
          <w:p w14:paraId="3B048A41" w14:textId="77777777" w:rsidR="00000FF5" w:rsidRPr="00000FF5" w:rsidRDefault="00000FF5" w:rsidP="00000FF5">
            <w:pPr>
              <w:jc w:val="center"/>
              <w:rPr>
                <w:b/>
                <w:bCs/>
                <w:color w:val="000000"/>
                <w:sz w:val="18"/>
                <w:szCs w:val="18"/>
                <w:lang w:val="en-IN"/>
              </w:rPr>
            </w:pPr>
            <w:r w:rsidRPr="00000FF5">
              <w:rPr>
                <w:b/>
                <w:bCs/>
                <w:color w:val="000000"/>
                <w:sz w:val="18"/>
                <w:szCs w:val="18"/>
                <w:lang w:val="en-IN"/>
              </w:rPr>
              <w:t>Probability</w:t>
            </w:r>
          </w:p>
        </w:tc>
        <w:tc>
          <w:tcPr>
            <w:tcW w:w="1811" w:type="dxa"/>
            <w:tcBorders>
              <w:top w:val="single" w:sz="4" w:space="0" w:color="auto"/>
              <w:left w:val="nil"/>
              <w:bottom w:val="single" w:sz="4" w:space="0" w:color="auto"/>
              <w:right w:val="single" w:sz="4" w:space="0" w:color="auto"/>
            </w:tcBorders>
            <w:shd w:val="clear" w:color="auto" w:fill="B6DDE8" w:themeFill="accent5" w:themeFillTint="66"/>
            <w:vAlign w:val="center"/>
            <w:hideMark/>
          </w:tcPr>
          <w:p w14:paraId="3838B09D" w14:textId="77777777" w:rsidR="00000FF5" w:rsidRPr="00000FF5" w:rsidRDefault="00000FF5" w:rsidP="00000FF5">
            <w:pPr>
              <w:jc w:val="center"/>
              <w:rPr>
                <w:b/>
                <w:bCs/>
                <w:color w:val="000000"/>
                <w:sz w:val="18"/>
                <w:szCs w:val="18"/>
                <w:lang w:val="en-IN"/>
              </w:rPr>
            </w:pPr>
            <w:r w:rsidRPr="00000FF5">
              <w:rPr>
                <w:b/>
                <w:bCs/>
                <w:color w:val="000000"/>
                <w:sz w:val="18"/>
                <w:szCs w:val="18"/>
                <w:lang w:val="en-IN"/>
              </w:rPr>
              <w:t>Impact</w:t>
            </w:r>
          </w:p>
        </w:tc>
        <w:tc>
          <w:tcPr>
            <w:tcW w:w="2795" w:type="dxa"/>
            <w:tcBorders>
              <w:top w:val="single" w:sz="4" w:space="0" w:color="auto"/>
              <w:left w:val="nil"/>
              <w:bottom w:val="single" w:sz="4" w:space="0" w:color="auto"/>
              <w:right w:val="single" w:sz="4" w:space="0" w:color="auto"/>
            </w:tcBorders>
            <w:shd w:val="clear" w:color="auto" w:fill="B6DDE8" w:themeFill="accent5" w:themeFillTint="66"/>
            <w:vAlign w:val="center"/>
            <w:hideMark/>
          </w:tcPr>
          <w:p w14:paraId="71DC3812" w14:textId="77777777" w:rsidR="00000FF5" w:rsidRPr="00000FF5" w:rsidRDefault="00000FF5" w:rsidP="00000FF5">
            <w:pPr>
              <w:jc w:val="center"/>
              <w:rPr>
                <w:b/>
                <w:bCs/>
                <w:color w:val="000000"/>
                <w:sz w:val="18"/>
                <w:szCs w:val="18"/>
                <w:lang w:val="en-IN"/>
              </w:rPr>
            </w:pPr>
            <w:r w:rsidRPr="00000FF5">
              <w:rPr>
                <w:b/>
                <w:bCs/>
                <w:color w:val="000000"/>
                <w:sz w:val="18"/>
                <w:szCs w:val="18"/>
                <w:lang w:val="en-IN"/>
              </w:rPr>
              <w:t>Response Strategy</w:t>
            </w:r>
          </w:p>
        </w:tc>
      </w:tr>
      <w:tr w:rsidR="00000FF5" w:rsidRPr="00000FF5" w14:paraId="3339525E" w14:textId="77777777" w:rsidTr="00000FF5">
        <w:trPr>
          <w:trHeight w:val="934"/>
          <w:jc w:val="center"/>
        </w:trPr>
        <w:tc>
          <w:tcPr>
            <w:tcW w:w="1945" w:type="dxa"/>
            <w:tcBorders>
              <w:top w:val="nil"/>
              <w:left w:val="single" w:sz="4" w:space="0" w:color="auto"/>
              <w:bottom w:val="single" w:sz="4" w:space="0" w:color="auto"/>
              <w:right w:val="single" w:sz="4" w:space="0" w:color="auto"/>
            </w:tcBorders>
            <w:vAlign w:val="center"/>
            <w:hideMark/>
          </w:tcPr>
          <w:p w14:paraId="059A8305" w14:textId="77777777" w:rsidR="00000FF5" w:rsidRPr="00000FF5" w:rsidRDefault="00000FF5" w:rsidP="00000FF5">
            <w:pPr>
              <w:jc w:val="left"/>
              <w:rPr>
                <w:color w:val="000000"/>
                <w:sz w:val="18"/>
                <w:szCs w:val="18"/>
                <w:lang w:val="en-IN"/>
              </w:rPr>
            </w:pPr>
            <w:r w:rsidRPr="00000FF5">
              <w:rPr>
                <w:color w:val="000000"/>
                <w:sz w:val="18"/>
                <w:szCs w:val="18"/>
                <w:lang w:val="en-IN"/>
              </w:rPr>
              <w:t>Cost Inflation</w:t>
            </w:r>
          </w:p>
        </w:tc>
        <w:tc>
          <w:tcPr>
            <w:tcW w:w="1655" w:type="dxa"/>
            <w:tcBorders>
              <w:top w:val="nil"/>
              <w:left w:val="nil"/>
              <w:bottom w:val="single" w:sz="4" w:space="0" w:color="auto"/>
              <w:right w:val="single" w:sz="4" w:space="0" w:color="auto"/>
            </w:tcBorders>
            <w:shd w:val="clear" w:color="000000" w:fill="FF0000"/>
            <w:vAlign w:val="center"/>
            <w:hideMark/>
          </w:tcPr>
          <w:p w14:paraId="13A0FCBC" w14:textId="77777777" w:rsidR="00000FF5" w:rsidRPr="00000FF5" w:rsidRDefault="00000FF5" w:rsidP="00000FF5">
            <w:pPr>
              <w:jc w:val="left"/>
              <w:rPr>
                <w:color w:val="000000"/>
                <w:sz w:val="18"/>
                <w:szCs w:val="18"/>
                <w:lang w:val="en-IN"/>
              </w:rPr>
            </w:pPr>
            <w:r w:rsidRPr="00000FF5">
              <w:rPr>
                <w:color w:val="000000"/>
                <w:sz w:val="18"/>
                <w:szCs w:val="18"/>
                <w:lang w:val="en-IN"/>
              </w:rPr>
              <w:t>High</w:t>
            </w:r>
          </w:p>
        </w:tc>
        <w:tc>
          <w:tcPr>
            <w:tcW w:w="1811" w:type="dxa"/>
            <w:tcBorders>
              <w:top w:val="nil"/>
              <w:left w:val="nil"/>
              <w:bottom w:val="single" w:sz="4" w:space="0" w:color="auto"/>
              <w:right w:val="single" w:sz="4" w:space="0" w:color="auto"/>
            </w:tcBorders>
            <w:shd w:val="clear" w:color="000000" w:fill="FF0000"/>
            <w:vAlign w:val="center"/>
            <w:hideMark/>
          </w:tcPr>
          <w:p w14:paraId="220C6854" w14:textId="77777777" w:rsidR="00000FF5" w:rsidRPr="00000FF5" w:rsidRDefault="00000FF5" w:rsidP="00000FF5">
            <w:pPr>
              <w:jc w:val="left"/>
              <w:rPr>
                <w:color w:val="000000"/>
                <w:sz w:val="18"/>
                <w:szCs w:val="18"/>
                <w:lang w:val="en-IN"/>
              </w:rPr>
            </w:pPr>
            <w:r w:rsidRPr="00000FF5">
              <w:rPr>
                <w:color w:val="000000"/>
                <w:sz w:val="18"/>
                <w:szCs w:val="18"/>
                <w:lang w:val="en-IN"/>
              </w:rPr>
              <w:t>High</w:t>
            </w:r>
          </w:p>
        </w:tc>
        <w:tc>
          <w:tcPr>
            <w:tcW w:w="2795" w:type="dxa"/>
            <w:tcBorders>
              <w:top w:val="nil"/>
              <w:left w:val="nil"/>
              <w:bottom w:val="single" w:sz="4" w:space="0" w:color="auto"/>
              <w:right w:val="single" w:sz="4" w:space="0" w:color="auto"/>
            </w:tcBorders>
            <w:vAlign w:val="center"/>
            <w:hideMark/>
          </w:tcPr>
          <w:p w14:paraId="510B228D" w14:textId="77777777" w:rsidR="00000FF5" w:rsidRPr="00000FF5" w:rsidRDefault="00000FF5" w:rsidP="00000FF5">
            <w:pPr>
              <w:jc w:val="left"/>
              <w:rPr>
                <w:color w:val="000000"/>
                <w:sz w:val="18"/>
                <w:szCs w:val="18"/>
                <w:lang w:val="en-IN"/>
              </w:rPr>
            </w:pPr>
            <w:r w:rsidRPr="00000FF5">
              <w:rPr>
                <w:color w:val="000000"/>
                <w:sz w:val="18"/>
                <w:szCs w:val="18"/>
                <w:lang w:val="en-IN"/>
              </w:rPr>
              <w:t>Maintain contingency budget and regular cost reviews.</w:t>
            </w:r>
          </w:p>
        </w:tc>
      </w:tr>
      <w:tr w:rsidR="00000FF5" w:rsidRPr="00000FF5" w14:paraId="16660C30" w14:textId="77777777" w:rsidTr="00000FF5">
        <w:trPr>
          <w:trHeight w:val="622"/>
          <w:jc w:val="center"/>
        </w:trPr>
        <w:tc>
          <w:tcPr>
            <w:tcW w:w="1945" w:type="dxa"/>
            <w:tcBorders>
              <w:top w:val="nil"/>
              <w:left w:val="single" w:sz="4" w:space="0" w:color="auto"/>
              <w:bottom w:val="single" w:sz="4" w:space="0" w:color="auto"/>
              <w:right w:val="single" w:sz="4" w:space="0" w:color="auto"/>
            </w:tcBorders>
            <w:vAlign w:val="center"/>
            <w:hideMark/>
          </w:tcPr>
          <w:p w14:paraId="39199D24" w14:textId="77777777" w:rsidR="00000FF5" w:rsidRPr="00000FF5" w:rsidRDefault="00000FF5" w:rsidP="00000FF5">
            <w:pPr>
              <w:jc w:val="left"/>
              <w:rPr>
                <w:color w:val="000000"/>
                <w:sz w:val="18"/>
                <w:szCs w:val="18"/>
                <w:lang w:val="en-IN"/>
              </w:rPr>
            </w:pPr>
            <w:r w:rsidRPr="00000FF5">
              <w:rPr>
                <w:color w:val="000000"/>
                <w:sz w:val="18"/>
                <w:szCs w:val="18"/>
                <w:lang w:val="en-IN"/>
              </w:rPr>
              <w:t>Labour Shortages</w:t>
            </w:r>
          </w:p>
        </w:tc>
        <w:tc>
          <w:tcPr>
            <w:tcW w:w="1655" w:type="dxa"/>
            <w:tcBorders>
              <w:top w:val="nil"/>
              <w:left w:val="nil"/>
              <w:bottom w:val="single" w:sz="4" w:space="0" w:color="auto"/>
              <w:right w:val="single" w:sz="4" w:space="0" w:color="auto"/>
            </w:tcBorders>
            <w:shd w:val="clear" w:color="000000" w:fill="FFFF00"/>
            <w:vAlign w:val="center"/>
            <w:hideMark/>
          </w:tcPr>
          <w:p w14:paraId="26AE4260" w14:textId="77777777" w:rsidR="00000FF5" w:rsidRPr="00000FF5" w:rsidRDefault="00000FF5" w:rsidP="00000FF5">
            <w:pPr>
              <w:jc w:val="left"/>
              <w:rPr>
                <w:color w:val="000000"/>
                <w:sz w:val="18"/>
                <w:szCs w:val="18"/>
                <w:lang w:val="en-IN"/>
              </w:rPr>
            </w:pPr>
            <w:r w:rsidRPr="00000FF5">
              <w:rPr>
                <w:color w:val="000000"/>
                <w:sz w:val="18"/>
                <w:szCs w:val="18"/>
                <w:lang w:val="en-IN"/>
              </w:rPr>
              <w:t>Medium</w:t>
            </w:r>
          </w:p>
        </w:tc>
        <w:tc>
          <w:tcPr>
            <w:tcW w:w="1811" w:type="dxa"/>
            <w:tcBorders>
              <w:top w:val="nil"/>
              <w:left w:val="nil"/>
              <w:bottom w:val="single" w:sz="4" w:space="0" w:color="auto"/>
              <w:right w:val="single" w:sz="4" w:space="0" w:color="auto"/>
            </w:tcBorders>
            <w:shd w:val="clear" w:color="000000" w:fill="FFFF00"/>
            <w:vAlign w:val="center"/>
            <w:hideMark/>
          </w:tcPr>
          <w:p w14:paraId="06351D9E" w14:textId="77777777" w:rsidR="00000FF5" w:rsidRPr="00000FF5" w:rsidRDefault="00000FF5" w:rsidP="00000FF5">
            <w:pPr>
              <w:jc w:val="left"/>
              <w:rPr>
                <w:color w:val="000000"/>
                <w:sz w:val="18"/>
                <w:szCs w:val="18"/>
                <w:lang w:val="en-IN"/>
              </w:rPr>
            </w:pPr>
            <w:r w:rsidRPr="00000FF5">
              <w:rPr>
                <w:color w:val="000000"/>
                <w:sz w:val="18"/>
                <w:szCs w:val="18"/>
                <w:lang w:val="en-IN"/>
              </w:rPr>
              <w:t>Medium</w:t>
            </w:r>
          </w:p>
        </w:tc>
        <w:tc>
          <w:tcPr>
            <w:tcW w:w="2795" w:type="dxa"/>
            <w:tcBorders>
              <w:top w:val="nil"/>
              <w:left w:val="nil"/>
              <w:bottom w:val="single" w:sz="4" w:space="0" w:color="auto"/>
              <w:right w:val="single" w:sz="4" w:space="0" w:color="auto"/>
            </w:tcBorders>
            <w:vAlign w:val="center"/>
            <w:hideMark/>
          </w:tcPr>
          <w:p w14:paraId="3EBDE77A" w14:textId="77777777" w:rsidR="00000FF5" w:rsidRPr="00000FF5" w:rsidRDefault="00000FF5" w:rsidP="00000FF5">
            <w:pPr>
              <w:jc w:val="left"/>
              <w:rPr>
                <w:color w:val="000000"/>
                <w:sz w:val="18"/>
                <w:szCs w:val="18"/>
                <w:lang w:val="en-IN"/>
              </w:rPr>
            </w:pPr>
            <w:r w:rsidRPr="00000FF5">
              <w:rPr>
                <w:color w:val="000000"/>
                <w:sz w:val="18"/>
                <w:szCs w:val="18"/>
                <w:lang w:val="en-IN"/>
              </w:rPr>
              <w:t>Implement early recruitment and workforce planning.</w:t>
            </w:r>
          </w:p>
        </w:tc>
      </w:tr>
      <w:tr w:rsidR="00000FF5" w:rsidRPr="00000FF5" w14:paraId="392CDA2E" w14:textId="77777777" w:rsidTr="00000FF5">
        <w:trPr>
          <w:trHeight w:val="622"/>
          <w:jc w:val="center"/>
        </w:trPr>
        <w:tc>
          <w:tcPr>
            <w:tcW w:w="1945" w:type="dxa"/>
            <w:tcBorders>
              <w:top w:val="nil"/>
              <w:left w:val="single" w:sz="4" w:space="0" w:color="auto"/>
              <w:bottom w:val="single" w:sz="4" w:space="0" w:color="auto"/>
              <w:right w:val="single" w:sz="4" w:space="0" w:color="auto"/>
            </w:tcBorders>
            <w:vAlign w:val="center"/>
            <w:hideMark/>
          </w:tcPr>
          <w:p w14:paraId="63EE513F" w14:textId="77777777" w:rsidR="00000FF5" w:rsidRPr="00000FF5" w:rsidRDefault="00000FF5" w:rsidP="00000FF5">
            <w:pPr>
              <w:jc w:val="left"/>
              <w:rPr>
                <w:color w:val="000000"/>
                <w:sz w:val="18"/>
                <w:szCs w:val="18"/>
                <w:lang w:val="en-IN"/>
              </w:rPr>
            </w:pPr>
            <w:r w:rsidRPr="00000FF5">
              <w:rPr>
                <w:color w:val="000000"/>
                <w:sz w:val="18"/>
                <w:szCs w:val="18"/>
                <w:lang w:val="en-IN"/>
              </w:rPr>
              <w:lastRenderedPageBreak/>
              <w:t>Regulatory Delays</w:t>
            </w:r>
          </w:p>
        </w:tc>
        <w:tc>
          <w:tcPr>
            <w:tcW w:w="1655" w:type="dxa"/>
            <w:tcBorders>
              <w:top w:val="nil"/>
              <w:left w:val="nil"/>
              <w:bottom w:val="single" w:sz="4" w:space="0" w:color="auto"/>
              <w:right w:val="single" w:sz="4" w:space="0" w:color="auto"/>
            </w:tcBorders>
            <w:shd w:val="clear" w:color="000000" w:fill="FFFF00"/>
            <w:vAlign w:val="center"/>
            <w:hideMark/>
          </w:tcPr>
          <w:p w14:paraId="48AFC67D" w14:textId="77777777" w:rsidR="00000FF5" w:rsidRPr="00000FF5" w:rsidRDefault="00000FF5" w:rsidP="00000FF5">
            <w:pPr>
              <w:jc w:val="left"/>
              <w:rPr>
                <w:color w:val="000000"/>
                <w:sz w:val="18"/>
                <w:szCs w:val="18"/>
                <w:lang w:val="en-IN"/>
              </w:rPr>
            </w:pPr>
            <w:r w:rsidRPr="00000FF5">
              <w:rPr>
                <w:color w:val="000000"/>
                <w:sz w:val="18"/>
                <w:szCs w:val="18"/>
                <w:lang w:val="en-IN"/>
              </w:rPr>
              <w:t>Medium</w:t>
            </w:r>
          </w:p>
        </w:tc>
        <w:tc>
          <w:tcPr>
            <w:tcW w:w="1811" w:type="dxa"/>
            <w:tcBorders>
              <w:top w:val="nil"/>
              <w:left w:val="nil"/>
              <w:bottom w:val="single" w:sz="4" w:space="0" w:color="auto"/>
              <w:right w:val="single" w:sz="4" w:space="0" w:color="auto"/>
            </w:tcBorders>
            <w:shd w:val="clear" w:color="000000" w:fill="FF0000"/>
            <w:vAlign w:val="center"/>
            <w:hideMark/>
          </w:tcPr>
          <w:p w14:paraId="1A5E72C5" w14:textId="77777777" w:rsidR="00000FF5" w:rsidRPr="00000FF5" w:rsidRDefault="00000FF5" w:rsidP="00000FF5">
            <w:pPr>
              <w:jc w:val="left"/>
              <w:rPr>
                <w:color w:val="000000"/>
                <w:sz w:val="18"/>
                <w:szCs w:val="18"/>
                <w:lang w:val="en-IN"/>
              </w:rPr>
            </w:pPr>
            <w:r w:rsidRPr="00000FF5">
              <w:rPr>
                <w:color w:val="000000"/>
                <w:sz w:val="18"/>
                <w:szCs w:val="18"/>
                <w:lang w:val="en-IN"/>
              </w:rPr>
              <w:t>High</w:t>
            </w:r>
          </w:p>
        </w:tc>
        <w:tc>
          <w:tcPr>
            <w:tcW w:w="2795" w:type="dxa"/>
            <w:tcBorders>
              <w:top w:val="nil"/>
              <w:left w:val="nil"/>
              <w:bottom w:val="single" w:sz="4" w:space="0" w:color="auto"/>
              <w:right w:val="single" w:sz="4" w:space="0" w:color="auto"/>
            </w:tcBorders>
            <w:vAlign w:val="center"/>
            <w:hideMark/>
          </w:tcPr>
          <w:p w14:paraId="34659C60" w14:textId="77777777" w:rsidR="00000FF5" w:rsidRPr="00000FF5" w:rsidRDefault="00000FF5" w:rsidP="00000FF5">
            <w:pPr>
              <w:jc w:val="left"/>
              <w:rPr>
                <w:color w:val="000000"/>
                <w:sz w:val="18"/>
                <w:szCs w:val="18"/>
                <w:lang w:val="en-IN"/>
              </w:rPr>
            </w:pPr>
            <w:r w:rsidRPr="00000FF5">
              <w:rPr>
                <w:color w:val="000000"/>
                <w:sz w:val="18"/>
                <w:szCs w:val="18"/>
                <w:lang w:val="en-IN"/>
              </w:rPr>
              <w:t>Engage regulatory authorities during the planning phase.</w:t>
            </w:r>
          </w:p>
        </w:tc>
      </w:tr>
      <w:tr w:rsidR="00000FF5" w:rsidRPr="00000FF5" w14:paraId="0CB916A7" w14:textId="77777777" w:rsidTr="00000FF5">
        <w:trPr>
          <w:trHeight w:val="622"/>
          <w:jc w:val="center"/>
        </w:trPr>
        <w:tc>
          <w:tcPr>
            <w:tcW w:w="1945" w:type="dxa"/>
            <w:tcBorders>
              <w:top w:val="nil"/>
              <w:left w:val="single" w:sz="4" w:space="0" w:color="auto"/>
              <w:bottom w:val="single" w:sz="4" w:space="0" w:color="auto"/>
              <w:right w:val="single" w:sz="4" w:space="0" w:color="auto"/>
            </w:tcBorders>
            <w:vAlign w:val="center"/>
            <w:hideMark/>
          </w:tcPr>
          <w:p w14:paraId="08BADF3F" w14:textId="77777777" w:rsidR="00000FF5" w:rsidRPr="00000FF5" w:rsidRDefault="00000FF5" w:rsidP="00000FF5">
            <w:pPr>
              <w:jc w:val="left"/>
              <w:rPr>
                <w:color w:val="000000"/>
                <w:sz w:val="18"/>
                <w:szCs w:val="18"/>
                <w:lang w:val="en-IN"/>
              </w:rPr>
            </w:pPr>
            <w:r w:rsidRPr="00000FF5">
              <w:rPr>
                <w:color w:val="000000"/>
                <w:sz w:val="18"/>
                <w:szCs w:val="18"/>
                <w:lang w:val="en-IN"/>
              </w:rPr>
              <w:t>Technology Integration Failure</w:t>
            </w:r>
          </w:p>
        </w:tc>
        <w:tc>
          <w:tcPr>
            <w:tcW w:w="1655" w:type="dxa"/>
            <w:tcBorders>
              <w:top w:val="nil"/>
              <w:left w:val="nil"/>
              <w:bottom w:val="single" w:sz="4" w:space="0" w:color="auto"/>
              <w:right w:val="single" w:sz="4" w:space="0" w:color="auto"/>
            </w:tcBorders>
            <w:shd w:val="clear" w:color="000000" w:fill="00B050"/>
            <w:vAlign w:val="center"/>
            <w:hideMark/>
          </w:tcPr>
          <w:p w14:paraId="041320C6" w14:textId="77777777" w:rsidR="00000FF5" w:rsidRPr="00000FF5" w:rsidRDefault="00000FF5" w:rsidP="00000FF5">
            <w:pPr>
              <w:jc w:val="left"/>
              <w:rPr>
                <w:color w:val="000000"/>
                <w:sz w:val="18"/>
                <w:szCs w:val="18"/>
                <w:lang w:val="en-IN"/>
              </w:rPr>
            </w:pPr>
            <w:r w:rsidRPr="00000FF5">
              <w:rPr>
                <w:color w:val="000000"/>
                <w:sz w:val="18"/>
                <w:szCs w:val="18"/>
                <w:lang w:val="en-IN"/>
              </w:rPr>
              <w:t>Low</w:t>
            </w:r>
          </w:p>
        </w:tc>
        <w:tc>
          <w:tcPr>
            <w:tcW w:w="1811" w:type="dxa"/>
            <w:tcBorders>
              <w:top w:val="nil"/>
              <w:left w:val="nil"/>
              <w:bottom w:val="single" w:sz="4" w:space="0" w:color="auto"/>
              <w:right w:val="single" w:sz="4" w:space="0" w:color="auto"/>
            </w:tcBorders>
            <w:shd w:val="clear" w:color="000000" w:fill="FFFF00"/>
            <w:vAlign w:val="center"/>
            <w:hideMark/>
          </w:tcPr>
          <w:p w14:paraId="6CDCF7D6" w14:textId="77777777" w:rsidR="00000FF5" w:rsidRPr="00000FF5" w:rsidRDefault="00000FF5" w:rsidP="00000FF5">
            <w:pPr>
              <w:jc w:val="left"/>
              <w:rPr>
                <w:color w:val="000000"/>
                <w:sz w:val="18"/>
                <w:szCs w:val="18"/>
                <w:lang w:val="en-IN"/>
              </w:rPr>
            </w:pPr>
            <w:r w:rsidRPr="00000FF5">
              <w:rPr>
                <w:color w:val="000000"/>
                <w:sz w:val="18"/>
                <w:szCs w:val="18"/>
                <w:lang w:val="en-IN"/>
              </w:rPr>
              <w:t>Medium</w:t>
            </w:r>
          </w:p>
        </w:tc>
        <w:tc>
          <w:tcPr>
            <w:tcW w:w="2795" w:type="dxa"/>
            <w:tcBorders>
              <w:top w:val="nil"/>
              <w:left w:val="nil"/>
              <w:bottom w:val="single" w:sz="4" w:space="0" w:color="auto"/>
              <w:right w:val="single" w:sz="4" w:space="0" w:color="auto"/>
            </w:tcBorders>
            <w:vAlign w:val="center"/>
            <w:hideMark/>
          </w:tcPr>
          <w:p w14:paraId="741CB783" w14:textId="77777777" w:rsidR="00000FF5" w:rsidRPr="00000FF5" w:rsidRDefault="00000FF5" w:rsidP="00000FF5">
            <w:pPr>
              <w:jc w:val="left"/>
              <w:rPr>
                <w:color w:val="000000"/>
                <w:sz w:val="18"/>
                <w:szCs w:val="18"/>
                <w:lang w:val="en-IN"/>
              </w:rPr>
            </w:pPr>
            <w:r w:rsidRPr="00000FF5">
              <w:rPr>
                <w:color w:val="000000"/>
                <w:sz w:val="18"/>
                <w:szCs w:val="18"/>
                <w:lang w:val="en-IN"/>
              </w:rPr>
              <w:t>Conduct pilot testing and phased implementation.</w:t>
            </w:r>
          </w:p>
        </w:tc>
      </w:tr>
      <w:tr w:rsidR="00000FF5" w:rsidRPr="00000FF5" w14:paraId="08BA19FC" w14:textId="77777777" w:rsidTr="00000FF5">
        <w:trPr>
          <w:trHeight w:val="622"/>
          <w:jc w:val="center"/>
        </w:trPr>
        <w:tc>
          <w:tcPr>
            <w:tcW w:w="1945" w:type="dxa"/>
            <w:tcBorders>
              <w:top w:val="nil"/>
              <w:left w:val="single" w:sz="4" w:space="0" w:color="auto"/>
              <w:bottom w:val="single" w:sz="4" w:space="0" w:color="auto"/>
              <w:right w:val="single" w:sz="4" w:space="0" w:color="auto"/>
            </w:tcBorders>
            <w:vAlign w:val="center"/>
            <w:hideMark/>
          </w:tcPr>
          <w:p w14:paraId="33A6B419" w14:textId="77777777" w:rsidR="00000FF5" w:rsidRPr="00000FF5" w:rsidRDefault="00000FF5" w:rsidP="00000FF5">
            <w:pPr>
              <w:jc w:val="left"/>
              <w:rPr>
                <w:color w:val="000000"/>
                <w:sz w:val="18"/>
                <w:szCs w:val="18"/>
                <w:lang w:val="en-IN"/>
              </w:rPr>
            </w:pPr>
            <w:r w:rsidRPr="00000FF5">
              <w:rPr>
                <w:color w:val="000000"/>
                <w:sz w:val="18"/>
                <w:szCs w:val="18"/>
                <w:lang w:val="en-IN"/>
              </w:rPr>
              <w:t>Supply Chain Disruption</w:t>
            </w:r>
          </w:p>
        </w:tc>
        <w:tc>
          <w:tcPr>
            <w:tcW w:w="1655" w:type="dxa"/>
            <w:tcBorders>
              <w:top w:val="nil"/>
              <w:left w:val="nil"/>
              <w:bottom w:val="single" w:sz="4" w:space="0" w:color="auto"/>
              <w:right w:val="single" w:sz="4" w:space="0" w:color="auto"/>
            </w:tcBorders>
            <w:shd w:val="clear" w:color="000000" w:fill="FFFF00"/>
            <w:vAlign w:val="center"/>
            <w:hideMark/>
          </w:tcPr>
          <w:p w14:paraId="1D57FC19" w14:textId="77777777" w:rsidR="00000FF5" w:rsidRPr="00000FF5" w:rsidRDefault="00000FF5" w:rsidP="00000FF5">
            <w:pPr>
              <w:jc w:val="left"/>
              <w:rPr>
                <w:color w:val="000000"/>
                <w:sz w:val="18"/>
                <w:szCs w:val="18"/>
                <w:lang w:val="en-IN"/>
              </w:rPr>
            </w:pPr>
            <w:r w:rsidRPr="00000FF5">
              <w:rPr>
                <w:color w:val="000000"/>
                <w:sz w:val="18"/>
                <w:szCs w:val="18"/>
                <w:lang w:val="en-IN"/>
              </w:rPr>
              <w:t>Medium</w:t>
            </w:r>
          </w:p>
        </w:tc>
        <w:tc>
          <w:tcPr>
            <w:tcW w:w="1811" w:type="dxa"/>
            <w:tcBorders>
              <w:top w:val="nil"/>
              <w:left w:val="nil"/>
              <w:bottom w:val="single" w:sz="4" w:space="0" w:color="auto"/>
              <w:right w:val="single" w:sz="4" w:space="0" w:color="auto"/>
            </w:tcBorders>
            <w:shd w:val="clear" w:color="000000" w:fill="FF0000"/>
            <w:vAlign w:val="center"/>
            <w:hideMark/>
          </w:tcPr>
          <w:p w14:paraId="536F1CD4" w14:textId="77777777" w:rsidR="00000FF5" w:rsidRPr="00000FF5" w:rsidRDefault="00000FF5" w:rsidP="00000FF5">
            <w:pPr>
              <w:jc w:val="left"/>
              <w:rPr>
                <w:color w:val="000000"/>
                <w:sz w:val="18"/>
                <w:szCs w:val="18"/>
                <w:lang w:val="en-IN"/>
              </w:rPr>
            </w:pPr>
            <w:r w:rsidRPr="00000FF5">
              <w:rPr>
                <w:color w:val="000000"/>
                <w:sz w:val="18"/>
                <w:szCs w:val="18"/>
                <w:lang w:val="en-IN"/>
              </w:rPr>
              <w:t>High</w:t>
            </w:r>
          </w:p>
        </w:tc>
        <w:tc>
          <w:tcPr>
            <w:tcW w:w="2795" w:type="dxa"/>
            <w:tcBorders>
              <w:top w:val="nil"/>
              <w:left w:val="nil"/>
              <w:bottom w:val="single" w:sz="4" w:space="0" w:color="auto"/>
              <w:right w:val="single" w:sz="4" w:space="0" w:color="auto"/>
            </w:tcBorders>
            <w:vAlign w:val="center"/>
            <w:hideMark/>
          </w:tcPr>
          <w:p w14:paraId="68B1D15F" w14:textId="77777777" w:rsidR="00000FF5" w:rsidRPr="00000FF5" w:rsidRDefault="00000FF5" w:rsidP="00000FF5">
            <w:pPr>
              <w:jc w:val="left"/>
              <w:rPr>
                <w:color w:val="000000"/>
                <w:sz w:val="18"/>
                <w:szCs w:val="18"/>
                <w:lang w:val="en-IN"/>
              </w:rPr>
            </w:pPr>
            <w:r w:rsidRPr="00000FF5">
              <w:rPr>
                <w:color w:val="000000"/>
                <w:sz w:val="18"/>
                <w:szCs w:val="18"/>
                <w:lang w:val="en-IN"/>
              </w:rPr>
              <w:t>Establish multiple suppliers and backup procurement routes.</w:t>
            </w:r>
          </w:p>
        </w:tc>
      </w:tr>
    </w:tbl>
    <w:p w14:paraId="66837E4F" w14:textId="77777777" w:rsidR="00000FF5" w:rsidRDefault="00BC7415" w:rsidP="00BC7415">
      <w:pPr>
        <w:jc w:val="center"/>
      </w:pPr>
      <w:r>
        <w:t>(Source: self-created)</w:t>
      </w:r>
    </w:p>
    <w:p w14:paraId="5D918B84" w14:textId="77777777" w:rsidR="0021542A" w:rsidRDefault="00DC5DF9">
      <w:pPr>
        <w:rPr>
          <w:b/>
          <w:bCs/>
          <w:i/>
          <w:iCs/>
        </w:rPr>
      </w:pPr>
      <w:r>
        <w:rPr>
          <w:b/>
          <w:bCs/>
          <w:i/>
          <w:iCs/>
        </w:rPr>
        <w:t>Strategic Trade-offs</w:t>
      </w:r>
    </w:p>
    <w:p w14:paraId="33A23998" w14:textId="77777777" w:rsidR="0021542A" w:rsidRDefault="00DC5DF9">
      <w:r>
        <w:t>Throughout the life span of the project, balancing competing priorities will be essential. The faster the construction activity, the sooner transport capacity can be increased, but that might result in an uncertain level of sustainability targets and future infrastructure performance. In the same way, cheaper project costs can have an impact on the quality, durability and long-term resilience of a transport hub, increasing lifecycle costs.</w:t>
      </w:r>
    </w:p>
    <w:p w14:paraId="7188529C" w14:textId="77777777" w:rsidR="0021542A" w:rsidRDefault="00BC7415">
      <w:pPr>
        <w:pStyle w:val="Heading2"/>
      </w:pPr>
      <w:bookmarkStart w:id="12" w:name="_805cgmn88hyu" w:colFirst="0" w:colLast="0"/>
      <w:bookmarkStart w:id="13" w:name="_Toc232518565"/>
      <w:bookmarkEnd w:id="12"/>
      <w:r>
        <w:t>7</w:t>
      </w:r>
      <w:r w:rsidR="00DC5DF9">
        <w:t>. Strategic Value of the Project</w:t>
      </w:r>
      <w:bookmarkEnd w:id="13"/>
      <w:r w:rsidR="00DC5DF9">
        <w:t xml:space="preserve"> </w:t>
      </w:r>
    </w:p>
    <w:p w14:paraId="15D61513" w14:textId="77777777" w:rsidR="00BC7415" w:rsidRDefault="00DC5DF9" w:rsidP="00504A66">
      <w:r>
        <w:t>The project explicitly contributes to economic recovery by restoring transport connections and commercial activities. Integrated digital systems will help to optimise the efficient movement of passengers and support freight coordination, minimising unnecessary losses in efficien</w:t>
      </w:r>
      <w:r w:rsidR="00504A66">
        <w:t xml:space="preserve">cy. </w:t>
      </w:r>
      <w:r>
        <w:t>Infrastructure has a vital role in achieving 'net zero transport' objectives via emissions reduction and fuel efficiency</w:t>
      </w:r>
      <w:r w:rsidR="00504A66">
        <w:t xml:space="preserve"> (</w:t>
      </w:r>
      <w:r w:rsidR="00504A66" w:rsidRPr="0017248E">
        <w:rPr>
          <w:color w:val="222222"/>
          <w:szCs w:val="20"/>
          <w:shd w:val="clear" w:color="auto" w:fill="FFFFFF"/>
        </w:rPr>
        <w:t>Metaxas</w:t>
      </w:r>
      <w:r w:rsidR="00504A66">
        <w:rPr>
          <w:color w:val="222222"/>
          <w:szCs w:val="20"/>
          <w:shd w:val="clear" w:color="auto" w:fill="FFFFFF"/>
        </w:rPr>
        <w:t xml:space="preserve"> </w:t>
      </w:r>
      <w:r w:rsidR="00504A66">
        <w:rPr>
          <w:i/>
          <w:color w:val="222222"/>
          <w:szCs w:val="20"/>
          <w:shd w:val="clear" w:color="auto" w:fill="FFFFFF"/>
        </w:rPr>
        <w:t>et al.,</w:t>
      </w:r>
      <w:r w:rsidR="00504A66">
        <w:rPr>
          <w:color w:val="222222"/>
          <w:szCs w:val="20"/>
          <w:shd w:val="clear" w:color="auto" w:fill="FFFFFF"/>
        </w:rPr>
        <w:t xml:space="preserve"> 2023</w:t>
      </w:r>
      <w:r w:rsidR="00504A66">
        <w:t>)</w:t>
      </w:r>
      <w:r>
        <w:t>. Moreover, the project sets the ground for smart city development, not only concerning the resilience dimension of cities, attractiveness for investments and the long-term dimension of urban regeneration, but also for the added value for public and private players that this project generates.</w:t>
      </w:r>
    </w:p>
    <w:p w14:paraId="50F32AAE" w14:textId="77777777" w:rsidR="00BC7415" w:rsidRDefault="00BC7415" w:rsidP="00BC7415">
      <w:pPr>
        <w:pStyle w:val="Heading2"/>
      </w:pPr>
      <w:r>
        <w:t xml:space="preserve">8. Timeline </w:t>
      </w:r>
    </w:p>
    <w:tbl>
      <w:tblPr>
        <w:tblW w:w="5000" w:type="pct"/>
        <w:tblLook w:val="04A0" w:firstRow="1" w:lastRow="0" w:firstColumn="1" w:lastColumn="0" w:noHBand="0" w:noVBand="1"/>
      </w:tblPr>
      <w:tblGrid>
        <w:gridCol w:w="1669"/>
        <w:gridCol w:w="1051"/>
        <w:gridCol w:w="1171"/>
        <w:gridCol w:w="1101"/>
        <w:gridCol w:w="1085"/>
        <w:gridCol w:w="1120"/>
        <w:gridCol w:w="1171"/>
        <w:gridCol w:w="982"/>
      </w:tblGrid>
      <w:tr w:rsidR="00BC7415" w:rsidRPr="00BC7415" w14:paraId="21CF53ED" w14:textId="77777777" w:rsidTr="00BC7415">
        <w:trPr>
          <w:trHeight w:val="570"/>
        </w:trPr>
        <w:tc>
          <w:tcPr>
            <w:tcW w:w="893" w:type="pct"/>
            <w:tcBorders>
              <w:top w:val="single" w:sz="4" w:space="0" w:color="auto"/>
              <w:left w:val="single" w:sz="4" w:space="0" w:color="auto"/>
              <w:bottom w:val="single" w:sz="4" w:space="0" w:color="auto"/>
              <w:right w:val="single" w:sz="4" w:space="0" w:color="auto"/>
            </w:tcBorders>
            <w:vAlign w:val="center"/>
            <w:hideMark/>
          </w:tcPr>
          <w:p w14:paraId="1BB93892"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Project Phase</w:t>
            </w:r>
          </w:p>
        </w:tc>
        <w:tc>
          <w:tcPr>
            <w:tcW w:w="562" w:type="pct"/>
            <w:tcBorders>
              <w:top w:val="single" w:sz="4" w:space="0" w:color="auto"/>
              <w:left w:val="nil"/>
              <w:bottom w:val="single" w:sz="4" w:space="0" w:color="auto"/>
              <w:right w:val="single" w:sz="4" w:space="0" w:color="auto"/>
            </w:tcBorders>
            <w:vAlign w:val="center"/>
            <w:hideMark/>
          </w:tcPr>
          <w:p w14:paraId="2BBBE6F9"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week 1</w:t>
            </w:r>
          </w:p>
        </w:tc>
        <w:tc>
          <w:tcPr>
            <w:tcW w:w="626" w:type="pct"/>
            <w:tcBorders>
              <w:top w:val="single" w:sz="4" w:space="0" w:color="auto"/>
              <w:left w:val="nil"/>
              <w:bottom w:val="single" w:sz="4" w:space="0" w:color="auto"/>
              <w:right w:val="single" w:sz="4" w:space="0" w:color="auto"/>
            </w:tcBorders>
            <w:vAlign w:val="center"/>
            <w:hideMark/>
          </w:tcPr>
          <w:p w14:paraId="62989F31"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week 2</w:t>
            </w:r>
          </w:p>
        </w:tc>
        <w:tc>
          <w:tcPr>
            <w:tcW w:w="589" w:type="pct"/>
            <w:tcBorders>
              <w:top w:val="single" w:sz="4" w:space="0" w:color="auto"/>
              <w:left w:val="nil"/>
              <w:bottom w:val="single" w:sz="4" w:space="0" w:color="auto"/>
              <w:right w:val="single" w:sz="4" w:space="0" w:color="auto"/>
            </w:tcBorders>
            <w:vAlign w:val="center"/>
            <w:hideMark/>
          </w:tcPr>
          <w:p w14:paraId="1420189C"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week 3</w:t>
            </w:r>
          </w:p>
        </w:tc>
        <w:tc>
          <w:tcPr>
            <w:tcW w:w="580" w:type="pct"/>
            <w:tcBorders>
              <w:top w:val="single" w:sz="4" w:space="0" w:color="auto"/>
              <w:left w:val="nil"/>
              <w:bottom w:val="single" w:sz="4" w:space="0" w:color="auto"/>
              <w:right w:val="single" w:sz="4" w:space="0" w:color="auto"/>
            </w:tcBorders>
            <w:vAlign w:val="center"/>
            <w:hideMark/>
          </w:tcPr>
          <w:p w14:paraId="2E5CCB2D"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week 4</w:t>
            </w:r>
          </w:p>
        </w:tc>
        <w:tc>
          <w:tcPr>
            <w:tcW w:w="599" w:type="pct"/>
            <w:tcBorders>
              <w:top w:val="single" w:sz="4" w:space="0" w:color="auto"/>
              <w:left w:val="nil"/>
              <w:bottom w:val="single" w:sz="4" w:space="0" w:color="auto"/>
              <w:right w:val="single" w:sz="4" w:space="0" w:color="auto"/>
            </w:tcBorders>
            <w:vAlign w:val="center"/>
            <w:hideMark/>
          </w:tcPr>
          <w:p w14:paraId="38EB4129"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week 5</w:t>
            </w:r>
          </w:p>
        </w:tc>
        <w:tc>
          <w:tcPr>
            <w:tcW w:w="626" w:type="pct"/>
            <w:tcBorders>
              <w:top w:val="single" w:sz="4" w:space="0" w:color="auto"/>
              <w:left w:val="nil"/>
              <w:bottom w:val="single" w:sz="4" w:space="0" w:color="auto"/>
              <w:right w:val="single" w:sz="4" w:space="0" w:color="auto"/>
            </w:tcBorders>
            <w:vAlign w:val="center"/>
            <w:hideMark/>
          </w:tcPr>
          <w:p w14:paraId="342F8422"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week 6</w:t>
            </w:r>
          </w:p>
        </w:tc>
        <w:tc>
          <w:tcPr>
            <w:tcW w:w="525" w:type="pct"/>
            <w:tcBorders>
              <w:top w:val="single" w:sz="4" w:space="0" w:color="auto"/>
              <w:left w:val="nil"/>
              <w:bottom w:val="single" w:sz="4" w:space="0" w:color="auto"/>
              <w:right w:val="single" w:sz="4" w:space="0" w:color="auto"/>
            </w:tcBorders>
            <w:vAlign w:val="center"/>
            <w:hideMark/>
          </w:tcPr>
          <w:p w14:paraId="1DECD5B5" w14:textId="77777777" w:rsidR="00BC7415" w:rsidRPr="00BC7415" w:rsidRDefault="00BC7415" w:rsidP="00BC7415">
            <w:pPr>
              <w:spacing w:line="240" w:lineRule="auto"/>
              <w:jc w:val="center"/>
              <w:rPr>
                <w:b/>
                <w:bCs/>
                <w:color w:val="000000"/>
                <w:sz w:val="22"/>
                <w:szCs w:val="22"/>
                <w:lang w:val="en-IN"/>
              </w:rPr>
            </w:pPr>
            <w:r w:rsidRPr="00BC7415">
              <w:rPr>
                <w:b/>
                <w:bCs/>
                <w:color w:val="000000"/>
                <w:sz w:val="22"/>
                <w:szCs w:val="22"/>
                <w:lang w:val="en-IN"/>
              </w:rPr>
              <w:t>week 7</w:t>
            </w:r>
          </w:p>
        </w:tc>
      </w:tr>
      <w:tr w:rsidR="00BC7415" w:rsidRPr="00BC7415" w14:paraId="0545BA96" w14:textId="77777777" w:rsidTr="00BC7415">
        <w:trPr>
          <w:trHeight w:val="300"/>
        </w:trPr>
        <w:tc>
          <w:tcPr>
            <w:tcW w:w="893" w:type="pct"/>
            <w:tcBorders>
              <w:top w:val="nil"/>
              <w:left w:val="single" w:sz="4" w:space="0" w:color="auto"/>
              <w:bottom w:val="single" w:sz="4" w:space="0" w:color="auto"/>
              <w:right w:val="single" w:sz="4" w:space="0" w:color="auto"/>
            </w:tcBorders>
            <w:vAlign w:val="center"/>
            <w:hideMark/>
          </w:tcPr>
          <w:p w14:paraId="29D37667" w14:textId="77777777" w:rsidR="00BC7415" w:rsidRPr="00BC7415" w:rsidRDefault="00BC7415" w:rsidP="00BC7415">
            <w:pPr>
              <w:spacing w:line="240" w:lineRule="auto"/>
              <w:jc w:val="left"/>
              <w:rPr>
                <w:color w:val="000000"/>
                <w:sz w:val="22"/>
                <w:szCs w:val="22"/>
                <w:lang w:val="en-IN"/>
              </w:rPr>
            </w:pPr>
            <w:r w:rsidRPr="00BC7415">
              <w:rPr>
                <w:color w:val="000000"/>
                <w:sz w:val="22"/>
                <w:szCs w:val="22"/>
                <w:lang w:val="en-IN"/>
              </w:rPr>
              <w:t>Planning</w:t>
            </w:r>
          </w:p>
        </w:tc>
        <w:tc>
          <w:tcPr>
            <w:tcW w:w="562" w:type="pct"/>
            <w:tcBorders>
              <w:top w:val="nil"/>
              <w:left w:val="nil"/>
              <w:bottom w:val="single" w:sz="4" w:space="0" w:color="auto"/>
              <w:right w:val="single" w:sz="4" w:space="0" w:color="auto"/>
            </w:tcBorders>
            <w:shd w:val="clear" w:color="000000" w:fill="FFE699"/>
            <w:vAlign w:val="center"/>
            <w:hideMark/>
          </w:tcPr>
          <w:p w14:paraId="307215F3"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23C0DE86"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9" w:type="pct"/>
            <w:tcBorders>
              <w:top w:val="nil"/>
              <w:left w:val="nil"/>
              <w:bottom w:val="single" w:sz="4" w:space="0" w:color="auto"/>
              <w:right w:val="single" w:sz="4" w:space="0" w:color="auto"/>
            </w:tcBorders>
            <w:vAlign w:val="center"/>
            <w:hideMark/>
          </w:tcPr>
          <w:p w14:paraId="39258CF4"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0" w:type="pct"/>
            <w:tcBorders>
              <w:top w:val="nil"/>
              <w:left w:val="nil"/>
              <w:bottom w:val="single" w:sz="4" w:space="0" w:color="auto"/>
              <w:right w:val="single" w:sz="4" w:space="0" w:color="auto"/>
            </w:tcBorders>
            <w:vAlign w:val="center"/>
            <w:hideMark/>
          </w:tcPr>
          <w:p w14:paraId="709D310C"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99" w:type="pct"/>
            <w:tcBorders>
              <w:top w:val="nil"/>
              <w:left w:val="nil"/>
              <w:bottom w:val="single" w:sz="4" w:space="0" w:color="auto"/>
              <w:right w:val="single" w:sz="4" w:space="0" w:color="auto"/>
            </w:tcBorders>
            <w:vAlign w:val="center"/>
            <w:hideMark/>
          </w:tcPr>
          <w:p w14:paraId="596F9357"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287465B8"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25" w:type="pct"/>
            <w:tcBorders>
              <w:top w:val="nil"/>
              <w:left w:val="nil"/>
              <w:bottom w:val="single" w:sz="4" w:space="0" w:color="auto"/>
              <w:right w:val="single" w:sz="4" w:space="0" w:color="auto"/>
            </w:tcBorders>
            <w:vAlign w:val="center"/>
            <w:hideMark/>
          </w:tcPr>
          <w:p w14:paraId="146F1A04"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r>
      <w:tr w:rsidR="00BC7415" w:rsidRPr="00BC7415" w14:paraId="6F778B4F" w14:textId="77777777" w:rsidTr="00BC7415">
        <w:trPr>
          <w:trHeight w:val="300"/>
        </w:trPr>
        <w:tc>
          <w:tcPr>
            <w:tcW w:w="893" w:type="pct"/>
            <w:tcBorders>
              <w:top w:val="nil"/>
              <w:left w:val="single" w:sz="4" w:space="0" w:color="auto"/>
              <w:bottom w:val="single" w:sz="4" w:space="0" w:color="auto"/>
              <w:right w:val="single" w:sz="4" w:space="0" w:color="auto"/>
            </w:tcBorders>
            <w:vAlign w:val="center"/>
            <w:hideMark/>
          </w:tcPr>
          <w:p w14:paraId="5F13C9A2" w14:textId="77777777" w:rsidR="00BC7415" w:rsidRPr="00BC7415" w:rsidRDefault="00BC7415" w:rsidP="00BC7415">
            <w:pPr>
              <w:spacing w:line="240" w:lineRule="auto"/>
              <w:jc w:val="left"/>
              <w:rPr>
                <w:color w:val="000000"/>
                <w:sz w:val="22"/>
                <w:szCs w:val="22"/>
                <w:lang w:val="en-IN"/>
              </w:rPr>
            </w:pPr>
            <w:r w:rsidRPr="00BC7415">
              <w:rPr>
                <w:color w:val="000000"/>
                <w:sz w:val="22"/>
                <w:szCs w:val="22"/>
                <w:lang w:val="en-IN"/>
              </w:rPr>
              <w:t>Design</w:t>
            </w:r>
          </w:p>
        </w:tc>
        <w:tc>
          <w:tcPr>
            <w:tcW w:w="562" w:type="pct"/>
            <w:tcBorders>
              <w:top w:val="nil"/>
              <w:left w:val="nil"/>
              <w:bottom w:val="single" w:sz="4" w:space="0" w:color="auto"/>
              <w:right w:val="single" w:sz="4" w:space="0" w:color="auto"/>
            </w:tcBorders>
            <w:vAlign w:val="center"/>
            <w:hideMark/>
          </w:tcPr>
          <w:p w14:paraId="152B2E16"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shd w:val="clear" w:color="000000" w:fill="8EA9DB"/>
            <w:vAlign w:val="center"/>
            <w:hideMark/>
          </w:tcPr>
          <w:p w14:paraId="3493BA7D"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9" w:type="pct"/>
            <w:tcBorders>
              <w:top w:val="nil"/>
              <w:left w:val="nil"/>
              <w:bottom w:val="single" w:sz="4" w:space="0" w:color="auto"/>
              <w:right w:val="single" w:sz="4" w:space="0" w:color="auto"/>
            </w:tcBorders>
            <w:vAlign w:val="center"/>
            <w:hideMark/>
          </w:tcPr>
          <w:p w14:paraId="2266259A"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0" w:type="pct"/>
            <w:tcBorders>
              <w:top w:val="nil"/>
              <w:left w:val="nil"/>
              <w:bottom w:val="single" w:sz="4" w:space="0" w:color="auto"/>
              <w:right w:val="single" w:sz="4" w:space="0" w:color="auto"/>
            </w:tcBorders>
            <w:vAlign w:val="center"/>
            <w:hideMark/>
          </w:tcPr>
          <w:p w14:paraId="43BD56C4"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99" w:type="pct"/>
            <w:tcBorders>
              <w:top w:val="nil"/>
              <w:left w:val="nil"/>
              <w:bottom w:val="single" w:sz="4" w:space="0" w:color="auto"/>
              <w:right w:val="single" w:sz="4" w:space="0" w:color="auto"/>
            </w:tcBorders>
            <w:vAlign w:val="center"/>
            <w:hideMark/>
          </w:tcPr>
          <w:p w14:paraId="51B68487"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62071B63"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25" w:type="pct"/>
            <w:tcBorders>
              <w:top w:val="nil"/>
              <w:left w:val="nil"/>
              <w:bottom w:val="single" w:sz="4" w:space="0" w:color="auto"/>
              <w:right w:val="single" w:sz="4" w:space="0" w:color="auto"/>
            </w:tcBorders>
            <w:vAlign w:val="center"/>
            <w:hideMark/>
          </w:tcPr>
          <w:p w14:paraId="45B297D4"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r>
      <w:tr w:rsidR="00BC7415" w:rsidRPr="00BC7415" w14:paraId="5D94AFC4" w14:textId="77777777" w:rsidTr="00BC7415">
        <w:trPr>
          <w:trHeight w:val="300"/>
        </w:trPr>
        <w:tc>
          <w:tcPr>
            <w:tcW w:w="893" w:type="pct"/>
            <w:tcBorders>
              <w:top w:val="nil"/>
              <w:left w:val="single" w:sz="4" w:space="0" w:color="auto"/>
              <w:bottom w:val="single" w:sz="4" w:space="0" w:color="auto"/>
              <w:right w:val="single" w:sz="4" w:space="0" w:color="auto"/>
            </w:tcBorders>
            <w:vAlign w:val="center"/>
            <w:hideMark/>
          </w:tcPr>
          <w:p w14:paraId="58285A19" w14:textId="77777777" w:rsidR="00BC7415" w:rsidRPr="00BC7415" w:rsidRDefault="00BC7415" w:rsidP="00BC7415">
            <w:pPr>
              <w:spacing w:line="240" w:lineRule="auto"/>
              <w:jc w:val="left"/>
              <w:rPr>
                <w:color w:val="000000"/>
                <w:sz w:val="22"/>
                <w:szCs w:val="22"/>
                <w:lang w:val="en-IN"/>
              </w:rPr>
            </w:pPr>
            <w:r w:rsidRPr="00BC7415">
              <w:rPr>
                <w:color w:val="000000"/>
                <w:sz w:val="22"/>
                <w:szCs w:val="22"/>
                <w:lang w:val="en-IN"/>
              </w:rPr>
              <w:t>Procurement</w:t>
            </w:r>
          </w:p>
        </w:tc>
        <w:tc>
          <w:tcPr>
            <w:tcW w:w="562" w:type="pct"/>
            <w:tcBorders>
              <w:top w:val="nil"/>
              <w:left w:val="nil"/>
              <w:bottom w:val="single" w:sz="4" w:space="0" w:color="auto"/>
              <w:right w:val="single" w:sz="4" w:space="0" w:color="auto"/>
            </w:tcBorders>
            <w:vAlign w:val="center"/>
            <w:hideMark/>
          </w:tcPr>
          <w:p w14:paraId="1F15496D"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0EAE93FF"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9" w:type="pct"/>
            <w:tcBorders>
              <w:top w:val="nil"/>
              <w:left w:val="nil"/>
              <w:bottom w:val="single" w:sz="4" w:space="0" w:color="auto"/>
              <w:right w:val="single" w:sz="4" w:space="0" w:color="auto"/>
            </w:tcBorders>
            <w:shd w:val="clear" w:color="000000" w:fill="F8CBAD"/>
            <w:vAlign w:val="center"/>
            <w:hideMark/>
          </w:tcPr>
          <w:p w14:paraId="5A70565B"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0" w:type="pct"/>
            <w:tcBorders>
              <w:top w:val="nil"/>
              <w:left w:val="nil"/>
              <w:bottom w:val="single" w:sz="4" w:space="0" w:color="auto"/>
              <w:right w:val="single" w:sz="4" w:space="0" w:color="auto"/>
            </w:tcBorders>
            <w:vAlign w:val="center"/>
            <w:hideMark/>
          </w:tcPr>
          <w:p w14:paraId="22ADCE28"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99" w:type="pct"/>
            <w:tcBorders>
              <w:top w:val="nil"/>
              <w:left w:val="nil"/>
              <w:bottom w:val="single" w:sz="4" w:space="0" w:color="auto"/>
              <w:right w:val="single" w:sz="4" w:space="0" w:color="auto"/>
            </w:tcBorders>
            <w:vAlign w:val="center"/>
            <w:hideMark/>
          </w:tcPr>
          <w:p w14:paraId="00CA99FE"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7782675B"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25" w:type="pct"/>
            <w:tcBorders>
              <w:top w:val="nil"/>
              <w:left w:val="nil"/>
              <w:bottom w:val="single" w:sz="4" w:space="0" w:color="auto"/>
              <w:right w:val="single" w:sz="4" w:space="0" w:color="auto"/>
            </w:tcBorders>
            <w:vAlign w:val="center"/>
            <w:hideMark/>
          </w:tcPr>
          <w:p w14:paraId="60C41634"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r>
      <w:tr w:rsidR="00BC7415" w:rsidRPr="00BC7415" w14:paraId="339FA413" w14:textId="77777777" w:rsidTr="00BC7415">
        <w:trPr>
          <w:trHeight w:val="300"/>
        </w:trPr>
        <w:tc>
          <w:tcPr>
            <w:tcW w:w="893" w:type="pct"/>
            <w:tcBorders>
              <w:top w:val="nil"/>
              <w:left w:val="single" w:sz="4" w:space="0" w:color="auto"/>
              <w:bottom w:val="single" w:sz="4" w:space="0" w:color="auto"/>
              <w:right w:val="single" w:sz="4" w:space="0" w:color="auto"/>
            </w:tcBorders>
            <w:vAlign w:val="center"/>
            <w:hideMark/>
          </w:tcPr>
          <w:p w14:paraId="2C27DB1B" w14:textId="77777777" w:rsidR="00BC7415" w:rsidRPr="00BC7415" w:rsidRDefault="00BC7415" w:rsidP="00BC7415">
            <w:pPr>
              <w:spacing w:line="240" w:lineRule="auto"/>
              <w:jc w:val="left"/>
              <w:rPr>
                <w:color w:val="000000"/>
                <w:sz w:val="22"/>
                <w:szCs w:val="22"/>
                <w:lang w:val="en-IN"/>
              </w:rPr>
            </w:pPr>
            <w:r w:rsidRPr="00BC7415">
              <w:rPr>
                <w:color w:val="000000"/>
                <w:sz w:val="22"/>
                <w:szCs w:val="22"/>
                <w:lang w:val="en-IN"/>
              </w:rPr>
              <w:t>Construction</w:t>
            </w:r>
          </w:p>
        </w:tc>
        <w:tc>
          <w:tcPr>
            <w:tcW w:w="562" w:type="pct"/>
            <w:tcBorders>
              <w:top w:val="nil"/>
              <w:left w:val="nil"/>
              <w:bottom w:val="single" w:sz="4" w:space="0" w:color="auto"/>
              <w:right w:val="single" w:sz="4" w:space="0" w:color="auto"/>
            </w:tcBorders>
            <w:vAlign w:val="center"/>
            <w:hideMark/>
          </w:tcPr>
          <w:p w14:paraId="100D59AD"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6B360488"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9" w:type="pct"/>
            <w:tcBorders>
              <w:top w:val="nil"/>
              <w:left w:val="nil"/>
              <w:bottom w:val="single" w:sz="4" w:space="0" w:color="auto"/>
              <w:right w:val="single" w:sz="4" w:space="0" w:color="auto"/>
            </w:tcBorders>
            <w:vAlign w:val="center"/>
            <w:hideMark/>
          </w:tcPr>
          <w:p w14:paraId="1258C893"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0" w:type="pct"/>
            <w:tcBorders>
              <w:top w:val="nil"/>
              <w:left w:val="nil"/>
              <w:bottom w:val="single" w:sz="4" w:space="0" w:color="auto"/>
              <w:right w:val="single" w:sz="4" w:space="0" w:color="auto"/>
            </w:tcBorders>
            <w:shd w:val="clear" w:color="000000" w:fill="C9C9C9"/>
            <w:vAlign w:val="center"/>
            <w:hideMark/>
          </w:tcPr>
          <w:p w14:paraId="731369EB"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99" w:type="pct"/>
            <w:tcBorders>
              <w:top w:val="nil"/>
              <w:left w:val="nil"/>
              <w:bottom w:val="single" w:sz="4" w:space="0" w:color="auto"/>
              <w:right w:val="single" w:sz="4" w:space="0" w:color="auto"/>
            </w:tcBorders>
            <w:vAlign w:val="center"/>
            <w:hideMark/>
          </w:tcPr>
          <w:p w14:paraId="4AD35741"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28C72E42"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25" w:type="pct"/>
            <w:tcBorders>
              <w:top w:val="nil"/>
              <w:left w:val="nil"/>
              <w:bottom w:val="single" w:sz="4" w:space="0" w:color="auto"/>
              <w:right w:val="single" w:sz="4" w:space="0" w:color="auto"/>
            </w:tcBorders>
            <w:vAlign w:val="center"/>
            <w:hideMark/>
          </w:tcPr>
          <w:p w14:paraId="7C46650D"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r>
      <w:tr w:rsidR="00BC7415" w:rsidRPr="00BC7415" w14:paraId="4E699626" w14:textId="77777777" w:rsidTr="00BC7415">
        <w:trPr>
          <w:trHeight w:val="600"/>
        </w:trPr>
        <w:tc>
          <w:tcPr>
            <w:tcW w:w="893" w:type="pct"/>
            <w:tcBorders>
              <w:top w:val="nil"/>
              <w:left w:val="single" w:sz="4" w:space="0" w:color="auto"/>
              <w:bottom w:val="single" w:sz="4" w:space="0" w:color="auto"/>
              <w:right w:val="single" w:sz="4" w:space="0" w:color="auto"/>
            </w:tcBorders>
            <w:vAlign w:val="center"/>
            <w:hideMark/>
          </w:tcPr>
          <w:p w14:paraId="0E664C97" w14:textId="77777777" w:rsidR="00BC7415" w:rsidRPr="00BC7415" w:rsidRDefault="00BC7415" w:rsidP="00BC7415">
            <w:pPr>
              <w:spacing w:line="240" w:lineRule="auto"/>
              <w:jc w:val="left"/>
              <w:rPr>
                <w:color w:val="000000"/>
                <w:sz w:val="22"/>
                <w:szCs w:val="22"/>
                <w:lang w:val="en-IN"/>
              </w:rPr>
            </w:pPr>
            <w:r w:rsidRPr="00BC7415">
              <w:rPr>
                <w:color w:val="000000"/>
                <w:sz w:val="22"/>
                <w:szCs w:val="22"/>
                <w:lang w:val="en-IN"/>
              </w:rPr>
              <w:t>Digital Systems Integration</w:t>
            </w:r>
          </w:p>
        </w:tc>
        <w:tc>
          <w:tcPr>
            <w:tcW w:w="562" w:type="pct"/>
            <w:tcBorders>
              <w:top w:val="nil"/>
              <w:left w:val="nil"/>
              <w:bottom w:val="single" w:sz="4" w:space="0" w:color="auto"/>
              <w:right w:val="single" w:sz="4" w:space="0" w:color="auto"/>
            </w:tcBorders>
            <w:vAlign w:val="center"/>
            <w:hideMark/>
          </w:tcPr>
          <w:p w14:paraId="0594EE9D"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3D92A187"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9" w:type="pct"/>
            <w:tcBorders>
              <w:top w:val="nil"/>
              <w:left w:val="nil"/>
              <w:bottom w:val="single" w:sz="4" w:space="0" w:color="auto"/>
              <w:right w:val="single" w:sz="4" w:space="0" w:color="auto"/>
            </w:tcBorders>
            <w:vAlign w:val="center"/>
            <w:hideMark/>
          </w:tcPr>
          <w:p w14:paraId="3D4B7D21"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0" w:type="pct"/>
            <w:tcBorders>
              <w:top w:val="nil"/>
              <w:left w:val="nil"/>
              <w:bottom w:val="single" w:sz="4" w:space="0" w:color="auto"/>
              <w:right w:val="single" w:sz="4" w:space="0" w:color="auto"/>
            </w:tcBorders>
            <w:vAlign w:val="center"/>
            <w:hideMark/>
          </w:tcPr>
          <w:p w14:paraId="140C209A"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99" w:type="pct"/>
            <w:tcBorders>
              <w:top w:val="nil"/>
              <w:left w:val="nil"/>
              <w:bottom w:val="single" w:sz="4" w:space="0" w:color="auto"/>
              <w:right w:val="single" w:sz="4" w:space="0" w:color="auto"/>
            </w:tcBorders>
            <w:shd w:val="clear" w:color="000000" w:fill="9BC2E6"/>
            <w:vAlign w:val="center"/>
            <w:hideMark/>
          </w:tcPr>
          <w:p w14:paraId="304B5D9B"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5652DCD9"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25" w:type="pct"/>
            <w:tcBorders>
              <w:top w:val="nil"/>
              <w:left w:val="nil"/>
              <w:bottom w:val="single" w:sz="4" w:space="0" w:color="auto"/>
              <w:right w:val="single" w:sz="4" w:space="0" w:color="auto"/>
            </w:tcBorders>
            <w:vAlign w:val="center"/>
            <w:hideMark/>
          </w:tcPr>
          <w:p w14:paraId="43EF4CFE"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r>
      <w:tr w:rsidR="00BC7415" w:rsidRPr="00BC7415" w14:paraId="6DA2CDF1" w14:textId="77777777" w:rsidTr="00BC7415">
        <w:trPr>
          <w:trHeight w:val="600"/>
        </w:trPr>
        <w:tc>
          <w:tcPr>
            <w:tcW w:w="893" w:type="pct"/>
            <w:tcBorders>
              <w:top w:val="nil"/>
              <w:left w:val="single" w:sz="4" w:space="0" w:color="auto"/>
              <w:bottom w:val="single" w:sz="4" w:space="0" w:color="auto"/>
              <w:right w:val="single" w:sz="4" w:space="0" w:color="auto"/>
            </w:tcBorders>
            <w:vAlign w:val="center"/>
            <w:hideMark/>
          </w:tcPr>
          <w:p w14:paraId="43B1FC88" w14:textId="77777777" w:rsidR="00BC7415" w:rsidRPr="00BC7415" w:rsidRDefault="00BC7415" w:rsidP="00BC7415">
            <w:pPr>
              <w:spacing w:line="240" w:lineRule="auto"/>
              <w:jc w:val="left"/>
              <w:rPr>
                <w:color w:val="000000"/>
                <w:sz w:val="22"/>
                <w:szCs w:val="22"/>
                <w:lang w:val="en-IN"/>
              </w:rPr>
            </w:pPr>
            <w:r w:rsidRPr="00BC7415">
              <w:rPr>
                <w:color w:val="000000"/>
                <w:sz w:val="22"/>
                <w:szCs w:val="22"/>
                <w:lang w:val="en-IN"/>
              </w:rPr>
              <w:t>Testing &amp; Commissioning</w:t>
            </w:r>
          </w:p>
        </w:tc>
        <w:tc>
          <w:tcPr>
            <w:tcW w:w="562" w:type="pct"/>
            <w:tcBorders>
              <w:top w:val="nil"/>
              <w:left w:val="nil"/>
              <w:bottom w:val="single" w:sz="4" w:space="0" w:color="auto"/>
              <w:right w:val="single" w:sz="4" w:space="0" w:color="auto"/>
            </w:tcBorders>
            <w:vAlign w:val="center"/>
            <w:hideMark/>
          </w:tcPr>
          <w:p w14:paraId="1E31C73F"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76B58D8E"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9" w:type="pct"/>
            <w:tcBorders>
              <w:top w:val="nil"/>
              <w:left w:val="nil"/>
              <w:bottom w:val="single" w:sz="4" w:space="0" w:color="auto"/>
              <w:right w:val="single" w:sz="4" w:space="0" w:color="auto"/>
            </w:tcBorders>
            <w:vAlign w:val="center"/>
            <w:hideMark/>
          </w:tcPr>
          <w:p w14:paraId="2E048057"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0" w:type="pct"/>
            <w:tcBorders>
              <w:top w:val="nil"/>
              <w:left w:val="nil"/>
              <w:bottom w:val="single" w:sz="4" w:space="0" w:color="auto"/>
              <w:right w:val="single" w:sz="4" w:space="0" w:color="auto"/>
            </w:tcBorders>
            <w:vAlign w:val="center"/>
            <w:hideMark/>
          </w:tcPr>
          <w:p w14:paraId="7DBC57E7"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99" w:type="pct"/>
            <w:tcBorders>
              <w:top w:val="nil"/>
              <w:left w:val="nil"/>
              <w:bottom w:val="single" w:sz="4" w:space="0" w:color="auto"/>
              <w:right w:val="single" w:sz="4" w:space="0" w:color="auto"/>
            </w:tcBorders>
            <w:vAlign w:val="center"/>
            <w:hideMark/>
          </w:tcPr>
          <w:p w14:paraId="3D853201"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shd w:val="clear" w:color="000000" w:fill="8497B0"/>
            <w:vAlign w:val="center"/>
            <w:hideMark/>
          </w:tcPr>
          <w:p w14:paraId="39DC1838"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25" w:type="pct"/>
            <w:tcBorders>
              <w:top w:val="nil"/>
              <w:left w:val="nil"/>
              <w:bottom w:val="single" w:sz="4" w:space="0" w:color="auto"/>
              <w:right w:val="single" w:sz="4" w:space="0" w:color="auto"/>
            </w:tcBorders>
            <w:vAlign w:val="center"/>
            <w:hideMark/>
          </w:tcPr>
          <w:p w14:paraId="4B99FD9A"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r>
      <w:tr w:rsidR="00BC7415" w:rsidRPr="00BC7415" w14:paraId="713B4CB8" w14:textId="77777777" w:rsidTr="00BC7415">
        <w:trPr>
          <w:trHeight w:val="600"/>
        </w:trPr>
        <w:tc>
          <w:tcPr>
            <w:tcW w:w="893" w:type="pct"/>
            <w:tcBorders>
              <w:top w:val="nil"/>
              <w:left w:val="single" w:sz="4" w:space="0" w:color="auto"/>
              <w:bottom w:val="single" w:sz="4" w:space="0" w:color="auto"/>
              <w:right w:val="single" w:sz="4" w:space="0" w:color="auto"/>
            </w:tcBorders>
            <w:vAlign w:val="center"/>
            <w:hideMark/>
          </w:tcPr>
          <w:p w14:paraId="19C37DF4" w14:textId="77777777" w:rsidR="00BC7415" w:rsidRPr="00BC7415" w:rsidRDefault="00BC7415" w:rsidP="00BC7415">
            <w:pPr>
              <w:spacing w:line="240" w:lineRule="auto"/>
              <w:jc w:val="left"/>
              <w:rPr>
                <w:color w:val="000000"/>
                <w:sz w:val="22"/>
                <w:szCs w:val="22"/>
                <w:lang w:val="en-IN"/>
              </w:rPr>
            </w:pPr>
            <w:r w:rsidRPr="00BC7415">
              <w:rPr>
                <w:color w:val="000000"/>
                <w:sz w:val="22"/>
                <w:szCs w:val="22"/>
                <w:lang w:val="en-IN"/>
              </w:rPr>
              <w:t>Handover &amp; Opening</w:t>
            </w:r>
          </w:p>
        </w:tc>
        <w:tc>
          <w:tcPr>
            <w:tcW w:w="562" w:type="pct"/>
            <w:tcBorders>
              <w:top w:val="nil"/>
              <w:left w:val="nil"/>
              <w:bottom w:val="single" w:sz="4" w:space="0" w:color="auto"/>
              <w:right w:val="single" w:sz="4" w:space="0" w:color="auto"/>
            </w:tcBorders>
            <w:vAlign w:val="center"/>
            <w:hideMark/>
          </w:tcPr>
          <w:p w14:paraId="7BC3C697"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20A67D9A"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9" w:type="pct"/>
            <w:tcBorders>
              <w:top w:val="nil"/>
              <w:left w:val="nil"/>
              <w:bottom w:val="single" w:sz="4" w:space="0" w:color="auto"/>
              <w:right w:val="single" w:sz="4" w:space="0" w:color="auto"/>
            </w:tcBorders>
            <w:vAlign w:val="center"/>
            <w:hideMark/>
          </w:tcPr>
          <w:p w14:paraId="2E2D4241"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80" w:type="pct"/>
            <w:tcBorders>
              <w:top w:val="nil"/>
              <w:left w:val="nil"/>
              <w:bottom w:val="single" w:sz="4" w:space="0" w:color="auto"/>
              <w:right w:val="single" w:sz="4" w:space="0" w:color="auto"/>
            </w:tcBorders>
            <w:vAlign w:val="center"/>
            <w:hideMark/>
          </w:tcPr>
          <w:p w14:paraId="19539221"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99" w:type="pct"/>
            <w:tcBorders>
              <w:top w:val="nil"/>
              <w:left w:val="nil"/>
              <w:bottom w:val="single" w:sz="4" w:space="0" w:color="auto"/>
              <w:right w:val="single" w:sz="4" w:space="0" w:color="auto"/>
            </w:tcBorders>
            <w:vAlign w:val="center"/>
            <w:hideMark/>
          </w:tcPr>
          <w:p w14:paraId="3619BFA6"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626" w:type="pct"/>
            <w:tcBorders>
              <w:top w:val="nil"/>
              <w:left w:val="nil"/>
              <w:bottom w:val="single" w:sz="4" w:space="0" w:color="auto"/>
              <w:right w:val="single" w:sz="4" w:space="0" w:color="auto"/>
            </w:tcBorders>
            <w:vAlign w:val="center"/>
            <w:hideMark/>
          </w:tcPr>
          <w:p w14:paraId="14DA1DF9"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c>
          <w:tcPr>
            <w:tcW w:w="525" w:type="pct"/>
            <w:tcBorders>
              <w:top w:val="nil"/>
              <w:left w:val="nil"/>
              <w:bottom w:val="single" w:sz="4" w:space="0" w:color="auto"/>
              <w:right w:val="single" w:sz="4" w:space="0" w:color="auto"/>
            </w:tcBorders>
            <w:shd w:val="clear" w:color="000000" w:fill="A9D08E"/>
            <w:vAlign w:val="center"/>
            <w:hideMark/>
          </w:tcPr>
          <w:p w14:paraId="0EBC84B2" w14:textId="77777777" w:rsidR="00BC7415" w:rsidRPr="00BC7415" w:rsidRDefault="00BC7415" w:rsidP="00BC7415">
            <w:pPr>
              <w:spacing w:line="240" w:lineRule="auto"/>
              <w:jc w:val="center"/>
              <w:rPr>
                <w:color w:val="000000"/>
                <w:sz w:val="22"/>
                <w:szCs w:val="22"/>
                <w:lang w:val="en-IN"/>
              </w:rPr>
            </w:pPr>
            <w:r w:rsidRPr="00BC7415">
              <w:rPr>
                <w:color w:val="000000"/>
                <w:sz w:val="22"/>
                <w:szCs w:val="22"/>
                <w:lang w:val="en-IN"/>
              </w:rPr>
              <w:t> </w:t>
            </w:r>
          </w:p>
        </w:tc>
      </w:tr>
    </w:tbl>
    <w:p w14:paraId="0AFB278F" w14:textId="77777777" w:rsidR="0021542A" w:rsidRDefault="00BC7415" w:rsidP="00BC7415">
      <w:pPr>
        <w:jc w:val="center"/>
      </w:pPr>
      <w:r>
        <w:t>(Source: self-created)</w:t>
      </w:r>
    </w:p>
    <w:p w14:paraId="60293E09" w14:textId="77777777" w:rsidR="0021542A" w:rsidRDefault="00DC5DF9">
      <w:pPr>
        <w:pStyle w:val="Heading1"/>
        <w:jc w:val="left"/>
      </w:pPr>
      <w:bookmarkStart w:id="14" w:name="_vs2yf9zeo177" w:colFirst="0" w:colLast="0"/>
      <w:bookmarkStart w:id="15" w:name="_Toc232518566"/>
      <w:bookmarkEnd w:id="14"/>
      <w:r>
        <w:lastRenderedPageBreak/>
        <w:t>PART B: CRITICAL REFLECTION ON FEEDBACK</w:t>
      </w:r>
      <w:bookmarkEnd w:id="15"/>
    </w:p>
    <w:p w14:paraId="293DDC1A" w14:textId="77777777" w:rsidR="0021542A" w:rsidRDefault="00DC5DF9">
      <w:pPr>
        <w:pStyle w:val="Heading2"/>
        <w:jc w:val="left"/>
      </w:pPr>
      <w:bookmarkStart w:id="16" w:name="_3qtihhkcxse1" w:colFirst="0" w:colLast="0"/>
      <w:bookmarkStart w:id="17" w:name="_Toc232518567"/>
      <w:bookmarkEnd w:id="16"/>
      <w:r>
        <w:t>1. Introduction</w:t>
      </w:r>
      <w:bookmarkEnd w:id="17"/>
      <w:r>
        <w:t xml:space="preserve"> </w:t>
      </w:r>
    </w:p>
    <w:p w14:paraId="45319C73" w14:textId="77777777" w:rsidR="0021542A" w:rsidRDefault="00DC5DF9">
      <w:r>
        <w:t>This reflection reviews what feedback I got after presenting a Project Proposal poster on the redevelopment of a metropolitan transport centre. Feedback on the rationale, stakeholder analysis, scope definition, risk management and sustainability situations of the project was provided by both the tutor and peers. I apply Gibbs' Reflective Cycle to critically test the strengths I have isolated in my proposal and weigh up the issues I need to improve upon, along with how the feedback influenced changes to the final Project Management Plan (PMP).</w:t>
      </w:r>
    </w:p>
    <w:p w14:paraId="1B4BBACD" w14:textId="77777777" w:rsidR="0021542A" w:rsidRDefault="00DC5DF9">
      <w:pPr>
        <w:pStyle w:val="Heading2"/>
        <w:jc w:val="left"/>
      </w:pPr>
      <w:bookmarkStart w:id="18" w:name="_mnh0lhq48pfi" w:colFirst="0" w:colLast="0"/>
      <w:bookmarkStart w:id="19" w:name="_Toc232518568"/>
      <w:bookmarkEnd w:id="18"/>
      <w:r>
        <w:t>2. Key Strengths Identified</w:t>
      </w:r>
      <w:bookmarkEnd w:id="19"/>
      <w:r>
        <w:t xml:space="preserve"> </w:t>
      </w:r>
    </w:p>
    <w:p w14:paraId="434A07D7" w14:textId="77777777" w:rsidR="0021542A" w:rsidRDefault="00DC5DF9">
      <w:r>
        <w:t>The feedback I got about my project rationale was the most positive, that is to say, regarding how clear my rationale was, and how it related to the challenges of the scenario for the regeneration. The tutor emphasised that I had integrated the concept of infrastructure failure into the broader economic and social implications, showing strategic awareness in both technical aspects of redevelopment and in wider considerations. Feedback was also given that was positive about identifying stakeholders, as I was aware of who the interests of the transport operators, local businesses, environmental agencies and community groups were. Furthermore, the goals of my project were seen as achievable and fitting to the prioritisation of safety, accessibility, sustainability and digital transformation.</w:t>
      </w:r>
    </w:p>
    <w:p w14:paraId="0A1B93E2" w14:textId="77777777" w:rsidR="0021542A" w:rsidRDefault="00DC5DF9">
      <w:r>
        <w:t>The critical component of this feedback was the objective demonstration of a successful project proposal that investment is required and why, and how value will be added to various stakeholder groups. I learned that if the solutions are aligned and the project is credible, this is a major way to build some stakeholder confidence in the solutions at a later time.</w:t>
      </w:r>
    </w:p>
    <w:p w14:paraId="5F04F13C" w14:textId="77777777" w:rsidR="0021542A" w:rsidRDefault="00DC5DF9">
      <w:pPr>
        <w:pStyle w:val="Heading2"/>
        <w:jc w:val="left"/>
      </w:pPr>
      <w:bookmarkStart w:id="20" w:name="_bud1ng5f3524" w:colFirst="0" w:colLast="0"/>
      <w:bookmarkStart w:id="21" w:name="_Toc232518569"/>
      <w:bookmarkEnd w:id="20"/>
      <w:r>
        <w:t>3. Areas for Improvement</w:t>
      </w:r>
      <w:bookmarkEnd w:id="21"/>
      <w:r>
        <w:t xml:space="preserve"> </w:t>
      </w:r>
    </w:p>
    <w:p w14:paraId="5BA7641C" w14:textId="77777777" w:rsidR="0021542A" w:rsidRDefault="00DC5DF9">
      <w:r>
        <w:t>I picked up some good suggestions on a few areas in need of improvement. The tutor observed that the need for a more clearly defined project scope would help differentiate between project deliverables and those outside of a project's scope. The risk analysis was also found at a general level without assessing the risk probability, impact and mitigation measures. In addition, peers indicated a need for resource allocation to be more transparent, to show how specialist staff and resources would be used. Another practice that was identified as in need of reinforcement was the sustainability strategy, where a stronger case needed to be made and measurable outcomes needed to be demonstrated.</w:t>
      </w:r>
    </w:p>
    <w:p w14:paraId="3FB873CB" w14:textId="77777777" w:rsidR="0021542A" w:rsidRDefault="00DC5DF9">
      <w:pPr>
        <w:pStyle w:val="Heading2"/>
        <w:jc w:val="left"/>
      </w:pPr>
      <w:bookmarkStart w:id="22" w:name="_silxp8t9tzq4" w:colFirst="0" w:colLast="0"/>
      <w:bookmarkStart w:id="23" w:name="_Toc232518570"/>
      <w:bookmarkEnd w:id="22"/>
      <w:r>
        <w:lastRenderedPageBreak/>
        <w:t>4. Changes Made to Final PMP</w:t>
      </w:r>
      <w:bookmarkEnd w:id="23"/>
      <w:r>
        <w:t xml:space="preserve"> </w:t>
      </w:r>
    </w:p>
    <w:p w14:paraId="223F029F" w14:textId="77777777" w:rsidR="0021542A" w:rsidRDefault="00DC5DF9">
      <w:r>
        <w:t>I have made an effort to answer all of the feedback by adding to the WBS to enhance project control and task clarity. To enhance engagement planning and communication strategies, I created a stakeholder power-interest matrix. A comprehensive risk register, with probabilities, impacts, and risk mitigations, was added to the risk management section. Key human, financial and physical resources were identified to clarify the availability of resources for allocation. I also reinforced the sustainability strategy by incorporating the features related to low-carbon infrastructure and renewables in both branches.</w:t>
      </w:r>
    </w:p>
    <w:p w14:paraId="6654595D" w14:textId="77777777" w:rsidR="0021542A" w:rsidRDefault="00DC5DF9">
      <w:pPr>
        <w:pStyle w:val="Heading2"/>
        <w:jc w:val="left"/>
      </w:pPr>
      <w:bookmarkStart w:id="24" w:name="_iytvq9oan6if" w:colFirst="0" w:colLast="0"/>
      <w:bookmarkStart w:id="25" w:name="_Toc232518571"/>
      <w:bookmarkEnd w:id="24"/>
      <w:r>
        <w:t>5. Conclusion</w:t>
      </w:r>
      <w:bookmarkEnd w:id="25"/>
      <w:r>
        <w:t xml:space="preserve"> </w:t>
      </w:r>
    </w:p>
    <w:p w14:paraId="4CF52930" w14:textId="77777777" w:rsidR="0021542A" w:rsidRDefault="00DC5DF9">
      <w:r>
        <w:t>Feedback was an important consideration and also had an absolutely beneficial influence on enhancing my final PMP. In the post-reflection, I found strengths and weaknesses, and centred on improvements and prepared a new all-embracing and practical project plan. During this experience, he learned the practical lesson of continuous improvement and feedback from the stakeholders in project management.</w:t>
      </w:r>
    </w:p>
    <w:p w14:paraId="7439FF8F" w14:textId="77777777" w:rsidR="0021542A" w:rsidRDefault="00DC5DF9">
      <w:pPr>
        <w:jc w:val="left"/>
      </w:pPr>
      <w:r>
        <w:br w:type="page"/>
      </w:r>
    </w:p>
    <w:p w14:paraId="700E0B14" w14:textId="77777777" w:rsidR="0021542A" w:rsidRDefault="00DC5DF9">
      <w:pPr>
        <w:pStyle w:val="Heading1"/>
        <w:jc w:val="left"/>
      </w:pPr>
      <w:bookmarkStart w:id="26" w:name="_lsjtyq7z482o" w:colFirst="0" w:colLast="0"/>
      <w:bookmarkStart w:id="27" w:name="_Toc232518572"/>
      <w:bookmarkEnd w:id="26"/>
      <w:r>
        <w:t>PART C: PROJECT MANAGEMENT PLAN</w:t>
      </w:r>
      <w:bookmarkEnd w:id="27"/>
    </w:p>
    <w:p w14:paraId="65CC0150" w14:textId="77777777" w:rsidR="0021542A" w:rsidRDefault="00DC5DF9">
      <w:pPr>
        <w:pStyle w:val="Heading2"/>
        <w:jc w:val="left"/>
      </w:pPr>
      <w:bookmarkStart w:id="28" w:name="_wmi2f3jvzq2j" w:colFirst="0" w:colLast="0"/>
      <w:bookmarkStart w:id="29" w:name="_Toc232518573"/>
      <w:bookmarkEnd w:id="28"/>
      <w:r>
        <w:t>1. Introduction</w:t>
      </w:r>
      <w:bookmarkEnd w:id="29"/>
      <w:r>
        <w:t xml:space="preserve"> </w:t>
      </w:r>
    </w:p>
    <w:p w14:paraId="5E5B4E6D" w14:textId="77777777" w:rsidR="0021542A" w:rsidRDefault="00DC5DF9">
      <w:r>
        <w:t>A complete breakdown of one of the main transport hubs of a major city in a country in the UK following a structural safety health check has uncovered significant weaknesses in the current transport infrastructure. The hub is an important intermodal freight and passenger transport connection that facilitates rail transit, bus service and freight transportation, and is a critical link for commuter service and an effective supply chain, while enabling opportunities for regional economic development</w:t>
      </w:r>
      <w:r w:rsidR="00BA03E7">
        <w:t xml:space="preserve"> (</w:t>
      </w:r>
      <w:r w:rsidR="00BA03E7" w:rsidRPr="009B0900">
        <w:t>Solihull</w:t>
      </w:r>
      <w:r w:rsidR="00BA03E7">
        <w:t>, 2018)</w:t>
      </w:r>
      <w:r>
        <w:t>. Its closure has caused far-reaching devastation, causing travel delays, affecting logistics performance and also having a negative impact on local businesses that have a reliance on transport connectivity and passenger flows.  Local governments have, in turn, initiat</w:t>
      </w:r>
      <w:r w:rsidR="0089627D">
        <w:t>ed a fast regeneration program</w:t>
      </w:r>
      <w:r>
        <w:t>, prioritising the reconnection of the city, the improvement of its mobility, but also its needs for safety, accessibility, digital connectivity and environmental sustainability. This Project Management Plan (PMP) is therefore a general plan for the redevelopment of the central transport hub</w:t>
      </w:r>
      <w:r w:rsidR="00BA03E7">
        <w:t xml:space="preserve"> (</w:t>
      </w:r>
      <w:r w:rsidR="00BA03E7" w:rsidRPr="009B0900">
        <w:rPr>
          <w:color w:val="222222"/>
          <w:shd w:val="clear" w:color="auto" w:fill="FFFFFF"/>
        </w:rPr>
        <w:t>Nowoczyn</w:t>
      </w:r>
      <w:r w:rsidR="00BA03E7">
        <w:rPr>
          <w:color w:val="222222"/>
          <w:shd w:val="clear" w:color="auto" w:fill="FFFFFF"/>
        </w:rPr>
        <w:t xml:space="preserve"> </w:t>
      </w:r>
      <w:r w:rsidR="00BA03E7" w:rsidRPr="009B0900">
        <w:rPr>
          <w:color w:val="222222"/>
          <w:shd w:val="clear" w:color="auto" w:fill="FFFFFF"/>
        </w:rPr>
        <w:t>and Specht,</w:t>
      </w:r>
      <w:r w:rsidR="00BA03E7">
        <w:rPr>
          <w:color w:val="222222"/>
          <w:shd w:val="clear" w:color="auto" w:fill="FFFFFF"/>
        </w:rPr>
        <w:t xml:space="preserve"> 2025</w:t>
      </w:r>
      <w:r w:rsidR="00BA03E7">
        <w:t>)</w:t>
      </w:r>
      <w:r>
        <w:t>. It defines and maps out the remit, WBS of the project, its stakeholder engagement approach, resource allocation and project timetables and processes/risk management processes, which will enable the successful delivery of the project in the long-term framework of its urban regeneration.</w:t>
      </w:r>
    </w:p>
    <w:p w14:paraId="6FDC88CE" w14:textId="77777777" w:rsidR="0021542A" w:rsidRDefault="00DC5DF9">
      <w:pPr>
        <w:pStyle w:val="Heading2"/>
        <w:jc w:val="left"/>
      </w:pPr>
      <w:bookmarkStart w:id="30" w:name="_dr6400acef17" w:colFirst="0" w:colLast="0"/>
      <w:bookmarkStart w:id="31" w:name="_Toc232518574"/>
      <w:bookmarkEnd w:id="30"/>
      <w:r>
        <w:t>2. Project Description</w:t>
      </w:r>
      <w:bookmarkEnd w:id="31"/>
      <w:r>
        <w:t xml:space="preserve"> </w:t>
      </w:r>
    </w:p>
    <w:p w14:paraId="7A794589" w14:textId="77777777" w:rsidR="0021542A" w:rsidRDefault="00DC5DF9">
      <w:pPr>
        <w:pStyle w:val="Heading3"/>
      </w:pPr>
      <w:bookmarkStart w:id="32" w:name="_jt5zjhng31um" w:colFirst="0" w:colLast="0"/>
      <w:bookmarkStart w:id="33" w:name="_Toc232518575"/>
      <w:bookmarkEnd w:id="32"/>
      <w:r>
        <w:t>2.1 Project Overview</w:t>
      </w:r>
      <w:bookmarkEnd w:id="33"/>
    </w:p>
    <w:p w14:paraId="196D9EF8" w14:textId="77777777" w:rsidR="0021542A" w:rsidRDefault="00DC5DF9">
      <w:r>
        <w:t>The proposed project will be the redevelopment of a closed Central Transport Hub (CTH) in a metropolitan area in its entirety because it is structurally unsafe. The redevelopment is in the process of updating the long-dated facility to become a modern multimodal interchange with the capacity to manage rail, bus and freight interchange</w:t>
      </w:r>
      <w:r w:rsidR="00BA03E7">
        <w:t xml:space="preserve"> (</w:t>
      </w:r>
      <w:r w:rsidR="00BA03E7" w:rsidRPr="009B0900">
        <w:rPr>
          <w:color w:val="222222"/>
          <w:shd w:val="clear" w:color="auto" w:fill="FFFFFF"/>
        </w:rPr>
        <w:t>Mntungwa</w:t>
      </w:r>
      <w:r w:rsidR="00BA03E7">
        <w:rPr>
          <w:color w:val="222222"/>
          <w:shd w:val="clear" w:color="auto" w:fill="FFFFFF"/>
        </w:rPr>
        <w:t>, 2025</w:t>
      </w:r>
      <w:r w:rsidR="00BA03E7">
        <w:t>)</w:t>
      </w:r>
      <w:r>
        <w:t>. The main results are the installation of the modern transport infrastructure, the installation of intelligent management systems of passenger flow, the introduction of digital logistics management platforms, the improvement of the accessibility of the transport system in line with current legislation, and the introduction of environmental solutions using low-carbon infrastructure. The project aims to achieve a better service provision and long-term transport resilience in addition to restoring operational conditions.</w:t>
      </w:r>
    </w:p>
    <w:p w14:paraId="1D784FDC" w14:textId="77777777" w:rsidR="0021542A" w:rsidRDefault="00DC5DF9">
      <w:pPr>
        <w:pStyle w:val="Heading3"/>
      </w:pPr>
      <w:bookmarkStart w:id="34" w:name="_98s7afxd0ke" w:colFirst="0" w:colLast="0"/>
      <w:bookmarkStart w:id="35" w:name="_Toc232518576"/>
      <w:bookmarkEnd w:id="34"/>
      <w:r>
        <w:t>2.2 Project Justification</w:t>
      </w:r>
      <w:bookmarkEnd w:id="35"/>
    </w:p>
    <w:p w14:paraId="2B9C7481" w14:textId="77777777" w:rsidR="0021542A" w:rsidRDefault="00DC5DF9">
      <w:r>
        <w:t>This is because the project is essential for the safety requirements of the deteriorating infrastructure, which, without intervention, will not meet today's engineering and regulatory standards. In addition, many older transport facilities do not accommodate the safe and easy entry of persons with reduced mobility and/or disabilities</w:t>
      </w:r>
      <w:r w:rsidR="00BA03E7">
        <w:t xml:space="preserve"> (</w:t>
      </w:r>
      <w:r w:rsidR="00BA03E7">
        <w:rPr>
          <w:color w:val="222222"/>
          <w:shd w:val="clear" w:color="auto" w:fill="FFFFFF"/>
        </w:rPr>
        <w:t xml:space="preserve">Lin </w:t>
      </w:r>
      <w:r w:rsidR="00BA03E7">
        <w:rPr>
          <w:i/>
          <w:color w:val="222222"/>
          <w:shd w:val="clear" w:color="auto" w:fill="FFFFFF"/>
        </w:rPr>
        <w:t>et al.,</w:t>
      </w:r>
      <w:r w:rsidR="00BA03E7">
        <w:rPr>
          <w:color w:val="222222"/>
          <w:shd w:val="clear" w:color="auto" w:fill="FFFFFF"/>
        </w:rPr>
        <w:t xml:space="preserve"> 2022</w:t>
      </w:r>
      <w:r w:rsidR="00BA03E7">
        <w:t>)</w:t>
      </w:r>
      <w:r>
        <w:t>. The economic impact of the continuation of transport disruption on the commuters' productivity, the limitation of freight efficiency, and the impact on local businesses is negative. The redevelopment also aligns with the national efforts to reach sustainable goals, which include energy-efficient technology, less use of transportation vehicles that emit pollution, and more elements that promote a more widely implemented transition to a carbon-neutral economy. So it is an essential investment, as well as a strategic economic intervention for regeneration.</w:t>
      </w:r>
    </w:p>
    <w:p w14:paraId="2C2E3A94" w14:textId="77777777" w:rsidR="0021542A" w:rsidRDefault="00DC5DF9">
      <w:pPr>
        <w:pStyle w:val="Heading3"/>
      </w:pPr>
      <w:bookmarkStart w:id="36" w:name="_mxk1hxjqdf4f" w:colFirst="0" w:colLast="0"/>
      <w:bookmarkStart w:id="37" w:name="_Toc232518577"/>
      <w:bookmarkEnd w:id="36"/>
      <w:r>
        <w:t>2.3 Project Objectives</w:t>
      </w:r>
      <w:bookmarkEnd w:id="37"/>
    </w:p>
    <w:p w14:paraId="0489FEB6" w14:textId="77777777" w:rsidR="0021542A" w:rsidRDefault="00DC5DF9">
      <w:pPr>
        <w:numPr>
          <w:ilvl w:val="0"/>
          <w:numId w:val="5"/>
        </w:numPr>
      </w:pPr>
      <w:r>
        <w:t>Restore 100% operation of transport hubs within 36 months of project start;</w:t>
      </w:r>
    </w:p>
    <w:p w14:paraId="3CFD2F69" w14:textId="77777777" w:rsidR="0021542A" w:rsidRDefault="00DC5DF9">
      <w:pPr>
        <w:numPr>
          <w:ilvl w:val="0"/>
          <w:numId w:val="5"/>
        </w:numPr>
      </w:pPr>
      <w:r>
        <w:t>Ensure 100% compliance with UK safety and accessibility laws in advance of commissioning.</w:t>
      </w:r>
    </w:p>
    <w:p w14:paraId="581097D3" w14:textId="77777777" w:rsidR="0021542A" w:rsidRDefault="00DC5DF9">
      <w:pPr>
        <w:numPr>
          <w:ilvl w:val="0"/>
          <w:numId w:val="5"/>
        </w:numPr>
      </w:pPr>
      <w:r>
        <w:t>By project completion, use electronic passenger/freight control systems.</w:t>
      </w:r>
    </w:p>
    <w:p w14:paraId="0F9D5AD6" w14:textId="77777777" w:rsidR="0021542A" w:rsidRDefault="00DC5DF9">
      <w:pPr>
        <w:numPr>
          <w:ilvl w:val="0"/>
          <w:numId w:val="5"/>
        </w:numPr>
      </w:pPr>
      <w:r>
        <w:t>Cut down at least by 30% on operational carbon emissions from the current facility.</w:t>
      </w:r>
    </w:p>
    <w:p w14:paraId="22B28DC6" w14:textId="77777777" w:rsidR="0021542A" w:rsidRDefault="00DC5DF9">
      <w:pPr>
        <w:numPr>
          <w:ilvl w:val="0"/>
          <w:numId w:val="5"/>
        </w:numPr>
      </w:pPr>
      <w:r>
        <w:t>Expand transport capacity and increase operational efficiency within the first year of operation.</w:t>
      </w:r>
    </w:p>
    <w:p w14:paraId="36F5AA17" w14:textId="77777777" w:rsidR="0021542A" w:rsidRDefault="00DC5DF9">
      <w:pPr>
        <w:pStyle w:val="Heading2"/>
        <w:jc w:val="left"/>
      </w:pPr>
      <w:bookmarkStart w:id="38" w:name="_kgecaly2y5mb" w:colFirst="0" w:colLast="0"/>
      <w:bookmarkStart w:id="39" w:name="_Toc232518578"/>
      <w:bookmarkEnd w:id="38"/>
      <w:r>
        <w:t>3. Project Scope</w:t>
      </w:r>
      <w:bookmarkEnd w:id="39"/>
      <w:r>
        <w:t xml:space="preserve"> </w:t>
      </w:r>
    </w:p>
    <w:p w14:paraId="098B00F0" w14:textId="77777777" w:rsidR="0021542A" w:rsidRDefault="00DC5DF9">
      <w:pPr>
        <w:pStyle w:val="Heading3"/>
        <w:jc w:val="left"/>
      </w:pPr>
      <w:bookmarkStart w:id="40" w:name="_klgy8kqn2ums" w:colFirst="0" w:colLast="0"/>
      <w:bookmarkStart w:id="41" w:name="_Toc232518579"/>
      <w:bookmarkEnd w:id="40"/>
      <w:r>
        <w:t>3.1 In-Scope Activities</w:t>
      </w:r>
      <w:bookmarkEnd w:id="41"/>
    </w:p>
    <w:p w14:paraId="34AF9CBA" w14:textId="77777777" w:rsidR="0021542A" w:rsidRDefault="00DC5DF9">
      <w:r>
        <w:t>The activities covered in this project include those that are directly imperative to the redevelopment and operation of the central transport hub. Construction of infrastructure: Utilisation and development of modern rail, bus and freight interchange facilities to enhance the capacity of infrastructure and enhance the efficiency of passenger transportation</w:t>
      </w:r>
      <w:r w:rsidR="00BA03E7">
        <w:t xml:space="preserve"> (</w:t>
      </w:r>
      <w:r w:rsidR="00BA03E7" w:rsidRPr="009B0900">
        <w:rPr>
          <w:color w:val="222222"/>
          <w:shd w:val="clear" w:color="auto" w:fill="FFFFFF"/>
        </w:rPr>
        <w:t>Niezabitowski</w:t>
      </w:r>
      <w:r w:rsidR="00BA03E7">
        <w:rPr>
          <w:color w:val="222222"/>
          <w:shd w:val="clear" w:color="auto" w:fill="FFFFFF"/>
        </w:rPr>
        <w:t>, 2024</w:t>
      </w:r>
      <w:r w:rsidR="00BA03E7">
        <w:t>)</w:t>
      </w:r>
      <w:r>
        <w:t>. The project additionally involves the deployment of smart transport technologies, like real-time information systems for passengers, digital ticketing systems, and logistics coordination systems for data-driven transport management. Measures include step-free access, guidance available for people with sight difficulties (tactile), passenger facilities which are accessible, as well as lifts, so that the building meets current accessibility legislation</w:t>
      </w:r>
      <w:r w:rsidR="00BA03E7">
        <w:t xml:space="preserve"> (</w:t>
      </w:r>
      <w:r w:rsidR="00BA03E7" w:rsidRPr="009B0900">
        <w:rPr>
          <w:color w:val="222222"/>
          <w:shd w:val="clear" w:color="auto" w:fill="FFFFFF"/>
        </w:rPr>
        <w:t>Reconfiguration,</w:t>
      </w:r>
      <w:r w:rsidR="00BA03E7">
        <w:rPr>
          <w:color w:val="222222"/>
          <w:shd w:val="clear" w:color="auto" w:fill="FFFFFF"/>
        </w:rPr>
        <w:t xml:space="preserve"> 2026</w:t>
      </w:r>
      <w:r w:rsidR="00BA03E7">
        <w:t>)</w:t>
      </w:r>
      <w:r>
        <w:t>. Moreover, the integration of green energy is a key feature of the project, with the installation of renewable energy sources, energy-efficient lighting, and environmentally friendly building materials to meet environmental performance goals.</w:t>
      </w:r>
    </w:p>
    <w:p w14:paraId="501C657C" w14:textId="77777777" w:rsidR="0021542A" w:rsidRDefault="00DC5DF9">
      <w:pPr>
        <w:pStyle w:val="Heading3"/>
        <w:jc w:val="left"/>
      </w:pPr>
      <w:bookmarkStart w:id="42" w:name="_rgleiy6khom3" w:colFirst="0" w:colLast="0"/>
      <w:bookmarkStart w:id="43" w:name="_Toc232518580"/>
      <w:bookmarkEnd w:id="42"/>
      <w:r>
        <w:t>3.2 Out-of-Scope Activities</w:t>
      </w:r>
      <w:bookmarkEnd w:id="43"/>
    </w:p>
    <w:p w14:paraId="6C6E1EAF" w14:textId="77777777" w:rsidR="0021542A" w:rsidRDefault="00DC5DF9">
      <w:r>
        <w:t>Many activities are not included in the project scope because they are unnecessary to avoid scope creep and defocusing the project. These involve extra urban integration of the transport network beyond the boundary of the transport hub, residential property developments and commercial property staging works</w:t>
      </w:r>
      <w:r w:rsidR="00BA03E7">
        <w:t xml:space="preserve"> (</w:t>
      </w:r>
      <w:r w:rsidR="009758AD" w:rsidRPr="009B0900">
        <w:rPr>
          <w:color w:val="222222"/>
          <w:szCs w:val="20"/>
          <w:shd w:val="clear" w:color="auto" w:fill="FFFFFF"/>
        </w:rPr>
        <w:t>Eze,</w:t>
      </w:r>
      <w:r w:rsidR="009758AD">
        <w:rPr>
          <w:color w:val="222222"/>
          <w:szCs w:val="20"/>
          <w:shd w:val="clear" w:color="auto" w:fill="FFFFFF"/>
        </w:rPr>
        <w:t xml:space="preserve"> 2025</w:t>
      </w:r>
      <w:r w:rsidR="00BA03E7">
        <w:t>)</w:t>
      </w:r>
      <w:r>
        <w:t>. These developments could support wider urban development aims, but do not directly support the primary transport hub restoration and modernisation objective, so are not project-led.</w:t>
      </w:r>
    </w:p>
    <w:p w14:paraId="579C1B34" w14:textId="77777777" w:rsidR="0021542A" w:rsidRDefault="00DC5DF9">
      <w:pPr>
        <w:pStyle w:val="Heading3"/>
        <w:jc w:val="left"/>
      </w:pPr>
      <w:bookmarkStart w:id="44" w:name="_d3glhmjsr6tn" w:colFirst="0" w:colLast="0"/>
      <w:bookmarkStart w:id="45" w:name="_Toc232518581"/>
      <w:bookmarkEnd w:id="44"/>
      <w:r>
        <w:t>3.3 Assumptions and Constraints</w:t>
      </w:r>
      <w:bookmarkEnd w:id="45"/>
    </w:p>
    <w:p w14:paraId="1ACC8EDB" w14:textId="77777777" w:rsidR="0021542A" w:rsidRDefault="00DC5DF9">
      <w:r>
        <w:t>It is assumed that adequate funding for the project comes from the public sector throughout the project's life cycle and that qualified contractors, engineers, and technology suppliers will be available within the project's planned procurement schedules</w:t>
      </w:r>
      <w:r w:rsidR="009758AD">
        <w:t xml:space="preserve"> (</w:t>
      </w:r>
      <w:r w:rsidR="009758AD">
        <w:rPr>
          <w:color w:val="222222"/>
          <w:szCs w:val="20"/>
          <w:shd w:val="clear" w:color="auto" w:fill="FFFFFF"/>
        </w:rPr>
        <w:t xml:space="preserve">Ang </w:t>
      </w:r>
      <w:r w:rsidR="009758AD">
        <w:rPr>
          <w:i/>
          <w:color w:val="222222"/>
          <w:szCs w:val="20"/>
          <w:shd w:val="clear" w:color="auto" w:fill="FFFFFF"/>
        </w:rPr>
        <w:t>et al.,</w:t>
      </w:r>
      <w:r w:rsidR="009758AD">
        <w:rPr>
          <w:color w:val="222222"/>
          <w:szCs w:val="20"/>
          <w:shd w:val="clear" w:color="auto" w:fill="FFFFFF"/>
        </w:rPr>
        <w:t xml:space="preserve"> 2022</w:t>
      </w:r>
      <w:r w:rsidR="009758AD">
        <w:t>)</w:t>
      </w:r>
      <w:r>
        <w:t>. Project delivery, however, is limited by budgets set to be finite, the adoption of rigorous health, safety, accessibility and environmental guidelines, as well as the high expectations already placed on project time due to the ever-present nature of economic disruptions flowing from the hub closure.</w:t>
      </w:r>
    </w:p>
    <w:p w14:paraId="34912FCA" w14:textId="77777777" w:rsidR="0021542A" w:rsidRDefault="00DC5DF9">
      <w:pPr>
        <w:pStyle w:val="Heading2"/>
        <w:jc w:val="left"/>
      </w:pPr>
      <w:bookmarkStart w:id="46" w:name="_7a1t04ixwh79" w:colFirst="0" w:colLast="0"/>
      <w:bookmarkStart w:id="47" w:name="_Toc232518582"/>
      <w:bookmarkEnd w:id="46"/>
      <w:r>
        <w:t>4. Work Breakdown Structure (WBS)</w:t>
      </w:r>
      <w:bookmarkEnd w:id="47"/>
      <w:r>
        <w:t xml:space="preserve"> </w:t>
      </w:r>
    </w:p>
    <w:p w14:paraId="40E3361E" w14:textId="77777777" w:rsidR="0021542A" w:rsidRDefault="00DC5DF9">
      <w:pPr>
        <w:jc w:val="center"/>
      </w:pPr>
      <w:r>
        <w:rPr>
          <w:noProof/>
          <w:lang w:val="en-IN"/>
        </w:rPr>
        <w:drawing>
          <wp:inline distT="114300" distB="114300" distL="114300" distR="114300" wp14:anchorId="481D428A" wp14:editId="258E9288">
            <wp:extent cx="5943600" cy="28702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870200"/>
                    </a:xfrm>
                    <a:prstGeom prst="rect">
                      <a:avLst/>
                    </a:prstGeom>
                    <a:ln/>
                  </pic:spPr>
                </pic:pic>
              </a:graphicData>
            </a:graphic>
          </wp:inline>
        </w:drawing>
      </w:r>
    </w:p>
    <w:p w14:paraId="679FFFA7" w14:textId="77777777" w:rsidR="009758AD" w:rsidRPr="009758AD" w:rsidRDefault="009758AD">
      <w:pPr>
        <w:jc w:val="center"/>
        <w:rPr>
          <w:b/>
        </w:rPr>
      </w:pPr>
      <w:r w:rsidRPr="009758AD">
        <w:rPr>
          <w:b/>
        </w:rPr>
        <w:t>Figure 1: WBS</w:t>
      </w:r>
    </w:p>
    <w:p w14:paraId="001F92F2" w14:textId="77777777" w:rsidR="009758AD" w:rsidRDefault="009758AD">
      <w:pPr>
        <w:jc w:val="center"/>
      </w:pPr>
      <w:r>
        <w:t>(Source: self-created)</w:t>
      </w:r>
    </w:p>
    <w:p w14:paraId="56550942" w14:textId="77777777" w:rsidR="0021542A" w:rsidRDefault="00DC5DF9">
      <w:r>
        <w:t xml:space="preserve">In Level 1, the WBS defines the top-level project goal, the redevelopment of the transport hub. The project has been broken down into seven major deliverable-oriented phases, namely, Planning, Design, Procurement, Construction, Digital systems, </w:t>
      </w:r>
      <w:r w:rsidR="00BA03E7">
        <w:t>testing</w:t>
      </w:r>
      <w:r>
        <w:t xml:space="preserve"> and Handover, in Level 2. This hierarchical breakdown captures and aligns all of the critical project activities with strategic goals.</w:t>
      </w:r>
    </w:p>
    <w:p w14:paraId="1750FD6D" w14:textId="77777777" w:rsidR="0021542A" w:rsidRDefault="00DC5DF9">
      <w:r>
        <w:t>At Level 3, each phase is subdivided into a series of work packages, which provide increased clarity on responsibilities, resources and deliverables associated with each phase</w:t>
      </w:r>
      <w:r w:rsidR="009758AD">
        <w:t xml:space="preserve"> (</w:t>
      </w:r>
      <w:r w:rsidR="009758AD" w:rsidRPr="009B0900">
        <w:rPr>
          <w:color w:val="222222"/>
          <w:szCs w:val="20"/>
          <w:shd w:val="clear" w:color="auto" w:fill="FFFFFF"/>
        </w:rPr>
        <w:t>Gil</w:t>
      </w:r>
      <w:r w:rsidR="009758AD">
        <w:rPr>
          <w:color w:val="222222"/>
          <w:szCs w:val="20"/>
          <w:shd w:val="clear" w:color="auto" w:fill="FFFFFF"/>
        </w:rPr>
        <w:t xml:space="preserve"> </w:t>
      </w:r>
      <w:r w:rsidR="009758AD" w:rsidRPr="009B0900">
        <w:rPr>
          <w:color w:val="222222"/>
          <w:szCs w:val="20"/>
          <w:shd w:val="clear" w:color="auto" w:fill="FFFFFF"/>
        </w:rPr>
        <w:t>and Vallejo</w:t>
      </w:r>
      <w:r w:rsidR="009758AD">
        <w:rPr>
          <w:color w:val="222222"/>
          <w:szCs w:val="20"/>
          <w:shd w:val="clear" w:color="auto" w:fill="FFFFFF"/>
        </w:rPr>
        <w:t xml:space="preserve"> 2024</w:t>
      </w:r>
      <w:r w:rsidR="009758AD">
        <w:t>)</w:t>
      </w:r>
      <w:r>
        <w:t>. The Planning phase, for instance, features all feasibility studies, consultation with stakeholders and obtaining regulatory approvals, and the Digital Systems phase features smart ticketing, passenger information systems and freight coordination platforms. This structure shows the natural steps in a project's initiation, development and commissioning as an operational structure.</w:t>
      </w:r>
    </w:p>
    <w:p w14:paraId="1916F54C" w14:textId="77777777" w:rsidR="0021542A" w:rsidRDefault="00DC5DF9">
      <w:r>
        <w:t>From a project management point of view, the WBS is an essential element of a tool for controlling projects, because it narrows the scope ambiguity and makes it more accountable. Clear tasks make the estimation of costs, times, resources and risks easier</w:t>
      </w:r>
      <w:r w:rsidR="009758AD">
        <w:t xml:space="preserve"> (</w:t>
      </w:r>
      <w:r w:rsidR="009758AD" w:rsidRPr="009B0900">
        <w:rPr>
          <w:color w:val="222222"/>
          <w:szCs w:val="20"/>
          <w:shd w:val="clear" w:color="auto" w:fill="FFFFFF"/>
        </w:rPr>
        <w:t>Ngharamike</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2022</w:t>
      </w:r>
      <w:r w:rsidR="009758AD">
        <w:t>)</w:t>
      </w:r>
      <w:r>
        <w:t>. Moreover, the hierarchy enables the performance monitoring at the project level since the ability of the project manager to monitor the progress of individual work packages can enhance the overall project delivery effectiveness with improved performance monitoring.</w:t>
      </w:r>
    </w:p>
    <w:p w14:paraId="20CD2F04" w14:textId="77777777" w:rsidR="0021542A" w:rsidRDefault="00DC5DF9">
      <w:pPr>
        <w:pStyle w:val="Heading2"/>
        <w:jc w:val="left"/>
      </w:pPr>
      <w:bookmarkStart w:id="48" w:name="_a1u2y41n1v26" w:colFirst="0" w:colLast="0"/>
      <w:bookmarkStart w:id="49" w:name="_Toc232518583"/>
      <w:bookmarkEnd w:id="48"/>
      <w:r>
        <w:t>5. Quad Chart</w:t>
      </w:r>
      <w:bookmarkEnd w:id="49"/>
      <w:r>
        <w:t xml:space="preserve"> </w:t>
      </w:r>
    </w:p>
    <w:p w14:paraId="7A916E16" w14:textId="77777777" w:rsidR="0021542A" w:rsidRDefault="00DC5DF9">
      <w:r>
        <w:t>The Quad Chart offers a snapshot of the key areas for review in case the project could be a threat or opportunity to the project. When determining feasibility, the Quad Chart gives stakeholders a strategic overview of the project that can be used to check how well the project fits with the organisation's goals and objectives. The transport recovery, sustainability, and economic regeneration objectives are measured in terms of outcomes in the quadrant that communicates with the objectives</w:t>
      </w:r>
      <w:r w:rsidR="009758AD">
        <w:t xml:space="preserve"> (</w:t>
      </w:r>
      <w:r w:rsidR="009758AD" w:rsidRPr="009B0900">
        <w:rPr>
          <w:color w:val="222222"/>
          <w:szCs w:val="20"/>
          <w:shd w:val="clear" w:color="auto" w:fill="FFFFFF"/>
        </w:rPr>
        <w:t>Sartzetaki</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2023</w:t>
      </w:r>
      <w:r w:rsidR="009758AD">
        <w:t>)</w:t>
      </w:r>
      <w:r>
        <w:t>. A schedule quadrant is used to highlight both key milestones and to serve as a general metric for tracking progress towards both targets and deliverables. The cost quadrant emphasises the financial commitment needed in order to realise the project value from the services to be delivered, with respect to budgetary control and justifying investments. Also, at the end, the technical performance quadrant is a description of the quality, sustainability, and operational benchmarks on which the project's success will be measured</w:t>
      </w:r>
      <w:r w:rsidR="009758AD">
        <w:t xml:space="preserve"> (</w:t>
      </w:r>
      <w:r w:rsidR="009758AD" w:rsidRPr="009B0900">
        <w:rPr>
          <w:color w:val="222222"/>
          <w:szCs w:val="20"/>
          <w:shd w:val="clear" w:color="auto" w:fill="FFFFFF"/>
        </w:rPr>
        <w:t>Karagkouni</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2023</w:t>
      </w:r>
      <w:r w:rsidR="009758AD">
        <w:t>)</w:t>
      </w:r>
      <w:r>
        <w:t>. The Quad Chart improves project governance, communications with stakeholders, and project oversight across the project spectrum by consolidating scope, schedule, cost and performance criteria within a single management tool.</w:t>
      </w:r>
    </w:p>
    <w:p w14:paraId="383946B1" w14:textId="77777777" w:rsidR="0021542A" w:rsidRDefault="00DC5DF9">
      <w:pPr>
        <w:jc w:val="center"/>
      </w:pPr>
      <w:r>
        <w:rPr>
          <w:noProof/>
          <w:lang w:val="en-IN"/>
        </w:rPr>
        <w:drawing>
          <wp:inline distT="114300" distB="114300" distL="114300" distR="114300" wp14:anchorId="6998428C" wp14:editId="113DD838">
            <wp:extent cx="5943600" cy="3213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213100"/>
                    </a:xfrm>
                    <a:prstGeom prst="rect">
                      <a:avLst/>
                    </a:prstGeom>
                    <a:ln/>
                  </pic:spPr>
                </pic:pic>
              </a:graphicData>
            </a:graphic>
          </wp:inline>
        </w:drawing>
      </w:r>
    </w:p>
    <w:p w14:paraId="0859C228" w14:textId="77777777" w:rsidR="009758AD" w:rsidRPr="009758AD" w:rsidRDefault="009758AD">
      <w:pPr>
        <w:jc w:val="center"/>
        <w:rPr>
          <w:b/>
        </w:rPr>
      </w:pPr>
      <w:r w:rsidRPr="009758AD">
        <w:rPr>
          <w:b/>
        </w:rPr>
        <w:t>Figure 2: Quad Chart</w:t>
      </w:r>
    </w:p>
    <w:p w14:paraId="767A2170" w14:textId="77777777" w:rsidR="009758AD" w:rsidRDefault="009758AD">
      <w:pPr>
        <w:jc w:val="center"/>
      </w:pPr>
      <w:r>
        <w:t>(Source: self-created)</w:t>
      </w:r>
    </w:p>
    <w:p w14:paraId="4661CCA2" w14:textId="77777777" w:rsidR="0021542A" w:rsidRDefault="00DC5DF9" w:rsidP="009758AD">
      <w:pPr>
        <w:pStyle w:val="Heading2"/>
        <w:jc w:val="left"/>
      </w:pPr>
      <w:bookmarkStart w:id="50" w:name="_s8ddn58symq9" w:colFirst="0" w:colLast="0"/>
      <w:bookmarkStart w:id="51" w:name="_Toc232518584"/>
      <w:bookmarkEnd w:id="50"/>
      <w:r>
        <w:t>6. Gantt Chart</w:t>
      </w:r>
      <w:bookmarkEnd w:id="51"/>
      <w:r>
        <w:t xml:space="preserve"> </w:t>
      </w:r>
    </w:p>
    <w:p w14:paraId="30F441F0" w14:textId="77777777" w:rsidR="0021542A" w:rsidRDefault="00DC5DF9">
      <w:r>
        <w:t>This 36-month timeline for the delivery of the transport hub redevelopment project is outlined in the Gantt Chart. The schedule shows the ordered sequence of activities, from initiation to project completion, and allows for the optimal coordination of project resources and project deliverables. The Planning, Design, Procurement, Construction, Testing &amp; Commissioning activities are the main elements of the critical path; if these activities are delayed in any manner, it will affect the overall completion time. Key milestones are critical points with measurable quantities to track progress and to assess project results relative to its goals. In addition, the chart can help in the scheduling of work activities by providing an early indication of any delays if they occur, while identifying any activities which are dependent on each other. The Gantt Chart provides an effective way to achieve project governance, better communication between stakeholders, and increase the probability of successful completion of the redevelopment programme within budget, time and quality.</w:t>
      </w:r>
    </w:p>
    <w:p w14:paraId="25925AEC" w14:textId="77777777" w:rsidR="009758AD" w:rsidRDefault="009758AD" w:rsidP="009758AD">
      <w:pPr>
        <w:jc w:val="center"/>
      </w:pPr>
      <w:r>
        <w:rPr>
          <w:noProof/>
          <w:lang w:val="en-IN"/>
        </w:rPr>
        <w:drawing>
          <wp:inline distT="114300" distB="114300" distL="114300" distR="114300" wp14:anchorId="0AB5A08D" wp14:editId="74DCEBDB">
            <wp:extent cx="5943600" cy="1955800"/>
            <wp:effectExtent l="0" t="0" r="0" b="63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1955800"/>
                    </a:xfrm>
                    <a:prstGeom prst="rect">
                      <a:avLst/>
                    </a:prstGeom>
                    <a:ln/>
                  </pic:spPr>
                </pic:pic>
              </a:graphicData>
            </a:graphic>
          </wp:inline>
        </w:drawing>
      </w:r>
    </w:p>
    <w:p w14:paraId="7AB6D531" w14:textId="77777777" w:rsidR="009758AD" w:rsidRPr="009758AD" w:rsidRDefault="009758AD" w:rsidP="009758AD">
      <w:pPr>
        <w:jc w:val="center"/>
        <w:rPr>
          <w:b/>
        </w:rPr>
      </w:pPr>
      <w:r w:rsidRPr="009758AD">
        <w:rPr>
          <w:b/>
        </w:rPr>
        <w:t>Figure 3: Gantt chart</w:t>
      </w:r>
    </w:p>
    <w:p w14:paraId="531DA140" w14:textId="77777777" w:rsidR="009758AD" w:rsidRDefault="009758AD" w:rsidP="009758AD">
      <w:pPr>
        <w:jc w:val="center"/>
      </w:pPr>
      <w:r>
        <w:t>(Source: self-created)</w:t>
      </w:r>
    </w:p>
    <w:p w14:paraId="32BFF608" w14:textId="77777777" w:rsidR="0021542A" w:rsidRDefault="00DC5DF9">
      <w:pPr>
        <w:pStyle w:val="Heading2"/>
        <w:jc w:val="left"/>
      </w:pPr>
      <w:bookmarkStart w:id="52" w:name="_pwaqjoz1el1r" w:colFirst="0" w:colLast="0"/>
      <w:bookmarkStart w:id="53" w:name="_Toc232518585"/>
      <w:bookmarkEnd w:id="52"/>
      <w:r>
        <w:t>7. Stakeholder Involvement</w:t>
      </w:r>
      <w:bookmarkEnd w:id="53"/>
      <w:r>
        <w:t xml:space="preserve"> </w:t>
      </w:r>
    </w:p>
    <w:p w14:paraId="094E6C53" w14:textId="77777777" w:rsidR="0021542A" w:rsidRDefault="00DC5DF9">
      <w:pPr>
        <w:pStyle w:val="Heading3"/>
        <w:jc w:val="left"/>
      </w:pPr>
      <w:bookmarkStart w:id="54" w:name="_w08nssri7mdi" w:colFirst="0" w:colLast="0"/>
      <w:bookmarkStart w:id="55" w:name="_Toc232518586"/>
      <w:bookmarkEnd w:id="54"/>
      <w:r>
        <w:t>7.1 Stakeholder Identification</w:t>
      </w:r>
      <w:bookmarkEnd w:id="55"/>
    </w:p>
    <w:p w14:paraId="209E5058" w14:textId="77777777" w:rsidR="0021542A" w:rsidRDefault="00DC5DF9">
      <w:r>
        <w:t>Large-scale transport infrastructure works projects are frequently striving for multiple objectives of service continuity, environmental performance, costs and schedule, and have competing interests amongst stakeholders, which are the things that create challenges in large-scale transport infrastructure works</w:t>
      </w:r>
      <w:r w:rsidR="009758AD">
        <w:t xml:space="preserve"> (</w:t>
      </w:r>
      <w:r w:rsidR="009758AD" w:rsidRPr="009B0900">
        <w:rPr>
          <w:color w:val="222222"/>
          <w:szCs w:val="20"/>
          <w:shd w:val="clear" w:color="auto" w:fill="FFFFFF"/>
        </w:rPr>
        <w:t>Ahmed</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2026</w:t>
      </w:r>
      <w:r w:rsidR="009758AD">
        <w:t>)</w:t>
      </w:r>
      <w:r>
        <w:t>. External stakeholders include local authorities, the Department for Transport, rail and bus transport providers, freight companies, environmental regulators, local businesses and communities. Misaligned stakeholder expectations can lead to delays, etc. Issues, public resistance, and cost overruns. Therefore, there needs to be a well-planned (structured) approach to engaging stakeholders to keep the project going, enhance communication and provide information for the successful decision-making process during the project's lifecycle.</w:t>
      </w:r>
    </w:p>
    <w:p w14:paraId="747D0F8A" w14:textId="77777777" w:rsidR="009758AD" w:rsidRDefault="009758AD" w:rsidP="009758AD">
      <w:pPr>
        <w:jc w:val="center"/>
      </w:pPr>
      <w:r>
        <w:rPr>
          <w:noProof/>
          <w:lang w:val="en-IN"/>
        </w:rPr>
        <w:drawing>
          <wp:inline distT="0" distB="0" distL="0" distR="0" wp14:anchorId="1B80561E" wp14:editId="1D7BF3CF">
            <wp:extent cx="3857625" cy="41243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57625" cy="4124325"/>
                    </a:xfrm>
                    <a:prstGeom prst="rect">
                      <a:avLst/>
                    </a:prstGeom>
                  </pic:spPr>
                </pic:pic>
              </a:graphicData>
            </a:graphic>
          </wp:inline>
        </w:drawing>
      </w:r>
    </w:p>
    <w:p w14:paraId="7CCA1D96" w14:textId="77777777" w:rsidR="009758AD" w:rsidRPr="009758AD" w:rsidRDefault="009758AD" w:rsidP="009758AD">
      <w:pPr>
        <w:jc w:val="center"/>
        <w:rPr>
          <w:b/>
        </w:rPr>
      </w:pPr>
      <w:r w:rsidRPr="009758AD">
        <w:rPr>
          <w:b/>
        </w:rPr>
        <w:t>Figure 4: Stakeholder Identification table</w:t>
      </w:r>
    </w:p>
    <w:p w14:paraId="70DDF874" w14:textId="77777777" w:rsidR="009758AD" w:rsidRDefault="009758AD" w:rsidP="009758AD">
      <w:pPr>
        <w:jc w:val="center"/>
      </w:pPr>
      <w:r>
        <w:t>(Source: self-created)</w:t>
      </w:r>
    </w:p>
    <w:p w14:paraId="0E9168D0" w14:textId="77777777" w:rsidR="0021542A" w:rsidRDefault="00DC5DF9">
      <w:pPr>
        <w:pStyle w:val="Heading3"/>
        <w:jc w:val="left"/>
      </w:pPr>
      <w:bookmarkStart w:id="56" w:name="_gk96btrw8nz8" w:colFirst="0" w:colLast="0"/>
      <w:bookmarkStart w:id="57" w:name="_Toc232518587"/>
      <w:bookmarkEnd w:id="56"/>
      <w:r>
        <w:t>7.2 Stakeholder Power-Interest Matrix</w:t>
      </w:r>
      <w:bookmarkEnd w:id="57"/>
    </w:p>
    <w:p w14:paraId="7B6EB1F9" w14:textId="77777777" w:rsidR="0021542A" w:rsidRDefault="00DC5DF9">
      <w:r>
        <w:t>The Power-Interest Matrix can be used to help prioritise stakeholder engagement by assigning resources based on stakeholder influence on the project and interest. Stakeholders in the "Manage Closely" category need to be continuously engaged given their decision-making authority, which will directly impact project delivery</w:t>
      </w:r>
      <w:r w:rsidR="009758AD">
        <w:t xml:space="preserve"> (</w:t>
      </w:r>
      <w:r w:rsidR="009758AD" w:rsidRPr="009B0900">
        <w:rPr>
          <w:color w:val="222222"/>
          <w:szCs w:val="20"/>
          <w:shd w:val="clear" w:color="auto" w:fill="FFFFFF"/>
        </w:rPr>
        <w:t>Li</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2022</w:t>
      </w:r>
      <w:r w:rsidR="009758AD">
        <w:t>)</w:t>
      </w:r>
      <w:r>
        <w:t>. When a person is classified as known as ‘Keep Satisfied', they will need specific engagement to reduce the risk of resistance building up from either environmental or operational concerns</w:t>
      </w:r>
      <w:r w:rsidR="009758AD">
        <w:t xml:space="preserve"> (</w:t>
      </w:r>
      <w:r w:rsidR="009758AD">
        <w:rPr>
          <w:color w:val="222222"/>
          <w:szCs w:val="20"/>
          <w:shd w:val="clear" w:color="auto" w:fill="FFFFFF"/>
        </w:rPr>
        <w:t xml:space="preserve">Verma </w:t>
      </w:r>
      <w:r w:rsidR="009758AD">
        <w:rPr>
          <w:i/>
          <w:color w:val="222222"/>
          <w:szCs w:val="20"/>
          <w:shd w:val="clear" w:color="auto" w:fill="FFFFFF"/>
        </w:rPr>
        <w:t>et al.,</w:t>
      </w:r>
      <w:r w:rsidR="009758AD">
        <w:rPr>
          <w:color w:val="222222"/>
          <w:szCs w:val="20"/>
          <w:shd w:val="clear" w:color="auto" w:fill="FFFFFF"/>
        </w:rPr>
        <w:t xml:space="preserve"> 2024</w:t>
      </w:r>
      <w:r w:rsidR="009758AD">
        <w:t>)</w:t>
      </w:r>
      <w:r>
        <w:t>. Communication is required to be transparent for stakeholders in the Keep Informed category to retain trust and minimise opposition. Lastly, stakeholders classified as "Monitor" will need to be monitored to detect a topic of concern at an early stage, prior to becoming a project risk. This approach to governance is structured, helps mitigate conflict among stakeholders, and increases the chance of project success.</w:t>
      </w:r>
    </w:p>
    <w:p w14:paraId="60AEA96C" w14:textId="77777777" w:rsidR="0021542A" w:rsidRDefault="00DC5DF9">
      <w:pPr>
        <w:jc w:val="center"/>
      </w:pPr>
      <w:r>
        <w:rPr>
          <w:noProof/>
          <w:lang w:val="en-IN"/>
        </w:rPr>
        <w:drawing>
          <wp:inline distT="114300" distB="114300" distL="114300" distR="114300" wp14:anchorId="0C9C8A47" wp14:editId="6C718687">
            <wp:extent cx="4514850" cy="45053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514850" cy="4505325"/>
                    </a:xfrm>
                    <a:prstGeom prst="rect">
                      <a:avLst/>
                    </a:prstGeom>
                    <a:ln/>
                  </pic:spPr>
                </pic:pic>
              </a:graphicData>
            </a:graphic>
          </wp:inline>
        </w:drawing>
      </w:r>
    </w:p>
    <w:p w14:paraId="27A679C4" w14:textId="77777777" w:rsidR="009758AD" w:rsidRPr="009758AD" w:rsidRDefault="009758AD">
      <w:pPr>
        <w:jc w:val="center"/>
        <w:rPr>
          <w:b/>
        </w:rPr>
      </w:pPr>
      <w:r w:rsidRPr="009758AD">
        <w:rPr>
          <w:b/>
        </w:rPr>
        <w:t>Figure 5: Power-Interest Grid Matrix</w:t>
      </w:r>
    </w:p>
    <w:p w14:paraId="389A0C66" w14:textId="77777777" w:rsidR="009758AD" w:rsidRDefault="009758AD">
      <w:pPr>
        <w:jc w:val="center"/>
      </w:pPr>
      <w:r>
        <w:t>(Source: self-created)</w:t>
      </w:r>
    </w:p>
    <w:p w14:paraId="08DA87BD" w14:textId="77777777" w:rsidR="0021542A" w:rsidRDefault="00DC5DF9">
      <w:pPr>
        <w:pStyle w:val="Heading2"/>
        <w:jc w:val="left"/>
      </w:pPr>
      <w:bookmarkStart w:id="58" w:name="_37cgquut5x4p" w:colFirst="0" w:colLast="0"/>
      <w:bookmarkStart w:id="59" w:name="_Toc232518588"/>
      <w:bookmarkEnd w:id="58"/>
      <w:r>
        <w:t>8. Allocation of Resources</w:t>
      </w:r>
      <w:bookmarkEnd w:id="59"/>
      <w:r>
        <w:t xml:space="preserve"> </w:t>
      </w:r>
    </w:p>
    <w:p w14:paraId="4296199A" w14:textId="77777777" w:rsidR="0021542A" w:rsidRDefault="00DC5DF9">
      <w:pPr>
        <w:pStyle w:val="Heading3"/>
        <w:jc w:val="left"/>
      </w:pPr>
      <w:bookmarkStart w:id="60" w:name="_sl356hdcsce9" w:colFirst="0" w:colLast="0"/>
      <w:bookmarkStart w:id="61" w:name="_Toc232518589"/>
      <w:bookmarkEnd w:id="60"/>
      <w:r>
        <w:t>8.1 Human Resources</w:t>
      </w:r>
      <w:bookmarkEnd w:id="61"/>
    </w:p>
    <w:p w14:paraId="13610EC7" w14:textId="77777777" w:rsidR="0021542A" w:rsidRDefault="00DC5DF9">
      <w:r>
        <w:t>The ability to manage the inter-disciplinary nature of the infrastructure would be a key success factor for the overall project in relation to the delivery of the transport hub development. The Project Manager's responsibility is to govern the project, coordinate stakeholders, control the schedule and manage risks</w:t>
      </w:r>
      <w:r w:rsidR="009758AD">
        <w:t xml:space="preserve"> (</w:t>
      </w:r>
      <w:r w:rsidR="009758AD" w:rsidRPr="009B0900">
        <w:rPr>
          <w:color w:val="222222"/>
          <w:szCs w:val="20"/>
          <w:shd w:val="clear" w:color="auto" w:fill="FFFFFF"/>
        </w:rPr>
        <w:t>Son</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2025</w:t>
      </w:r>
      <w:r w:rsidR="009758AD">
        <w:t>)</w:t>
      </w:r>
      <w:r>
        <w:t>. Civil engineers, structural engineers, and transport engineers deliver technical specialist services for the design and construction of the infrastructure, and architects deliver technical specialist services so that operational efficiency, accessibility and sustainability-related requirements will be catered for in the design of the infrastructure. Construction companies carry out works on the construction site, such as site preparation, building facilities, and installation of various equipment. Additionally, IT experts are essential for the deployment of technologies for smart transport systems, digital ticketing systems, platforms for passenger information, and freight coordination systems</w:t>
      </w:r>
      <w:r w:rsidR="009758AD">
        <w:t xml:space="preserve"> (</w:t>
      </w:r>
      <w:r w:rsidR="009758AD" w:rsidRPr="009B0900">
        <w:rPr>
          <w:color w:val="222222"/>
          <w:szCs w:val="20"/>
          <w:shd w:val="clear" w:color="auto" w:fill="FFFFFF"/>
        </w:rPr>
        <w:t>Son</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2026</w:t>
      </w:r>
      <w:r w:rsidR="009758AD">
        <w:t>)</w:t>
      </w:r>
      <w:r>
        <w:t>. Close cooperation between these professionals is crucial to avoid delays, to make better decisions and to achieve project aims.</w:t>
      </w:r>
    </w:p>
    <w:p w14:paraId="0D809601" w14:textId="77777777" w:rsidR="0021542A" w:rsidRDefault="00DC5DF9">
      <w:pPr>
        <w:pStyle w:val="Heading3"/>
        <w:jc w:val="left"/>
      </w:pPr>
      <w:bookmarkStart w:id="62" w:name="_bcb55x9afygr" w:colFirst="0" w:colLast="0"/>
      <w:bookmarkStart w:id="63" w:name="_Toc232518590"/>
      <w:bookmarkEnd w:id="62"/>
      <w:r>
        <w:t>8.2 Financial Resources</w:t>
      </w:r>
      <w:bookmarkEnd w:id="63"/>
    </w:p>
    <w:p w14:paraId="19075033" w14:textId="77777777" w:rsidR="0021542A" w:rsidRDefault="00DC5DF9">
      <w:r>
        <w:t>An estimated £450m in funding has been set aside for the project. An overwhelming amount of money goes into infrastructure because of both the size and complexity of developments</w:t>
      </w:r>
      <w:r w:rsidR="009758AD">
        <w:t xml:space="preserve"> that fall under Redevelopment</w:t>
      </w:r>
      <w:r>
        <w:t>. Other funding goes towards digital technology, accessibility initiatives, renewable energy solutions, procurement and project management</w:t>
      </w:r>
      <w:r w:rsidR="009758AD">
        <w:t xml:space="preserve"> (</w:t>
      </w:r>
      <w:r w:rsidR="009758AD" w:rsidRPr="009B0900">
        <w:rPr>
          <w:color w:val="222222"/>
          <w:szCs w:val="20"/>
          <w:shd w:val="clear" w:color="auto" w:fill="FFFFFF"/>
        </w:rPr>
        <w:t>Nwaogbe</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2025</w:t>
      </w:r>
      <w:r w:rsidR="009758AD">
        <w:t>)</w:t>
      </w:r>
      <w:r>
        <w:t>. To keep costs under control and reduce the chances of cost overruns due to inflation, fluctuating supplier availability and unexpected construction problems, continuous budget monitoring is necessary.</w:t>
      </w:r>
    </w:p>
    <w:p w14:paraId="489C71F8" w14:textId="77777777" w:rsidR="0021542A" w:rsidRDefault="00DC5DF9">
      <w:pPr>
        <w:pStyle w:val="Heading3"/>
        <w:jc w:val="left"/>
      </w:pPr>
      <w:bookmarkStart w:id="64" w:name="_7jvgv2b8861" w:colFirst="0" w:colLast="0"/>
      <w:bookmarkStart w:id="65" w:name="_Toc232518591"/>
      <w:bookmarkEnd w:id="64"/>
      <w:r>
        <w:t>8.3 Physical Resources</w:t>
      </w:r>
      <w:bookmarkEnd w:id="65"/>
    </w:p>
    <w:p w14:paraId="34CD0ED6" w14:textId="77777777" w:rsidR="0021542A" w:rsidRDefault="00DC5DF9">
      <w:r>
        <w:t>Heavy construction equipment and machinery for excavation, cranes, transport infrastructure materials, steel frameworks, concrete components, and renewable energy technologies are key physical resources, as well as system hardware for digital systems</w:t>
      </w:r>
      <w:r w:rsidR="009758AD">
        <w:t xml:space="preserve"> (</w:t>
      </w:r>
      <w:r w:rsidR="009758AD">
        <w:rPr>
          <w:color w:val="222222"/>
          <w:szCs w:val="20"/>
          <w:shd w:val="clear" w:color="auto" w:fill="FFFFFF"/>
        </w:rPr>
        <w:t xml:space="preserve">Chen </w:t>
      </w:r>
      <w:r w:rsidR="009758AD">
        <w:rPr>
          <w:i/>
          <w:color w:val="222222"/>
          <w:szCs w:val="20"/>
          <w:shd w:val="clear" w:color="auto" w:fill="FFFFFF"/>
        </w:rPr>
        <w:t>et al.,</w:t>
      </w:r>
      <w:r w:rsidR="009758AD">
        <w:rPr>
          <w:color w:val="222222"/>
          <w:szCs w:val="20"/>
          <w:shd w:val="clear" w:color="auto" w:fill="FFFFFF"/>
        </w:rPr>
        <w:t xml:space="preserve"> 2024</w:t>
      </w:r>
      <w:r w:rsidR="009758AD">
        <w:t>)</w:t>
      </w:r>
      <w:r>
        <w:t>. But in order to meet operational and sustainability goals, the use of advanced technology systems, including intelligent ticketing systems, passenger information systems, freight management systems, etc., is essential.</w:t>
      </w:r>
    </w:p>
    <w:p w14:paraId="39BEF61E" w14:textId="77777777" w:rsidR="0021542A" w:rsidRDefault="00DC5DF9">
      <w:pPr>
        <w:pStyle w:val="Heading2"/>
        <w:jc w:val="left"/>
      </w:pPr>
      <w:bookmarkStart w:id="66" w:name="_98038tvkshin" w:colFirst="0" w:colLast="0"/>
      <w:bookmarkStart w:id="67" w:name="_Toc232518592"/>
      <w:bookmarkEnd w:id="66"/>
      <w:r>
        <w:t>9. Risk Analysis</w:t>
      </w:r>
      <w:bookmarkEnd w:id="67"/>
      <w:r>
        <w:t xml:space="preserve"> </w:t>
      </w:r>
    </w:p>
    <w:p w14:paraId="6DF4B696" w14:textId="77777777" w:rsidR="0021542A" w:rsidRDefault="00DC5DF9">
      <w:pPr>
        <w:pStyle w:val="Heading3"/>
        <w:jc w:val="left"/>
      </w:pPr>
      <w:bookmarkStart w:id="68" w:name="_j5q5fobptxv2" w:colFirst="0" w:colLast="0"/>
      <w:bookmarkStart w:id="69" w:name="_Toc232518593"/>
      <w:bookmarkEnd w:id="68"/>
      <w:r>
        <w:t>9.1 Risk Identification</w:t>
      </w:r>
      <w:bookmarkEnd w:id="69"/>
    </w:p>
    <w:p w14:paraId="600D8297" w14:textId="77777777" w:rsidR="0021542A" w:rsidRDefault="00DC5DF9">
      <w:r>
        <w:t>Risk management is highly important in the success of large projects as they are so complex, have extended delivery dates and involve many stakeholders. There are several strategic and operational risks that exist for the transport hub redevelopment project that could have an impact on its performance</w:t>
      </w:r>
      <w:r w:rsidR="009758AD">
        <w:t xml:space="preserve"> (</w:t>
      </w:r>
      <w:r w:rsidR="009758AD" w:rsidRPr="009B0900">
        <w:rPr>
          <w:color w:val="222222"/>
          <w:szCs w:val="20"/>
          <w:shd w:val="clear" w:color="auto" w:fill="FFFFFF"/>
        </w:rPr>
        <w:t>Reddy</w:t>
      </w:r>
      <w:r w:rsidR="009758AD">
        <w:rPr>
          <w:color w:val="222222"/>
          <w:szCs w:val="20"/>
          <w:shd w:val="clear" w:color="auto" w:fill="FFFFFF"/>
        </w:rPr>
        <w:t xml:space="preserve"> </w:t>
      </w:r>
      <w:r w:rsidR="009758AD">
        <w:rPr>
          <w:i/>
          <w:color w:val="222222"/>
          <w:szCs w:val="20"/>
          <w:shd w:val="clear" w:color="auto" w:fill="FFFFFF"/>
        </w:rPr>
        <w:t>et al.,</w:t>
      </w:r>
      <w:r w:rsidR="009758AD">
        <w:rPr>
          <w:color w:val="222222"/>
          <w:szCs w:val="20"/>
          <w:shd w:val="clear" w:color="auto" w:fill="FFFFFF"/>
        </w:rPr>
        <w:t xml:space="preserve"> 2024</w:t>
      </w:r>
      <w:r w:rsidR="009758AD">
        <w:t>)</w:t>
      </w:r>
      <w:r>
        <w:t xml:space="preserve">. Adverse weather conditions or contractor issues could cause construction projects to be stalled, labour shortages leading to lower productivity for the project, smart transport integration risks from technical or regulatory-related problems in Smart Transport, Environmental compliance issues and potential penalties from too much inflation and increasing material costs. </w:t>
      </w:r>
    </w:p>
    <w:p w14:paraId="0157BC7E" w14:textId="77777777" w:rsidR="0021542A" w:rsidRDefault="00DC5DF9">
      <w:pPr>
        <w:pStyle w:val="Heading3"/>
        <w:jc w:val="left"/>
      </w:pPr>
      <w:bookmarkStart w:id="70" w:name="_ea7yd836ej92" w:colFirst="0" w:colLast="0"/>
      <w:bookmarkStart w:id="71" w:name="_Toc232518594"/>
      <w:bookmarkEnd w:id="70"/>
      <w:r>
        <w:t>9.2 Risk Assessment</w:t>
      </w:r>
      <w:bookmarkEnd w:id="71"/>
    </w:p>
    <w:p w14:paraId="1DE6D4E3" w14:textId="77777777" w:rsidR="0021542A" w:rsidRDefault="00DC5DF9">
      <w:r>
        <w:t>This risk assesment also helps to highlight primary risks, maintain budget as well as construction delays to give more direct impact to maintain projects objectives. Therefore, these risks necessitate time and resources for continuous risk management attention.</w:t>
      </w:r>
    </w:p>
    <w:p w14:paraId="3B81DB43" w14:textId="77777777" w:rsidR="009758AD" w:rsidRDefault="009758AD" w:rsidP="009758AD">
      <w:pPr>
        <w:jc w:val="center"/>
      </w:pPr>
      <w:r>
        <w:rPr>
          <w:noProof/>
          <w:lang w:val="en-IN"/>
        </w:rPr>
        <w:drawing>
          <wp:inline distT="0" distB="0" distL="0" distR="0" wp14:anchorId="6847BAB0" wp14:editId="20F8BBA8">
            <wp:extent cx="4687251" cy="45583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91618" cy="4562599"/>
                    </a:xfrm>
                    <a:prstGeom prst="rect">
                      <a:avLst/>
                    </a:prstGeom>
                  </pic:spPr>
                </pic:pic>
              </a:graphicData>
            </a:graphic>
          </wp:inline>
        </w:drawing>
      </w:r>
    </w:p>
    <w:p w14:paraId="7FC573AA" w14:textId="77777777" w:rsidR="009758AD" w:rsidRPr="009758AD" w:rsidRDefault="009758AD" w:rsidP="009758AD">
      <w:pPr>
        <w:jc w:val="center"/>
        <w:rPr>
          <w:b/>
        </w:rPr>
      </w:pPr>
      <w:r w:rsidRPr="009758AD">
        <w:rPr>
          <w:b/>
        </w:rPr>
        <w:t xml:space="preserve">Figure 6: Risk Register </w:t>
      </w:r>
    </w:p>
    <w:p w14:paraId="54F32C94" w14:textId="77777777" w:rsidR="009758AD" w:rsidRDefault="009758AD" w:rsidP="009758AD">
      <w:pPr>
        <w:jc w:val="center"/>
      </w:pPr>
      <w:r>
        <w:t>(Source: self-created)</w:t>
      </w:r>
    </w:p>
    <w:p w14:paraId="1002124B" w14:textId="77777777" w:rsidR="0021542A" w:rsidRDefault="00DC5DF9">
      <w:pPr>
        <w:pStyle w:val="Heading3"/>
        <w:jc w:val="left"/>
      </w:pPr>
      <w:bookmarkStart w:id="72" w:name="_77dxajgpnbmi" w:colFirst="0" w:colLast="0"/>
      <w:bookmarkStart w:id="73" w:name="_Toc232518595"/>
      <w:bookmarkEnd w:id="72"/>
      <w:r>
        <w:t>9.3 Risk Response Strategies</w:t>
      </w:r>
      <w:bookmarkEnd w:id="73"/>
    </w:p>
    <w:p w14:paraId="3A8489A2" w14:textId="77777777" w:rsidR="0021542A" w:rsidRDefault="00DC5DF9">
      <w:r>
        <w:t>Measures have been taken to respond to risks identified. Examples of avoidance strategies are projects with a thorough feasibility study and regulatory evaluation during the planning stage. Mitigation measures include detailed scheduling, contingency budgeting, workforce planning and phased technology testing to contain the risk level and likelihood of the impact</w:t>
      </w:r>
      <w:r w:rsidR="009758AD">
        <w:t xml:space="preserve"> (</w:t>
      </w:r>
      <w:r w:rsidR="009758AD" w:rsidRPr="009B0900">
        <w:rPr>
          <w:color w:val="222222"/>
          <w:szCs w:val="20"/>
          <w:shd w:val="clear" w:color="auto" w:fill="FFFFFF"/>
        </w:rPr>
        <w:t>Ragab</w:t>
      </w:r>
      <w:r w:rsidR="009758AD">
        <w:rPr>
          <w:color w:val="222222"/>
          <w:szCs w:val="20"/>
          <w:shd w:val="clear" w:color="auto" w:fill="FFFFFF"/>
        </w:rPr>
        <w:t xml:space="preserve"> </w:t>
      </w:r>
      <w:r w:rsidR="009758AD" w:rsidRPr="009B0900">
        <w:rPr>
          <w:color w:val="222222"/>
          <w:szCs w:val="20"/>
          <w:shd w:val="clear" w:color="auto" w:fill="FFFFFF"/>
        </w:rPr>
        <w:t>and Orhan,</w:t>
      </w:r>
      <w:r w:rsidR="009758AD">
        <w:rPr>
          <w:color w:val="222222"/>
          <w:szCs w:val="20"/>
          <w:shd w:val="clear" w:color="auto" w:fill="FFFFFF"/>
        </w:rPr>
        <w:t xml:space="preserve"> 2024</w:t>
      </w:r>
      <w:r w:rsidR="009758AD">
        <w:t>)</w:t>
      </w:r>
      <w:r>
        <w:t>. Transfer strategies are contractual arrangements, insurance and performance-based procurement arrangements where certain risks are transferred to suppliers and contractors. Contingency reserves and monitoring arrangements are used to provide for low-probability risks where mitigation costs are greater than the risks and consequences.</w:t>
      </w:r>
    </w:p>
    <w:p w14:paraId="09A0E326" w14:textId="77777777" w:rsidR="0021542A" w:rsidRDefault="00DC5DF9">
      <w:pPr>
        <w:pStyle w:val="Heading3"/>
        <w:jc w:val="left"/>
      </w:pPr>
      <w:bookmarkStart w:id="74" w:name="_pjmar55tlvil" w:colFirst="0" w:colLast="0"/>
      <w:bookmarkStart w:id="75" w:name="_Toc232518596"/>
      <w:bookmarkEnd w:id="74"/>
      <w:r>
        <w:t>9.4 Risk Monitoring</w:t>
      </w:r>
      <w:bookmarkEnd w:id="75"/>
    </w:p>
    <w:p w14:paraId="7C36CD5E" w14:textId="77777777" w:rsidR="0021542A" w:rsidRDefault="00DC5DF9">
      <w:r>
        <w:t>It is necessary to monitor them over the entire project lifecycle to be able to control the risk effectively. Emerging threats and the effectiveness of measures to reduce the threat will be reviewed at monthly risk review meetings. Risk status reporting through a formal process will be made to the project board and key stakeholders</w:t>
      </w:r>
      <w:r w:rsidR="009758AD">
        <w:t xml:space="preserve"> (</w:t>
      </w:r>
      <w:r w:rsidR="009758AD" w:rsidRPr="009B0900">
        <w:rPr>
          <w:color w:val="222222"/>
          <w:szCs w:val="20"/>
          <w:shd w:val="clear" w:color="auto" w:fill="FFFFFF"/>
        </w:rPr>
        <w:t>Mashali</w:t>
      </w:r>
      <w:r w:rsidR="009758AD">
        <w:rPr>
          <w:i/>
          <w:color w:val="222222"/>
          <w:szCs w:val="20"/>
          <w:shd w:val="clear" w:color="auto" w:fill="FFFFFF"/>
        </w:rPr>
        <w:t>et al.,</w:t>
      </w:r>
      <w:r w:rsidR="009758AD">
        <w:rPr>
          <w:color w:val="222222"/>
          <w:szCs w:val="20"/>
          <w:shd w:val="clear" w:color="auto" w:fill="FFFFFF"/>
        </w:rPr>
        <w:t xml:space="preserve"> 2023</w:t>
      </w:r>
      <w:r w:rsidR="009758AD">
        <w:t>)</w:t>
      </w:r>
      <w:r>
        <w:t>. A governance framework for the project will be established and will include the Project Manager, risk owners, contractors and local authority representatives, ensuring that the project will be accountable, issues will be escalated promptly and effectively, and decision-making is informed.</w:t>
      </w:r>
    </w:p>
    <w:p w14:paraId="5D718190" w14:textId="77777777" w:rsidR="0021542A" w:rsidRDefault="00DC5DF9">
      <w:pPr>
        <w:pStyle w:val="Heading2"/>
        <w:jc w:val="left"/>
      </w:pPr>
      <w:bookmarkStart w:id="76" w:name="_yp2y3bvgrk4h" w:colFirst="0" w:colLast="0"/>
      <w:bookmarkStart w:id="77" w:name="_Toc232518597"/>
      <w:bookmarkEnd w:id="76"/>
      <w:r>
        <w:t>10. Conclusion</w:t>
      </w:r>
      <w:bookmarkEnd w:id="77"/>
      <w:r>
        <w:t xml:space="preserve"> </w:t>
      </w:r>
    </w:p>
    <w:p w14:paraId="6684593C" w14:textId="77777777" w:rsidR="0021542A" w:rsidRDefault="00DC5DF9">
      <w:r>
        <w:t xml:space="preserve">The redevelopment of the central transport hub is necessary to address critical deficiencies in transport infrastructure, which have created a disruption in transport services, transport-related freight handling and economic activity in the area. This project management Plan has involved the use of useful project management tools such as the Work Breakdown Structure (WBS), Quad Chart, Gantt </w:t>
      </w:r>
      <w:r w:rsidR="0089627D">
        <w:t>chart</w:t>
      </w:r>
      <w:r>
        <w:t>, Stakeholder Power-Interest Matrix, Resource Allocation Matrix and Risk Register for structured project delivery, and effective decision making has been supported. The legislator believes the project will offer high value to the commuter, transport provider, businesses and regulatory bodies for reasons beyond just safety, accessibility and operational efficiency benefits, including sustainability. Strategically, redevelopment enables urban regeneration and economic recovery to support sustainable transport for a smart city and to achieve the net-zero transport objective. The project is very well founded in terms of achieving the desired outcomes effectively: having involved stakeholders, managed risks and engaged in good governance; and will benefit the wider community for the long-term.</w:t>
      </w:r>
    </w:p>
    <w:p w14:paraId="7E605086" w14:textId="77777777" w:rsidR="0089627D" w:rsidRDefault="0089627D">
      <w:r>
        <w:br w:type="page"/>
      </w:r>
    </w:p>
    <w:p w14:paraId="4FFE1CF0" w14:textId="77777777" w:rsidR="0089627D" w:rsidRDefault="0089627D" w:rsidP="0089627D">
      <w:pPr>
        <w:pStyle w:val="Heading1"/>
      </w:pPr>
      <w:bookmarkStart w:id="78" w:name="_Toc232518598"/>
      <w:r>
        <w:t>Reference List</w:t>
      </w:r>
      <w:bookmarkEnd w:id="78"/>
    </w:p>
    <w:p w14:paraId="62A9118E"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Adhi, A.B. and Muslim, F., </w:t>
      </w:r>
      <w:r>
        <w:rPr>
          <w:color w:val="222222"/>
          <w:szCs w:val="20"/>
          <w:shd w:val="clear" w:color="auto" w:fill="FFFFFF"/>
        </w:rPr>
        <w:t>(</w:t>
      </w:r>
      <w:r w:rsidRPr="009B0900">
        <w:rPr>
          <w:color w:val="222222"/>
          <w:szCs w:val="20"/>
          <w:shd w:val="clear" w:color="auto" w:fill="FFFFFF"/>
        </w:rPr>
        <w:t>2023</w:t>
      </w:r>
      <w:r>
        <w:rPr>
          <w:color w:val="222222"/>
          <w:szCs w:val="20"/>
          <w:shd w:val="clear" w:color="auto" w:fill="FFFFFF"/>
        </w:rPr>
        <w:t>)</w:t>
      </w:r>
      <w:r w:rsidRPr="009B0900">
        <w:rPr>
          <w:color w:val="222222"/>
          <w:szCs w:val="20"/>
          <w:shd w:val="clear" w:color="auto" w:fill="FFFFFF"/>
        </w:rPr>
        <w:t>. Development of stakeholder engagement strategies to improve sustainable construction implementation based on lean construction principles in Indonesia. </w:t>
      </w:r>
      <w:r w:rsidRPr="009B0900">
        <w:rPr>
          <w:i/>
          <w:iCs/>
          <w:color w:val="222222"/>
          <w:szCs w:val="20"/>
          <w:shd w:val="clear" w:color="auto" w:fill="FFFFFF"/>
        </w:rPr>
        <w:t>Sustainability</w:t>
      </w:r>
      <w:r w:rsidRPr="009B0900">
        <w:rPr>
          <w:color w:val="222222"/>
          <w:szCs w:val="20"/>
          <w:shd w:val="clear" w:color="auto" w:fill="FFFFFF"/>
        </w:rPr>
        <w:t>, </w:t>
      </w:r>
      <w:r w:rsidRPr="009B0900">
        <w:rPr>
          <w:i/>
          <w:iCs/>
          <w:color w:val="222222"/>
          <w:szCs w:val="20"/>
          <w:shd w:val="clear" w:color="auto" w:fill="FFFFFF"/>
        </w:rPr>
        <w:t>15</w:t>
      </w:r>
      <w:r w:rsidRPr="009B0900">
        <w:rPr>
          <w:color w:val="222222"/>
          <w:szCs w:val="20"/>
          <w:shd w:val="clear" w:color="auto" w:fill="FFFFFF"/>
        </w:rPr>
        <w:t>(7), p.6053.</w:t>
      </w:r>
    </w:p>
    <w:p w14:paraId="0B1363C8"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Ahmed, M.A., Saeed, M.M., Ibrahim, Y.A., Abas, M.M., Idris, E.A. and Mohammed, R.H., </w:t>
      </w:r>
      <w:r>
        <w:rPr>
          <w:color w:val="222222"/>
          <w:szCs w:val="20"/>
          <w:shd w:val="clear" w:color="auto" w:fill="FFFFFF"/>
        </w:rPr>
        <w:t>(</w:t>
      </w:r>
      <w:r w:rsidRPr="009B0900">
        <w:rPr>
          <w:color w:val="222222"/>
          <w:szCs w:val="20"/>
          <w:shd w:val="clear" w:color="auto" w:fill="FFFFFF"/>
        </w:rPr>
        <w:t>2026</w:t>
      </w:r>
      <w:r>
        <w:rPr>
          <w:color w:val="222222"/>
          <w:szCs w:val="20"/>
          <w:shd w:val="clear" w:color="auto" w:fill="FFFFFF"/>
        </w:rPr>
        <w:t>)</w:t>
      </w:r>
      <w:r w:rsidRPr="009B0900">
        <w:rPr>
          <w:color w:val="222222"/>
          <w:szCs w:val="20"/>
          <w:shd w:val="clear" w:color="auto" w:fill="FFFFFF"/>
        </w:rPr>
        <w:t>. Design of a Real-Time Public Transport Fleet Management Autonomous System for Smart City Transportation Markets. In </w:t>
      </w:r>
      <w:r w:rsidRPr="009B0900">
        <w:rPr>
          <w:i/>
          <w:iCs/>
          <w:color w:val="222222"/>
          <w:szCs w:val="20"/>
          <w:shd w:val="clear" w:color="auto" w:fill="FFFFFF"/>
        </w:rPr>
        <w:t>Intelligent Transformative Technologies</w:t>
      </w:r>
      <w:r w:rsidRPr="009B0900">
        <w:rPr>
          <w:color w:val="222222"/>
          <w:szCs w:val="20"/>
          <w:shd w:val="clear" w:color="auto" w:fill="FFFFFF"/>
        </w:rPr>
        <w:t xml:space="preserve"> (pp. 59-94). Cham: Springer Nature Switzerland. </w:t>
      </w:r>
    </w:p>
    <w:p w14:paraId="01E7B86A" w14:textId="77777777" w:rsidR="009758AD" w:rsidRPr="009B0900" w:rsidRDefault="009758AD" w:rsidP="009758AD">
      <w:pPr>
        <w:rPr>
          <w:sz w:val="40"/>
        </w:rPr>
      </w:pPr>
      <w:r w:rsidRPr="009B0900">
        <w:rPr>
          <w:color w:val="222222"/>
          <w:szCs w:val="20"/>
          <w:shd w:val="clear" w:color="auto" w:fill="FFFFFF"/>
        </w:rPr>
        <w:t xml:space="preserve">Ali, F. and Haapasalo, H., </w:t>
      </w:r>
      <w:r>
        <w:rPr>
          <w:color w:val="222222"/>
          <w:szCs w:val="20"/>
          <w:shd w:val="clear" w:color="auto" w:fill="FFFFFF"/>
        </w:rPr>
        <w:t>(</w:t>
      </w:r>
      <w:r w:rsidRPr="009B0900">
        <w:rPr>
          <w:color w:val="222222"/>
          <w:szCs w:val="20"/>
          <w:shd w:val="clear" w:color="auto" w:fill="FFFFFF"/>
        </w:rPr>
        <w:t>2023</w:t>
      </w:r>
      <w:r>
        <w:rPr>
          <w:color w:val="222222"/>
          <w:szCs w:val="20"/>
          <w:shd w:val="clear" w:color="auto" w:fill="FFFFFF"/>
        </w:rPr>
        <w:t>)</w:t>
      </w:r>
      <w:r w:rsidRPr="009B0900">
        <w:rPr>
          <w:color w:val="222222"/>
          <w:szCs w:val="20"/>
          <w:shd w:val="clear" w:color="auto" w:fill="FFFFFF"/>
        </w:rPr>
        <w:t>. Development levels of stakeholder relationships in collaborative projects: challenges and preconditions. </w:t>
      </w:r>
      <w:r w:rsidRPr="009B0900">
        <w:rPr>
          <w:i/>
          <w:iCs/>
          <w:color w:val="222222"/>
          <w:szCs w:val="20"/>
          <w:shd w:val="clear" w:color="auto" w:fill="FFFFFF"/>
        </w:rPr>
        <w:t>International Journal of Managing Projects in Business</w:t>
      </w:r>
      <w:r w:rsidRPr="009B0900">
        <w:rPr>
          <w:color w:val="222222"/>
          <w:szCs w:val="20"/>
          <w:shd w:val="clear" w:color="auto" w:fill="FFFFFF"/>
        </w:rPr>
        <w:t>, </w:t>
      </w:r>
      <w:r w:rsidRPr="009B0900">
        <w:rPr>
          <w:i/>
          <w:iCs/>
          <w:color w:val="222222"/>
          <w:szCs w:val="20"/>
          <w:shd w:val="clear" w:color="auto" w:fill="FFFFFF"/>
        </w:rPr>
        <w:t>16</w:t>
      </w:r>
      <w:r w:rsidRPr="009B0900">
        <w:rPr>
          <w:color w:val="222222"/>
          <w:szCs w:val="20"/>
          <w:shd w:val="clear" w:color="auto" w:fill="FFFFFF"/>
        </w:rPr>
        <w:t>(8), pp.58-76.</w:t>
      </w:r>
    </w:p>
    <w:p w14:paraId="319A7C4C"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Ang, K.L.M., Seng, J.K.P., Ngharamike, E. and Ijemaru, G.K., </w:t>
      </w:r>
      <w:r>
        <w:rPr>
          <w:color w:val="222222"/>
          <w:szCs w:val="20"/>
          <w:shd w:val="clear" w:color="auto" w:fill="FFFFFF"/>
        </w:rPr>
        <w:t>(</w:t>
      </w:r>
      <w:r w:rsidRPr="009B0900">
        <w:rPr>
          <w:color w:val="222222"/>
          <w:szCs w:val="20"/>
          <w:shd w:val="clear" w:color="auto" w:fill="FFFFFF"/>
        </w:rPr>
        <w:t>2022</w:t>
      </w:r>
      <w:r>
        <w:rPr>
          <w:color w:val="222222"/>
          <w:szCs w:val="20"/>
          <w:shd w:val="clear" w:color="auto" w:fill="FFFFFF"/>
        </w:rPr>
        <w:t>)</w:t>
      </w:r>
      <w:r w:rsidRPr="009B0900">
        <w:rPr>
          <w:color w:val="222222"/>
          <w:szCs w:val="20"/>
          <w:shd w:val="clear" w:color="auto" w:fill="FFFFFF"/>
        </w:rPr>
        <w:t>. Emerging technologies for smart cities’ transportation: geo-information, data analytics and machine learning approaches. </w:t>
      </w:r>
      <w:r w:rsidRPr="009B0900">
        <w:rPr>
          <w:i/>
          <w:iCs/>
          <w:color w:val="222222"/>
          <w:szCs w:val="20"/>
          <w:shd w:val="clear" w:color="auto" w:fill="FFFFFF"/>
        </w:rPr>
        <w:t>ISPRS International Journal of Geo-Information</w:t>
      </w:r>
      <w:r w:rsidRPr="009B0900">
        <w:rPr>
          <w:color w:val="222222"/>
          <w:szCs w:val="20"/>
          <w:shd w:val="clear" w:color="auto" w:fill="FFFFFF"/>
        </w:rPr>
        <w:t>, </w:t>
      </w:r>
      <w:r w:rsidRPr="009B0900">
        <w:rPr>
          <w:i/>
          <w:iCs/>
          <w:color w:val="222222"/>
          <w:szCs w:val="20"/>
          <w:shd w:val="clear" w:color="auto" w:fill="FFFFFF"/>
        </w:rPr>
        <w:t>11</w:t>
      </w:r>
      <w:r w:rsidRPr="009B0900">
        <w:rPr>
          <w:color w:val="222222"/>
          <w:szCs w:val="20"/>
          <w:shd w:val="clear" w:color="auto" w:fill="FFFFFF"/>
        </w:rPr>
        <w:t xml:space="preserve">(2), p.85. </w:t>
      </w:r>
    </w:p>
    <w:p w14:paraId="0E9F3586" w14:textId="77777777" w:rsidR="009758AD" w:rsidRPr="0017248E" w:rsidRDefault="009758AD" w:rsidP="0089627D">
      <w:pPr>
        <w:rPr>
          <w:color w:val="222222"/>
          <w:szCs w:val="20"/>
          <w:shd w:val="clear" w:color="auto" w:fill="FFFFFF"/>
        </w:rPr>
      </w:pPr>
      <w:r w:rsidRPr="0017248E">
        <w:rPr>
          <w:color w:val="222222"/>
          <w:szCs w:val="20"/>
          <w:shd w:val="clear" w:color="auto" w:fill="FFFFFF"/>
        </w:rPr>
        <w:t xml:space="preserve">Banerjee, I. and Saha, A., </w:t>
      </w:r>
      <w:r>
        <w:rPr>
          <w:color w:val="222222"/>
          <w:szCs w:val="20"/>
          <w:shd w:val="clear" w:color="auto" w:fill="FFFFFF"/>
        </w:rPr>
        <w:t>(</w:t>
      </w:r>
      <w:r w:rsidRPr="0017248E">
        <w:rPr>
          <w:color w:val="222222"/>
          <w:szCs w:val="20"/>
          <w:shd w:val="clear" w:color="auto" w:fill="FFFFFF"/>
        </w:rPr>
        <w:t>2022</w:t>
      </w:r>
      <w:r>
        <w:rPr>
          <w:color w:val="222222"/>
          <w:szCs w:val="20"/>
          <w:shd w:val="clear" w:color="auto" w:fill="FFFFFF"/>
        </w:rPr>
        <w:t>)</w:t>
      </w:r>
      <w:r w:rsidRPr="0017248E">
        <w:rPr>
          <w:color w:val="222222"/>
          <w:szCs w:val="20"/>
          <w:shd w:val="clear" w:color="auto" w:fill="FFFFFF"/>
        </w:rPr>
        <w:t>. Mobility centre-oriented urban regeneration: examining place value of railway stations. </w:t>
      </w:r>
      <w:r w:rsidRPr="0017248E">
        <w:rPr>
          <w:i/>
          <w:iCs/>
          <w:color w:val="222222"/>
          <w:szCs w:val="20"/>
          <w:shd w:val="clear" w:color="auto" w:fill="FFFFFF"/>
        </w:rPr>
        <w:t>Geojournal</w:t>
      </w:r>
      <w:r w:rsidRPr="0017248E">
        <w:rPr>
          <w:color w:val="222222"/>
          <w:szCs w:val="20"/>
          <w:shd w:val="clear" w:color="auto" w:fill="FFFFFF"/>
        </w:rPr>
        <w:t>, </w:t>
      </w:r>
      <w:r w:rsidRPr="0017248E">
        <w:rPr>
          <w:i/>
          <w:iCs/>
          <w:color w:val="222222"/>
          <w:szCs w:val="20"/>
          <w:shd w:val="clear" w:color="auto" w:fill="FFFFFF"/>
        </w:rPr>
        <w:t>87</w:t>
      </w:r>
      <w:r w:rsidRPr="0017248E">
        <w:rPr>
          <w:color w:val="222222"/>
          <w:szCs w:val="20"/>
          <w:shd w:val="clear" w:color="auto" w:fill="FFFFFF"/>
        </w:rPr>
        <w:t>(Suppl 4), pp.567-581.</w:t>
      </w:r>
    </w:p>
    <w:p w14:paraId="0CD50BDB"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Chen, L., Hu, Y., Wang, R., Li, X., Chen, Z., Hua, J., Osman, A.I., Farghali, M., Huang, L., Li, J. and Dong, L., </w:t>
      </w:r>
      <w:r>
        <w:rPr>
          <w:color w:val="222222"/>
          <w:szCs w:val="20"/>
          <w:shd w:val="clear" w:color="auto" w:fill="FFFFFF"/>
        </w:rPr>
        <w:t>(</w:t>
      </w:r>
      <w:r w:rsidRPr="009B0900">
        <w:rPr>
          <w:color w:val="222222"/>
          <w:szCs w:val="20"/>
          <w:shd w:val="clear" w:color="auto" w:fill="FFFFFF"/>
        </w:rPr>
        <w:t>2024</w:t>
      </w:r>
      <w:r>
        <w:rPr>
          <w:color w:val="222222"/>
          <w:szCs w:val="20"/>
          <w:shd w:val="clear" w:color="auto" w:fill="FFFFFF"/>
        </w:rPr>
        <w:t>)</w:t>
      </w:r>
      <w:r w:rsidRPr="009B0900">
        <w:rPr>
          <w:color w:val="222222"/>
          <w:szCs w:val="20"/>
          <w:shd w:val="clear" w:color="auto" w:fill="FFFFFF"/>
        </w:rPr>
        <w:t>. Green building practices to integrate renewable energy in the construction sector: a review. </w:t>
      </w:r>
      <w:r w:rsidRPr="009B0900">
        <w:rPr>
          <w:i/>
          <w:iCs/>
          <w:color w:val="222222"/>
          <w:szCs w:val="20"/>
          <w:shd w:val="clear" w:color="auto" w:fill="FFFFFF"/>
        </w:rPr>
        <w:t>Environmental Chemistry Letters</w:t>
      </w:r>
      <w:r w:rsidRPr="009B0900">
        <w:rPr>
          <w:color w:val="222222"/>
          <w:szCs w:val="20"/>
          <w:shd w:val="clear" w:color="auto" w:fill="FFFFFF"/>
        </w:rPr>
        <w:t>, </w:t>
      </w:r>
      <w:r w:rsidRPr="009B0900">
        <w:rPr>
          <w:i/>
          <w:iCs/>
          <w:color w:val="222222"/>
          <w:szCs w:val="20"/>
          <w:shd w:val="clear" w:color="auto" w:fill="FFFFFF"/>
        </w:rPr>
        <w:t>22</w:t>
      </w:r>
      <w:r w:rsidRPr="009B0900">
        <w:rPr>
          <w:color w:val="222222"/>
          <w:szCs w:val="20"/>
          <w:shd w:val="clear" w:color="auto" w:fill="FFFFFF"/>
        </w:rPr>
        <w:t xml:space="preserve">(2), pp.751-784. </w:t>
      </w:r>
    </w:p>
    <w:p w14:paraId="6434908C"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El Jallad, A.Y., Alozn, M., Ahmed, V. and Alzaatreh, A., </w:t>
      </w:r>
      <w:r>
        <w:rPr>
          <w:color w:val="222222"/>
          <w:szCs w:val="20"/>
          <w:shd w:val="clear" w:color="auto" w:fill="FFFFFF"/>
        </w:rPr>
        <w:t>(</w:t>
      </w:r>
      <w:r w:rsidRPr="009B0900">
        <w:rPr>
          <w:color w:val="222222"/>
          <w:szCs w:val="20"/>
          <w:shd w:val="clear" w:color="auto" w:fill="FFFFFF"/>
        </w:rPr>
        <w:t>2026</w:t>
      </w:r>
      <w:r>
        <w:rPr>
          <w:color w:val="222222"/>
          <w:szCs w:val="20"/>
          <w:shd w:val="clear" w:color="auto" w:fill="FFFFFF"/>
        </w:rPr>
        <w:t>)</w:t>
      </w:r>
      <w:r w:rsidRPr="009B0900">
        <w:rPr>
          <w:color w:val="222222"/>
          <w:szCs w:val="20"/>
          <w:shd w:val="clear" w:color="auto" w:fill="FFFFFF"/>
        </w:rPr>
        <w:t>. A data-driven framework for measuring multimodal transport success in smart cities: the case of Dubai. </w:t>
      </w:r>
      <w:r w:rsidRPr="009B0900">
        <w:rPr>
          <w:i/>
          <w:iCs/>
          <w:color w:val="222222"/>
          <w:szCs w:val="20"/>
          <w:shd w:val="clear" w:color="auto" w:fill="FFFFFF"/>
        </w:rPr>
        <w:t>Scientific Reports</w:t>
      </w:r>
      <w:r w:rsidRPr="009B0900">
        <w:rPr>
          <w:color w:val="222222"/>
          <w:szCs w:val="20"/>
          <w:shd w:val="clear" w:color="auto" w:fill="FFFFFF"/>
        </w:rPr>
        <w:t xml:space="preserve">. </w:t>
      </w:r>
    </w:p>
    <w:p w14:paraId="4F9A2958"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Eze, C.C., </w:t>
      </w:r>
      <w:r>
        <w:rPr>
          <w:color w:val="222222"/>
          <w:szCs w:val="20"/>
          <w:shd w:val="clear" w:color="auto" w:fill="FFFFFF"/>
        </w:rPr>
        <w:t>(</w:t>
      </w:r>
      <w:r w:rsidRPr="009B0900">
        <w:rPr>
          <w:color w:val="222222"/>
          <w:szCs w:val="20"/>
          <w:shd w:val="clear" w:color="auto" w:fill="FFFFFF"/>
        </w:rPr>
        <w:t>2025</w:t>
      </w:r>
      <w:r>
        <w:rPr>
          <w:color w:val="222222"/>
          <w:szCs w:val="20"/>
          <w:shd w:val="clear" w:color="auto" w:fill="FFFFFF"/>
        </w:rPr>
        <w:t>)</w:t>
      </w:r>
      <w:r w:rsidRPr="009B0900">
        <w:rPr>
          <w:color w:val="222222"/>
          <w:szCs w:val="20"/>
          <w:shd w:val="clear" w:color="auto" w:fill="FFFFFF"/>
        </w:rPr>
        <w:t>. Integration of AI-Driven Multimodal Transport Systems for Optimizing Real-Time Urban and Intercity Mobility Solutions. </w:t>
      </w:r>
      <w:r w:rsidRPr="009B0900">
        <w:rPr>
          <w:i/>
          <w:iCs/>
          <w:color w:val="222222"/>
          <w:szCs w:val="20"/>
          <w:shd w:val="clear" w:color="auto" w:fill="FFFFFF"/>
        </w:rPr>
        <w:t>Int. J. of Research Pub. and Reviews</w:t>
      </w:r>
      <w:r w:rsidRPr="009B0900">
        <w:rPr>
          <w:color w:val="222222"/>
          <w:szCs w:val="20"/>
          <w:shd w:val="clear" w:color="auto" w:fill="FFFFFF"/>
        </w:rPr>
        <w:t>.</w:t>
      </w:r>
    </w:p>
    <w:p w14:paraId="6830F0AE"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Gil, E.M. and Vallejo, A.C., </w:t>
      </w:r>
      <w:r>
        <w:rPr>
          <w:color w:val="222222"/>
          <w:szCs w:val="20"/>
          <w:shd w:val="clear" w:color="auto" w:fill="FFFFFF"/>
        </w:rPr>
        <w:t>(</w:t>
      </w:r>
      <w:r w:rsidRPr="009B0900">
        <w:rPr>
          <w:color w:val="222222"/>
          <w:szCs w:val="20"/>
          <w:shd w:val="clear" w:color="auto" w:fill="FFFFFF"/>
        </w:rPr>
        <w:t>2024</w:t>
      </w:r>
      <w:r>
        <w:rPr>
          <w:color w:val="222222"/>
          <w:szCs w:val="20"/>
          <w:shd w:val="clear" w:color="auto" w:fill="FFFFFF"/>
        </w:rPr>
        <w:t>)</w:t>
      </w:r>
      <w:r w:rsidRPr="009B0900">
        <w:rPr>
          <w:color w:val="222222"/>
          <w:szCs w:val="20"/>
          <w:shd w:val="clear" w:color="auto" w:fill="FFFFFF"/>
        </w:rPr>
        <w:t>. Account based ticketing (ABT) integration for seamless multi-modal transport systems in smart cities. </w:t>
      </w:r>
      <w:r w:rsidRPr="009B0900">
        <w:rPr>
          <w:i/>
          <w:iCs/>
          <w:color w:val="222222"/>
          <w:szCs w:val="20"/>
          <w:shd w:val="clear" w:color="auto" w:fill="FFFFFF"/>
        </w:rPr>
        <w:t>Smart Cities and Regional Development (SCRD) Journal</w:t>
      </w:r>
      <w:r w:rsidRPr="009B0900">
        <w:rPr>
          <w:color w:val="222222"/>
          <w:szCs w:val="20"/>
          <w:shd w:val="clear" w:color="auto" w:fill="FFFFFF"/>
        </w:rPr>
        <w:t>, </w:t>
      </w:r>
      <w:r w:rsidRPr="009B0900">
        <w:rPr>
          <w:i/>
          <w:iCs/>
          <w:color w:val="222222"/>
          <w:szCs w:val="20"/>
          <w:shd w:val="clear" w:color="auto" w:fill="FFFFFF"/>
        </w:rPr>
        <w:t>8</w:t>
      </w:r>
      <w:r w:rsidRPr="009B0900">
        <w:rPr>
          <w:color w:val="222222"/>
          <w:szCs w:val="20"/>
          <w:shd w:val="clear" w:color="auto" w:fill="FFFFFF"/>
        </w:rPr>
        <w:t xml:space="preserve">(2), pp.73-80. </w:t>
      </w:r>
    </w:p>
    <w:p w14:paraId="388E29A4" w14:textId="77777777" w:rsidR="009758AD" w:rsidRPr="0017248E" w:rsidRDefault="009758AD" w:rsidP="0089627D">
      <w:pPr>
        <w:rPr>
          <w:color w:val="222222"/>
          <w:szCs w:val="20"/>
          <w:shd w:val="clear" w:color="auto" w:fill="FFFFFF"/>
        </w:rPr>
      </w:pPr>
      <w:r w:rsidRPr="0017248E">
        <w:rPr>
          <w:color w:val="222222"/>
          <w:szCs w:val="20"/>
          <w:shd w:val="clear" w:color="auto" w:fill="FFFFFF"/>
        </w:rPr>
        <w:t xml:space="preserve">Landis, J.D., </w:t>
      </w:r>
      <w:r>
        <w:rPr>
          <w:color w:val="222222"/>
          <w:szCs w:val="20"/>
          <w:shd w:val="clear" w:color="auto" w:fill="FFFFFF"/>
        </w:rPr>
        <w:t>(</w:t>
      </w:r>
      <w:r w:rsidRPr="0017248E">
        <w:rPr>
          <w:color w:val="222222"/>
          <w:szCs w:val="20"/>
          <w:shd w:val="clear" w:color="auto" w:fill="FFFFFF"/>
        </w:rPr>
        <w:t>2022</w:t>
      </w:r>
      <w:r>
        <w:rPr>
          <w:color w:val="222222"/>
          <w:szCs w:val="20"/>
          <w:shd w:val="clear" w:color="auto" w:fill="FFFFFF"/>
        </w:rPr>
        <w:t>)</w:t>
      </w:r>
      <w:r w:rsidRPr="0017248E">
        <w:rPr>
          <w:color w:val="222222"/>
          <w:szCs w:val="20"/>
          <w:shd w:val="clear" w:color="auto" w:fill="FFFFFF"/>
        </w:rPr>
        <w:t>. The megaproject challenge. In </w:t>
      </w:r>
      <w:r w:rsidRPr="0017248E">
        <w:rPr>
          <w:i/>
          <w:iCs/>
          <w:color w:val="222222"/>
          <w:szCs w:val="20"/>
          <w:shd w:val="clear" w:color="auto" w:fill="FFFFFF"/>
        </w:rPr>
        <w:t>Megaprojects for Megacities</w:t>
      </w:r>
      <w:r w:rsidRPr="0017248E">
        <w:rPr>
          <w:color w:val="222222"/>
          <w:szCs w:val="20"/>
          <w:shd w:val="clear" w:color="auto" w:fill="FFFFFF"/>
        </w:rPr>
        <w:t xml:space="preserve"> (pp. 1-39). Edward Elgar Publishing. </w:t>
      </w:r>
    </w:p>
    <w:p w14:paraId="40E037AB" w14:textId="77777777" w:rsidR="009758AD" w:rsidRPr="0017248E" w:rsidRDefault="009758AD" w:rsidP="0089627D">
      <w:pPr>
        <w:rPr>
          <w:color w:val="222222"/>
          <w:szCs w:val="20"/>
          <w:shd w:val="clear" w:color="auto" w:fill="FFFFFF"/>
        </w:rPr>
      </w:pPr>
      <w:r w:rsidRPr="0017248E">
        <w:rPr>
          <w:color w:val="222222"/>
          <w:szCs w:val="20"/>
          <w:shd w:val="clear" w:color="auto" w:fill="FFFFFF"/>
        </w:rPr>
        <w:t xml:space="preserve">Leyba, A.C.G., Rana, M.Q., Salazar, A.M., Oladinrin, O.T. and Lee, A., </w:t>
      </w:r>
      <w:r>
        <w:rPr>
          <w:color w:val="222222"/>
          <w:szCs w:val="20"/>
          <w:shd w:val="clear" w:color="auto" w:fill="FFFFFF"/>
        </w:rPr>
        <w:t>(</w:t>
      </w:r>
      <w:r w:rsidRPr="0017248E">
        <w:rPr>
          <w:color w:val="222222"/>
          <w:szCs w:val="20"/>
          <w:shd w:val="clear" w:color="auto" w:fill="FFFFFF"/>
        </w:rPr>
        <w:t>2024</w:t>
      </w:r>
      <w:r>
        <w:rPr>
          <w:color w:val="222222"/>
          <w:szCs w:val="20"/>
          <w:shd w:val="clear" w:color="auto" w:fill="FFFFFF"/>
        </w:rPr>
        <w:t>)</w:t>
      </w:r>
      <w:r w:rsidRPr="0017248E">
        <w:rPr>
          <w:color w:val="222222"/>
          <w:szCs w:val="20"/>
          <w:shd w:val="clear" w:color="auto" w:fill="FFFFFF"/>
        </w:rPr>
        <w:t>. Deploying the hybrid project management methodology framework in major transportation projects in the United Kingdom. </w:t>
      </w:r>
      <w:r w:rsidRPr="0017248E">
        <w:rPr>
          <w:i/>
          <w:iCs/>
          <w:color w:val="222222"/>
          <w:szCs w:val="20"/>
          <w:shd w:val="clear" w:color="auto" w:fill="FFFFFF"/>
        </w:rPr>
        <w:t>Journal of Architectural Engineering Technology</w:t>
      </w:r>
      <w:r w:rsidRPr="0017248E">
        <w:rPr>
          <w:color w:val="222222"/>
          <w:szCs w:val="20"/>
          <w:shd w:val="clear" w:color="auto" w:fill="FFFFFF"/>
        </w:rPr>
        <w:t>, </w:t>
      </w:r>
      <w:r w:rsidRPr="0017248E">
        <w:rPr>
          <w:i/>
          <w:iCs/>
          <w:color w:val="222222"/>
          <w:szCs w:val="20"/>
          <w:shd w:val="clear" w:color="auto" w:fill="FFFFFF"/>
        </w:rPr>
        <w:t>13</w:t>
      </w:r>
      <w:r w:rsidRPr="0017248E">
        <w:rPr>
          <w:color w:val="222222"/>
          <w:szCs w:val="20"/>
          <w:shd w:val="clear" w:color="auto" w:fill="FFFFFF"/>
        </w:rPr>
        <w:t xml:space="preserve">(2). </w:t>
      </w:r>
    </w:p>
    <w:p w14:paraId="74C472B6"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Li, Y., Li, M., Sang, P., Chen, P.H. and Li, C., </w:t>
      </w:r>
      <w:r>
        <w:rPr>
          <w:color w:val="222222"/>
          <w:szCs w:val="20"/>
          <w:shd w:val="clear" w:color="auto" w:fill="FFFFFF"/>
        </w:rPr>
        <w:t>(</w:t>
      </w:r>
      <w:r w:rsidRPr="009B0900">
        <w:rPr>
          <w:color w:val="222222"/>
          <w:szCs w:val="20"/>
          <w:shd w:val="clear" w:color="auto" w:fill="FFFFFF"/>
        </w:rPr>
        <w:t>2022</w:t>
      </w:r>
      <w:r>
        <w:rPr>
          <w:color w:val="222222"/>
          <w:szCs w:val="20"/>
          <w:shd w:val="clear" w:color="auto" w:fill="FFFFFF"/>
        </w:rPr>
        <w:t>)</w:t>
      </w:r>
      <w:r w:rsidRPr="009B0900">
        <w:rPr>
          <w:color w:val="222222"/>
          <w:szCs w:val="20"/>
          <w:shd w:val="clear" w:color="auto" w:fill="FFFFFF"/>
        </w:rPr>
        <w:t>. Stakeholder studies of green buildings: A literature review. </w:t>
      </w:r>
      <w:r w:rsidRPr="009B0900">
        <w:rPr>
          <w:i/>
          <w:iCs/>
          <w:color w:val="222222"/>
          <w:szCs w:val="20"/>
          <w:shd w:val="clear" w:color="auto" w:fill="FFFFFF"/>
        </w:rPr>
        <w:t>Journal of Building Engineering</w:t>
      </w:r>
      <w:r w:rsidRPr="009B0900">
        <w:rPr>
          <w:color w:val="222222"/>
          <w:szCs w:val="20"/>
          <w:shd w:val="clear" w:color="auto" w:fill="FFFFFF"/>
        </w:rPr>
        <w:t>, </w:t>
      </w:r>
      <w:r w:rsidRPr="009B0900">
        <w:rPr>
          <w:i/>
          <w:iCs/>
          <w:color w:val="222222"/>
          <w:szCs w:val="20"/>
          <w:shd w:val="clear" w:color="auto" w:fill="FFFFFF"/>
        </w:rPr>
        <w:t>54</w:t>
      </w:r>
      <w:r w:rsidRPr="009B0900">
        <w:rPr>
          <w:color w:val="222222"/>
          <w:szCs w:val="20"/>
          <w:shd w:val="clear" w:color="auto" w:fill="FFFFFF"/>
        </w:rPr>
        <w:t xml:space="preserve">, p.104667. </w:t>
      </w:r>
    </w:p>
    <w:p w14:paraId="2F7196EC" w14:textId="77777777" w:rsidR="009758AD" w:rsidRPr="009B0900" w:rsidRDefault="009758AD" w:rsidP="009758AD">
      <w:pPr>
        <w:rPr>
          <w:color w:val="222222"/>
          <w:shd w:val="clear" w:color="auto" w:fill="FFFFFF"/>
        </w:rPr>
      </w:pPr>
      <w:r w:rsidRPr="009B0900">
        <w:rPr>
          <w:color w:val="222222"/>
          <w:shd w:val="clear" w:color="auto" w:fill="FFFFFF"/>
        </w:rPr>
        <w:t xml:space="preserve">Lin, D., Broere, W. and Cui, J., </w:t>
      </w:r>
      <w:r>
        <w:rPr>
          <w:color w:val="222222"/>
          <w:shd w:val="clear" w:color="auto" w:fill="FFFFFF"/>
        </w:rPr>
        <w:t>(</w:t>
      </w:r>
      <w:r w:rsidRPr="009B0900">
        <w:rPr>
          <w:color w:val="222222"/>
          <w:shd w:val="clear" w:color="auto" w:fill="FFFFFF"/>
        </w:rPr>
        <w:t>2022</w:t>
      </w:r>
      <w:r>
        <w:rPr>
          <w:color w:val="222222"/>
          <w:shd w:val="clear" w:color="auto" w:fill="FFFFFF"/>
        </w:rPr>
        <w:t>)</w:t>
      </w:r>
      <w:r w:rsidRPr="009B0900">
        <w:rPr>
          <w:color w:val="222222"/>
          <w:shd w:val="clear" w:color="auto" w:fill="FFFFFF"/>
        </w:rPr>
        <w:t>. Underground space utilisation and new town development: Experiences, lessons and implications. </w:t>
      </w:r>
      <w:r w:rsidRPr="009B0900">
        <w:rPr>
          <w:i/>
          <w:iCs/>
          <w:color w:val="222222"/>
          <w:shd w:val="clear" w:color="auto" w:fill="FFFFFF"/>
        </w:rPr>
        <w:t>Tunnelling and underground space technology</w:t>
      </w:r>
      <w:r w:rsidRPr="009B0900">
        <w:rPr>
          <w:color w:val="222222"/>
          <w:shd w:val="clear" w:color="auto" w:fill="FFFFFF"/>
        </w:rPr>
        <w:t>, </w:t>
      </w:r>
      <w:r w:rsidRPr="009B0900">
        <w:rPr>
          <w:i/>
          <w:iCs/>
          <w:color w:val="222222"/>
          <w:shd w:val="clear" w:color="auto" w:fill="FFFFFF"/>
        </w:rPr>
        <w:t>119</w:t>
      </w:r>
      <w:r w:rsidRPr="009B0900">
        <w:rPr>
          <w:color w:val="222222"/>
          <w:shd w:val="clear" w:color="auto" w:fill="FFFFFF"/>
        </w:rPr>
        <w:t xml:space="preserve">, p.104204. </w:t>
      </w:r>
    </w:p>
    <w:p w14:paraId="33B7974E"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Ma, W. and Hao, J.L., </w:t>
      </w:r>
      <w:r>
        <w:rPr>
          <w:color w:val="222222"/>
          <w:szCs w:val="20"/>
          <w:shd w:val="clear" w:color="auto" w:fill="FFFFFF"/>
        </w:rPr>
        <w:t>(</w:t>
      </w:r>
      <w:r w:rsidRPr="009B0900">
        <w:rPr>
          <w:color w:val="222222"/>
          <w:szCs w:val="20"/>
          <w:shd w:val="clear" w:color="auto" w:fill="FFFFFF"/>
        </w:rPr>
        <w:t>2024</w:t>
      </w:r>
      <w:r>
        <w:rPr>
          <w:color w:val="222222"/>
          <w:szCs w:val="20"/>
          <w:shd w:val="clear" w:color="auto" w:fill="FFFFFF"/>
        </w:rPr>
        <w:t>)</w:t>
      </w:r>
      <w:r w:rsidRPr="009B0900">
        <w:rPr>
          <w:color w:val="222222"/>
          <w:szCs w:val="20"/>
          <w:shd w:val="clear" w:color="auto" w:fill="FFFFFF"/>
        </w:rPr>
        <w:t>. Enhancing a circular economy for construction and demolition waste management in China: A stakeholder engagement and key strategy approach. </w:t>
      </w:r>
      <w:r w:rsidRPr="009B0900">
        <w:rPr>
          <w:i/>
          <w:iCs/>
          <w:color w:val="222222"/>
          <w:szCs w:val="20"/>
          <w:shd w:val="clear" w:color="auto" w:fill="FFFFFF"/>
        </w:rPr>
        <w:t>Journal of cleaner production</w:t>
      </w:r>
      <w:r w:rsidRPr="009B0900">
        <w:rPr>
          <w:color w:val="222222"/>
          <w:szCs w:val="20"/>
          <w:shd w:val="clear" w:color="auto" w:fill="FFFFFF"/>
        </w:rPr>
        <w:t>, </w:t>
      </w:r>
      <w:r w:rsidRPr="009B0900">
        <w:rPr>
          <w:i/>
          <w:iCs/>
          <w:color w:val="222222"/>
          <w:szCs w:val="20"/>
          <w:shd w:val="clear" w:color="auto" w:fill="FFFFFF"/>
        </w:rPr>
        <w:t>450</w:t>
      </w:r>
      <w:r w:rsidRPr="009B0900">
        <w:rPr>
          <w:color w:val="222222"/>
          <w:szCs w:val="20"/>
          <w:shd w:val="clear" w:color="auto" w:fill="FFFFFF"/>
        </w:rPr>
        <w:t xml:space="preserve">, p.141763. </w:t>
      </w:r>
    </w:p>
    <w:p w14:paraId="25344E53"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Mashali, A., Elbeltagi, E., Motawa, I. and Elshikh, M., </w:t>
      </w:r>
      <w:r>
        <w:rPr>
          <w:color w:val="222222"/>
          <w:szCs w:val="20"/>
          <w:shd w:val="clear" w:color="auto" w:fill="FFFFFF"/>
        </w:rPr>
        <w:t>(</w:t>
      </w:r>
      <w:r w:rsidRPr="009B0900">
        <w:rPr>
          <w:color w:val="222222"/>
          <w:szCs w:val="20"/>
          <w:shd w:val="clear" w:color="auto" w:fill="FFFFFF"/>
        </w:rPr>
        <w:t>2023</w:t>
      </w:r>
      <w:r>
        <w:rPr>
          <w:color w:val="222222"/>
          <w:szCs w:val="20"/>
          <w:shd w:val="clear" w:color="auto" w:fill="FFFFFF"/>
        </w:rPr>
        <w:t>)</w:t>
      </w:r>
      <w:r w:rsidRPr="009B0900">
        <w:rPr>
          <w:color w:val="222222"/>
          <w:szCs w:val="20"/>
          <w:shd w:val="clear" w:color="auto" w:fill="FFFFFF"/>
        </w:rPr>
        <w:t>. Stakeholder management challenges in mega construction projects: critical success factors. </w:t>
      </w:r>
      <w:r w:rsidRPr="009B0900">
        <w:rPr>
          <w:i/>
          <w:iCs/>
          <w:color w:val="222222"/>
          <w:szCs w:val="20"/>
          <w:shd w:val="clear" w:color="auto" w:fill="FFFFFF"/>
        </w:rPr>
        <w:t>Journal of engineering, design and technology</w:t>
      </w:r>
      <w:r w:rsidRPr="009B0900">
        <w:rPr>
          <w:color w:val="222222"/>
          <w:szCs w:val="20"/>
          <w:shd w:val="clear" w:color="auto" w:fill="FFFFFF"/>
        </w:rPr>
        <w:t>, </w:t>
      </w:r>
      <w:r w:rsidRPr="009B0900">
        <w:rPr>
          <w:i/>
          <w:iCs/>
          <w:color w:val="222222"/>
          <w:szCs w:val="20"/>
          <w:shd w:val="clear" w:color="auto" w:fill="FFFFFF"/>
        </w:rPr>
        <w:t>21</w:t>
      </w:r>
      <w:r w:rsidRPr="009B0900">
        <w:rPr>
          <w:color w:val="222222"/>
          <w:szCs w:val="20"/>
          <w:shd w:val="clear" w:color="auto" w:fill="FFFFFF"/>
        </w:rPr>
        <w:t>(2), pp.358-375.</w:t>
      </w:r>
    </w:p>
    <w:p w14:paraId="62AD8876" w14:textId="77777777" w:rsidR="009758AD" w:rsidRPr="0017248E" w:rsidRDefault="009758AD" w:rsidP="0089627D">
      <w:pPr>
        <w:rPr>
          <w:sz w:val="28"/>
        </w:rPr>
      </w:pPr>
      <w:r w:rsidRPr="0017248E">
        <w:rPr>
          <w:color w:val="222222"/>
          <w:szCs w:val="20"/>
          <w:shd w:val="clear" w:color="auto" w:fill="FFFFFF"/>
        </w:rPr>
        <w:t xml:space="preserve">Metaxas, T., Gallego, J.S. and Juarez, L., </w:t>
      </w:r>
      <w:r>
        <w:rPr>
          <w:color w:val="222222"/>
          <w:szCs w:val="20"/>
          <w:shd w:val="clear" w:color="auto" w:fill="FFFFFF"/>
        </w:rPr>
        <w:t>(</w:t>
      </w:r>
      <w:r w:rsidRPr="0017248E">
        <w:rPr>
          <w:color w:val="222222"/>
          <w:szCs w:val="20"/>
          <w:shd w:val="clear" w:color="auto" w:fill="FFFFFF"/>
        </w:rPr>
        <w:t>2023</w:t>
      </w:r>
      <w:r>
        <w:rPr>
          <w:color w:val="222222"/>
          <w:szCs w:val="20"/>
          <w:shd w:val="clear" w:color="auto" w:fill="FFFFFF"/>
        </w:rPr>
        <w:t>)</w:t>
      </w:r>
      <w:r w:rsidRPr="0017248E">
        <w:rPr>
          <w:color w:val="222222"/>
          <w:szCs w:val="20"/>
          <w:shd w:val="clear" w:color="auto" w:fill="FFFFFF"/>
        </w:rPr>
        <w:t>. Sustainable urban development and the role of mega-projects: Experts’ view about Madrid Nuevo Norte Project. </w:t>
      </w:r>
      <w:r w:rsidRPr="0017248E">
        <w:rPr>
          <w:i/>
          <w:iCs/>
          <w:color w:val="222222"/>
          <w:szCs w:val="20"/>
          <w:shd w:val="clear" w:color="auto" w:fill="FFFFFF"/>
        </w:rPr>
        <w:t>Journal of Infrastructure, Policy and Development</w:t>
      </w:r>
      <w:r w:rsidRPr="0017248E">
        <w:rPr>
          <w:color w:val="222222"/>
          <w:szCs w:val="20"/>
          <w:shd w:val="clear" w:color="auto" w:fill="FFFFFF"/>
        </w:rPr>
        <w:t>, </w:t>
      </w:r>
      <w:r w:rsidRPr="0017248E">
        <w:rPr>
          <w:i/>
          <w:iCs/>
          <w:color w:val="222222"/>
          <w:szCs w:val="20"/>
          <w:shd w:val="clear" w:color="auto" w:fill="FFFFFF"/>
        </w:rPr>
        <w:t>7</w:t>
      </w:r>
      <w:r w:rsidRPr="0017248E">
        <w:rPr>
          <w:color w:val="222222"/>
          <w:szCs w:val="20"/>
          <w:shd w:val="clear" w:color="auto" w:fill="FFFFFF"/>
        </w:rPr>
        <w:t>(2), p.2161.</w:t>
      </w:r>
    </w:p>
    <w:p w14:paraId="36590D8E" w14:textId="77777777" w:rsidR="009758AD" w:rsidRPr="009B0900" w:rsidRDefault="009758AD" w:rsidP="009758AD">
      <w:pPr>
        <w:rPr>
          <w:color w:val="222222"/>
          <w:shd w:val="clear" w:color="auto" w:fill="FFFFFF"/>
        </w:rPr>
      </w:pPr>
      <w:r w:rsidRPr="009B0900">
        <w:rPr>
          <w:color w:val="222222"/>
          <w:shd w:val="clear" w:color="auto" w:fill="FFFFFF"/>
        </w:rPr>
        <w:t xml:space="preserve">Mntungwa, P.R., </w:t>
      </w:r>
      <w:r>
        <w:rPr>
          <w:color w:val="222222"/>
          <w:shd w:val="clear" w:color="auto" w:fill="FFFFFF"/>
        </w:rPr>
        <w:t>(</w:t>
      </w:r>
      <w:r w:rsidRPr="009B0900">
        <w:rPr>
          <w:color w:val="222222"/>
          <w:shd w:val="clear" w:color="auto" w:fill="FFFFFF"/>
        </w:rPr>
        <w:t>2025</w:t>
      </w:r>
      <w:r>
        <w:rPr>
          <w:color w:val="222222"/>
          <w:shd w:val="clear" w:color="auto" w:fill="FFFFFF"/>
        </w:rPr>
        <w:t>)</w:t>
      </w:r>
      <w:r w:rsidRPr="009B0900">
        <w:rPr>
          <w:color w:val="222222"/>
          <w:shd w:val="clear" w:color="auto" w:fill="FFFFFF"/>
        </w:rPr>
        <w:t>. Public transport network improvements as a catalyst for integrated land use-transport development: lessons from case studies of Copenhagen, Curitiba, Hong Kong and Seoul.</w:t>
      </w:r>
    </w:p>
    <w:p w14:paraId="1169CFA3"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Munaro, M.R. and Tavares, S.F., </w:t>
      </w:r>
      <w:r>
        <w:rPr>
          <w:color w:val="222222"/>
          <w:szCs w:val="20"/>
          <w:shd w:val="clear" w:color="auto" w:fill="FFFFFF"/>
        </w:rPr>
        <w:t>(</w:t>
      </w:r>
      <w:r w:rsidRPr="009B0900">
        <w:rPr>
          <w:color w:val="222222"/>
          <w:szCs w:val="20"/>
          <w:shd w:val="clear" w:color="auto" w:fill="FFFFFF"/>
        </w:rPr>
        <w:t>2023</w:t>
      </w:r>
      <w:r>
        <w:rPr>
          <w:color w:val="222222"/>
          <w:szCs w:val="20"/>
          <w:shd w:val="clear" w:color="auto" w:fill="FFFFFF"/>
        </w:rPr>
        <w:t>)</w:t>
      </w:r>
      <w:r w:rsidRPr="009B0900">
        <w:rPr>
          <w:color w:val="222222"/>
          <w:szCs w:val="20"/>
          <w:shd w:val="clear" w:color="auto" w:fill="FFFFFF"/>
        </w:rPr>
        <w:t>. A review on barriers, drivers, and stakeholders towards the circular economy: The construction sector perspective. </w:t>
      </w:r>
      <w:r w:rsidRPr="009B0900">
        <w:rPr>
          <w:i/>
          <w:iCs/>
          <w:color w:val="222222"/>
          <w:szCs w:val="20"/>
          <w:shd w:val="clear" w:color="auto" w:fill="FFFFFF"/>
        </w:rPr>
        <w:t>Cleaner and Responsible Consumption</w:t>
      </w:r>
      <w:r w:rsidRPr="009B0900">
        <w:rPr>
          <w:color w:val="222222"/>
          <w:szCs w:val="20"/>
          <w:shd w:val="clear" w:color="auto" w:fill="FFFFFF"/>
        </w:rPr>
        <w:t>, </w:t>
      </w:r>
      <w:r w:rsidRPr="009B0900">
        <w:rPr>
          <w:i/>
          <w:iCs/>
          <w:color w:val="222222"/>
          <w:szCs w:val="20"/>
          <w:shd w:val="clear" w:color="auto" w:fill="FFFFFF"/>
        </w:rPr>
        <w:t>8</w:t>
      </w:r>
      <w:r w:rsidRPr="009B0900">
        <w:rPr>
          <w:color w:val="222222"/>
          <w:szCs w:val="20"/>
          <w:shd w:val="clear" w:color="auto" w:fill="FFFFFF"/>
        </w:rPr>
        <w:t xml:space="preserve">, p.100107. </w:t>
      </w:r>
    </w:p>
    <w:p w14:paraId="234F6BE5" w14:textId="77777777" w:rsidR="009758AD" w:rsidRPr="009B0900" w:rsidRDefault="009758AD" w:rsidP="009758AD">
      <w:pPr>
        <w:rPr>
          <w:color w:val="222222"/>
          <w:shd w:val="clear" w:color="auto" w:fill="FFFFFF"/>
        </w:rPr>
      </w:pPr>
      <w:r w:rsidRPr="009B0900">
        <w:rPr>
          <w:color w:val="222222"/>
          <w:shd w:val="clear" w:color="auto" w:fill="FFFFFF"/>
        </w:rPr>
        <w:t xml:space="preserve">Niezabitowski, M., </w:t>
      </w:r>
      <w:r>
        <w:rPr>
          <w:color w:val="222222"/>
          <w:shd w:val="clear" w:color="auto" w:fill="FFFFFF"/>
        </w:rPr>
        <w:t>(</w:t>
      </w:r>
      <w:r w:rsidRPr="009B0900">
        <w:rPr>
          <w:color w:val="222222"/>
          <w:shd w:val="clear" w:color="auto" w:fill="FFFFFF"/>
        </w:rPr>
        <w:t>2024</w:t>
      </w:r>
      <w:r>
        <w:rPr>
          <w:color w:val="222222"/>
          <w:shd w:val="clear" w:color="auto" w:fill="FFFFFF"/>
        </w:rPr>
        <w:t>)</w:t>
      </w:r>
      <w:r w:rsidRPr="009B0900">
        <w:rPr>
          <w:color w:val="222222"/>
          <w:shd w:val="clear" w:color="auto" w:fill="FFFFFF"/>
        </w:rPr>
        <w:t>. The use of space-its harmony and disturbances. Case studies of three chosen places. </w:t>
      </w:r>
      <w:r w:rsidRPr="009B0900">
        <w:rPr>
          <w:i/>
          <w:iCs/>
          <w:color w:val="222222"/>
          <w:shd w:val="clear" w:color="auto" w:fill="FFFFFF"/>
        </w:rPr>
        <w:t>Zeszyty Naukowe. Organizacja i Zarządzanie/Politechnika Śląska</w:t>
      </w:r>
      <w:r w:rsidRPr="009B0900">
        <w:rPr>
          <w:color w:val="222222"/>
          <w:shd w:val="clear" w:color="auto" w:fill="FFFFFF"/>
        </w:rPr>
        <w:t xml:space="preserve">. </w:t>
      </w:r>
    </w:p>
    <w:p w14:paraId="38EAF533" w14:textId="77777777" w:rsidR="009758AD" w:rsidRPr="009B0900" w:rsidRDefault="009758AD" w:rsidP="009758AD">
      <w:pPr>
        <w:rPr>
          <w:color w:val="222222"/>
          <w:shd w:val="clear" w:color="auto" w:fill="FFFFFF"/>
        </w:rPr>
      </w:pPr>
      <w:r w:rsidRPr="009B0900">
        <w:rPr>
          <w:color w:val="222222"/>
          <w:shd w:val="clear" w:color="auto" w:fill="FFFFFF"/>
        </w:rPr>
        <w:t xml:space="preserve">Nowoczyn, T. and Specht, M., </w:t>
      </w:r>
      <w:r>
        <w:rPr>
          <w:color w:val="222222"/>
          <w:shd w:val="clear" w:color="auto" w:fill="FFFFFF"/>
        </w:rPr>
        <w:t>(</w:t>
      </w:r>
      <w:r w:rsidRPr="009B0900">
        <w:rPr>
          <w:color w:val="222222"/>
          <w:shd w:val="clear" w:color="auto" w:fill="FFFFFF"/>
        </w:rPr>
        <w:t>2025</w:t>
      </w:r>
      <w:r>
        <w:rPr>
          <w:color w:val="222222"/>
          <w:shd w:val="clear" w:color="auto" w:fill="FFFFFF"/>
        </w:rPr>
        <w:t>)</w:t>
      </w:r>
      <w:r w:rsidRPr="009B0900">
        <w:rPr>
          <w:color w:val="222222"/>
          <w:shd w:val="clear" w:color="auto" w:fill="FFFFFF"/>
        </w:rPr>
        <w:t>. Central transport hub: Analysis of ground and airspace environments. </w:t>
      </w:r>
      <w:r w:rsidRPr="009B0900">
        <w:rPr>
          <w:i/>
          <w:iCs/>
          <w:color w:val="222222"/>
          <w:shd w:val="clear" w:color="auto" w:fill="FFFFFF"/>
        </w:rPr>
        <w:t>Advances in Science and Technology. Research Journal</w:t>
      </w:r>
      <w:r w:rsidRPr="009B0900">
        <w:rPr>
          <w:color w:val="222222"/>
          <w:shd w:val="clear" w:color="auto" w:fill="FFFFFF"/>
        </w:rPr>
        <w:t>, </w:t>
      </w:r>
      <w:r w:rsidRPr="009B0900">
        <w:rPr>
          <w:i/>
          <w:iCs/>
          <w:color w:val="222222"/>
          <w:shd w:val="clear" w:color="auto" w:fill="FFFFFF"/>
        </w:rPr>
        <w:t>19</w:t>
      </w:r>
      <w:r w:rsidRPr="009B0900">
        <w:rPr>
          <w:color w:val="222222"/>
          <w:shd w:val="clear" w:color="auto" w:fill="FFFFFF"/>
        </w:rPr>
        <w:t xml:space="preserve">(9), pp.171-188. </w:t>
      </w:r>
    </w:p>
    <w:p w14:paraId="28CD8A88"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Nwaogbe, G., Urhoghide, O., Ekpenyong, E. and Emmanuel, A., </w:t>
      </w:r>
      <w:r>
        <w:rPr>
          <w:color w:val="222222"/>
          <w:szCs w:val="20"/>
          <w:shd w:val="clear" w:color="auto" w:fill="FFFFFF"/>
        </w:rPr>
        <w:t>(</w:t>
      </w:r>
      <w:r w:rsidRPr="009B0900">
        <w:rPr>
          <w:color w:val="222222"/>
          <w:szCs w:val="20"/>
          <w:shd w:val="clear" w:color="auto" w:fill="FFFFFF"/>
        </w:rPr>
        <w:t>2025</w:t>
      </w:r>
      <w:r>
        <w:rPr>
          <w:color w:val="222222"/>
          <w:szCs w:val="20"/>
          <w:shd w:val="clear" w:color="auto" w:fill="FFFFFF"/>
        </w:rPr>
        <w:t>)</w:t>
      </w:r>
      <w:r w:rsidRPr="009B0900">
        <w:rPr>
          <w:color w:val="222222"/>
          <w:szCs w:val="20"/>
          <w:shd w:val="clear" w:color="auto" w:fill="FFFFFF"/>
        </w:rPr>
        <w:t>. Green construction practices: Aligning environmental sustainability with project efficiency. </w:t>
      </w:r>
      <w:r w:rsidRPr="009B0900">
        <w:rPr>
          <w:i/>
          <w:iCs/>
          <w:color w:val="222222"/>
          <w:szCs w:val="20"/>
          <w:shd w:val="clear" w:color="auto" w:fill="FFFFFF"/>
        </w:rPr>
        <w:t>International Journal of Science and Research Archive</w:t>
      </w:r>
      <w:r w:rsidRPr="009B0900">
        <w:rPr>
          <w:color w:val="222222"/>
          <w:szCs w:val="20"/>
          <w:shd w:val="clear" w:color="auto" w:fill="FFFFFF"/>
        </w:rPr>
        <w:t>, </w:t>
      </w:r>
      <w:r w:rsidRPr="009B0900">
        <w:rPr>
          <w:i/>
          <w:iCs/>
          <w:color w:val="222222"/>
          <w:szCs w:val="20"/>
          <w:shd w:val="clear" w:color="auto" w:fill="FFFFFF"/>
        </w:rPr>
        <w:t>14</w:t>
      </w:r>
      <w:r w:rsidRPr="009B0900">
        <w:rPr>
          <w:color w:val="222222"/>
          <w:szCs w:val="20"/>
          <w:shd w:val="clear" w:color="auto" w:fill="FFFFFF"/>
        </w:rPr>
        <w:t>(1), pp.189-201.</w:t>
      </w:r>
    </w:p>
    <w:p w14:paraId="7048578C" w14:textId="77777777" w:rsidR="009758AD" w:rsidRDefault="009758AD" w:rsidP="009758AD">
      <w:pPr>
        <w:rPr>
          <w:color w:val="222222"/>
          <w:szCs w:val="20"/>
          <w:shd w:val="clear" w:color="auto" w:fill="FFFFFF"/>
        </w:rPr>
      </w:pPr>
      <w:r w:rsidRPr="009B0900">
        <w:rPr>
          <w:color w:val="222222"/>
          <w:szCs w:val="20"/>
          <w:shd w:val="clear" w:color="auto" w:fill="FFFFFF"/>
        </w:rPr>
        <w:t xml:space="preserve">Ragab, K.M. and Orhan, M.F., </w:t>
      </w:r>
      <w:r>
        <w:rPr>
          <w:color w:val="222222"/>
          <w:szCs w:val="20"/>
          <w:shd w:val="clear" w:color="auto" w:fill="FFFFFF"/>
        </w:rPr>
        <w:t>(</w:t>
      </w:r>
      <w:r w:rsidRPr="009B0900">
        <w:rPr>
          <w:color w:val="222222"/>
          <w:szCs w:val="20"/>
          <w:shd w:val="clear" w:color="auto" w:fill="FFFFFF"/>
        </w:rPr>
        <w:t>2024</w:t>
      </w:r>
      <w:r>
        <w:rPr>
          <w:color w:val="222222"/>
          <w:szCs w:val="20"/>
          <w:shd w:val="clear" w:color="auto" w:fill="FFFFFF"/>
        </w:rPr>
        <w:t>)</w:t>
      </w:r>
      <w:r w:rsidRPr="009B0900">
        <w:rPr>
          <w:color w:val="222222"/>
          <w:szCs w:val="20"/>
          <w:shd w:val="clear" w:color="auto" w:fill="FFFFFF"/>
        </w:rPr>
        <w:t>. Evaluating conventional and renewable energy systems for green buildings: A case study on energy efficiency and cost optimization. </w:t>
      </w:r>
      <w:r w:rsidRPr="009B0900">
        <w:rPr>
          <w:i/>
          <w:iCs/>
          <w:color w:val="222222"/>
          <w:szCs w:val="20"/>
          <w:shd w:val="clear" w:color="auto" w:fill="FFFFFF"/>
        </w:rPr>
        <w:t>Case studies in thermal engineering</w:t>
      </w:r>
      <w:r w:rsidRPr="009B0900">
        <w:rPr>
          <w:color w:val="222222"/>
          <w:szCs w:val="20"/>
          <w:shd w:val="clear" w:color="auto" w:fill="FFFFFF"/>
        </w:rPr>
        <w:t>, </w:t>
      </w:r>
      <w:r w:rsidRPr="009B0900">
        <w:rPr>
          <w:i/>
          <w:iCs/>
          <w:color w:val="222222"/>
          <w:szCs w:val="20"/>
          <w:shd w:val="clear" w:color="auto" w:fill="FFFFFF"/>
        </w:rPr>
        <w:t>63</w:t>
      </w:r>
      <w:r w:rsidRPr="009B0900">
        <w:rPr>
          <w:color w:val="222222"/>
          <w:szCs w:val="20"/>
          <w:shd w:val="clear" w:color="auto" w:fill="FFFFFF"/>
        </w:rPr>
        <w:t xml:space="preserve">, p.105233. </w:t>
      </w:r>
    </w:p>
    <w:p w14:paraId="22539564" w14:textId="77777777" w:rsidR="009758AD" w:rsidRPr="009B0900" w:rsidRDefault="009758AD" w:rsidP="009758AD">
      <w:r w:rsidRPr="009B0900">
        <w:rPr>
          <w:color w:val="222222"/>
          <w:szCs w:val="20"/>
          <w:shd w:val="clear" w:color="auto" w:fill="FFFFFF"/>
        </w:rPr>
        <w:t xml:space="preserve">Ragab, K.M. and Orhan, </w:t>
      </w:r>
      <w:r w:rsidRPr="009B0900">
        <w:t xml:space="preserve">Solihull, (2018), </w:t>
      </w:r>
      <w:r w:rsidRPr="00E61D0D">
        <w:rPr>
          <w:i/>
        </w:rPr>
        <w:t xml:space="preserve">THE UK CENTRAL HUB Growth and Infrastructure Plan. </w:t>
      </w:r>
      <w:r w:rsidRPr="009B0900">
        <w:t xml:space="preserve">[Online] Available at:  </w:t>
      </w:r>
      <w:hyperlink r:id="rId14" w:history="1">
        <w:r w:rsidRPr="009B0900">
          <w:rPr>
            <w:rStyle w:val="Hyperlink"/>
          </w:rPr>
          <w:t>https://www.solihull.gov.uk/sites/default/files/2020-12/Hub-Growth-and-Infrastructure-Plan-2018.pdf</w:t>
        </w:r>
      </w:hyperlink>
      <w:r w:rsidRPr="009B0900">
        <w:t xml:space="preserve"> [Accessed on: 14</w:t>
      </w:r>
      <w:r w:rsidRPr="009B0900">
        <w:rPr>
          <w:vertAlign w:val="superscript"/>
        </w:rPr>
        <w:t>th</w:t>
      </w:r>
      <w:r w:rsidRPr="009B0900">
        <w:t xml:space="preserve"> June 2026]</w:t>
      </w:r>
    </w:p>
    <w:p w14:paraId="7B96D6A5" w14:textId="77777777" w:rsidR="009758AD" w:rsidRDefault="009758AD" w:rsidP="0089627D">
      <w:pPr>
        <w:rPr>
          <w:color w:val="222222"/>
          <w:szCs w:val="20"/>
          <w:shd w:val="clear" w:color="auto" w:fill="FFFFFF"/>
        </w:rPr>
      </w:pPr>
      <w:r w:rsidRPr="0017248E">
        <w:rPr>
          <w:color w:val="222222"/>
          <w:szCs w:val="20"/>
          <w:shd w:val="clear" w:color="auto" w:fill="FFFFFF"/>
        </w:rPr>
        <w:t xml:space="preserve">Ravagnan, C., Rossi, F. and Amiriaref, M., </w:t>
      </w:r>
      <w:r>
        <w:rPr>
          <w:color w:val="222222"/>
          <w:szCs w:val="20"/>
          <w:shd w:val="clear" w:color="auto" w:fill="FFFFFF"/>
        </w:rPr>
        <w:t>(</w:t>
      </w:r>
      <w:r w:rsidRPr="0017248E">
        <w:rPr>
          <w:color w:val="222222"/>
          <w:szCs w:val="20"/>
          <w:shd w:val="clear" w:color="auto" w:fill="FFFFFF"/>
        </w:rPr>
        <w:t>2022</w:t>
      </w:r>
      <w:r>
        <w:rPr>
          <w:color w:val="222222"/>
          <w:szCs w:val="20"/>
          <w:shd w:val="clear" w:color="auto" w:fill="FFFFFF"/>
        </w:rPr>
        <w:t>)</w:t>
      </w:r>
      <w:r w:rsidRPr="0017248E">
        <w:rPr>
          <w:color w:val="222222"/>
          <w:szCs w:val="20"/>
          <w:shd w:val="clear" w:color="auto" w:fill="FFFFFF"/>
        </w:rPr>
        <w:t>. Sustainable mobility and resilient urban spaces in the United Kingdom. Practices and proposals. </w:t>
      </w:r>
      <w:r w:rsidRPr="0017248E">
        <w:rPr>
          <w:i/>
          <w:iCs/>
          <w:color w:val="222222"/>
          <w:szCs w:val="20"/>
          <w:shd w:val="clear" w:color="auto" w:fill="FFFFFF"/>
        </w:rPr>
        <w:t>Transportation Research Procedia</w:t>
      </w:r>
      <w:r w:rsidRPr="0017248E">
        <w:rPr>
          <w:color w:val="222222"/>
          <w:szCs w:val="20"/>
          <w:shd w:val="clear" w:color="auto" w:fill="FFFFFF"/>
        </w:rPr>
        <w:t>, </w:t>
      </w:r>
      <w:r w:rsidRPr="0017248E">
        <w:rPr>
          <w:i/>
          <w:iCs/>
          <w:color w:val="222222"/>
          <w:szCs w:val="20"/>
          <w:shd w:val="clear" w:color="auto" w:fill="FFFFFF"/>
        </w:rPr>
        <w:t>60</w:t>
      </w:r>
      <w:r w:rsidRPr="0017248E">
        <w:rPr>
          <w:color w:val="222222"/>
          <w:szCs w:val="20"/>
          <w:shd w:val="clear" w:color="auto" w:fill="FFFFFF"/>
        </w:rPr>
        <w:t xml:space="preserve">, pp.164-171. </w:t>
      </w:r>
    </w:p>
    <w:p w14:paraId="64B5766B" w14:textId="77777777" w:rsidR="009758AD" w:rsidRDefault="009758AD" w:rsidP="009758AD">
      <w:pPr>
        <w:rPr>
          <w:color w:val="222222"/>
          <w:shd w:val="clear" w:color="auto" w:fill="FFFFFF"/>
        </w:rPr>
      </w:pPr>
      <w:r w:rsidRPr="009B0900">
        <w:rPr>
          <w:color w:val="222222"/>
          <w:shd w:val="clear" w:color="auto" w:fill="FFFFFF"/>
        </w:rPr>
        <w:t xml:space="preserve">Reconfiguration, R.A.I., </w:t>
      </w:r>
      <w:r>
        <w:rPr>
          <w:color w:val="222222"/>
          <w:shd w:val="clear" w:color="auto" w:fill="FFFFFF"/>
        </w:rPr>
        <w:t>(</w:t>
      </w:r>
      <w:r w:rsidRPr="009B0900">
        <w:rPr>
          <w:color w:val="222222"/>
          <w:shd w:val="clear" w:color="auto" w:fill="FFFFFF"/>
        </w:rPr>
        <w:t>2026</w:t>
      </w:r>
      <w:r>
        <w:rPr>
          <w:color w:val="222222"/>
          <w:shd w:val="clear" w:color="auto" w:fill="FFFFFF"/>
        </w:rPr>
        <w:t>)</w:t>
      </w:r>
      <w:r w:rsidRPr="009B0900">
        <w:rPr>
          <w:color w:val="222222"/>
          <w:shd w:val="clear" w:color="auto" w:fill="FFFFFF"/>
        </w:rPr>
        <w:t>. Review of Environmental Factors. </w:t>
      </w:r>
      <w:r w:rsidRPr="009B0900">
        <w:rPr>
          <w:i/>
          <w:iCs/>
          <w:color w:val="222222"/>
          <w:shd w:val="clear" w:color="auto" w:fill="FFFFFF"/>
        </w:rPr>
        <w:t>Health</w:t>
      </w:r>
      <w:r w:rsidRPr="009B0900">
        <w:rPr>
          <w:color w:val="222222"/>
          <w:shd w:val="clear" w:color="auto" w:fill="FFFFFF"/>
        </w:rPr>
        <w:t>, </w:t>
      </w:r>
      <w:r w:rsidRPr="009B0900">
        <w:rPr>
          <w:i/>
          <w:iCs/>
          <w:color w:val="222222"/>
          <w:shd w:val="clear" w:color="auto" w:fill="FFFFFF"/>
        </w:rPr>
        <w:t>2</w:t>
      </w:r>
      <w:r w:rsidRPr="009B0900">
        <w:rPr>
          <w:color w:val="222222"/>
          <w:shd w:val="clear" w:color="auto" w:fill="FFFFFF"/>
        </w:rPr>
        <w:t xml:space="preserve">. </w:t>
      </w:r>
    </w:p>
    <w:p w14:paraId="208CD817"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Reddy, V.J., Hariram, N.P., Ghazali, M.F. and Kumarasamy, S., </w:t>
      </w:r>
      <w:r>
        <w:rPr>
          <w:color w:val="222222"/>
          <w:szCs w:val="20"/>
          <w:shd w:val="clear" w:color="auto" w:fill="FFFFFF"/>
        </w:rPr>
        <w:t>(</w:t>
      </w:r>
      <w:r w:rsidRPr="009B0900">
        <w:rPr>
          <w:color w:val="222222"/>
          <w:szCs w:val="20"/>
          <w:shd w:val="clear" w:color="auto" w:fill="FFFFFF"/>
        </w:rPr>
        <w:t>2024</w:t>
      </w:r>
      <w:r>
        <w:rPr>
          <w:color w:val="222222"/>
          <w:szCs w:val="20"/>
          <w:shd w:val="clear" w:color="auto" w:fill="FFFFFF"/>
        </w:rPr>
        <w:t>)</w:t>
      </w:r>
      <w:r w:rsidRPr="009B0900">
        <w:rPr>
          <w:color w:val="222222"/>
          <w:szCs w:val="20"/>
          <w:shd w:val="clear" w:color="auto" w:fill="FFFFFF"/>
        </w:rPr>
        <w:t>. Pathway to sustainability: An overview of renewable energy integration in building systems. </w:t>
      </w:r>
      <w:r w:rsidRPr="009B0900">
        <w:rPr>
          <w:i/>
          <w:iCs/>
          <w:color w:val="222222"/>
          <w:szCs w:val="20"/>
          <w:shd w:val="clear" w:color="auto" w:fill="FFFFFF"/>
        </w:rPr>
        <w:t>Sustainability</w:t>
      </w:r>
      <w:r w:rsidRPr="009B0900">
        <w:rPr>
          <w:color w:val="222222"/>
          <w:szCs w:val="20"/>
          <w:shd w:val="clear" w:color="auto" w:fill="FFFFFF"/>
        </w:rPr>
        <w:t>, </w:t>
      </w:r>
      <w:r w:rsidRPr="009B0900">
        <w:rPr>
          <w:i/>
          <w:iCs/>
          <w:color w:val="222222"/>
          <w:szCs w:val="20"/>
          <w:shd w:val="clear" w:color="auto" w:fill="FFFFFF"/>
        </w:rPr>
        <w:t>16</w:t>
      </w:r>
      <w:r w:rsidRPr="009B0900">
        <w:rPr>
          <w:color w:val="222222"/>
          <w:szCs w:val="20"/>
          <w:shd w:val="clear" w:color="auto" w:fill="FFFFFF"/>
        </w:rPr>
        <w:t>(2), p.638.</w:t>
      </w:r>
    </w:p>
    <w:p w14:paraId="564AAF70"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Sartzetaki, M., Karagkouni, A. and Dimitriou, D., </w:t>
      </w:r>
      <w:r>
        <w:rPr>
          <w:color w:val="222222"/>
          <w:szCs w:val="20"/>
          <w:shd w:val="clear" w:color="auto" w:fill="FFFFFF"/>
        </w:rPr>
        <w:t>(</w:t>
      </w:r>
      <w:r w:rsidRPr="009B0900">
        <w:rPr>
          <w:color w:val="222222"/>
          <w:szCs w:val="20"/>
          <w:shd w:val="clear" w:color="auto" w:fill="FFFFFF"/>
        </w:rPr>
        <w:t>2023</w:t>
      </w:r>
      <w:r>
        <w:rPr>
          <w:color w:val="222222"/>
          <w:szCs w:val="20"/>
          <w:shd w:val="clear" w:color="auto" w:fill="FFFFFF"/>
        </w:rPr>
        <w:t>)</w:t>
      </w:r>
      <w:r w:rsidRPr="009B0900">
        <w:rPr>
          <w:color w:val="222222"/>
          <w:szCs w:val="20"/>
          <w:shd w:val="clear" w:color="auto" w:fill="FFFFFF"/>
        </w:rPr>
        <w:t>. A conceptual framework for developing intelligent services (a platform) for transport enterprises: The designation of key drivers for action. </w:t>
      </w:r>
      <w:r w:rsidRPr="009B0900">
        <w:rPr>
          <w:i/>
          <w:iCs/>
          <w:color w:val="222222"/>
          <w:szCs w:val="20"/>
          <w:shd w:val="clear" w:color="auto" w:fill="FFFFFF"/>
        </w:rPr>
        <w:t>Electronics</w:t>
      </w:r>
      <w:r w:rsidRPr="009B0900">
        <w:rPr>
          <w:color w:val="222222"/>
          <w:szCs w:val="20"/>
          <w:shd w:val="clear" w:color="auto" w:fill="FFFFFF"/>
        </w:rPr>
        <w:t>, </w:t>
      </w:r>
      <w:r w:rsidRPr="009B0900">
        <w:rPr>
          <w:i/>
          <w:iCs/>
          <w:color w:val="222222"/>
          <w:szCs w:val="20"/>
          <w:shd w:val="clear" w:color="auto" w:fill="FFFFFF"/>
        </w:rPr>
        <w:t>12</w:t>
      </w:r>
      <w:r w:rsidRPr="009B0900">
        <w:rPr>
          <w:color w:val="222222"/>
          <w:szCs w:val="20"/>
          <w:shd w:val="clear" w:color="auto" w:fill="FFFFFF"/>
        </w:rPr>
        <w:t xml:space="preserve">(22), p.4690. </w:t>
      </w:r>
    </w:p>
    <w:p w14:paraId="0A3947AA"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Son, H., Jang, J., Park, J., Balog, A., Ballantyne, P., Kwon, H.R., Singleton, A. and Hwang, J., </w:t>
      </w:r>
      <w:r>
        <w:rPr>
          <w:color w:val="222222"/>
          <w:szCs w:val="20"/>
          <w:shd w:val="clear" w:color="auto" w:fill="FFFFFF"/>
        </w:rPr>
        <w:t>(</w:t>
      </w:r>
      <w:r w:rsidRPr="009B0900">
        <w:rPr>
          <w:color w:val="222222"/>
          <w:szCs w:val="20"/>
          <w:shd w:val="clear" w:color="auto" w:fill="FFFFFF"/>
        </w:rPr>
        <w:t>2025</w:t>
      </w:r>
      <w:r>
        <w:rPr>
          <w:color w:val="222222"/>
          <w:szCs w:val="20"/>
          <w:shd w:val="clear" w:color="auto" w:fill="FFFFFF"/>
        </w:rPr>
        <w:t>)</w:t>
      </w:r>
      <w:r w:rsidRPr="009B0900">
        <w:rPr>
          <w:color w:val="222222"/>
          <w:szCs w:val="20"/>
          <w:shd w:val="clear" w:color="auto" w:fill="FFFFFF"/>
        </w:rPr>
        <w:t>. Leveraging advanced technologies for (smart) transportation planning: A systematic review. </w:t>
      </w:r>
      <w:r w:rsidRPr="009B0900">
        <w:rPr>
          <w:i/>
          <w:iCs/>
          <w:color w:val="222222"/>
          <w:szCs w:val="20"/>
          <w:shd w:val="clear" w:color="auto" w:fill="FFFFFF"/>
        </w:rPr>
        <w:t>Sustainability</w:t>
      </w:r>
      <w:r w:rsidRPr="009B0900">
        <w:rPr>
          <w:color w:val="222222"/>
          <w:szCs w:val="20"/>
          <w:shd w:val="clear" w:color="auto" w:fill="FFFFFF"/>
        </w:rPr>
        <w:t>, </w:t>
      </w:r>
      <w:r w:rsidRPr="009B0900">
        <w:rPr>
          <w:i/>
          <w:iCs/>
          <w:color w:val="222222"/>
          <w:szCs w:val="20"/>
          <w:shd w:val="clear" w:color="auto" w:fill="FFFFFF"/>
        </w:rPr>
        <w:t>17</w:t>
      </w:r>
      <w:r w:rsidRPr="009B0900">
        <w:rPr>
          <w:color w:val="222222"/>
          <w:szCs w:val="20"/>
          <w:shd w:val="clear" w:color="auto" w:fill="FFFFFF"/>
        </w:rPr>
        <w:t>(5), p.2245.</w:t>
      </w:r>
    </w:p>
    <w:p w14:paraId="527EEE6B"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Tampio, K.P., Haapasalo, H. and Ali, F., </w:t>
      </w:r>
      <w:r>
        <w:rPr>
          <w:color w:val="222222"/>
          <w:szCs w:val="20"/>
          <w:shd w:val="clear" w:color="auto" w:fill="FFFFFF"/>
        </w:rPr>
        <w:t>(</w:t>
      </w:r>
      <w:r w:rsidRPr="009B0900">
        <w:rPr>
          <w:color w:val="222222"/>
          <w:szCs w:val="20"/>
          <w:shd w:val="clear" w:color="auto" w:fill="FFFFFF"/>
        </w:rPr>
        <w:t>2022</w:t>
      </w:r>
      <w:r>
        <w:rPr>
          <w:color w:val="222222"/>
          <w:szCs w:val="20"/>
          <w:shd w:val="clear" w:color="auto" w:fill="FFFFFF"/>
        </w:rPr>
        <w:t>)</w:t>
      </w:r>
      <w:r w:rsidRPr="009B0900">
        <w:rPr>
          <w:color w:val="222222"/>
          <w:szCs w:val="20"/>
          <w:shd w:val="clear" w:color="auto" w:fill="FFFFFF"/>
        </w:rPr>
        <w:t>. Stakeholder analysis and landscape in a hospital project–elements and implications for value creation. </w:t>
      </w:r>
      <w:r w:rsidRPr="009B0900">
        <w:rPr>
          <w:i/>
          <w:iCs/>
          <w:color w:val="222222"/>
          <w:szCs w:val="20"/>
          <w:shd w:val="clear" w:color="auto" w:fill="FFFFFF"/>
        </w:rPr>
        <w:t>International Journal of Managing Projects in Business</w:t>
      </w:r>
      <w:r w:rsidRPr="009B0900">
        <w:rPr>
          <w:color w:val="222222"/>
          <w:szCs w:val="20"/>
          <w:shd w:val="clear" w:color="auto" w:fill="FFFFFF"/>
        </w:rPr>
        <w:t>, </w:t>
      </w:r>
      <w:r w:rsidRPr="009B0900">
        <w:rPr>
          <w:i/>
          <w:iCs/>
          <w:color w:val="222222"/>
          <w:szCs w:val="20"/>
          <w:shd w:val="clear" w:color="auto" w:fill="FFFFFF"/>
        </w:rPr>
        <w:t>15</w:t>
      </w:r>
      <w:r w:rsidRPr="009B0900">
        <w:rPr>
          <w:color w:val="222222"/>
          <w:szCs w:val="20"/>
          <w:shd w:val="clear" w:color="auto" w:fill="FFFFFF"/>
        </w:rPr>
        <w:t xml:space="preserve">(8), pp.48-76. </w:t>
      </w:r>
    </w:p>
    <w:p w14:paraId="6A8D5868" w14:textId="77777777" w:rsidR="009758AD" w:rsidRPr="009B0900" w:rsidRDefault="009758AD" w:rsidP="009758AD">
      <w:r w:rsidRPr="009B0900">
        <w:t xml:space="preserve">Transportforthenorth, (2023), </w:t>
      </w:r>
      <w:r w:rsidRPr="00573097">
        <w:rPr>
          <w:i/>
        </w:rPr>
        <w:t>Strategic Transport Plan Draft for consultation May 2023.</w:t>
      </w:r>
      <w:r w:rsidRPr="009B0900">
        <w:t xml:space="preserve">  [Online] Available at: </w:t>
      </w:r>
      <w:hyperlink r:id="rId15" w:history="1">
        <w:r w:rsidRPr="009B0900">
          <w:rPr>
            <w:rStyle w:val="Hyperlink"/>
          </w:rPr>
          <w:t>https://transportforthenorth.com/wp-content/uploads/TFN_StrategicTransportPlan_Master_web_V3.pdf</w:t>
        </w:r>
      </w:hyperlink>
      <w:r w:rsidRPr="009B0900">
        <w:t xml:space="preserve"> [Accessed on: 14</w:t>
      </w:r>
      <w:r w:rsidRPr="009B0900">
        <w:rPr>
          <w:vertAlign w:val="superscript"/>
        </w:rPr>
        <w:t>th</w:t>
      </w:r>
      <w:r w:rsidRPr="009B0900">
        <w:t xml:space="preserve"> June 2026]</w:t>
      </w:r>
    </w:p>
    <w:p w14:paraId="4B85904E"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Verma, S.K., Verma, R., Singh, B.K. and Sinha, R.S., </w:t>
      </w:r>
      <w:r>
        <w:rPr>
          <w:color w:val="222222"/>
          <w:szCs w:val="20"/>
          <w:shd w:val="clear" w:color="auto" w:fill="FFFFFF"/>
        </w:rPr>
        <w:t>(</w:t>
      </w:r>
      <w:r w:rsidRPr="009B0900">
        <w:rPr>
          <w:color w:val="222222"/>
          <w:szCs w:val="20"/>
          <w:shd w:val="clear" w:color="auto" w:fill="FFFFFF"/>
        </w:rPr>
        <w:t>2024</w:t>
      </w:r>
      <w:r>
        <w:rPr>
          <w:color w:val="222222"/>
          <w:szCs w:val="20"/>
          <w:shd w:val="clear" w:color="auto" w:fill="FFFFFF"/>
        </w:rPr>
        <w:t>)</w:t>
      </w:r>
      <w:r w:rsidRPr="009B0900">
        <w:rPr>
          <w:color w:val="222222"/>
          <w:szCs w:val="20"/>
          <w:shd w:val="clear" w:color="auto" w:fill="FFFFFF"/>
        </w:rPr>
        <w:t>. Management of intelligent transportation systems and advanced technology. In </w:t>
      </w:r>
      <w:r w:rsidRPr="009B0900">
        <w:rPr>
          <w:i/>
          <w:iCs/>
          <w:color w:val="222222"/>
          <w:szCs w:val="20"/>
          <w:shd w:val="clear" w:color="auto" w:fill="FFFFFF"/>
        </w:rPr>
        <w:t>Intelligent transportation system and advanced technology</w:t>
      </w:r>
      <w:r w:rsidRPr="009B0900">
        <w:rPr>
          <w:color w:val="222222"/>
          <w:szCs w:val="20"/>
          <w:shd w:val="clear" w:color="auto" w:fill="FFFFFF"/>
        </w:rPr>
        <w:t xml:space="preserve"> (pp. 159-175). Singapore: Springer Nature Singapore. </w:t>
      </w:r>
    </w:p>
    <w:p w14:paraId="5DFDEA35" w14:textId="77777777" w:rsidR="009758AD" w:rsidRPr="009B0900" w:rsidRDefault="009758AD" w:rsidP="009758AD">
      <w:pPr>
        <w:rPr>
          <w:color w:val="222222"/>
          <w:szCs w:val="20"/>
          <w:shd w:val="clear" w:color="auto" w:fill="FFFFFF"/>
        </w:rPr>
      </w:pPr>
      <w:r w:rsidRPr="009B0900">
        <w:rPr>
          <w:color w:val="222222"/>
          <w:szCs w:val="20"/>
          <w:shd w:val="clear" w:color="auto" w:fill="FFFFFF"/>
        </w:rPr>
        <w:t xml:space="preserve">Węgrzyn, J. and Wojewnik-Filipkowska, A., </w:t>
      </w:r>
      <w:r>
        <w:rPr>
          <w:color w:val="222222"/>
          <w:szCs w:val="20"/>
          <w:shd w:val="clear" w:color="auto" w:fill="FFFFFF"/>
        </w:rPr>
        <w:t>(</w:t>
      </w:r>
      <w:r w:rsidRPr="009B0900">
        <w:rPr>
          <w:color w:val="222222"/>
          <w:szCs w:val="20"/>
          <w:shd w:val="clear" w:color="auto" w:fill="FFFFFF"/>
        </w:rPr>
        <w:t>2022</w:t>
      </w:r>
      <w:r>
        <w:rPr>
          <w:color w:val="222222"/>
          <w:szCs w:val="20"/>
          <w:shd w:val="clear" w:color="auto" w:fill="FFFFFF"/>
        </w:rPr>
        <w:t>)</w:t>
      </w:r>
      <w:r w:rsidRPr="009B0900">
        <w:rPr>
          <w:color w:val="222222"/>
          <w:szCs w:val="20"/>
          <w:shd w:val="clear" w:color="auto" w:fill="FFFFFF"/>
        </w:rPr>
        <w:t>. Stakeholder analysis and their attitude towards PPP success. </w:t>
      </w:r>
      <w:r w:rsidRPr="009B0900">
        <w:rPr>
          <w:i/>
          <w:iCs/>
          <w:color w:val="222222"/>
          <w:szCs w:val="20"/>
          <w:shd w:val="clear" w:color="auto" w:fill="FFFFFF"/>
        </w:rPr>
        <w:t>Sustainability</w:t>
      </w:r>
      <w:r w:rsidRPr="009B0900">
        <w:rPr>
          <w:color w:val="222222"/>
          <w:szCs w:val="20"/>
          <w:shd w:val="clear" w:color="auto" w:fill="FFFFFF"/>
        </w:rPr>
        <w:t>, </w:t>
      </w:r>
      <w:r w:rsidRPr="009B0900">
        <w:rPr>
          <w:i/>
          <w:iCs/>
          <w:color w:val="222222"/>
          <w:szCs w:val="20"/>
          <w:shd w:val="clear" w:color="auto" w:fill="FFFFFF"/>
        </w:rPr>
        <w:t>14</w:t>
      </w:r>
      <w:r w:rsidRPr="009B0900">
        <w:rPr>
          <w:color w:val="222222"/>
          <w:szCs w:val="20"/>
          <w:shd w:val="clear" w:color="auto" w:fill="FFFFFF"/>
        </w:rPr>
        <w:t>(3), p.1570.</w:t>
      </w:r>
    </w:p>
    <w:p w14:paraId="710EE657" w14:textId="77777777" w:rsidR="009758AD" w:rsidRPr="0017248E" w:rsidRDefault="009758AD" w:rsidP="0089627D">
      <w:pPr>
        <w:rPr>
          <w:color w:val="222222"/>
          <w:szCs w:val="20"/>
          <w:shd w:val="clear" w:color="auto" w:fill="FFFFFF"/>
        </w:rPr>
      </w:pPr>
    </w:p>
    <w:p w14:paraId="63A797CE" w14:textId="77777777" w:rsidR="0089627D" w:rsidRDefault="0089627D"/>
    <w:p w14:paraId="2F77B1F3" w14:textId="77777777" w:rsidR="0089627D" w:rsidRDefault="0089627D">
      <w:r>
        <w:br w:type="page"/>
      </w:r>
    </w:p>
    <w:p w14:paraId="1DF27146" w14:textId="77777777" w:rsidR="0089627D" w:rsidRDefault="0089627D" w:rsidP="0089627D">
      <w:pPr>
        <w:pStyle w:val="Heading1"/>
      </w:pPr>
      <w:bookmarkStart w:id="79" w:name="_Toc232518599"/>
      <w:r>
        <w:t>Appendices</w:t>
      </w:r>
      <w:bookmarkEnd w:id="79"/>
    </w:p>
    <w:p w14:paraId="78F05488" w14:textId="77777777" w:rsidR="0089627D" w:rsidRDefault="0089627D" w:rsidP="0089627D">
      <w:pPr>
        <w:pStyle w:val="Heading2"/>
      </w:pPr>
      <w:bookmarkStart w:id="80" w:name="_Toc232518600"/>
      <w:r>
        <w:t>Appendix 1: Poster</w:t>
      </w:r>
      <w:bookmarkEnd w:id="80"/>
    </w:p>
    <w:p w14:paraId="36E7D7E6" w14:textId="77777777" w:rsidR="0089627D" w:rsidRDefault="004E6EFB" w:rsidP="004E6EFB">
      <w:pPr>
        <w:jc w:val="center"/>
      </w:pPr>
      <w:r>
        <w:rPr>
          <w:noProof/>
          <w:lang w:val="en-IN"/>
        </w:rPr>
        <w:drawing>
          <wp:inline distT="0" distB="0" distL="0" distR="0" wp14:anchorId="75F4F74B" wp14:editId="43D396FE">
            <wp:extent cx="6191250" cy="5334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91250" cy="5334000"/>
                    </a:xfrm>
                    <a:prstGeom prst="rect">
                      <a:avLst/>
                    </a:prstGeom>
                  </pic:spPr>
                </pic:pic>
              </a:graphicData>
            </a:graphic>
          </wp:inline>
        </w:drawing>
      </w:r>
    </w:p>
    <w:p w14:paraId="77525B02" w14:textId="77777777" w:rsidR="0089627D" w:rsidRDefault="0089627D" w:rsidP="0089627D">
      <w:pPr>
        <w:jc w:val="center"/>
      </w:pPr>
    </w:p>
    <w:p w14:paraId="2D7A4E5E" w14:textId="77777777" w:rsidR="0089627D" w:rsidRDefault="0089627D" w:rsidP="0089627D">
      <w:pPr>
        <w:jc w:val="center"/>
      </w:pPr>
      <w:r>
        <w:t>(Source: self-created)</w:t>
      </w:r>
    </w:p>
    <w:sectPr w:rsidR="0089627D" w:rsidSect="009758AD">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683D5D" w14:textId="77777777" w:rsidR="002C2DE1" w:rsidRDefault="002C2DE1" w:rsidP="009758AD">
      <w:pPr>
        <w:spacing w:line="240" w:lineRule="auto"/>
      </w:pPr>
      <w:r>
        <w:separator/>
      </w:r>
    </w:p>
  </w:endnote>
  <w:endnote w:type="continuationSeparator" w:id="0">
    <w:p w14:paraId="1E469071" w14:textId="77777777" w:rsidR="002C2DE1" w:rsidRDefault="002C2DE1" w:rsidP="009758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D11F7B9A-AB5D-46AA-AEA0-6DBB23890F4D}"/>
  </w:font>
  <w:font w:name="Cambria">
    <w:panose1 w:val="02040503050406030204"/>
    <w:charset w:val="00"/>
    <w:family w:val="roman"/>
    <w:pitch w:val="variable"/>
    <w:sig w:usb0="E00006FF" w:usb1="420024FF" w:usb2="02000000" w:usb3="00000000" w:csb0="0000019F" w:csb1="00000000"/>
    <w:embedRegular r:id="rId2" w:fontKey="{2B8D12CD-C86E-4EA8-AEAD-ABEC1607788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54489352"/>
      <w:docPartObj>
        <w:docPartGallery w:val="Page Numbers (Bottom of Page)"/>
        <w:docPartUnique/>
      </w:docPartObj>
    </w:sdtPr>
    <w:sdtEndPr>
      <w:rPr>
        <w:noProof/>
      </w:rPr>
    </w:sdtEndPr>
    <w:sdtContent>
      <w:p w14:paraId="29546EF5" w14:textId="77777777" w:rsidR="00BC7415" w:rsidRDefault="00BC7415">
        <w:pPr>
          <w:pStyle w:val="Footer"/>
          <w:jc w:val="right"/>
        </w:pPr>
        <w:r>
          <w:fldChar w:fldCharType="begin"/>
        </w:r>
        <w:r>
          <w:instrText xml:space="preserve"> PAGE   \* MERGEFORMAT </w:instrText>
        </w:r>
        <w:r>
          <w:fldChar w:fldCharType="separate"/>
        </w:r>
        <w:r w:rsidR="00CD5103">
          <w:rPr>
            <w:noProof/>
          </w:rPr>
          <w:t>6</w:t>
        </w:r>
        <w:r>
          <w:rPr>
            <w:noProof/>
          </w:rPr>
          <w:fldChar w:fldCharType="end"/>
        </w:r>
      </w:p>
    </w:sdtContent>
  </w:sdt>
  <w:p w14:paraId="27317550" w14:textId="77777777" w:rsidR="00BC7415" w:rsidRDefault="00BC7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2C7D5B6" w14:textId="77777777" w:rsidR="002C2DE1" w:rsidRDefault="002C2DE1" w:rsidP="009758AD">
      <w:pPr>
        <w:spacing w:line="240" w:lineRule="auto"/>
      </w:pPr>
      <w:r>
        <w:separator/>
      </w:r>
    </w:p>
  </w:footnote>
  <w:footnote w:type="continuationSeparator" w:id="0">
    <w:p w14:paraId="1B5E7887" w14:textId="77777777" w:rsidR="002C2DE1" w:rsidRDefault="002C2DE1" w:rsidP="009758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8E29CB"/>
    <w:multiLevelType w:val="multilevel"/>
    <w:tmpl w:val="3C921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CF7D77"/>
    <w:multiLevelType w:val="multilevel"/>
    <w:tmpl w:val="3230A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740BDD"/>
    <w:multiLevelType w:val="multilevel"/>
    <w:tmpl w:val="C0DC40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9DB6378"/>
    <w:multiLevelType w:val="multilevel"/>
    <w:tmpl w:val="9F7CC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71D1173"/>
    <w:multiLevelType w:val="hybridMultilevel"/>
    <w:tmpl w:val="36BC2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F1A65D3"/>
    <w:multiLevelType w:val="multilevel"/>
    <w:tmpl w:val="5464E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2386723">
    <w:abstractNumId w:val="1"/>
  </w:num>
  <w:num w:numId="2" w16cid:durableId="1389452569">
    <w:abstractNumId w:val="2"/>
  </w:num>
  <w:num w:numId="3" w16cid:durableId="2077124436">
    <w:abstractNumId w:val="5"/>
  </w:num>
  <w:num w:numId="4" w16cid:durableId="1908955933">
    <w:abstractNumId w:val="3"/>
  </w:num>
  <w:num w:numId="5" w16cid:durableId="615214877">
    <w:abstractNumId w:val="0"/>
  </w:num>
  <w:num w:numId="6" w16cid:durableId="154534577">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42A"/>
    <w:rsid w:val="00000FF5"/>
    <w:rsid w:val="0021542A"/>
    <w:rsid w:val="002C2DE1"/>
    <w:rsid w:val="004E6EFB"/>
    <w:rsid w:val="00504A66"/>
    <w:rsid w:val="00546DD3"/>
    <w:rsid w:val="00634EFE"/>
    <w:rsid w:val="0089627D"/>
    <w:rsid w:val="009758AD"/>
    <w:rsid w:val="00A8011D"/>
    <w:rsid w:val="00B33759"/>
    <w:rsid w:val="00BA03E7"/>
    <w:rsid w:val="00BC7415"/>
    <w:rsid w:val="00C560C4"/>
    <w:rsid w:val="00CD5103"/>
    <w:rsid w:val="00DC5D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90F32"/>
  <w15:docId w15:val="{D9480F1B-C2FF-422F-A539-0C6F984CF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9758AD"/>
    <w:rPr>
      <w:color w:val="0000FF" w:themeColor="hyperlink"/>
      <w:u w:val="single"/>
    </w:rPr>
  </w:style>
  <w:style w:type="paragraph" w:styleId="Header">
    <w:name w:val="header"/>
    <w:basedOn w:val="Normal"/>
    <w:link w:val="HeaderChar"/>
    <w:uiPriority w:val="99"/>
    <w:unhideWhenUsed/>
    <w:rsid w:val="009758AD"/>
    <w:pPr>
      <w:tabs>
        <w:tab w:val="center" w:pos="4513"/>
        <w:tab w:val="right" w:pos="9026"/>
      </w:tabs>
      <w:spacing w:line="240" w:lineRule="auto"/>
    </w:pPr>
  </w:style>
  <w:style w:type="character" w:customStyle="1" w:styleId="HeaderChar">
    <w:name w:val="Header Char"/>
    <w:basedOn w:val="DefaultParagraphFont"/>
    <w:link w:val="Header"/>
    <w:uiPriority w:val="99"/>
    <w:rsid w:val="009758AD"/>
  </w:style>
  <w:style w:type="paragraph" w:styleId="Footer">
    <w:name w:val="footer"/>
    <w:basedOn w:val="Normal"/>
    <w:link w:val="FooterChar"/>
    <w:uiPriority w:val="99"/>
    <w:unhideWhenUsed/>
    <w:rsid w:val="009758AD"/>
    <w:pPr>
      <w:tabs>
        <w:tab w:val="center" w:pos="4513"/>
        <w:tab w:val="right" w:pos="9026"/>
      </w:tabs>
      <w:spacing w:line="240" w:lineRule="auto"/>
    </w:pPr>
  </w:style>
  <w:style w:type="character" w:customStyle="1" w:styleId="FooterChar">
    <w:name w:val="Footer Char"/>
    <w:basedOn w:val="DefaultParagraphFont"/>
    <w:link w:val="Footer"/>
    <w:uiPriority w:val="99"/>
    <w:rsid w:val="009758AD"/>
  </w:style>
  <w:style w:type="paragraph" w:styleId="TOCHeading">
    <w:name w:val="TOC Heading"/>
    <w:basedOn w:val="Heading1"/>
    <w:next w:val="Normal"/>
    <w:uiPriority w:val="39"/>
    <w:unhideWhenUsed/>
    <w:qFormat/>
    <w:rsid w:val="009758A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758AD"/>
    <w:pPr>
      <w:spacing w:after="100"/>
    </w:pPr>
  </w:style>
  <w:style w:type="paragraph" w:styleId="TOC2">
    <w:name w:val="toc 2"/>
    <w:basedOn w:val="Normal"/>
    <w:next w:val="Normal"/>
    <w:autoRedefine/>
    <w:uiPriority w:val="39"/>
    <w:unhideWhenUsed/>
    <w:rsid w:val="009758AD"/>
    <w:pPr>
      <w:spacing w:after="100"/>
      <w:ind w:left="240"/>
    </w:pPr>
  </w:style>
  <w:style w:type="paragraph" w:styleId="TOC3">
    <w:name w:val="toc 3"/>
    <w:basedOn w:val="Normal"/>
    <w:next w:val="Normal"/>
    <w:autoRedefine/>
    <w:uiPriority w:val="39"/>
    <w:unhideWhenUsed/>
    <w:rsid w:val="009758AD"/>
    <w:pPr>
      <w:spacing w:after="100"/>
      <w:ind w:left="480"/>
    </w:pPr>
  </w:style>
  <w:style w:type="paragraph" w:styleId="ListParagraph">
    <w:name w:val="List Paragraph"/>
    <w:basedOn w:val="Normal"/>
    <w:uiPriority w:val="34"/>
    <w:qFormat/>
    <w:rsid w:val="00A801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02981735">
      <w:bodyDiv w:val="1"/>
      <w:marLeft w:val="0"/>
      <w:marRight w:val="0"/>
      <w:marTop w:val="0"/>
      <w:marBottom w:val="0"/>
      <w:divBdr>
        <w:top w:val="none" w:sz="0" w:space="0" w:color="auto"/>
        <w:left w:val="none" w:sz="0" w:space="0" w:color="auto"/>
        <w:bottom w:val="none" w:sz="0" w:space="0" w:color="auto"/>
        <w:right w:val="none" w:sz="0" w:space="0" w:color="auto"/>
      </w:divBdr>
    </w:div>
    <w:div w:id="577206052">
      <w:bodyDiv w:val="1"/>
      <w:marLeft w:val="0"/>
      <w:marRight w:val="0"/>
      <w:marTop w:val="0"/>
      <w:marBottom w:val="0"/>
      <w:divBdr>
        <w:top w:val="none" w:sz="0" w:space="0" w:color="auto"/>
        <w:left w:val="none" w:sz="0" w:space="0" w:color="auto"/>
        <w:bottom w:val="none" w:sz="0" w:space="0" w:color="auto"/>
        <w:right w:val="none" w:sz="0" w:space="0" w:color="auto"/>
      </w:divBdr>
    </w:div>
    <w:div w:id="800613094">
      <w:bodyDiv w:val="1"/>
      <w:marLeft w:val="0"/>
      <w:marRight w:val="0"/>
      <w:marTop w:val="0"/>
      <w:marBottom w:val="0"/>
      <w:divBdr>
        <w:top w:val="none" w:sz="0" w:space="0" w:color="auto"/>
        <w:left w:val="none" w:sz="0" w:space="0" w:color="auto"/>
        <w:bottom w:val="none" w:sz="0" w:space="0" w:color="auto"/>
        <w:right w:val="none" w:sz="0" w:space="0" w:color="auto"/>
      </w:divBdr>
    </w:div>
    <w:div w:id="830945035">
      <w:bodyDiv w:val="1"/>
      <w:marLeft w:val="0"/>
      <w:marRight w:val="0"/>
      <w:marTop w:val="0"/>
      <w:marBottom w:val="0"/>
      <w:divBdr>
        <w:top w:val="none" w:sz="0" w:space="0" w:color="auto"/>
        <w:left w:val="none" w:sz="0" w:space="0" w:color="auto"/>
        <w:bottom w:val="none" w:sz="0" w:space="0" w:color="auto"/>
        <w:right w:val="none" w:sz="0" w:space="0" w:color="auto"/>
      </w:divBdr>
    </w:div>
    <w:div w:id="1033845771">
      <w:bodyDiv w:val="1"/>
      <w:marLeft w:val="0"/>
      <w:marRight w:val="0"/>
      <w:marTop w:val="0"/>
      <w:marBottom w:val="0"/>
      <w:divBdr>
        <w:top w:val="none" w:sz="0" w:space="0" w:color="auto"/>
        <w:left w:val="none" w:sz="0" w:space="0" w:color="auto"/>
        <w:bottom w:val="none" w:sz="0" w:space="0" w:color="auto"/>
        <w:right w:val="none" w:sz="0" w:space="0" w:color="auto"/>
      </w:divBdr>
    </w:div>
    <w:div w:id="1441728049">
      <w:bodyDiv w:val="1"/>
      <w:marLeft w:val="0"/>
      <w:marRight w:val="0"/>
      <w:marTop w:val="0"/>
      <w:marBottom w:val="0"/>
      <w:divBdr>
        <w:top w:val="none" w:sz="0" w:space="0" w:color="auto"/>
        <w:left w:val="none" w:sz="0" w:space="0" w:color="auto"/>
        <w:bottom w:val="none" w:sz="0" w:space="0" w:color="auto"/>
        <w:right w:val="none" w:sz="0" w:space="0" w:color="auto"/>
      </w:divBdr>
    </w:div>
    <w:div w:id="17144961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ransportforthenorth.com/wp-content/uploads/TFN_StrategicTransportPlan_Master_web_V3.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olihull.gov.uk/sites/default/files/2020-12/Hub-Growth-and-Infrastructure-Plan-2018.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84FFF-71FE-4C92-B3F1-1E128611A3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5822</Words>
  <Characters>33189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gabriela coca</cp:lastModifiedBy>
  <cp:revision>2</cp:revision>
  <dcterms:created xsi:type="dcterms:W3CDTF">2026-07-06T10:10:00Z</dcterms:created>
  <dcterms:modified xsi:type="dcterms:W3CDTF">2026-07-06T10:10:00Z</dcterms:modified>
</cp:coreProperties>
</file>