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A023A" w14:textId="77777777" w:rsidR="000C2115" w:rsidRPr="00746CA9" w:rsidRDefault="00C37B0E" w:rsidP="000C2115">
      <w:r w:rsidRPr="00746CA9">
        <w:rPr>
          <w:noProof/>
          <w:lang w:eastAsia="en-IN"/>
        </w:rPr>
        <w:drawing>
          <wp:inline distT="0" distB="0" distL="0" distR="0" wp14:anchorId="7B6689F2" wp14:editId="27C71269">
            <wp:extent cx="3345180" cy="1343660"/>
            <wp:effectExtent l="0" t="0" r="0" b="0"/>
            <wp:docPr id="1" name="Picture 1" descr="UWTSD logo | Discover Dylan Thomas"/>
            <wp:cNvGraphicFramePr/>
            <a:graphic xmlns:a="http://schemas.openxmlformats.org/drawingml/2006/main">
              <a:graphicData uri="http://schemas.openxmlformats.org/drawingml/2006/picture">
                <pic:pic xmlns:pic="http://schemas.openxmlformats.org/drawingml/2006/picture">
                  <pic:nvPicPr>
                    <pic:cNvPr id="1" name="Picture 1" descr="UWTSD logo | Discover Dylan Thomas"/>
                    <pic:cNvPicPr/>
                  </pic:nvPicPr>
                  <pic:blipFill>
                    <a:blip r:embed="rId7">
                      <a:extLst>
                        <a:ext uri="{28A0092B-C50C-407E-A947-70E740481C1C}">
                          <a14:useLocalDpi xmlns:a14="http://schemas.microsoft.com/office/drawing/2010/main" val="0"/>
                        </a:ext>
                      </a:extLst>
                    </a:blip>
                    <a:stretch>
                      <a:fillRect/>
                    </a:stretch>
                  </pic:blipFill>
                  <pic:spPr bwMode="auto">
                    <a:xfrm>
                      <a:off x="0" y="0"/>
                      <a:ext cx="3345180" cy="1343660"/>
                    </a:xfrm>
                    <a:prstGeom prst="rect">
                      <a:avLst/>
                    </a:prstGeom>
                    <a:noFill/>
                    <a:ln>
                      <a:noFill/>
                    </a:ln>
                  </pic:spPr>
                </pic:pic>
              </a:graphicData>
            </a:graphic>
          </wp:inline>
        </w:drawing>
      </w:r>
    </w:p>
    <w:p w14:paraId="707469FF" w14:textId="77777777" w:rsidR="000C2115" w:rsidRPr="00746CA9" w:rsidRDefault="000C2115" w:rsidP="000C2115">
      <w:pPr>
        <w:rPr>
          <w:rStyle w:val="Strong"/>
          <w:rFonts w:ascii="Segoe UI" w:hAnsi="Segoe UI" w:cs="Segoe UI"/>
          <w:color w:val="1D2125"/>
        </w:rPr>
      </w:pPr>
    </w:p>
    <w:p w14:paraId="3D135073" w14:textId="77777777" w:rsidR="000C2115" w:rsidRPr="00746CA9" w:rsidRDefault="000C2115" w:rsidP="000C2115">
      <w:pPr>
        <w:rPr>
          <w:rStyle w:val="Strong"/>
          <w:rFonts w:ascii="Arial" w:hAnsi="Arial" w:cs="Arial"/>
          <w:color w:val="1D2125"/>
          <w:sz w:val="36"/>
          <w:szCs w:val="36"/>
        </w:rPr>
      </w:pPr>
    </w:p>
    <w:p w14:paraId="29022C83" w14:textId="77777777" w:rsidR="000C2115" w:rsidRPr="00746CA9" w:rsidRDefault="00C37B0E" w:rsidP="000C2115">
      <w:pPr>
        <w:jc w:val="center"/>
        <w:rPr>
          <w:rStyle w:val="Strong"/>
          <w:rFonts w:cs="Times New Roman"/>
          <w:color w:val="1D2125"/>
          <w:szCs w:val="24"/>
        </w:rPr>
      </w:pPr>
      <w:r w:rsidRPr="00746CA9">
        <w:rPr>
          <w:rStyle w:val="Strong"/>
          <w:rFonts w:cs="Times New Roman"/>
          <w:color w:val="1D2125"/>
          <w:szCs w:val="24"/>
          <w:shd w:val="clear" w:color="auto" w:fill="FFFFFF"/>
        </w:rPr>
        <w:t>Changemakers: Creativity and Value Creation</w:t>
      </w:r>
    </w:p>
    <w:p w14:paraId="5372642C" w14:textId="77777777" w:rsidR="000C2115" w:rsidRPr="00746CA9" w:rsidRDefault="00C37B0E" w:rsidP="000C2115">
      <w:pPr>
        <w:jc w:val="center"/>
        <w:rPr>
          <w:rStyle w:val="Strong"/>
          <w:rFonts w:cs="Times New Roman"/>
          <w:color w:val="1D2125"/>
          <w:szCs w:val="24"/>
        </w:rPr>
      </w:pPr>
      <w:r w:rsidRPr="00746CA9">
        <w:rPr>
          <w:rStyle w:val="Strong"/>
          <w:rFonts w:cs="Times New Roman"/>
          <w:color w:val="1D2125"/>
          <w:szCs w:val="24"/>
        </w:rPr>
        <w:t>Professions (BMHP5014)</w:t>
      </w:r>
    </w:p>
    <w:p w14:paraId="6679C9DE" w14:textId="77777777" w:rsidR="000C2115" w:rsidRPr="00746CA9" w:rsidRDefault="000C2115" w:rsidP="000C2115">
      <w:pPr>
        <w:jc w:val="center"/>
        <w:rPr>
          <w:rStyle w:val="Strong"/>
          <w:rFonts w:cs="Times New Roman"/>
          <w:color w:val="1D2125"/>
          <w:szCs w:val="24"/>
        </w:rPr>
      </w:pPr>
    </w:p>
    <w:p w14:paraId="69423A57" w14:textId="77777777" w:rsidR="000C2115" w:rsidRPr="00746CA9" w:rsidRDefault="000C2115" w:rsidP="000C2115">
      <w:pPr>
        <w:jc w:val="center"/>
        <w:rPr>
          <w:rStyle w:val="Strong"/>
          <w:rFonts w:cs="Times New Roman"/>
          <w:color w:val="1D2125"/>
          <w:szCs w:val="24"/>
        </w:rPr>
      </w:pPr>
    </w:p>
    <w:p w14:paraId="2CC4FCA4" w14:textId="77777777" w:rsidR="000C2115" w:rsidRPr="00746CA9" w:rsidRDefault="00C37B0E" w:rsidP="00891828">
      <w:pPr>
        <w:jc w:val="center"/>
        <w:rPr>
          <w:rStyle w:val="Strong"/>
          <w:rFonts w:cs="Times New Roman"/>
          <w:b w:val="0"/>
          <w:bCs w:val="0"/>
          <w:color w:val="1D2125"/>
          <w:szCs w:val="24"/>
        </w:rPr>
      </w:pPr>
      <w:r w:rsidRPr="00746CA9">
        <w:rPr>
          <w:rFonts w:cs="Times New Roman"/>
          <w:b/>
          <w:bCs/>
          <w:color w:val="000000"/>
          <w:szCs w:val="24"/>
        </w:rPr>
        <w:t>Component 1:</w:t>
      </w:r>
      <w:r w:rsidRPr="00746CA9">
        <w:rPr>
          <w:rFonts w:cs="Times New Roman"/>
          <w:szCs w:val="24"/>
        </w:rPr>
        <w:t xml:space="preserve"> </w:t>
      </w:r>
      <w:r w:rsidRPr="00746CA9">
        <w:rPr>
          <w:rFonts w:cs="Times New Roman"/>
          <w:b/>
          <w:bCs/>
          <w:color w:val="000000"/>
          <w:szCs w:val="24"/>
        </w:rPr>
        <w:t>Online portfolio of set exercises</w:t>
      </w:r>
    </w:p>
    <w:p w14:paraId="1C1CDBAC" w14:textId="77777777" w:rsidR="000C2115" w:rsidRPr="00746CA9" w:rsidRDefault="000C2115" w:rsidP="00891828">
      <w:pPr>
        <w:jc w:val="center"/>
        <w:rPr>
          <w:rStyle w:val="Strong"/>
          <w:rFonts w:cs="Times New Roman"/>
          <w:color w:val="1D2125"/>
          <w:szCs w:val="24"/>
        </w:rPr>
      </w:pPr>
    </w:p>
    <w:p w14:paraId="1A2422E3" w14:textId="50830CC2" w:rsidR="000C2115" w:rsidRPr="00746CA9" w:rsidRDefault="00C37B0E" w:rsidP="00891828">
      <w:pPr>
        <w:jc w:val="center"/>
        <w:rPr>
          <w:rStyle w:val="Strong"/>
          <w:rFonts w:cs="Times New Roman"/>
          <w:color w:val="1D2125"/>
          <w:szCs w:val="24"/>
        </w:rPr>
      </w:pPr>
      <w:r w:rsidRPr="00746CA9">
        <w:rPr>
          <w:rStyle w:val="Strong"/>
          <w:rFonts w:cs="Times New Roman"/>
          <w:color w:val="1D2125"/>
          <w:szCs w:val="24"/>
        </w:rPr>
        <w:t>Student name:</w:t>
      </w:r>
      <w:r w:rsidR="003C2DD9">
        <w:rPr>
          <w:rStyle w:val="Strong"/>
          <w:rFonts w:cs="Times New Roman"/>
          <w:color w:val="1D2125"/>
          <w:szCs w:val="24"/>
        </w:rPr>
        <w:t xml:space="preserve"> </w:t>
      </w:r>
      <w:r w:rsidR="001E4F98">
        <w:rPr>
          <w:rStyle w:val="Strong"/>
          <w:rFonts w:cs="Times New Roman"/>
          <w:color w:val="1D2125"/>
          <w:szCs w:val="24"/>
        </w:rPr>
        <w:t>Davia Jordan</w:t>
      </w:r>
    </w:p>
    <w:p w14:paraId="775B2A4A" w14:textId="34D8E078" w:rsidR="000C2115" w:rsidRPr="00746CA9" w:rsidRDefault="00C37B0E" w:rsidP="00891828">
      <w:pPr>
        <w:jc w:val="center"/>
        <w:rPr>
          <w:rStyle w:val="Strong"/>
          <w:rFonts w:cs="Times New Roman"/>
          <w:color w:val="1D2125"/>
          <w:szCs w:val="24"/>
        </w:rPr>
      </w:pPr>
      <w:r w:rsidRPr="00746CA9">
        <w:rPr>
          <w:rStyle w:val="Strong"/>
          <w:rFonts w:cs="Times New Roman"/>
          <w:color w:val="1D2125"/>
          <w:szCs w:val="24"/>
        </w:rPr>
        <w:t>Student number:</w:t>
      </w:r>
      <w:r w:rsidR="001E4F98">
        <w:rPr>
          <w:rStyle w:val="Strong"/>
          <w:rFonts w:cs="Times New Roman"/>
          <w:color w:val="1D2125"/>
          <w:szCs w:val="24"/>
        </w:rPr>
        <w:t xml:space="preserve"> 2411484</w:t>
      </w:r>
    </w:p>
    <w:p w14:paraId="7F725230" w14:textId="78155F69" w:rsidR="000C2115" w:rsidRPr="00746CA9" w:rsidRDefault="00C37B0E" w:rsidP="00891828">
      <w:pPr>
        <w:jc w:val="center"/>
        <w:rPr>
          <w:rStyle w:val="Strong"/>
          <w:rFonts w:cs="Times New Roman"/>
          <w:color w:val="1D2125"/>
          <w:szCs w:val="24"/>
        </w:rPr>
      </w:pPr>
      <w:r w:rsidRPr="00746CA9">
        <w:rPr>
          <w:rStyle w:val="Strong"/>
          <w:rFonts w:cs="Times New Roman"/>
          <w:color w:val="1D2125"/>
          <w:szCs w:val="24"/>
        </w:rPr>
        <w:t>Lecturer’s name:</w:t>
      </w:r>
      <w:r w:rsidR="006A3659">
        <w:rPr>
          <w:rStyle w:val="Strong"/>
          <w:rFonts w:cs="Times New Roman"/>
          <w:color w:val="1D2125"/>
          <w:szCs w:val="24"/>
        </w:rPr>
        <w:t xml:space="preserve"> </w:t>
      </w:r>
      <w:r w:rsidR="006A3659" w:rsidRPr="006A3659">
        <w:rPr>
          <w:rFonts w:cs="Times New Roman"/>
          <w:b/>
          <w:bCs/>
          <w:color w:val="1D2125"/>
          <w:szCs w:val="24"/>
        </w:rPr>
        <w:t>Soban Sadiq</w:t>
      </w:r>
    </w:p>
    <w:p w14:paraId="5FC7FEA3" w14:textId="77777777" w:rsidR="000C2115" w:rsidRPr="00746CA9" w:rsidRDefault="000C2115" w:rsidP="000C2115">
      <w:pPr>
        <w:jc w:val="center"/>
      </w:pPr>
    </w:p>
    <w:p w14:paraId="16808F28" w14:textId="77777777" w:rsidR="000C2115" w:rsidRPr="00746CA9" w:rsidRDefault="00C37B0E">
      <w:pPr>
        <w:spacing w:line="259" w:lineRule="auto"/>
        <w:jc w:val="left"/>
      </w:pPr>
      <w:r w:rsidRPr="00746CA9">
        <w:br w:type="page"/>
      </w:r>
    </w:p>
    <w:sdt>
      <w:sdtPr>
        <w:id w:val="1194654462"/>
        <w:docPartObj>
          <w:docPartGallery w:val="Table of Contents"/>
          <w:docPartUnique/>
        </w:docPartObj>
      </w:sdtPr>
      <w:sdtEndPr>
        <w:rPr>
          <w:b/>
          <w:bCs/>
          <w:noProof/>
        </w:rPr>
      </w:sdtEndPr>
      <w:sdtContent>
        <w:p w14:paraId="5D00A023" w14:textId="77777777" w:rsidR="000C2115" w:rsidRPr="00746CA9" w:rsidRDefault="00C37B0E" w:rsidP="000C2115">
          <w:pPr>
            <w:jc w:val="center"/>
            <w:rPr>
              <w:b/>
              <w:bCs/>
            </w:rPr>
          </w:pPr>
          <w:r w:rsidRPr="00746CA9">
            <w:rPr>
              <w:b/>
              <w:bCs/>
            </w:rPr>
            <w:t>Table of Contents</w:t>
          </w:r>
        </w:p>
        <w:p w14:paraId="35A75620" w14:textId="4D022E4B" w:rsidR="00746CA9" w:rsidRPr="00746CA9" w:rsidRDefault="00C37B0E">
          <w:pPr>
            <w:pStyle w:val="TOC1"/>
            <w:tabs>
              <w:tab w:val="right" w:leader="dot" w:pos="9016"/>
            </w:tabs>
            <w:rPr>
              <w:rFonts w:asciiTheme="minorHAnsi" w:eastAsiaTheme="minorEastAsia" w:hAnsiTheme="minorHAnsi"/>
              <w:noProof/>
              <w:sz w:val="22"/>
              <w:lang w:eastAsia="en-IN"/>
            </w:rPr>
          </w:pPr>
          <w:r w:rsidRPr="00746CA9">
            <w:fldChar w:fldCharType="begin"/>
          </w:r>
          <w:r w:rsidRPr="00746CA9">
            <w:instrText xml:space="preserve"> TOC \o "1-3" \h \z \u </w:instrText>
          </w:r>
          <w:r w:rsidRPr="00746CA9">
            <w:fldChar w:fldCharType="separate"/>
          </w:r>
          <w:hyperlink w:anchor="_Toc235723515" w:history="1">
            <w:r w:rsidR="00746CA9" w:rsidRPr="00746CA9">
              <w:rPr>
                <w:rStyle w:val="Hyperlink"/>
                <w:noProof/>
              </w:rPr>
              <w:t>Introduction</w:t>
            </w:r>
            <w:r w:rsidR="00746CA9" w:rsidRPr="00746CA9">
              <w:rPr>
                <w:noProof/>
                <w:webHidden/>
              </w:rPr>
              <w:tab/>
            </w:r>
            <w:r w:rsidR="00746CA9" w:rsidRPr="00746CA9">
              <w:rPr>
                <w:noProof/>
                <w:webHidden/>
              </w:rPr>
              <w:fldChar w:fldCharType="begin"/>
            </w:r>
            <w:r w:rsidR="00746CA9" w:rsidRPr="00746CA9">
              <w:rPr>
                <w:noProof/>
                <w:webHidden/>
              </w:rPr>
              <w:instrText xml:space="preserve"> PAGEREF _Toc235723515 \h </w:instrText>
            </w:r>
            <w:r w:rsidR="00746CA9" w:rsidRPr="00746CA9">
              <w:rPr>
                <w:noProof/>
                <w:webHidden/>
              </w:rPr>
            </w:r>
            <w:r w:rsidR="00746CA9" w:rsidRPr="00746CA9">
              <w:rPr>
                <w:noProof/>
                <w:webHidden/>
              </w:rPr>
              <w:fldChar w:fldCharType="separate"/>
            </w:r>
            <w:r w:rsidR="00746CA9" w:rsidRPr="00746CA9">
              <w:rPr>
                <w:noProof/>
                <w:webHidden/>
              </w:rPr>
              <w:t>3</w:t>
            </w:r>
            <w:r w:rsidR="00746CA9" w:rsidRPr="00746CA9">
              <w:rPr>
                <w:noProof/>
                <w:webHidden/>
              </w:rPr>
              <w:fldChar w:fldCharType="end"/>
            </w:r>
          </w:hyperlink>
        </w:p>
        <w:p w14:paraId="6F9FD7C6" w14:textId="0156B8D7" w:rsidR="00746CA9" w:rsidRPr="00746CA9" w:rsidRDefault="00746CA9">
          <w:pPr>
            <w:pStyle w:val="TOC1"/>
            <w:tabs>
              <w:tab w:val="right" w:leader="dot" w:pos="9016"/>
            </w:tabs>
            <w:rPr>
              <w:rFonts w:asciiTheme="minorHAnsi" w:eastAsiaTheme="minorEastAsia" w:hAnsiTheme="minorHAnsi"/>
              <w:noProof/>
              <w:sz w:val="22"/>
              <w:lang w:eastAsia="en-IN"/>
            </w:rPr>
          </w:pPr>
          <w:hyperlink w:anchor="_Toc235723516" w:history="1">
            <w:r w:rsidRPr="00746CA9">
              <w:rPr>
                <w:rStyle w:val="Hyperlink"/>
                <w:noProof/>
              </w:rPr>
              <w:t>Task 1- Defining Key Concepts in Practice</w:t>
            </w:r>
            <w:r w:rsidRPr="00746CA9">
              <w:rPr>
                <w:noProof/>
                <w:webHidden/>
              </w:rPr>
              <w:tab/>
            </w:r>
            <w:r w:rsidRPr="00746CA9">
              <w:rPr>
                <w:noProof/>
                <w:webHidden/>
              </w:rPr>
              <w:fldChar w:fldCharType="begin"/>
            </w:r>
            <w:r w:rsidRPr="00746CA9">
              <w:rPr>
                <w:noProof/>
                <w:webHidden/>
              </w:rPr>
              <w:instrText xml:space="preserve"> PAGEREF _Toc235723516 \h </w:instrText>
            </w:r>
            <w:r w:rsidRPr="00746CA9">
              <w:rPr>
                <w:noProof/>
                <w:webHidden/>
              </w:rPr>
            </w:r>
            <w:r w:rsidRPr="00746CA9">
              <w:rPr>
                <w:noProof/>
                <w:webHidden/>
              </w:rPr>
              <w:fldChar w:fldCharType="separate"/>
            </w:r>
            <w:r w:rsidRPr="00746CA9">
              <w:rPr>
                <w:noProof/>
                <w:webHidden/>
              </w:rPr>
              <w:t>4</w:t>
            </w:r>
            <w:r w:rsidRPr="00746CA9">
              <w:rPr>
                <w:noProof/>
                <w:webHidden/>
              </w:rPr>
              <w:fldChar w:fldCharType="end"/>
            </w:r>
          </w:hyperlink>
        </w:p>
        <w:p w14:paraId="6225B213" w14:textId="1193F6CA" w:rsidR="00746CA9" w:rsidRPr="00746CA9" w:rsidRDefault="00746CA9">
          <w:pPr>
            <w:pStyle w:val="TOC1"/>
            <w:tabs>
              <w:tab w:val="right" w:leader="dot" w:pos="9016"/>
            </w:tabs>
            <w:rPr>
              <w:rFonts w:asciiTheme="minorHAnsi" w:eastAsiaTheme="minorEastAsia" w:hAnsiTheme="minorHAnsi"/>
              <w:noProof/>
              <w:sz w:val="22"/>
              <w:lang w:eastAsia="en-IN"/>
            </w:rPr>
          </w:pPr>
          <w:hyperlink w:anchor="_Toc235723517" w:history="1">
            <w:r w:rsidRPr="00746CA9">
              <w:rPr>
                <w:rStyle w:val="Hyperlink"/>
                <w:noProof/>
              </w:rPr>
              <w:t>Task 2 - Mind Map</w:t>
            </w:r>
            <w:r w:rsidRPr="00746CA9">
              <w:rPr>
                <w:noProof/>
                <w:webHidden/>
              </w:rPr>
              <w:tab/>
            </w:r>
            <w:r w:rsidRPr="00746CA9">
              <w:rPr>
                <w:noProof/>
                <w:webHidden/>
              </w:rPr>
              <w:fldChar w:fldCharType="begin"/>
            </w:r>
            <w:r w:rsidRPr="00746CA9">
              <w:rPr>
                <w:noProof/>
                <w:webHidden/>
              </w:rPr>
              <w:instrText xml:space="preserve"> PAGEREF _Toc235723517 \h </w:instrText>
            </w:r>
            <w:r w:rsidRPr="00746CA9">
              <w:rPr>
                <w:noProof/>
                <w:webHidden/>
              </w:rPr>
            </w:r>
            <w:r w:rsidRPr="00746CA9">
              <w:rPr>
                <w:noProof/>
                <w:webHidden/>
              </w:rPr>
              <w:fldChar w:fldCharType="separate"/>
            </w:r>
            <w:r w:rsidRPr="00746CA9">
              <w:rPr>
                <w:noProof/>
                <w:webHidden/>
              </w:rPr>
              <w:t>6</w:t>
            </w:r>
            <w:r w:rsidRPr="00746CA9">
              <w:rPr>
                <w:noProof/>
                <w:webHidden/>
              </w:rPr>
              <w:fldChar w:fldCharType="end"/>
            </w:r>
          </w:hyperlink>
        </w:p>
        <w:p w14:paraId="5B2D7983" w14:textId="4EEEEA19" w:rsidR="00746CA9" w:rsidRPr="00746CA9" w:rsidRDefault="00746CA9">
          <w:pPr>
            <w:pStyle w:val="TOC1"/>
            <w:tabs>
              <w:tab w:val="right" w:leader="dot" w:pos="9016"/>
            </w:tabs>
            <w:rPr>
              <w:rFonts w:asciiTheme="minorHAnsi" w:eastAsiaTheme="minorEastAsia" w:hAnsiTheme="minorHAnsi"/>
              <w:noProof/>
              <w:sz w:val="22"/>
              <w:lang w:eastAsia="en-IN"/>
            </w:rPr>
          </w:pPr>
          <w:hyperlink w:anchor="_Toc235723518" w:history="1">
            <w:r w:rsidRPr="00746CA9">
              <w:rPr>
                <w:rStyle w:val="Hyperlink"/>
                <w:noProof/>
              </w:rPr>
              <w:t>Task 3 - Self-Reflection of Group Activity</w:t>
            </w:r>
            <w:r w:rsidRPr="00746CA9">
              <w:rPr>
                <w:noProof/>
                <w:webHidden/>
              </w:rPr>
              <w:tab/>
            </w:r>
            <w:r w:rsidRPr="00746CA9">
              <w:rPr>
                <w:noProof/>
                <w:webHidden/>
              </w:rPr>
              <w:fldChar w:fldCharType="begin"/>
            </w:r>
            <w:r w:rsidRPr="00746CA9">
              <w:rPr>
                <w:noProof/>
                <w:webHidden/>
              </w:rPr>
              <w:instrText xml:space="preserve"> PAGEREF _Toc235723518 \h </w:instrText>
            </w:r>
            <w:r w:rsidRPr="00746CA9">
              <w:rPr>
                <w:noProof/>
                <w:webHidden/>
              </w:rPr>
            </w:r>
            <w:r w:rsidRPr="00746CA9">
              <w:rPr>
                <w:noProof/>
                <w:webHidden/>
              </w:rPr>
              <w:fldChar w:fldCharType="separate"/>
            </w:r>
            <w:r w:rsidRPr="00746CA9">
              <w:rPr>
                <w:noProof/>
                <w:webHidden/>
              </w:rPr>
              <w:t>7</w:t>
            </w:r>
            <w:r w:rsidRPr="00746CA9">
              <w:rPr>
                <w:noProof/>
                <w:webHidden/>
              </w:rPr>
              <w:fldChar w:fldCharType="end"/>
            </w:r>
          </w:hyperlink>
        </w:p>
        <w:p w14:paraId="7A9B8508" w14:textId="793A649F" w:rsidR="00746CA9" w:rsidRPr="00746CA9" w:rsidRDefault="00746CA9">
          <w:pPr>
            <w:pStyle w:val="TOC1"/>
            <w:tabs>
              <w:tab w:val="right" w:leader="dot" w:pos="9016"/>
            </w:tabs>
            <w:rPr>
              <w:rFonts w:asciiTheme="minorHAnsi" w:eastAsiaTheme="minorEastAsia" w:hAnsiTheme="minorHAnsi"/>
              <w:noProof/>
              <w:sz w:val="22"/>
              <w:lang w:eastAsia="en-IN"/>
            </w:rPr>
          </w:pPr>
          <w:hyperlink w:anchor="_Toc235723519" w:history="1">
            <w:r w:rsidRPr="00746CA9">
              <w:rPr>
                <w:rStyle w:val="Hyperlink"/>
                <w:noProof/>
              </w:rPr>
              <w:t>Task 4 – Case Study Analysis of a UK Innovation</w:t>
            </w:r>
            <w:r w:rsidRPr="00746CA9">
              <w:rPr>
                <w:noProof/>
                <w:webHidden/>
              </w:rPr>
              <w:tab/>
            </w:r>
            <w:r w:rsidRPr="00746CA9">
              <w:rPr>
                <w:noProof/>
                <w:webHidden/>
              </w:rPr>
              <w:fldChar w:fldCharType="begin"/>
            </w:r>
            <w:r w:rsidRPr="00746CA9">
              <w:rPr>
                <w:noProof/>
                <w:webHidden/>
              </w:rPr>
              <w:instrText xml:space="preserve"> PAGEREF _Toc235723519 \h </w:instrText>
            </w:r>
            <w:r w:rsidRPr="00746CA9">
              <w:rPr>
                <w:noProof/>
                <w:webHidden/>
              </w:rPr>
            </w:r>
            <w:r w:rsidRPr="00746CA9">
              <w:rPr>
                <w:noProof/>
                <w:webHidden/>
              </w:rPr>
              <w:fldChar w:fldCharType="separate"/>
            </w:r>
            <w:r w:rsidRPr="00746CA9">
              <w:rPr>
                <w:noProof/>
                <w:webHidden/>
              </w:rPr>
              <w:t>8</w:t>
            </w:r>
            <w:r w:rsidRPr="00746CA9">
              <w:rPr>
                <w:noProof/>
                <w:webHidden/>
              </w:rPr>
              <w:fldChar w:fldCharType="end"/>
            </w:r>
          </w:hyperlink>
        </w:p>
        <w:p w14:paraId="3B4B7A12" w14:textId="67CBB0D4" w:rsidR="00746CA9" w:rsidRPr="00746CA9" w:rsidRDefault="00746CA9">
          <w:pPr>
            <w:pStyle w:val="TOC1"/>
            <w:tabs>
              <w:tab w:val="right" w:leader="dot" w:pos="9016"/>
            </w:tabs>
            <w:rPr>
              <w:rFonts w:asciiTheme="minorHAnsi" w:eastAsiaTheme="minorEastAsia" w:hAnsiTheme="minorHAnsi"/>
              <w:noProof/>
              <w:sz w:val="22"/>
              <w:lang w:eastAsia="en-IN"/>
            </w:rPr>
          </w:pPr>
          <w:hyperlink w:anchor="_Toc235723520" w:history="1">
            <w:r w:rsidRPr="00746CA9">
              <w:rPr>
                <w:rStyle w:val="Hyperlink"/>
                <w:noProof/>
              </w:rPr>
              <w:t>Task 5 - Research Task</w:t>
            </w:r>
            <w:r w:rsidRPr="00746CA9">
              <w:rPr>
                <w:noProof/>
                <w:webHidden/>
              </w:rPr>
              <w:tab/>
            </w:r>
            <w:r w:rsidRPr="00746CA9">
              <w:rPr>
                <w:noProof/>
                <w:webHidden/>
              </w:rPr>
              <w:fldChar w:fldCharType="begin"/>
            </w:r>
            <w:r w:rsidRPr="00746CA9">
              <w:rPr>
                <w:noProof/>
                <w:webHidden/>
              </w:rPr>
              <w:instrText xml:space="preserve"> PAGEREF _Toc235723520 \h </w:instrText>
            </w:r>
            <w:r w:rsidRPr="00746CA9">
              <w:rPr>
                <w:noProof/>
                <w:webHidden/>
              </w:rPr>
            </w:r>
            <w:r w:rsidRPr="00746CA9">
              <w:rPr>
                <w:noProof/>
                <w:webHidden/>
              </w:rPr>
              <w:fldChar w:fldCharType="separate"/>
            </w:r>
            <w:r w:rsidRPr="00746CA9">
              <w:rPr>
                <w:noProof/>
                <w:webHidden/>
              </w:rPr>
              <w:t>9</w:t>
            </w:r>
            <w:r w:rsidRPr="00746CA9">
              <w:rPr>
                <w:noProof/>
                <w:webHidden/>
              </w:rPr>
              <w:fldChar w:fldCharType="end"/>
            </w:r>
          </w:hyperlink>
        </w:p>
        <w:p w14:paraId="5996C93F" w14:textId="00723D5A" w:rsidR="00746CA9" w:rsidRPr="00746CA9" w:rsidRDefault="00746CA9">
          <w:pPr>
            <w:pStyle w:val="TOC1"/>
            <w:tabs>
              <w:tab w:val="right" w:leader="dot" w:pos="9016"/>
            </w:tabs>
            <w:rPr>
              <w:rFonts w:asciiTheme="minorHAnsi" w:eastAsiaTheme="minorEastAsia" w:hAnsiTheme="minorHAnsi"/>
              <w:noProof/>
              <w:sz w:val="22"/>
              <w:lang w:eastAsia="en-IN"/>
            </w:rPr>
          </w:pPr>
          <w:hyperlink w:anchor="_Toc235723521" w:history="1">
            <w:r w:rsidRPr="00746CA9">
              <w:rPr>
                <w:rStyle w:val="Hyperlink"/>
                <w:noProof/>
              </w:rPr>
              <w:t>Task 6 - Exploring Digital Innovation in Health and Social Care</w:t>
            </w:r>
            <w:r w:rsidRPr="00746CA9">
              <w:rPr>
                <w:noProof/>
                <w:webHidden/>
              </w:rPr>
              <w:tab/>
            </w:r>
            <w:r w:rsidRPr="00746CA9">
              <w:rPr>
                <w:noProof/>
                <w:webHidden/>
              </w:rPr>
              <w:fldChar w:fldCharType="begin"/>
            </w:r>
            <w:r w:rsidRPr="00746CA9">
              <w:rPr>
                <w:noProof/>
                <w:webHidden/>
              </w:rPr>
              <w:instrText xml:space="preserve"> PAGEREF _Toc235723521 \h </w:instrText>
            </w:r>
            <w:r w:rsidRPr="00746CA9">
              <w:rPr>
                <w:noProof/>
                <w:webHidden/>
              </w:rPr>
            </w:r>
            <w:r w:rsidRPr="00746CA9">
              <w:rPr>
                <w:noProof/>
                <w:webHidden/>
              </w:rPr>
              <w:fldChar w:fldCharType="separate"/>
            </w:r>
            <w:r w:rsidRPr="00746CA9">
              <w:rPr>
                <w:noProof/>
                <w:webHidden/>
              </w:rPr>
              <w:t>10</w:t>
            </w:r>
            <w:r w:rsidRPr="00746CA9">
              <w:rPr>
                <w:noProof/>
                <w:webHidden/>
              </w:rPr>
              <w:fldChar w:fldCharType="end"/>
            </w:r>
          </w:hyperlink>
        </w:p>
        <w:p w14:paraId="08B36562" w14:textId="61CF69A8" w:rsidR="00746CA9" w:rsidRPr="00746CA9" w:rsidRDefault="00746CA9">
          <w:pPr>
            <w:pStyle w:val="TOC1"/>
            <w:tabs>
              <w:tab w:val="right" w:leader="dot" w:pos="9016"/>
            </w:tabs>
            <w:rPr>
              <w:rFonts w:asciiTheme="minorHAnsi" w:eastAsiaTheme="minorEastAsia" w:hAnsiTheme="minorHAnsi"/>
              <w:noProof/>
              <w:sz w:val="22"/>
              <w:lang w:eastAsia="en-IN"/>
            </w:rPr>
          </w:pPr>
          <w:hyperlink w:anchor="_Toc235723522" w:history="1">
            <w:r w:rsidRPr="00746CA9">
              <w:rPr>
                <w:rStyle w:val="Hyperlink"/>
                <w:noProof/>
              </w:rPr>
              <w:t>Task 7 - Understanding the NHS Leadership Framework</w:t>
            </w:r>
            <w:r w:rsidRPr="00746CA9">
              <w:rPr>
                <w:noProof/>
                <w:webHidden/>
              </w:rPr>
              <w:tab/>
            </w:r>
            <w:r w:rsidRPr="00746CA9">
              <w:rPr>
                <w:noProof/>
                <w:webHidden/>
              </w:rPr>
              <w:fldChar w:fldCharType="begin"/>
            </w:r>
            <w:r w:rsidRPr="00746CA9">
              <w:rPr>
                <w:noProof/>
                <w:webHidden/>
              </w:rPr>
              <w:instrText xml:space="preserve"> PAGEREF _Toc235723522 \h </w:instrText>
            </w:r>
            <w:r w:rsidRPr="00746CA9">
              <w:rPr>
                <w:noProof/>
                <w:webHidden/>
              </w:rPr>
            </w:r>
            <w:r w:rsidRPr="00746CA9">
              <w:rPr>
                <w:noProof/>
                <w:webHidden/>
              </w:rPr>
              <w:fldChar w:fldCharType="separate"/>
            </w:r>
            <w:r w:rsidRPr="00746CA9">
              <w:rPr>
                <w:noProof/>
                <w:webHidden/>
              </w:rPr>
              <w:t>11</w:t>
            </w:r>
            <w:r w:rsidRPr="00746CA9">
              <w:rPr>
                <w:noProof/>
                <w:webHidden/>
              </w:rPr>
              <w:fldChar w:fldCharType="end"/>
            </w:r>
          </w:hyperlink>
        </w:p>
        <w:p w14:paraId="65451EDD" w14:textId="172CEF54" w:rsidR="00746CA9" w:rsidRPr="00746CA9" w:rsidRDefault="00746CA9">
          <w:pPr>
            <w:pStyle w:val="TOC1"/>
            <w:tabs>
              <w:tab w:val="right" w:leader="dot" w:pos="9016"/>
            </w:tabs>
            <w:rPr>
              <w:rFonts w:asciiTheme="minorHAnsi" w:eastAsiaTheme="minorEastAsia" w:hAnsiTheme="minorHAnsi"/>
              <w:noProof/>
              <w:sz w:val="22"/>
              <w:lang w:eastAsia="en-IN"/>
            </w:rPr>
          </w:pPr>
          <w:hyperlink w:anchor="_Toc235723523" w:history="1">
            <w:r w:rsidRPr="00746CA9">
              <w:rPr>
                <w:rStyle w:val="Hyperlink"/>
                <w:noProof/>
              </w:rPr>
              <w:t>Task 8 – Self-Reflection Journal Entry</w:t>
            </w:r>
            <w:r w:rsidRPr="00746CA9">
              <w:rPr>
                <w:noProof/>
                <w:webHidden/>
              </w:rPr>
              <w:tab/>
            </w:r>
            <w:r w:rsidRPr="00746CA9">
              <w:rPr>
                <w:noProof/>
                <w:webHidden/>
              </w:rPr>
              <w:fldChar w:fldCharType="begin"/>
            </w:r>
            <w:r w:rsidRPr="00746CA9">
              <w:rPr>
                <w:noProof/>
                <w:webHidden/>
              </w:rPr>
              <w:instrText xml:space="preserve"> PAGEREF _Toc235723523 \h </w:instrText>
            </w:r>
            <w:r w:rsidRPr="00746CA9">
              <w:rPr>
                <w:noProof/>
                <w:webHidden/>
              </w:rPr>
            </w:r>
            <w:r w:rsidRPr="00746CA9">
              <w:rPr>
                <w:noProof/>
                <w:webHidden/>
              </w:rPr>
              <w:fldChar w:fldCharType="separate"/>
            </w:r>
            <w:r w:rsidRPr="00746CA9">
              <w:rPr>
                <w:noProof/>
                <w:webHidden/>
              </w:rPr>
              <w:t>12</w:t>
            </w:r>
            <w:r w:rsidRPr="00746CA9">
              <w:rPr>
                <w:noProof/>
                <w:webHidden/>
              </w:rPr>
              <w:fldChar w:fldCharType="end"/>
            </w:r>
          </w:hyperlink>
        </w:p>
        <w:p w14:paraId="27BE0251" w14:textId="612B60AA" w:rsidR="00746CA9" w:rsidRPr="00746CA9" w:rsidRDefault="00746CA9">
          <w:pPr>
            <w:pStyle w:val="TOC1"/>
            <w:tabs>
              <w:tab w:val="right" w:leader="dot" w:pos="9016"/>
            </w:tabs>
            <w:rPr>
              <w:rFonts w:asciiTheme="minorHAnsi" w:eastAsiaTheme="minorEastAsia" w:hAnsiTheme="minorHAnsi"/>
              <w:noProof/>
              <w:sz w:val="22"/>
              <w:lang w:eastAsia="en-IN"/>
            </w:rPr>
          </w:pPr>
          <w:hyperlink w:anchor="_Toc235723524" w:history="1">
            <w:r w:rsidRPr="00746CA9">
              <w:rPr>
                <w:rStyle w:val="Hyperlink"/>
                <w:noProof/>
              </w:rPr>
              <w:t>References</w:t>
            </w:r>
            <w:r w:rsidRPr="00746CA9">
              <w:rPr>
                <w:noProof/>
                <w:webHidden/>
              </w:rPr>
              <w:tab/>
            </w:r>
            <w:r w:rsidRPr="00746CA9">
              <w:rPr>
                <w:noProof/>
                <w:webHidden/>
              </w:rPr>
              <w:fldChar w:fldCharType="begin"/>
            </w:r>
            <w:r w:rsidRPr="00746CA9">
              <w:rPr>
                <w:noProof/>
                <w:webHidden/>
              </w:rPr>
              <w:instrText xml:space="preserve"> PAGEREF _Toc235723524 \h </w:instrText>
            </w:r>
            <w:r w:rsidRPr="00746CA9">
              <w:rPr>
                <w:noProof/>
                <w:webHidden/>
              </w:rPr>
            </w:r>
            <w:r w:rsidRPr="00746CA9">
              <w:rPr>
                <w:noProof/>
                <w:webHidden/>
              </w:rPr>
              <w:fldChar w:fldCharType="separate"/>
            </w:r>
            <w:r w:rsidRPr="00746CA9">
              <w:rPr>
                <w:noProof/>
                <w:webHidden/>
              </w:rPr>
              <w:t>13</w:t>
            </w:r>
            <w:r w:rsidRPr="00746CA9">
              <w:rPr>
                <w:noProof/>
                <w:webHidden/>
              </w:rPr>
              <w:fldChar w:fldCharType="end"/>
            </w:r>
          </w:hyperlink>
        </w:p>
        <w:p w14:paraId="2FC669A5" w14:textId="7F45D91E" w:rsidR="000C2115" w:rsidRPr="00746CA9" w:rsidRDefault="00C37B0E">
          <w:r w:rsidRPr="00746CA9">
            <w:rPr>
              <w:b/>
              <w:bCs/>
              <w:noProof/>
            </w:rPr>
            <w:fldChar w:fldCharType="end"/>
          </w:r>
        </w:p>
      </w:sdtContent>
    </w:sdt>
    <w:p w14:paraId="69CFB302" w14:textId="77777777" w:rsidR="000C2115" w:rsidRPr="00746CA9" w:rsidRDefault="00C37B0E">
      <w:pPr>
        <w:spacing w:line="259" w:lineRule="auto"/>
        <w:jc w:val="left"/>
        <w:rPr>
          <w:b/>
          <w:bCs/>
        </w:rPr>
      </w:pPr>
      <w:r w:rsidRPr="00746CA9">
        <w:br w:type="page"/>
      </w:r>
    </w:p>
    <w:p w14:paraId="60134C49" w14:textId="77777777" w:rsidR="000C2115" w:rsidRPr="00746CA9" w:rsidRDefault="00C37B0E" w:rsidP="000C2115">
      <w:pPr>
        <w:pStyle w:val="Heading1"/>
      </w:pPr>
      <w:bookmarkStart w:id="0" w:name="_Toc235723515"/>
      <w:r w:rsidRPr="00746CA9">
        <w:lastRenderedPageBreak/>
        <w:t>Introduction</w:t>
      </w:r>
      <w:bookmarkEnd w:id="0"/>
      <w:r w:rsidRPr="00746CA9">
        <w:t xml:space="preserve"> </w:t>
      </w:r>
    </w:p>
    <w:p w14:paraId="5F627053" w14:textId="77777777" w:rsidR="005C7601" w:rsidRPr="00746CA9" w:rsidRDefault="00C37B0E" w:rsidP="005C7601">
      <w:r w:rsidRPr="00746CA9">
        <w:t xml:space="preserve">According to </w:t>
      </w:r>
      <w:r w:rsidRPr="00746CA9">
        <w:rPr>
          <w:shd w:val="clear" w:color="auto" w:fill="FFFFFF"/>
        </w:rPr>
        <w:t xml:space="preserve">Glasby (2026), health and social care services are considered to be funded publicly rather than being necessarily provided by the public sector. </w:t>
      </w:r>
      <w:r w:rsidR="00E76C64" w:rsidRPr="00746CA9">
        <w:t>Innovation</w:t>
      </w:r>
      <w:r w:rsidRPr="00746CA9">
        <w:t xml:space="preserve"> refers to the process of transforming the inputs into processes or outputs which generally have greater value to individuals.</w:t>
      </w:r>
      <w:r w:rsidR="00E76C64" w:rsidRPr="00746CA9">
        <w:t xml:space="preserve"> This, along with </w:t>
      </w:r>
      <w:r w:rsidRPr="00746CA9">
        <w:rPr>
          <w:shd w:val="clear" w:color="auto" w:fill="FFFFFF"/>
        </w:rPr>
        <w:t>brainstorm</w:t>
      </w:r>
      <w:r w:rsidR="00E76C64" w:rsidRPr="00746CA9">
        <w:rPr>
          <w:shd w:val="clear" w:color="auto" w:fill="FFFFFF"/>
        </w:rPr>
        <w:t>ing, helps</w:t>
      </w:r>
      <w:r w:rsidRPr="00746CA9">
        <w:rPr>
          <w:shd w:val="clear" w:color="auto" w:fill="FFFFFF"/>
        </w:rPr>
        <w:t xml:space="preserve"> </w:t>
      </w:r>
      <w:r w:rsidR="00E76C64" w:rsidRPr="00746CA9">
        <w:rPr>
          <w:shd w:val="clear" w:color="auto" w:fill="FFFFFF"/>
        </w:rPr>
        <w:t>to</w:t>
      </w:r>
      <w:r w:rsidRPr="00746CA9">
        <w:rPr>
          <w:shd w:val="clear" w:color="auto" w:fill="FFFFFF"/>
        </w:rPr>
        <w:t xml:space="preserve"> generate valuable or novel ideas.</w:t>
      </w:r>
      <w:r w:rsidR="00E76C64" w:rsidRPr="00746CA9">
        <w:rPr>
          <w:shd w:val="clear" w:color="auto" w:fill="FFFFFF"/>
        </w:rPr>
        <w:t xml:space="preserve"> Within the dynamic health and social care sector, it </w:t>
      </w:r>
      <w:r w:rsidRPr="00746CA9">
        <w:t xml:space="preserve">helps to deliver better value by translating the creative ideas into viable solutions. </w:t>
      </w:r>
      <w:r w:rsidR="00E76C64" w:rsidRPr="00746CA9">
        <w:t xml:space="preserve">In this portfolio, the key concepts will be discussed, followed by the design of a mind map. Further, the creativity and innovations in healthcare based on organisational examples will also be stated with self-reflective activities.   </w:t>
      </w:r>
      <w:r w:rsidRPr="00746CA9">
        <w:br w:type="page"/>
      </w:r>
    </w:p>
    <w:p w14:paraId="5E7BF7E4" w14:textId="77777777" w:rsidR="00F7748D" w:rsidRPr="00746CA9" w:rsidRDefault="00C37B0E" w:rsidP="005C7601">
      <w:pPr>
        <w:pStyle w:val="Heading1"/>
      </w:pPr>
      <w:bookmarkStart w:id="1" w:name="_Toc235723516"/>
      <w:r w:rsidRPr="00746CA9">
        <w:lastRenderedPageBreak/>
        <w:t>Task 1- Defining Key Concepts in Practice</w:t>
      </w:r>
      <w:bookmarkEnd w:id="1"/>
      <w:r w:rsidRPr="00746CA9">
        <w:t xml:space="preserve"> </w:t>
      </w:r>
    </w:p>
    <w:p w14:paraId="54E1DA91" w14:textId="77777777" w:rsidR="000C2115" w:rsidRPr="00746CA9" w:rsidRDefault="00C37B0E" w:rsidP="00891828">
      <w:pPr>
        <w:rPr>
          <w:b/>
          <w:bCs/>
          <w:i/>
          <w:iCs/>
        </w:rPr>
      </w:pPr>
      <w:r w:rsidRPr="00746CA9">
        <w:rPr>
          <w:b/>
          <w:bCs/>
          <w:i/>
          <w:iCs/>
        </w:rPr>
        <w:t>Innovation</w:t>
      </w:r>
    </w:p>
    <w:p w14:paraId="778AC65D" w14:textId="77777777" w:rsidR="000C2115" w:rsidRPr="00746CA9" w:rsidRDefault="00C37B0E" w:rsidP="000C2115">
      <w:r w:rsidRPr="00746CA9">
        <w:t xml:space="preserve">Innovation is the ability to develop, conceive, deliver, and scale new products (Schlabach, 2024). </w:t>
      </w:r>
      <w:r w:rsidR="000C27B8" w:rsidRPr="00746CA9">
        <w:rPr>
          <w:b/>
          <w:bCs/>
          <w:i/>
          <w:iCs/>
          <w:shd w:val="clear" w:color="auto" w:fill="FFFFFF"/>
        </w:rPr>
        <w:t>Rogers’ Diffusion of Innovation theory</w:t>
      </w:r>
      <w:r w:rsidR="000C27B8" w:rsidRPr="00746CA9">
        <w:rPr>
          <w:shd w:val="clear" w:color="auto" w:fill="FFFFFF"/>
        </w:rPr>
        <w:t xml:space="preserve"> outlines the determinant attributes of the use of innovations and users' perceptions, influencing the acceptance or rejection of innovative approaches (Menzli </w:t>
      </w:r>
      <w:r w:rsidR="000C27B8" w:rsidRPr="00746CA9">
        <w:rPr>
          <w:i/>
          <w:iCs/>
          <w:shd w:val="clear" w:color="auto" w:fill="FFFFFF"/>
        </w:rPr>
        <w:t xml:space="preserve">et al., </w:t>
      </w:r>
      <w:r w:rsidR="000C27B8" w:rsidRPr="00746CA9">
        <w:rPr>
          <w:shd w:val="clear" w:color="auto" w:fill="FFFFFF"/>
        </w:rPr>
        <w:t xml:space="preserve">2022). </w:t>
      </w:r>
      <w:r w:rsidR="00F7748D" w:rsidRPr="00746CA9">
        <w:rPr>
          <w:shd w:val="clear" w:color="auto" w:fill="FFFFFF"/>
        </w:rPr>
        <w:t xml:space="preserve">It </w:t>
      </w:r>
      <w:r w:rsidR="00F7748D" w:rsidRPr="00746CA9">
        <w:t xml:space="preserve">helps improve health and social care through better services, technologies, and patient outcomes. For example, the NHS is </w:t>
      </w:r>
      <w:r w:rsidR="0031077A" w:rsidRPr="00746CA9">
        <w:t xml:space="preserve">using digital technology so that care professionals can communicate better, encouraging people to access the care they need easily (NHS England, 2026a). </w:t>
      </w:r>
    </w:p>
    <w:p w14:paraId="21E8C7E3" w14:textId="77777777" w:rsidR="000C2115" w:rsidRPr="00746CA9" w:rsidRDefault="00C37B0E" w:rsidP="000C2115">
      <w:pPr>
        <w:rPr>
          <w:b/>
          <w:bCs/>
          <w:i/>
          <w:iCs/>
        </w:rPr>
      </w:pPr>
      <w:r w:rsidRPr="00746CA9">
        <w:rPr>
          <w:b/>
          <w:bCs/>
          <w:i/>
          <w:iCs/>
        </w:rPr>
        <w:t>Creativity</w:t>
      </w:r>
    </w:p>
    <w:p w14:paraId="7A490ABB" w14:textId="77777777" w:rsidR="000C2115" w:rsidRPr="00746CA9" w:rsidRDefault="00C37B0E" w:rsidP="000C2115">
      <w:r w:rsidRPr="00746CA9">
        <w:t xml:space="preserve">According to </w:t>
      </w:r>
      <w:r w:rsidRPr="00746CA9">
        <w:rPr>
          <w:shd w:val="clear" w:color="auto" w:fill="FFFFFF"/>
        </w:rPr>
        <w:t xml:space="preserve">Green </w:t>
      </w:r>
      <w:r w:rsidRPr="00746CA9">
        <w:rPr>
          <w:i/>
          <w:iCs/>
          <w:shd w:val="clear" w:color="auto" w:fill="FFFFFF"/>
        </w:rPr>
        <w:t xml:space="preserve">et al. </w:t>
      </w:r>
      <w:r w:rsidRPr="00746CA9">
        <w:rPr>
          <w:shd w:val="clear" w:color="auto" w:fill="FFFFFF"/>
        </w:rPr>
        <w:t xml:space="preserve">(2024), creativity is defined as the internal attention </w:t>
      </w:r>
      <w:r w:rsidR="00E51851" w:rsidRPr="00746CA9">
        <w:rPr>
          <w:shd w:val="clear" w:color="auto" w:fill="FFFFFF"/>
        </w:rPr>
        <w:t xml:space="preserve">that is constrained by a generative goal.  </w:t>
      </w:r>
      <w:r w:rsidR="0084497B" w:rsidRPr="00746CA9">
        <w:rPr>
          <w:shd w:val="clear" w:color="auto" w:fill="FFFFFF"/>
        </w:rPr>
        <w:t xml:space="preserve">As per Han </w:t>
      </w:r>
      <w:r w:rsidR="0084497B" w:rsidRPr="00746CA9">
        <w:rPr>
          <w:i/>
          <w:iCs/>
          <w:shd w:val="clear" w:color="auto" w:fill="FFFFFF"/>
        </w:rPr>
        <w:t xml:space="preserve">et al. </w:t>
      </w:r>
      <w:r w:rsidR="0084497B" w:rsidRPr="00746CA9">
        <w:rPr>
          <w:shd w:val="clear" w:color="auto" w:fill="FFFFFF"/>
        </w:rPr>
        <w:t xml:space="preserve">(2023), the </w:t>
      </w:r>
      <w:r w:rsidR="0084497B" w:rsidRPr="00746CA9">
        <w:rPr>
          <w:b/>
          <w:bCs/>
          <w:i/>
          <w:iCs/>
        </w:rPr>
        <w:t>Dynamic Componential Model</w:t>
      </w:r>
      <w:r w:rsidR="0084497B" w:rsidRPr="00746CA9">
        <w:t xml:space="preserve"> of Creativity upholds a conceptual framework including the five sequential stages of organisational innovation and individual creativity. </w:t>
      </w:r>
      <w:r w:rsidR="0031077A" w:rsidRPr="00746CA9">
        <w:t>In healthcare, t</w:t>
      </w:r>
      <w:r w:rsidR="00F7748D" w:rsidRPr="00746CA9">
        <w:t>his encourage</w:t>
      </w:r>
      <w:r w:rsidR="0031077A" w:rsidRPr="00746CA9">
        <w:t>s</w:t>
      </w:r>
      <w:r w:rsidR="00F7748D" w:rsidRPr="00746CA9">
        <w:t xml:space="preserve"> effective solutions to meet diverse patient and service user needs. </w:t>
      </w:r>
      <w:r w:rsidR="0031077A" w:rsidRPr="00746CA9">
        <w:t>For example, the NHS proposed that digital-first primary care will emerge as a new option for patients for convenient access to primary care (NHS England, 2025)</w:t>
      </w:r>
    </w:p>
    <w:p w14:paraId="5F2D9BC5" w14:textId="77777777" w:rsidR="000C2115" w:rsidRPr="00746CA9" w:rsidRDefault="00C37B0E" w:rsidP="000C2115">
      <w:pPr>
        <w:rPr>
          <w:b/>
          <w:bCs/>
          <w:i/>
          <w:iCs/>
        </w:rPr>
      </w:pPr>
      <w:r w:rsidRPr="00746CA9">
        <w:rPr>
          <w:b/>
          <w:bCs/>
          <w:i/>
          <w:iCs/>
        </w:rPr>
        <w:t>Value Creation</w:t>
      </w:r>
    </w:p>
    <w:p w14:paraId="73BDCDDF" w14:textId="77777777" w:rsidR="00E51851" w:rsidRPr="00746CA9" w:rsidRDefault="00C37B0E" w:rsidP="00E51851">
      <w:r w:rsidRPr="00746CA9">
        <w:t xml:space="preserve">Value creation is known to forge a reciprocal relationship between a company and its stakeholders (Nicita, 2024). </w:t>
      </w:r>
      <w:r w:rsidR="0084497B" w:rsidRPr="00746CA9">
        <w:t xml:space="preserve">As stated by </w:t>
      </w:r>
      <w:r w:rsidR="0084497B" w:rsidRPr="00746CA9">
        <w:rPr>
          <w:shd w:val="clear" w:color="auto" w:fill="FFFFFF"/>
        </w:rPr>
        <w:t>Marfo-Yiadom</w:t>
      </w:r>
      <w:r w:rsidR="00F7748D" w:rsidRPr="00746CA9">
        <w:rPr>
          <w:shd w:val="clear" w:color="auto" w:fill="FFFFFF"/>
        </w:rPr>
        <w:t xml:space="preserve">, </w:t>
      </w:r>
      <w:r w:rsidR="0084497B" w:rsidRPr="00746CA9">
        <w:rPr>
          <w:shd w:val="clear" w:color="auto" w:fill="FFFFFF"/>
        </w:rPr>
        <w:t>Kusi</w:t>
      </w:r>
      <w:r w:rsidR="00F7748D" w:rsidRPr="00746CA9">
        <w:rPr>
          <w:shd w:val="clear" w:color="auto" w:fill="FFFFFF"/>
        </w:rPr>
        <w:t xml:space="preserve"> </w:t>
      </w:r>
      <w:r w:rsidR="0084497B" w:rsidRPr="00746CA9">
        <w:rPr>
          <w:shd w:val="clear" w:color="auto" w:fill="FFFFFF"/>
        </w:rPr>
        <w:t>and Nketsiah (</w:t>
      </w:r>
      <w:r w:rsidR="00F7748D" w:rsidRPr="00746CA9">
        <w:rPr>
          <w:shd w:val="clear" w:color="auto" w:fill="FFFFFF"/>
        </w:rPr>
        <w:t xml:space="preserve">2025), </w:t>
      </w:r>
      <w:r w:rsidR="00F7748D" w:rsidRPr="00746CA9">
        <w:rPr>
          <w:b/>
          <w:bCs/>
          <w:i/>
          <w:iCs/>
          <w:shd w:val="clear" w:color="auto" w:fill="FFFFFF"/>
        </w:rPr>
        <w:t>Porter’s generic strategies</w:t>
      </w:r>
      <w:r w:rsidR="00F7748D" w:rsidRPr="00746CA9">
        <w:rPr>
          <w:shd w:val="clear" w:color="auto" w:fill="FFFFFF"/>
        </w:rPr>
        <w:t xml:space="preserve"> based on the three dimensions of cost leadership, differentiation, and focus help explain how businesses are capable of creating value. It e</w:t>
      </w:r>
      <w:r w:rsidR="00F7748D" w:rsidRPr="00746CA9">
        <w:t xml:space="preserve">nhances care quality while improving efficiency, satisfaction, and resource utilisation. </w:t>
      </w:r>
      <w:r w:rsidR="0031077A" w:rsidRPr="00746CA9">
        <w:t xml:space="preserve">For example, </w:t>
      </w:r>
      <w:r w:rsidR="005C7601" w:rsidRPr="00746CA9">
        <w:t xml:space="preserve">the </w:t>
      </w:r>
      <w:r w:rsidR="0031077A" w:rsidRPr="00746CA9">
        <w:t>NHS stated that a combination of localised improvements</w:t>
      </w:r>
      <w:r w:rsidR="005C7601" w:rsidRPr="00746CA9">
        <w:t xml:space="preserve"> and</w:t>
      </w:r>
      <w:r w:rsidR="0031077A" w:rsidRPr="00746CA9">
        <w:t xml:space="preserve"> various </w:t>
      </w:r>
      <w:r w:rsidR="005C7601" w:rsidRPr="00746CA9">
        <w:t>small-</w:t>
      </w:r>
      <w:r w:rsidR="0031077A" w:rsidRPr="00746CA9">
        <w:t xml:space="preserve"> and </w:t>
      </w:r>
      <w:r w:rsidR="005C7601" w:rsidRPr="00746CA9">
        <w:t>large-scale</w:t>
      </w:r>
      <w:r w:rsidR="0031077A" w:rsidRPr="00746CA9">
        <w:t xml:space="preserve"> transformational improvements will help deliver </w:t>
      </w:r>
      <w:r w:rsidR="005C7601" w:rsidRPr="00746CA9">
        <w:t xml:space="preserve">the </w:t>
      </w:r>
      <w:r w:rsidR="0031077A" w:rsidRPr="00746CA9">
        <w:t xml:space="preserve">highest quality care (NHS England, 2026b). </w:t>
      </w:r>
    </w:p>
    <w:p w14:paraId="538FE723" w14:textId="77777777" w:rsidR="000C2115" w:rsidRPr="00746CA9" w:rsidRDefault="00C37B0E" w:rsidP="000C2115">
      <w:pPr>
        <w:rPr>
          <w:b/>
          <w:bCs/>
          <w:i/>
          <w:iCs/>
        </w:rPr>
      </w:pPr>
      <w:r w:rsidRPr="00746CA9">
        <w:rPr>
          <w:b/>
          <w:bCs/>
          <w:i/>
          <w:iCs/>
        </w:rPr>
        <w:t>Change</w:t>
      </w:r>
    </w:p>
    <w:p w14:paraId="52A2FEC2" w14:textId="77777777" w:rsidR="00E51851" w:rsidRPr="00746CA9" w:rsidRDefault="00C37B0E" w:rsidP="00E51851">
      <w:r w:rsidRPr="00746CA9">
        <w:t xml:space="preserve">According to </w:t>
      </w:r>
      <w:r w:rsidRPr="00746CA9">
        <w:rPr>
          <w:shd w:val="clear" w:color="auto" w:fill="FFFFFF"/>
        </w:rPr>
        <w:t xml:space="preserve">Alvarez (2024), action is known to be the cause of change by an event. Change is the process of making or becoming different. </w:t>
      </w:r>
      <w:r w:rsidR="00F7748D" w:rsidRPr="00746CA9">
        <w:rPr>
          <w:shd w:val="clear" w:color="auto" w:fill="FFFFFF"/>
        </w:rPr>
        <w:t xml:space="preserve">As per Agazu, Birbirsa and Werke (2022), </w:t>
      </w:r>
      <w:r w:rsidR="00F7748D" w:rsidRPr="00746CA9">
        <w:rPr>
          <w:b/>
          <w:bCs/>
          <w:i/>
          <w:iCs/>
          <w:shd w:val="clear" w:color="auto" w:fill="FFFFFF"/>
        </w:rPr>
        <w:t>Lewin’s change management model</w:t>
      </w:r>
      <w:r w:rsidR="00F7748D" w:rsidRPr="00746CA9">
        <w:rPr>
          <w:shd w:val="clear" w:color="auto" w:fill="FFFFFF"/>
        </w:rPr>
        <w:t xml:space="preserve"> helps explain that successful change takes place through the three stages of unfreezing, change, and refreezing. It also e</w:t>
      </w:r>
      <w:r w:rsidR="00F7748D" w:rsidRPr="00746CA9">
        <w:t xml:space="preserve">nables continuous improvement </w:t>
      </w:r>
      <w:r w:rsidR="00F7748D" w:rsidRPr="00746CA9">
        <w:lastRenderedPageBreak/>
        <w:t>to meet evolving healthcare needs and organisational demands.</w:t>
      </w:r>
      <w:r w:rsidR="005C7601" w:rsidRPr="00746CA9">
        <w:t xml:space="preserve"> For example, the NHS has identified the need for change in the key areas of integrated care, the nature of healthcare, and the nature of work to improve lives (NHS England, 2026c). </w:t>
      </w:r>
    </w:p>
    <w:p w14:paraId="52143889" w14:textId="77777777" w:rsidR="000C2115" w:rsidRPr="00746CA9" w:rsidRDefault="000C2115" w:rsidP="000C2115"/>
    <w:p w14:paraId="6CC9B45C" w14:textId="77777777" w:rsidR="005C7601" w:rsidRPr="00746CA9" w:rsidRDefault="00C37B0E">
      <w:pPr>
        <w:spacing w:line="259" w:lineRule="auto"/>
        <w:jc w:val="left"/>
        <w:rPr>
          <w:b/>
          <w:bCs/>
        </w:rPr>
      </w:pPr>
      <w:r w:rsidRPr="00746CA9">
        <w:br w:type="page"/>
      </w:r>
    </w:p>
    <w:p w14:paraId="11193066" w14:textId="77777777" w:rsidR="000C2115" w:rsidRPr="00746CA9" w:rsidRDefault="00C37B0E" w:rsidP="005C7601">
      <w:pPr>
        <w:pStyle w:val="Heading1"/>
      </w:pPr>
      <w:bookmarkStart w:id="2" w:name="_Toc235723517"/>
      <w:r w:rsidRPr="00746CA9">
        <w:lastRenderedPageBreak/>
        <w:t>Task 2 - Mind Map</w:t>
      </w:r>
      <w:bookmarkEnd w:id="2"/>
      <w:r w:rsidRPr="00746CA9">
        <w:t xml:space="preserve"> </w:t>
      </w:r>
    </w:p>
    <w:p w14:paraId="0E628004" w14:textId="3EFBFF20" w:rsidR="005C7601" w:rsidRPr="00746CA9" w:rsidRDefault="00C37B0E" w:rsidP="005C7601">
      <w:pPr>
        <w:rPr>
          <w:shd w:val="clear" w:color="auto" w:fill="FFFFFF"/>
        </w:rPr>
      </w:pPr>
      <w:r w:rsidRPr="00746CA9">
        <w:t xml:space="preserve">Based on the report from 2026, a quarter of the hospitals in England have experienced worsening waiting times since the UK government published a plan to manage the backlogs from the previous year (Triggle and Wainwright, 2026). </w:t>
      </w:r>
      <w:r w:rsidR="008B0998" w:rsidRPr="00746CA9">
        <w:t xml:space="preserve">Such a problem matters as it is a major challenge in health and social care, reducing patient satisfaction and increasing health risks. As per </w:t>
      </w:r>
      <w:r w:rsidR="008B0998" w:rsidRPr="00746CA9">
        <w:rPr>
          <w:shd w:val="clear" w:color="auto" w:fill="FFFFFF"/>
        </w:rPr>
        <w:t xml:space="preserve">Huebner and Flessa (2022), the </w:t>
      </w:r>
      <w:r w:rsidR="008B0998" w:rsidRPr="00746CA9">
        <w:rPr>
          <w:b/>
          <w:bCs/>
          <w:i/>
          <w:iCs/>
          <w:shd w:val="clear" w:color="auto" w:fill="FFFFFF"/>
        </w:rPr>
        <w:t>Systems Thinking Model</w:t>
      </w:r>
      <w:r w:rsidR="008B0998" w:rsidRPr="00746CA9">
        <w:rPr>
          <w:shd w:val="clear" w:color="auto" w:fill="FFFFFF"/>
        </w:rPr>
        <w:t xml:space="preserve"> proposes the importance of considering uncertainty, dynamics, and complexity, which are crucial for the healthcare system. </w:t>
      </w:r>
      <w:r w:rsidR="00080D46" w:rsidRPr="00746CA9">
        <w:rPr>
          <w:shd w:val="clear" w:color="auto" w:fill="FFFFFF"/>
        </w:rPr>
        <w:t xml:space="preserve">Based on the theory, it can be stated that the issues related to longer wait times are related to limited resources, staff shortages, surging demand, and others, causing employee burnout and delayed care. </w:t>
      </w:r>
      <w:r w:rsidR="0098752D" w:rsidRPr="00746CA9">
        <w:rPr>
          <w:shd w:val="clear" w:color="auto" w:fill="FFFFFF"/>
        </w:rPr>
        <w:t xml:space="preserve">If such an issue is not addressed, it will negatively impact the vulnerable and the elderly population or </w:t>
      </w:r>
      <w:r w:rsidR="00080D46" w:rsidRPr="00746CA9">
        <w:rPr>
          <w:shd w:val="clear" w:color="auto" w:fill="FFFFFF"/>
        </w:rPr>
        <w:t xml:space="preserve">those </w:t>
      </w:r>
      <w:r w:rsidR="0098752D" w:rsidRPr="00746CA9">
        <w:rPr>
          <w:shd w:val="clear" w:color="auto" w:fill="FFFFFF"/>
        </w:rPr>
        <w:t>with</w:t>
      </w:r>
      <w:r w:rsidR="00080D46" w:rsidRPr="00746CA9">
        <w:rPr>
          <w:shd w:val="clear" w:color="auto" w:fill="FFFFFF"/>
        </w:rPr>
        <w:t xml:space="preserve"> chronic </w:t>
      </w:r>
      <w:r w:rsidR="0098752D" w:rsidRPr="00746CA9">
        <w:rPr>
          <w:shd w:val="clear" w:color="auto" w:fill="FFFFFF"/>
        </w:rPr>
        <w:t>illnesses</w:t>
      </w:r>
      <w:r w:rsidR="00080D46" w:rsidRPr="00746CA9">
        <w:rPr>
          <w:shd w:val="clear" w:color="auto" w:fill="FFFFFF"/>
        </w:rPr>
        <w:t xml:space="preserve">. This could increase mental and physical fatigue, disease progression, higher hospitalisation risks, and disrupted medical schedules. </w:t>
      </w:r>
    </w:p>
    <w:p w14:paraId="0DF26A8B" w14:textId="77777777" w:rsidR="00B34B20" w:rsidRPr="00746CA9" w:rsidRDefault="00B34B20" w:rsidP="00B34B20">
      <w:pPr>
        <w:keepNext/>
        <w:jc w:val="center"/>
      </w:pPr>
      <w:r w:rsidRPr="00746CA9">
        <w:rPr>
          <w:noProof/>
          <w:lang w:eastAsia="en-IN"/>
        </w:rPr>
        <w:drawing>
          <wp:inline distT="0" distB="0" distL="0" distR="0" wp14:anchorId="2A3A39E6" wp14:editId="00061FEC">
            <wp:extent cx="5731510" cy="303847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4776"/>
                    <a:stretch/>
                  </pic:blipFill>
                  <pic:spPr bwMode="auto">
                    <a:xfrm>
                      <a:off x="0" y="0"/>
                      <a:ext cx="5731510" cy="3038475"/>
                    </a:xfrm>
                    <a:prstGeom prst="rect">
                      <a:avLst/>
                    </a:prstGeom>
                    <a:ln>
                      <a:noFill/>
                    </a:ln>
                    <a:extLst>
                      <a:ext uri="{53640926-AAD7-44D8-BBD7-CCE9431645EC}">
                        <a14:shadowObscured xmlns:a14="http://schemas.microsoft.com/office/drawing/2010/main"/>
                      </a:ext>
                    </a:extLst>
                  </pic:spPr>
                </pic:pic>
              </a:graphicData>
            </a:graphic>
          </wp:inline>
        </w:drawing>
      </w:r>
    </w:p>
    <w:p w14:paraId="64774B89" w14:textId="187A59DC" w:rsidR="00B34B20" w:rsidRPr="00746CA9" w:rsidRDefault="00B34B20" w:rsidP="00B34B20">
      <w:pPr>
        <w:jc w:val="center"/>
        <w:rPr>
          <w:b/>
          <w:bCs/>
        </w:rPr>
      </w:pPr>
      <w:r w:rsidRPr="00746CA9">
        <w:rPr>
          <w:b/>
          <w:bCs/>
        </w:rPr>
        <w:t xml:space="preserve">Figure </w:t>
      </w:r>
      <w:r w:rsidRPr="00746CA9">
        <w:rPr>
          <w:b/>
          <w:bCs/>
        </w:rPr>
        <w:fldChar w:fldCharType="begin"/>
      </w:r>
      <w:r w:rsidRPr="00746CA9">
        <w:rPr>
          <w:b/>
          <w:bCs/>
        </w:rPr>
        <w:instrText xml:space="preserve"> SEQ Figure \* ARABIC </w:instrText>
      </w:r>
      <w:r w:rsidRPr="00746CA9">
        <w:rPr>
          <w:b/>
          <w:bCs/>
        </w:rPr>
        <w:fldChar w:fldCharType="separate"/>
      </w:r>
      <w:r w:rsidRPr="00746CA9">
        <w:rPr>
          <w:b/>
          <w:bCs/>
          <w:noProof/>
        </w:rPr>
        <w:t>1</w:t>
      </w:r>
      <w:r w:rsidRPr="00746CA9">
        <w:rPr>
          <w:b/>
          <w:bCs/>
        </w:rPr>
        <w:fldChar w:fldCharType="end"/>
      </w:r>
      <w:r w:rsidRPr="00746CA9">
        <w:rPr>
          <w:b/>
          <w:bCs/>
        </w:rPr>
        <w:t xml:space="preserve">: Mindmap </w:t>
      </w:r>
    </w:p>
    <w:p w14:paraId="28D5FAA1" w14:textId="155D721C" w:rsidR="00B34B20" w:rsidRPr="00746CA9" w:rsidRDefault="00B34B20" w:rsidP="00B34B20">
      <w:pPr>
        <w:jc w:val="center"/>
        <w:rPr>
          <w:shd w:val="clear" w:color="auto" w:fill="FFFFFF"/>
        </w:rPr>
      </w:pPr>
      <w:r w:rsidRPr="00746CA9">
        <w:t>(Source: Created by the learner)</w:t>
      </w:r>
    </w:p>
    <w:p w14:paraId="73D5CD73" w14:textId="77777777" w:rsidR="005C7601" w:rsidRPr="00746CA9" w:rsidRDefault="005C7601" w:rsidP="005C7601"/>
    <w:p w14:paraId="6C37B73A" w14:textId="77777777" w:rsidR="005C7601" w:rsidRPr="00746CA9" w:rsidRDefault="005C7601" w:rsidP="005C7601"/>
    <w:p w14:paraId="307D0F0D" w14:textId="77777777" w:rsidR="005C7601" w:rsidRPr="00746CA9" w:rsidRDefault="00C37B0E" w:rsidP="005C7601">
      <w:r w:rsidRPr="00746CA9">
        <w:br w:type="page"/>
      </w:r>
    </w:p>
    <w:p w14:paraId="48B73D9D" w14:textId="77777777" w:rsidR="000C2115" w:rsidRPr="00746CA9" w:rsidRDefault="00C37B0E" w:rsidP="005C7601">
      <w:pPr>
        <w:pStyle w:val="Heading1"/>
      </w:pPr>
      <w:bookmarkStart w:id="3" w:name="_Toc235723518"/>
      <w:r w:rsidRPr="00746CA9">
        <w:lastRenderedPageBreak/>
        <w:t>Task 3 - Self-Reflection of Group Activity</w:t>
      </w:r>
      <w:bookmarkEnd w:id="3"/>
      <w:r w:rsidRPr="00746CA9">
        <w:t xml:space="preserve"> </w:t>
      </w:r>
    </w:p>
    <w:p w14:paraId="38C38C59" w14:textId="77777777" w:rsidR="00080D46" w:rsidRPr="00746CA9" w:rsidRDefault="00C37B0E" w:rsidP="00080D46">
      <w:pPr>
        <w:rPr>
          <w:b/>
          <w:bCs/>
          <w:i/>
          <w:iCs/>
        </w:rPr>
      </w:pPr>
      <w:r w:rsidRPr="00746CA9">
        <w:rPr>
          <w:b/>
          <w:bCs/>
          <w:i/>
          <w:iCs/>
        </w:rPr>
        <w:t xml:space="preserve">Gibb’s Reflective </w:t>
      </w:r>
      <w:r w:rsidR="00A066ED" w:rsidRPr="00746CA9">
        <w:rPr>
          <w:b/>
          <w:bCs/>
          <w:i/>
          <w:iCs/>
        </w:rPr>
        <w:t xml:space="preserve">Cycle </w:t>
      </w:r>
    </w:p>
    <w:p w14:paraId="40EC03C8" w14:textId="77777777" w:rsidR="00080D46" w:rsidRPr="00746CA9" w:rsidRDefault="00C37B0E" w:rsidP="00080D46">
      <w:pPr>
        <w:rPr>
          <w:b/>
          <w:bCs/>
        </w:rPr>
      </w:pPr>
      <w:r w:rsidRPr="00746CA9">
        <w:rPr>
          <w:b/>
          <w:bCs/>
        </w:rPr>
        <w:t>Description</w:t>
      </w:r>
    </w:p>
    <w:p w14:paraId="3959D424" w14:textId="77777777" w:rsidR="00080D46" w:rsidRPr="00746CA9" w:rsidRDefault="00C37B0E" w:rsidP="00080D46">
      <w:r w:rsidRPr="00746CA9">
        <w:t>During the Convergent and Divergent Thinking activity, my group generated ideas, evaluated alternatives, and selected the most suitable solution collaboratively.</w:t>
      </w:r>
    </w:p>
    <w:p w14:paraId="462C43AB" w14:textId="77777777" w:rsidR="00080D46" w:rsidRPr="00746CA9" w:rsidRDefault="00C37B0E" w:rsidP="00080D46">
      <w:pPr>
        <w:rPr>
          <w:b/>
          <w:bCs/>
        </w:rPr>
      </w:pPr>
      <w:r w:rsidRPr="00746CA9">
        <w:rPr>
          <w:b/>
          <w:bCs/>
        </w:rPr>
        <w:t>Feelings</w:t>
      </w:r>
    </w:p>
    <w:p w14:paraId="2B2CC1C0" w14:textId="77777777" w:rsidR="00080D46" w:rsidRPr="00746CA9" w:rsidRDefault="00C37B0E" w:rsidP="00080D46">
      <w:r w:rsidRPr="00746CA9">
        <w:t>Initially, I felt uncertain about sharing ideas</w:t>
      </w:r>
      <w:r w:rsidR="00A066ED" w:rsidRPr="00746CA9">
        <w:t>;</w:t>
      </w:r>
      <w:r w:rsidRPr="00746CA9">
        <w:t xml:space="preserve"> </w:t>
      </w:r>
      <w:r w:rsidR="00A066ED" w:rsidRPr="00746CA9">
        <w:t>however,</w:t>
      </w:r>
      <w:r w:rsidRPr="00746CA9">
        <w:t xml:space="preserve"> </w:t>
      </w:r>
      <w:r w:rsidR="00A066ED" w:rsidRPr="00746CA9">
        <w:t xml:space="preserve">as group members encouraged open participation, </w:t>
      </w:r>
      <w:r w:rsidRPr="00746CA9">
        <w:t>I gradually became more confident.</w:t>
      </w:r>
    </w:p>
    <w:p w14:paraId="6F11B94A" w14:textId="77777777" w:rsidR="00080D46" w:rsidRPr="00746CA9" w:rsidRDefault="00C37B0E" w:rsidP="00080D46">
      <w:pPr>
        <w:rPr>
          <w:b/>
          <w:bCs/>
        </w:rPr>
      </w:pPr>
      <w:r w:rsidRPr="00746CA9">
        <w:rPr>
          <w:b/>
          <w:bCs/>
        </w:rPr>
        <w:t>Evaluation</w:t>
      </w:r>
    </w:p>
    <w:p w14:paraId="15FE4438" w14:textId="77777777" w:rsidR="00080D46" w:rsidRPr="00746CA9" w:rsidRDefault="00C37B0E" w:rsidP="00080D46">
      <w:r w:rsidRPr="00746CA9">
        <w:t xml:space="preserve">There were some debates, and at times when we failed to agree, I suggested that we could list the advantages and disadvantages of convergent and divergent thinking separately and then discuss. </w:t>
      </w:r>
      <w:r w:rsidR="00561AFD" w:rsidRPr="00746CA9">
        <w:t xml:space="preserve">Convergent thinking is a top-down approach </w:t>
      </w:r>
      <w:r w:rsidR="00174058" w:rsidRPr="00746CA9">
        <w:t xml:space="preserve">which helps to </w:t>
      </w:r>
      <w:r w:rsidR="004955FC" w:rsidRPr="00746CA9">
        <w:t>synthesise</w:t>
      </w:r>
      <w:r w:rsidR="00174058" w:rsidRPr="00746CA9">
        <w:t xml:space="preserve"> information to develop the best possible answer to an issue </w:t>
      </w:r>
      <w:r w:rsidR="00561AFD" w:rsidRPr="00746CA9">
        <w:t>(</w:t>
      </w:r>
      <w:r w:rsidR="00561AFD" w:rsidRPr="00746CA9">
        <w:rPr>
          <w:shd w:val="clear" w:color="auto" w:fill="FFFFFF"/>
        </w:rPr>
        <w:t xml:space="preserve">Wigert, Murugavel and Reiter-Palmon, 2024). </w:t>
      </w:r>
      <w:r w:rsidRPr="00746CA9">
        <w:t xml:space="preserve">Hence, the activity was effective as everyone contributed different perspectives, encouraging creative discussions. </w:t>
      </w:r>
    </w:p>
    <w:p w14:paraId="568BE764" w14:textId="77777777" w:rsidR="00080D46" w:rsidRPr="00746CA9" w:rsidRDefault="00C37B0E" w:rsidP="00080D46">
      <w:pPr>
        <w:rPr>
          <w:b/>
          <w:bCs/>
        </w:rPr>
      </w:pPr>
      <w:r w:rsidRPr="00746CA9">
        <w:rPr>
          <w:b/>
          <w:bCs/>
        </w:rPr>
        <w:t>Analysis</w:t>
      </w:r>
    </w:p>
    <w:p w14:paraId="5038D95E" w14:textId="77777777" w:rsidR="00A066ED" w:rsidRPr="00746CA9" w:rsidRDefault="00C37B0E" w:rsidP="00080D46">
      <w:r w:rsidRPr="00746CA9">
        <w:t xml:space="preserve">The exercise demonstrated that divergent thinking encourages creativity by generating multiple possibilities. </w:t>
      </w:r>
      <w:r w:rsidR="00561AFD" w:rsidRPr="00746CA9">
        <w:t>Divergent thinking helps an individual to see past mental blocks, rules, and parameters developed by conventional wisdom (</w:t>
      </w:r>
      <w:r w:rsidR="00561AFD" w:rsidRPr="00746CA9">
        <w:rPr>
          <w:shd w:val="clear" w:color="auto" w:fill="FFFFFF"/>
        </w:rPr>
        <w:t xml:space="preserve">Wigert, Murugavel and Reiter-Palmon, 2024). </w:t>
      </w:r>
      <w:r w:rsidRPr="00746CA9">
        <w:t xml:space="preserve">I even realised that while convergent thinking encourages logical problem-solving, combining both helps determine the best solutions, facilitating effective teamwork. </w:t>
      </w:r>
    </w:p>
    <w:p w14:paraId="2FF7D686" w14:textId="77777777" w:rsidR="00080D46" w:rsidRPr="00746CA9" w:rsidRDefault="00C37B0E" w:rsidP="00080D46">
      <w:pPr>
        <w:rPr>
          <w:b/>
          <w:bCs/>
        </w:rPr>
      </w:pPr>
      <w:r w:rsidRPr="00746CA9">
        <w:rPr>
          <w:b/>
          <w:bCs/>
        </w:rPr>
        <w:t>Conclusion</w:t>
      </w:r>
    </w:p>
    <w:p w14:paraId="51ED9152" w14:textId="77777777" w:rsidR="00A066ED" w:rsidRPr="00746CA9" w:rsidRDefault="00C37B0E" w:rsidP="00080D46">
      <w:r w:rsidRPr="00746CA9">
        <w:t xml:space="preserve">In conclusion, balancing creativity, practising active listening, and respecting diverse viewpoints during critical thinking helps to narrow down to practical and logical solutions. The group activity has also helped me to develop collaboration, research, and communication skills. </w:t>
      </w:r>
    </w:p>
    <w:p w14:paraId="21ECCAF0" w14:textId="77777777" w:rsidR="00080D46" w:rsidRPr="00746CA9" w:rsidRDefault="00C37B0E" w:rsidP="00080D46">
      <w:pPr>
        <w:rPr>
          <w:b/>
          <w:bCs/>
        </w:rPr>
      </w:pPr>
      <w:r w:rsidRPr="00746CA9">
        <w:rPr>
          <w:b/>
          <w:bCs/>
        </w:rPr>
        <w:t>Action Plan</w:t>
      </w:r>
    </w:p>
    <w:p w14:paraId="14320BFE" w14:textId="77777777" w:rsidR="00080D46" w:rsidRPr="00746CA9" w:rsidRDefault="00C37B0E" w:rsidP="00080D46">
      <w:r w:rsidRPr="00746CA9">
        <w:t xml:space="preserve">In the future, I will focus on developing analytical and creative thinking skills </w:t>
      </w:r>
      <w:r w:rsidR="00E04E3E" w:rsidRPr="00746CA9">
        <w:t xml:space="preserve">by brainstorming some critical ideas. Further, I will also participate in teamwork and enrol in workshops or online courses for personal and professional growth. </w:t>
      </w:r>
    </w:p>
    <w:p w14:paraId="5F02C898" w14:textId="77777777" w:rsidR="00907B18" w:rsidRPr="00746CA9" w:rsidRDefault="00C37B0E" w:rsidP="001565DB">
      <w:pPr>
        <w:pStyle w:val="Heading1"/>
      </w:pPr>
      <w:bookmarkStart w:id="4" w:name="_Toc235723519"/>
      <w:r w:rsidRPr="00746CA9">
        <w:lastRenderedPageBreak/>
        <w:t>Task 4 – Case Study Analysis of a UK Innovation</w:t>
      </w:r>
      <w:bookmarkEnd w:id="4"/>
      <w:r w:rsidRPr="00746CA9">
        <w:t xml:space="preserve"> </w:t>
      </w:r>
    </w:p>
    <w:p w14:paraId="08D64757" w14:textId="77777777" w:rsidR="004A7E36" w:rsidRPr="00746CA9" w:rsidRDefault="00C37B0E" w:rsidP="00907B18">
      <w:pPr>
        <w:rPr>
          <w:b/>
          <w:bCs/>
          <w:i/>
          <w:iCs/>
        </w:rPr>
      </w:pPr>
      <w:r w:rsidRPr="00746CA9">
        <w:t xml:space="preserve">In the UK, NHS Virtual Wards were introduced to address increasing hospital demand, bed shortages, and delayed patient discharge. This innovative approach of the NHS has been supported by its creative approaches to address the surging healthcare issues and patient concerns to design a new and improved care system. </w:t>
      </w:r>
      <w:r w:rsidRPr="00746CA9">
        <w:rPr>
          <w:b/>
          <w:bCs/>
          <w:i/>
          <w:iCs/>
        </w:rPr>
        <w:t xml:space="preserve">Rogers’ Diffusion of Innovation theory </w:t>
      </w:r>
      <w:r w:rsidRPr="00746CA9">
        <w:t xml:space="preserve">helps explain how </w:t>
      </w:r>
      <w:r w:rsidR="001565DB" w:rsidRPr="00746CA9">
        <w:t xml:space="preserve">and why new technologies, ideas, and behaviours spread within a population </w:t>
      </w:r>
      <w:r w:rsidRPr="00746CA9">
        <w:rPr>
          <w:shd w:val="clear" w:color="auto" w:fill="FFFFFF"/>
        </w:rPr>
        <w:t xml:space="preserve">(Menzli </w:t>
      </w:r>
      <w:r w:rsidRPr="00746CA9">
        <w:rPr>
          <w:i/>
          <w:iCs/>
          <w:shd w:val="clear" w:color="auto" w:fill="FFFFFF"/>
        </w:rPr>
        <w:t xml:space="preserve">et al., </w:t>
      </w:r>
      <w:r w:rsidRPr="00746CA9">
        <w:rPr>
          <w:shd w:val="clear" w:color="auto" w:fill="FFFFFF"/>
        </w:rPr>
        <w:t xml:space="preserve">2022). </w:t>
      </w:r>
      <w:r w:rsidR="001565DB" w:rsidRPr="00746CA9">
        <w:rPr>
          <w:shd w:val="clear" w:color="auto" w:fill="FFFFFF"/>
        </w:rPr>
        <w:t xml:space="preserve">Aligning with the theory, it can be stated that virtual wards at the NHS have helped patients to get the necessary care at home conveniently and safely, rather than being admitted to the hospital (NHS England, 2026d). It has been particularly beneficial for the patients and staff by helping to reduce long queues, wait times, workplace stress and burnout. Based on the digitalisation and the automation of healthcare services, it has also helped enhance efficiency, increase bed availability, and improve the quality of patient care and satisfaction. Compared to traditional approaches, such an innovative approach has been beneficial for the elderly population or those suffering from chronic illnesses to get immediate access to care facilities. This service could also be used elsewhere, such as in care homes, to support people in their own homes (NHS England, 2026d). </w:t>
      </w:r>
    </w:p>
    <w:p w14:paraId="1F7B7919" w14:textId="77777777" w:rsidR="00907B18" w:rsidRPr="00746CA9" w:rsidRDefault="00907B18" w:rsidP="00907B18"/>
    <w:p w14:paraId="5EE1792A" w14:textId="77777777" w:rsidR="00080D46" w:rsidRPr="00746CA9" w:rsidRDefault="00C37B0E" w:rsidP="00907B18">
      <w:r w:rsidRPr="00746CA9">
        <w:br w:type="page"/>
      </w:r>
    </w:p>
    <w:p w14:paraId="0AF22C3C" w14:textId="77777777" w:rsidR="000C2115" w:rsidRPr="00746CA9" w:rsidRDefault="00C37B0E" w:rsidP="005C7601">
      <w:pPr>
        <w:pStyle w:val="Heading1"/>
      </w:pPr>
      <w:bookmarkStart w:id="5" w:name="_Toc235723520"/>
      <w:r w:rsidRPr="00746CA9">
        <w:lastRenderedPageBreak/>
        <w:t>Task 5 - Research Task</w:t>
      </w:r>
      <w:bookmarkEnd w:id="5"/>
      <w:r w:rsidRPr="00746CA9">
        <w:t xml:space="preserve"> </w:t>
      </w:r>
    </w:p>
    <w:p w14:paraId="0797A376" w14:textId="77777777" w:rsidR="00292A82" w:rsidRPr="00746CA9" w:rsidRDefault="00C37B0E" w:rsidP="001565DB">
      <w:r w:rsidRPr="00746CA9">
        <w:t xml:space="preserve">Staff stress is a persistent challenge affecting healthcare quality and workforce wellbeing. </w:t>
      </w:r>
      <w:r w:rsidR="00781D1F" w:rsidRPr="00746CA9">
        <w:t xml:space="preserve">The research </w:t>
      </w:r>
      <w:r w:rsidRPr="00746CA9">
        <w:t xml:space="preserve">by </w:t>
      </w:r>
      <w:r w:rsidRPr="00746CA9">
        <w:rPr>
          <w:shd w:val="clear" w:color="auto" w:fill="FFFFFF"/>
        </w:rPr>
        <w:t>Sun</w:t>
      </w:r>
      <w:r w:rsidRPr="00746CA9">
        <w:t xml:space="preserve"> </w:t>
      </w:r>
      <w:r w:rsidRPr="00746CA9">
        <w:rPr>
          <w:i/>
          <w:iCs/>
        </w:rPr>
        <w:t xml:space="preserve">et al. </w:t>
      </w:r>
      <w:r w:rsidRPr="00746CA9">
        <w:t>(2022)</w:t>
      </w:r>
      <w:r w:rsidR="00781D1F" w:rsidRPr="00746CA9">
        <w:t xml:space="preserve"> has helped explain that the sudden outbreak of the COVID-19 pandemic has transformed job demands and the working environment. In recent years, such a crisis has made the working conditions quite difficult, resulting in workplace stress, anxiety, and burnout. </w:t>
      </w:r>
      <w:r w:rsidR="00891828" w:rsidRPr="00746CA9">
        <w:t>Maslach Burnout Inventory refers to a systematic approach based on the psychometric variables of a scale (</w:t>
      </w:r>
      <w:r w:rsidR="00891828" w:rsidRPr="00746CA9">
        <w:rPr>
          <w:shd w:val="clear" w:color="auto" w:fill="FFFFFF"/>
        </w:rPr>
        <w:t xml:space="preserve">Soares </w:t>
      </w:r>
      <w:r w:rsidR="00891828" w:rsidRPr="00746CA9">
        <w:rPr>
          <w:i/>
          <w:iCs/>
          <w:shd w:val="clear" w:color="auto" w:fill="FFFFFF"/>
        </w:rPr>
        <w:t xml:space="preserve">et al., </w:t>
      </w:r>
      <w:r w:rsidR="00891828" w:rsidRPr="00746CA9">
        <w:rPr>
          <w:shd w:val="clear" w:color="auto" w:fill="FFFFFF"/>
        </w:rPr>
        <w:t>2023</w:t>
      </w:r>
      <w:r w:rsidR="00891828" w:rsidRPr="00746CA9">
        <w:t xml:space="preserve">). </w:t>
      </w:r>
      <w:r w:rsidR="00781D1F" w:rsidRPr="00746CA9">
        <w:t xml:space="preserve">Based on the </w:t>
      </w:r>
      <w:r w:rsidR="00781D1F" w:rsidRPr="00746CA9">
        <w:rPr>
          <w:b/>
          <w:bCs/>
          <w:i/>
          <w:iCs/>
        </w:rPr>
        <w:t xml:space="preserve">Maslach Burnout Theory, </w:t>
      </w:r>
      <w:r w:rsidR="00781D1F" w:rsidRPr="00746CA9">
        <w:t xml:space="preserve">it can be stated that prolonged workplace pressures </w:t>
      </w:r>
      <w:r w:rsidRPr="00746CA9">
        <w:t xml:space="preserve">could adversely affect the quality of care by reduced staff motivation. </w:t>
      </w:r>
    </w:p>
    <w:p w14:paraId="5F66990B" w14:textId="77777777" w:rsidR="00781D1F" w:rsidRPr="00746CA9" w:rsidRDefault="00C37B0E" w:rsidP="001565DB">
      <w:pPr>
        <w:rPr>
          <w:shd w:val="clear" w:color="auto" w:fill="FFFFFF"/>
        </w:rPr>
      </w:pPr>
      <w:r w:rsidRPr="00746CA9">
        <w:t xml:space="preserve">Comparatively, the study by </w:t>
      </w:r>
      <w:r w:rsidRPr="00746CA9">
        <w:rPr>
          <w:shd w:val="clear" w:color="auto" w:fill="FFFFFF"/>
        </w:rPr>
        <w:t>Adamopoulos and Syrou (2022) underpinned that job insecurity, global financial crisis, the COVID-19 pandemic, and occupational hazards lead to workplace stress. This, along with decreased salaries and social instability, also results in increased burnout.</w:t>
      </w:r>
      <w:r w:rsidR="00292A82" w:rsidRPr="00746CA9">
        <w:rPr>
          <w:shd w:val="clear" w:color="auto" w:fill="FFFFFF"/>
        </w:rPr>
        <w:t xml:space="preserve"> Aligning with </w:t>
      </w:r>
      <w:r w:rsidR="00292A82" w:rsidRPr="00746CA9">
        <w:rPr>
          <w:b/>
          <w:bCs/>
          <w:i/>
          <w:iCs/>
          <w:shd w:val="clear" w:color="auto" w:fill="FFFFFF"/>
        </w:rPr>
        <w:t>Herzberg’s theory</w:t>
      </w:r>
      <w:r w:rsidR="00292A82" w:rsidRPr="00746CA9">
        <w:rPr>
          <w:shd w:val="clear" w:color="auto" w:fill="FFFFFF"/>
        </w:rPr>
        <w:t xml:space="preserve">, it can be stated that hygiene factors relate to job dissatisfaction, wherein increased stress hinders their productivity. </w:t>
      </w:r>
      <w:r w:rsidRPr="00746CA9">
        <w:rPr>
          <w:shd w:val="clear" w:color="auto" w:fill="FFFFFF"/>
        </w:rPr>
        <w:t xml:space="preserve">Hence, both the articles agree that the pandemic played a vital role in increasing staff stress, while the second source also underpins some other factors. </w:t>
      </w:r>
    </w:p>
    <w:p w14:paraId="7E0A1728" w14:textId="77777777" w:rsidR="00891828" w:rsidRPr="00746CA9" w:rsidRDefault="00891828" w:rsidP="001565DB">
      <w:pPr>
        <w:rPr>
          <w:shd w:val="clear" w:color="auto" w:fill="FFFFFF"/>
        </w:rPr>
      </w:pPr>
    </w:p>
    <w:p w14:paraId="64274367" w14:textId="77777777" w:rsidR="001565DB" w:rsidRPr="00746CA9" w:rsidRDefault="001565DB" w:rsidP="001565DB"/>
    <w:p w14:paraId="5151B995" w14:textId="77777777" w:rsidR="001565DB" w:rsidRPr="00746CA9" w:rsidRDefault="001565DB" w:rsidP="001565DB"/>
    <w:p w14:paraId="474969F0" w14:textId="77777777" w:rsidR="001565DB" w:rsidRPr="00746CA9" w:rsidRDefault="001565DB" w:rsidP="001565DB"/>
    <w:p w14:paraId="6671E9BC" w14:textId="77777777" w:rsidR="001565DB" w:rsidRPr="00746CA9" w:rsidRDefault="00C37B0E">
      <w:pPr>
        <w:spacing w:line="259" w:lineRule="auto"/>
        <w:jc w:val="left"/>
        <w:rPr>
          <w:b/>
          <w:bCs/>
        </w:rPr>
      </w:pPr>
      <w:r w:rsidRPr="00746CA9">
        <w:br w:type="page"/>
      </w:r>
    </w:p>
    <w:p w14:paraId="3B20D16D" w14:textId="77777777" w:rsidR="000C2115" w:rsidRPr="00746CA9" w:rsidRDefault="00C37B0E" w:rsidP="005C7601">
      <w:pPr>
        <w:pStyle w:val="Heading1"/>
      </w:pPr>
      <w:bookmarkStart w:id="6" w:name="_Toc235723521"/>
      <w:r w:rsidRPr="00746CA9">
        <w:lastRenderedPageBreak/>
        <w:t>Task 6 - Exploring Digital Innovation in Health and Social Care</w:t>
      </w:r>
      <w:bookmarkEnd w:id="6"/>
    </w:p>
    <w:p w14:paraId="750F0D4C" w14:textId="77777777" w:rsidR="00292A82" w:rsidRPr="00746CA9" w:rsidRDefault="00C37B0E" w:rsidP="00292A82">
      <w:r w:rsidRPr="00746CA9">
        <w:t xml:space="preserve">The </w:t>
      </w:r>
      <w:r w:rsidRPr="00746CA9">
        <w:rPr>
          <w:b/>
          <w:bCs/>
          <w:i/>
          <w:iCs/>
        </w:rPr>
        <w:t>Technology Acceptance Model</w:t>
      </w:r>
      <w:r w:rsidR="00C21B79" w:rsidRPr="00746CA9">
        <w:rPr>
          <w:b/>
          <w:bCs/>
          <w:i/>
          <w:iCs/>
        </w:rPr>
        <w:t xml:space="preserve"> (TAM) </w:t>
      </w:r>
      <w:r w:rsidRPr="00746CA9">
        <w:t>helps explain how individuals use and accept a technology depending on the perceived usefulness of the same</w:t>
      </w:r>
      <w:r w:rsidR="00891828" w:rsidRPr="00746CA9">
        <w:t xml:space="preserve"> (</w:t>
      </w:r>
      <w:r w:rsidR="00891828" w:rsidRPr="00746CA9">
        <w:rPr>
          <w:shd w:val="clear" w:color="auto" w:fill="FFFFFF"/>
        </w:rPr>
        <w:t>Ibrahim and Shiring, 2022)</w:t>
      </w:r>
      <w:r w:rsidRPr="00746CA9">
        <w:t xml:space="preserve">. In such an instance, wearable health technologies, such as smartwatches, support chronic disease management as they are capable of continuously monitoring health indicators. For example, remote patient monitoring (RPM) in the NHS uses wearable devices with wireless connectivity (NHS England, 2026e). It helps to continuously track blood sugar levels, vital signs and other health observations to reduce hospital visits. This not only helps in the early detection of diseases, but also benefits people with personalised care. </w:t>
      </w:r>
    </w:p>
    <w:p w14:paraId="5D7E207B" w14:textId="77777777" w:rsidR="00292A82" w:rsidRPr="00746CA9" w:rsidRDefault="00C37B0E" w:rsidP="00292A82">
      <w:r w:rsidRPr="00746CA9">
        <w:t>Across different care settings, Electronic Health Records (EHRs)</w:t>
      </w:r>
      <w:r w:rsidR="00C21B79" w:rsidRPr="00746CA9">
        <w:t xml:space="preserve"> help</w:t>
      </w:r>
      <w:r w:rsidRPr="00746CA9">
        <w:t xml:space="preserve"> improve communication </w:t>
      </w:r>
      <w:r w:rsidR="00C21B79" w:rsidRPr="00746CA9">
        <w:t>through</w:t>
      </w:r>
      <w:r w:rsidRPr="00746CA9">
        <w:t xml:space="preserve"> authorised healthcare professionals with real-time </w:t>
      </w:r>
      <w:r w:rsidR="00C21B79" w:rsidRPr="00746CA9">
        <w:t xml:space="preserve">and secure </w:t>
      </w:r>
      <w:r w:rsidRPr="00746CA9">
        <w:t xml:space="preserve">access to accurate patient information. </w:t>
      </w:r>
      <w:r w:rsidR="00C21B79" w:rsidRPr="00746CA9">
        <w:t xml:space="preserve">Aligning with the TAM, this innovative approach encourages healthcare providers to securely share personal information, lab results, and other data to improve overall efficiency. For example, in the NHS, the primary purpose of EHRs is to support direct patient care (NHS England, 2025b). This, in turn, also helps ensure the continuity of quality care while also encouraging effective communication and collaboration with healthcare professionals to improve health outcomes. It also encourages better decision-making, thus encouraging patient empowerment and efficient diagnostics. </w:t>
      </w:r>
    </w:p>
    <w:p w14:paraId="4AB102E6" w14:textId="77777777" w:rsidR="00C21B79" w:rsidRPr="00746CA9" w:rsidRDefault="00C37B0E" w:rsidP="00292A82">
      <w:r w:rsidRPr="00746CA9">
        <w:t>While the use of digital technologies is increasing within health and social care practices, it also supports preventive care. This is due to the fact that it encourages healthier lifestyles, identifies health risks early, and provides personalised health advice. For example, based on TAM, mobile health applications and wearable technologies help to gain access to proactive services immediately. For example, the GP online services in the NHS help to improve communication between practices and patients, reduce travel, increase information sharing</w:t>
      </w:r>
      <w:r w:rsidR="007C303A" w:rsidRPr="00746CA9">
        <w:t xml:space="preserve"> and operational efficiencies, and also reduce administrative workloads (NHS England, 2026f). </w:t>
      </w:r>
    </w:p>
    <w:p w14:paraId="03C900D5" w14:textId="77777777" w:rsidR="00292A82" w:rsidRPr="00746CA9" w:rsidRDefault="00292A82" w:rsidP="00292A82"/>
    <w:p w14:paraId="5131A599" w14:textId="77777777" w:rsidR="00292A82" w:rsidRPr="00746CA9" w:rsidRDefault="00292A82" w:rsidP="00292A82"/>
    <w:p w14:paraId="78AABD97" w14:textId="77777777" w:rsidR="00292A82" w:rsidRPr="00746CA9" w:rsidRDefault="00C37B0E" w:rsidP="00292A82">
      <w:r w:rsidRPr="00746CA9">
        <w:br w:type="page"/>
      </w:r>
    </w:p>
    <w:p w14:paraId="49382FFC" w14:textId="77777777" w:rsidR="000C2115" w:rsidRPr="00746CA9" w:rsidRDefault="00C37B0E" w:rsidP="005C7601">
      <w:pPr>
        <w:pStyle w:val="Heading1"/>
      </w:pPr>
      <w:bookmarkStart w:id="7" w:name="_Toc235723522"/>
      <w:r w:rsidRPr="00746CA9">
        <w:lastRenderedPageBreak/>
        <w:t>Task 7 - Understanding the NHS Leadership Framework</w:t>
      </w:r>
      <w:bookmarkEnd w:id="7"/>
      <w:r w:rsidRPr="00746CA9">
        <w:t xml:space="preserve"> </w:t>
      </w:r>
    </w:p>
    <w:p w14:paraId="0B95A034" w14:textId="77777777" w:rsidR="007C303A" w:rsidRPr="00746CA9" w:rsidRDefault="00C37B0E" w:rsidP="007C303A">
      <w:r w:rsidRPr="00746CA9">
        <w:t xml:space="preserve">The </w:t>
      </w:r>
      <w:r w:rsidRPr="00746CA9">
        <w:rPr>
          <w:rStyle w:val="Strong"/>
          <w:i/>
          <w:iCs/>
        </w:rPr>
        <w:t>NHS Healthcare Leadership Model</w:t>
      </w:r>
      <w:r w:rsidRPr="00746CA9">
        <w:t xml:space="preserve"> outlines the key behaviours required for effective leadership across health and social care. It plays a vital role in responding proactively to the reviews of leadership in social care. This also includes the 10 Year Health Plan, the Kark review (2019), and the Messenger review (2022) (NHS England, 2026g). This is particularly important within health and social care as it helps to uphold a people-centric approach crucial for improving the overall quality of the healthcare organisation. Based on this, all the managers and leaders are also expected to meet the expected competencies and standards to ensure every professional is capable of offering the best quality care to improve patient outcomes and support their well-being. </w:t>
      </w:r>
    </w:p>
    <w:p w14:paraId="062FB393" w14:textId="77777777" w:rsidR="007C303A" w:rsidRPr="00746CA9" w:rsidRDefault="00C37B0E" w:rsidP="007C303A">
      <w:r w:rsidRPr="00746CA9">
        <w:rPr>
          <w:rStyle w:val="Strong"/>
          <w:i/>
          <w:iCs/>
        </w:rPr>
        <w:t>Leading with care</w:t>
      </w:r>
      <w:r w:rsidRPr="00746CA9">
        <w:t xml:space="preserve"> enables leaders to create supportive environments where staff feel respected, valued, and confident to share new ideas. </w:t>
      </w:r>
      <w:r w:rsidR="00587979" w:rsidRPr="00746CA9">
        <w:t xml:space="preserve">Within the healthcare facility, it helps the leaders to understand the unique needs and qualities of a team and offer a safe and caring environment to ensure everyone is capable of doing their jobs effectively (NHS, 2026). The </w:t>
      </w:r>
      <w:r w:rsidR="00587979" w:rsidRPr="00746CA9">
        <w:rPr>
          <w:b/>
          <w:bCs/>
          <w:i/>
          <w:iCs/>
        </w:rPr>
        <w:t>transformational leadership theory</w:t>
      </w:r>
      <w:r w:rsidR="00587979" w:rsidRPr="00746CA9">
        <w:t xml:space="preserve"> states that leaders are capable of empowering their followers through shared vision and by recognising their contributions</w:t>
      </w:r>
      <w:r w:rsidR="00891828" w:rsidRPr="00746CA9">
        <w:t xml:space="preserve"> (</w:t>
      </w:r>
      <w:r w:rsidR="00891828" w:rsidRPr="00746CA9">
        <w:rPr>
          <w:shd w:val="clear" w:color="auto" w:fill="FFFFFF"/>
        </w:rPr>
        <w:t>Nassanga, 2024)</w:t>
      </w:r>
      <w:r w:rsidR="00587979" w:rsidRPr="00746CA9">
        <w:t xml:space="preserve">. Adhering to the same helps to improve teamwork by understanding the underlying emotions to bring about service improvements for greater quality patient care. </w:t>
      </w:r>
    </w:p>
    <w:p w14:paraId="6F08C938" w14:textId="77777777" w:rsidR="00587979" w:rsidRPr="00746CA9" w:rsidRDefault="00C37B0E" w:rsidP="007C303A">
      <w:r w:rsidRPr="00746CA9">
        <w:t xml:space="preserve">While working on this module, my understanding of creativity and value creation in health and social care has developed significantly. This is due to the fact that I have realised the importance of creativity in generating new and innovative ideas to address the rising healthcare inequalities. Moreover, learning about digital technologies while researching the innovations at the NHS has also encouraged me to understand its importance in improving patient care. I believe this idea will help me in the future to </w:t>
      </w:r>
      <w:r w:rsidR="00E76C64" w:rsidRPr="00746CA9">
        <w:t xml:space="preserve">improve service quality and also ensure the delivery of collaborative care. </w:t>
      </w:r>
    </w:p>
    <w:p w14:paraId="3F1C59BD" w14:textId="77777777" w:rsidR="00587979" w:rsidRPr="00746CA9" w:rsidRDefault="00587979" w:rsidP="007C303A"/>
    <w:p w14:paraId="3DAB6CD2" w14:textId="77777777" w:rsidR="00587979" w:rsidRPr="00746CA9" w:rsidRDefault="00587979" w:rsidP="007C303A"/>
    <w:p w14:paraId="747A80DD" w14:textId="77777777" w:rsidR="007C303A" w:rsidRPr="00746CA9" w:rsidRDefault="007C303A" w:rsidP="007C303A"/>
    <w:p w14:paraId="1AAE908E" w14:textId="77777777" w:rsidR="007C303A" w:rsidRPr="00746CA9" w:rsidRDefault="00C37B0E">
      <w:pPr>
        <w:spacing w:line="259" w:lineRule="auto"/>
        <w:jc w:val="left"/>
        <w:rPr>
          <w:b/>
          <w:bCs/>
        </w:rPr>
      </w:pPr>
      <w:r w:rsidRPr="00746CA9">
        <w:br w:type="page"/>
      </w:r>
    </w:p>
    <w:p w14:paraId="35EC4B36" w14:textId="77777777" w:rsidR="000C2115" w:rsidRPr="00746CA9" w:rsidRDefault="00C37B0E" w:rsidP="005C7601">
      <w:pPr>
        <w:pStyle w:val="Heading1"/>
      </w:pPr>
      <w:bookmarkStart w:id="8" w:name="_Toc235723523"/>
      <w:r w:rsidRPr="00746CA9">
        <w:lastRenderedPageBreak/>
        <w:t>Task 8 – Self-Reflection Journal Entry</w:t>
      </w:r>
      <w:bookmarkEnd w:id="8"/>
      <w:r w:rsidRPr="00746CA9">
        <w:t xml:space="preserve"> </w:t>
      </w:r>
    </w:p>
    <w:p w14:paraId="450E363A" w14:textId="77777777" w:rsidR="00E76C64" w:rsidRPr="00746CA9" w:rsidRDefault="00C37B0E" w:rsidP="00E76C64">
      <w:pPr>
        <w:pStyle w:val="isselectedend"/>
        <w:spacing w:line="360" w:lineRule="auto"/>
        <w:jc w:val="both"/>
        <w:rPr>
          <w:lang w:val="en-GB"/>
        </w:rPr>
      </w:pPr>
      <w:r w:rsidRPr="00746CA9">
        <w:rPr>
          <w:rStyle w:val="Strong"/>
          <w:lang w:val="en-GB"/>
        </w:rPr>
        <w:t>Description</w:t>
      </w:r>
      <w:r w:rsidRPr="00746CA9">
        <w:rPr>
          <w:lang w:val="en-GB"/>
        </w:rPr>
        <w:t>: During this module, I explored creativity, innovation, and value creation through discussions and practical health and social care activities while also aligning with practical examples from the NHS.</w:t>
      </w:r>
    </w:p>
    <w:p w14:paraId="4D432038" w14:textId="77777777" w:rsidR="00E76C64" w:rsidRPr="00746CA9" w:rsidRDefault="00C37B0E" w:rsidP="00E76C64">
      <w:pPr>
        <w:pStyle w:val="isselectedend"/>
        <w:spacing w:line="360" w:lineRule="auto"/>
        <w:jc w:val="both"/>
        <w:rPr>
          <w:b/>
          <w:bCs/>
          <w:lang w:val="en-GB"/>
        </w:rPr>
      </w:pPr>
      <w:r w:rsidRPr="00746CA9">
        <w:rPr>
          <w:rStyle w:val="Strong"/>
          <w:lang w:val="en-GB"/>
        </w:rPr>
        <w:t xml:space="preserve">Feelings: </w:t>
      </w:r>
      <w:r w:rsidRPr="00746CA9">
        <w:rPr>
          <w:lang w:val="en-GB"/>
        </w:rPr>
        <w:t>Initially, I failed to recognise the importance of creativity and innovation; however, currently I have recognised that it helps improve care processes.</w:t>
      </w:r>
    </w:p>
    <w:p w14:paraId="2337D352" w14:textId="77777777" w:rsidR="00E76C64" w:rsidRPr="00746CA9" w:rsidRDefault="00C37B0E" w:rsidP="00E76C64">
      <w:pPr>
        <w:pStyle w:val="isselectedend"/>
        <w:spacing w:line="360" w:lineRule="auto"/>
        <w:jc w:val="both"/>
        <w:rPr>
          <w:b/>
          <w:bCs/>
          <w:lang w:val="en-GB"/>
        </w:rPr>
      </w:pPr>
      <w:r w:rsidRPr="00746CA9">
        <w:rPr>
          <w:rStyle w:val="Strong"/>
          <w:lang w:val="en-GB"/>
        </w:rPr>
        <w:t xml:space="preserve">Evaluation: </w:t>
      </w:r>
      <w:r w:rsidRPr="00746CA9">
        <w:rPr>
          <w:lang w:val="en-GB"/>
        </w:rPr>
        <w:t>Evaluating creativity and innovation in the NHS and completing the mind map activity has helped strengthen my understanding of creative problem-solving.</w:t>
      </w:r>
    </w:p>
    <w:p w14:paraId="2FB2B580" w14:textId="77777777" w:rsidR="00E76C64" w:rsidRPr="00746CA9" w:rsidRDefault="00C37B0E" w:rsidP="00E76C64">
      <w:pPr>
        <w:pStyle w:val="isselectedend"/>
        <w:spacing w:line="360" w:lineRule="auto"/>
        <w:jc w:val="both"/>
        <w:rPr>
          <w:b/>
          <w:bCs/>
          <w:lang w:val="en-GB"/>
        </w:rPr>
      </w:pPr>
      <w:r w:rsidRPr="00746CA9">
        <w:rPr>
          <w:rStyle w:val="Strong"/>
          <w:lang w:val="en-GB"/>
        </w:rPr>
        <w:t xml:space="preserve">Analysis: </w:t>
      </w:r>
      <w:r w:rsidRPr="00746CA9">
        <w:rPr>
          <w:lang w:val="en-GB"/>
        </w:rPr>
        <w:t>Reflecting on my previous experience has helped me to determine how reflection supports continuous learning and service improvement in professional practice.</w:t>
      </w:r>
    </w:p>
    <w:p w14:paraId="75E9B8A1" w14:textId="77777777" w:rsidR="00E76C64" w:rsidRPr="00746CA9" w:rsidRDefault="00C37B0E" w:rsidP="00E76C64">
      <w:pPr>
        <w:pStyle w:val="isselectedend"/>
        <w:spacing w:line="360" w:lineRule="auto"/>
        <w:jc w:val="both"/>
        <w:rPr>
          <w:b/>
          <w:bCs/>
          <w:lang w:val="en-GB"/>
        </w:rPr>
      </w:pPr>
      <w:r w:rsidRPr="00746CA9">
        <w:rPr>
          <w:rStyle w:val="Strong"/>
          <w:lang w:val="en-GB"/>
        </w:rPr>
        <w:t xml:space="preserve">Conclusion: </w:t>
      </w:r>
      <w:r w:rsidRPr="00746CA9">
        <w:rPr>
          <w:lang w:val="en-GB"/>
        </w:rPr>
        <w:t>In conclusion, I have gained a deeper appreciation of the fact that creativity involves developing practical solutions that help enhance patient outcomes and healthcare quality.</w:t>
      </w:r>
    </w:p>
    <w:p w14:paraId="225CDD1E" w14:textId="77777777" w:rsidR="00E76C64" w:rsidRPr="00746CA9" w:rsidRDefault="00C37B0E" w:rsidP="00E76C64">
      <w:pPr>
        <w:pStyle w:val="NormalWeb"/>
        <w:spacing w:line="360" w:lineRule="auto"/>
        <w:jc w:val="both"/>
        <w:rPr>
          <w:rStyle w:val="Strong"/>
          <w:lang w:val="en-GB"/>
        </w:rPr>
      </w:pPr>
      <w:r w:rsidRPr="00746CA9">
        <w:rPr>
          <w:rStyle w:val="Strong"/>
          <w:lang w:val="en-GB"/>
        </w:rPr>
        <w:t xml:space="preserve">Action Plan: </w:t>
      </w:r>
      <w:r w:rsidRPr="00746CA9">
        <w:rPr>
          <w:lang w:val="en-GB"/>
        </w:rPr>
        <w:t xml:space="preserve">During future placements, I will apply creative thinking, reflective practice, and evidence-based decision-making to support person-centred care. </w:t>
      </w:r>
    </w:p>
    <w:p w14:paraId="5F9B9FA3" w14:textId="77777777" w:rsidR="00E76C64" w:rsidRPr="00746CA9" w:rsidRDefault="00E76C64" w:rsidP="00E76C64"/>
    <w:p w14:paraId="704824F3" w14:textId="77777777" w:rsidR="000C2115" w:rsidRPr="00746CA9" w:rsidRDefault="000C2115" w:rsidP="000C2115">
      <w:pPr>
        <w:rPr>
          <w:b/>
          <w:bCs/>
        </w:rPr>
      </w:pPr>
    </w:p>
    <w:p w14:paraId="1ABE7E55" w14:textId="77777777" w:rsidR="005C7601" w:rsidRPr="00746CA9" w:rsidRDefault="00C37B0E">
      <w:pPr>
        <w:spacing w:line="259" w:lineRule="auto"/>
        <w:jc w:val="left"/>
        <w:rPr>
          <w:b/>
          <w:bCs/>
        </w:rPr>
      </w:pPr>
      <w:r w:rsidRPr="00746CA9">
        <w:rPr>
          <w:b/>
          <w:bCs/>
        </w:rPr>
        <w:br w:type="page"/>
      </w:r>
    </w:p>
    <w:p w14:paraId="281DFD42" w14:textId="102880CE" w:rsidR="00BD508A" w:rsidRPr="00746CA9" w:rsidRDefault="00C37B0E" w:rsidP="00BD508A">
      <w:pPr>
        <w:pStyle w:val="Heading1"/>
      </w:pPr>
      <w:bookmarkStart w:id="9" w:name="_Toc235723524"/>
      <w:r w:rsidRPr="00746CA9">
        <w:lastRenderedPageBreak/>
        <w:t>References</w:t>
      </w:r>
      <w:bookmarkEnd w:id="9"/>
      <w:r w:rsidRPr="00746CA9">
        <w:t xml:space="preserve"> </w:t>
      </w:r>
    </w:p>
    <w:p w14:paraId="2189A16C" w14:textId="77777777" w:rsidR="00BD508A" w:rsidRPr="00746CA9" w:rsidRDefault="00BD508A" w:rsidP="00292A82">
      <w:r w:rsidRPr="00746CA9">
        <w:rPr>
          <w:shd w:val="clear" w:color="auto" w:fill="FFFFFF"/>
        </w:rPr>
        <w:t>Adamopoulos, I.P. and Syrou, N.F. (2022) ‘Associations and correlations of job stress, job satisfaction and burn out in public health sector’, </w:t>
      </w:r>
      <w:r w:rsidRPr="00746CA9">
        <w:rPr>
          <w:i/>
          <w:iCs/>
          <w:shd w:val="clear" w:color="auto" w:fill="FFFFFF"/>
        </w:rPr>
        <w:t>European Journal of Environment and Public Health</w:t>
      </w:r>
      <w:r w:rsidRPr="00746CA9">
        <w:rPr>
          <w:shd w:val="clear" w:color="auto" w:fill="FFFFFF"/>
        </w:rPr>
        <w:t>, 6(2), p. em0113.</w:t>
      </w:r>
    </w:p>
    <w:p w14:paraId="38027AE9" w14:textId="77777777" w:rsidR="00BD508A" w:rsidRPr="00746CA9" w:rsidRDefault="00BD508A" w:rsidP="005C7601">
      <w:r w:rsidRPr="00746CA9">
        <w:rPr>
          <w:shd w:val="clear" w:color="auto" w:fill="FFFFFF"/>
        </w:rPr>
        <w:t>Agazu, B.G., Birbirsa, Z.A. and Werke, S.Z. (2022) ‘Leadership models and change management: A systematic review’</w:t>
      </w:r>
    </w:p>
    <w:p w14:paraId="52320BD8" w14:textId="77777777" w:rsidR="00BD508A" w:rsidRPr="00746CA9" w:rsidRDefault="00BD508A" w:rsidP="005C7601">
      <w:r w:rsidRPr="00746CA9">
        <w:rPr>
          <w:shd w:val="clear" w:color="auto" w:fill="FFFFFF"/>
        </w:rPr>
        <w:t>Alvarez, M. (2024) ‘Acting as causing change’, </w:t>
      </w:r>
      <w:r w:rsidRPr="00746CA9">
        <w:rPr>
          <w:i/>
          <w:iCs/>
          <w:shd w:val="clear" w:color="auto" w:fill="FFFFFF"/>
        </w:rPr>
        <w:t>European Journal of Philosophy</w:t>
      </w:r>
      <w:r w:rsidRPr="00746CA9">
        <w:rPr>
          <w:shd w:val="clear" w:color="auto" w:fill="FFFFFF"/>
        </w:rPr>
        <w:t>, 32(3), pp. 644-658.</w:t>
      </w:r>
    </w:p>
    <w:p w14:paraId="64FD3715" w14:textId="77777777" w:rsidR="00BD508A" w:rsidRPr="00746CA9" w:rsidRDefault="00BD508A" w:rsidP="00E76C64">
      <w:r w:rsidRPr="00746CA9">
        <w:rPr>
          <w:shd w:val="clear" w:color="auto" w:fill="FFFFFF"/>
        </w:rPr>
        <w:t>Glasby, J. (2026) Understanding health and social care. In </w:t>
      </w:r>
      <w:r w:rsidRPr="00746CA9">
        <w:rPr>
          <w:i/>
          <w:iCs/>
          <w:shd w:val="clear" w:color="auto" w:fill="FFFFFF"/>
        </w:rPr>
        <w:t>Understanding Health and Social Care</w:t>
      </w:r>
      <w:r w:rsidRPr="00746CA9">
        <w:rPr>
          <w:shd w:val="clear" w:color="auto" w:fill="FFFFFF"/>
        </w:rPr>
        <w:t>. Policy Press.</w:t>
      </w:r>
    </w:p>
    <w:p w14:paraId="613703C2" w14:textId="77777777" w:rsidR="00BD508A" w:rsidRPr="00746CA9" w:rsidRDefault="00BD508A" w:rsidP="005C7601">
      <w:r w:rsidRPr="00746CA9">
        <w:rPr>
          <w:shd w:val="clear" w:color="auto" w:fill="FFFFFF"/>
        </w:rPr>
        <w:t>Green, A.E., Beaty, R.E., Kenett, Y.N. and Kaufman, J.C. (2024) ‘The process definition of creativity’, </w:t>
      </w:r>
      <w:r w:rsidRPr="00746CA9">
        <w:rPr>
          <w:i/>
          <w:iCs/>
          <w:shd w:val="clear" w:color="auto" w:fill="FFFFFF"/>
        </w:rPr>
        <w:t>Creativity Research Journal</w:t>
      </w:r>
      <w:r w:rsidRPr="00746CA9">
        <w:rPr>
          <w:shd w:val="clear" w:color="auto" w:fill="FFFFFF"/>
        </w:rPr>
        <w:t>, 36(3), pp. 544-572.</w:t>
      </w:r>
    </w:p>
    <w:p w14:paraId="16980F3B" w14:textId="77777777" w:rsidR="00BD508A" w:rsidRPr="00746CA9" w:rsidRDefault="00BD508A" w:rsidP="005C7601">
      <w:r w:rsidRPr="00746CA9">
        <w:rPr>
          <w:shd w:val="clear" w:color="auto" w:fill="FFFFFF"/>
        </w:rPr>
        <w:t>Han, W., Abdrahim, N.A., Zakaria, N.S. and Ghazali, N. (2023) ‘The Dynamic Componential Model of Creativity: A Theoretical Framework for Fostering Creative Teaching in Higher Education’, </w:t>
      </w:r>
      <w:r w:rsidRPr="00746CA9">
        <w:rPr>
          <w:i/>
          <w:iCs/>
          <w:shd w:val="clear" w:color="auto" w:fill="FFFFFF"/>
        </w:rPr>
        <w:t>International Journal of Academic Research in Business and Social Sciences</w:t>
      </w:r>
      <w:r w:rsidRPr="00746CA9">
        <w:rPr>
          <w:shd w:val="clear" w:color="auto" w:fill="FFFFFF"/>
        </w:rPr>
        <w:t>, 13(9), pp. 1715-1728.</w:t>
      </w:r>
    </w:p>
    <w:p w14:paraId="628D1788" w14:textId="77777777" w:rsidR="00BD508A" w:rsidRPr="00746CA9" w:rsidRDefault="00BD508A" w:rsidP="00080D46">
      <w:r w:rsidRPr="00746CA9">
        <w:rPr>
          <w:shd w:val="clear" w:color="auto" w:fill="FFFFFF"/>
        </w:rPr>
        <w:t>Huebner, C. and Flessa, S. (2022) ‘Strategic management in healthcare: a call for long-term and systems-thinking in an uncertain system’, </w:t>
      </w:r>
      <w:r w:rsidRPr="00746CA9">
        <w:rPr>
          <w:i/>
          <w:iCs/>
          <w:shd w:val="clear" w:color="auto" w:fill="FFFFFF"/>
        </w:rPr>
        <w:t>International journal of environmental research and public health</w:t>
      </w:r>
      <w:r w:rsidRPr="00746CA9">
        <w:rPr>
          <w:shd w:val="clear" w:color="auto" w:fill="FFFFFF"/>
        </w:rPr>
        <w:t>, 19(14), p. 8617.</w:t>
      </w:r>
    </w:p>
    <w:p w14:paraId="59CCB916" w14:textId="77777777" w:rsidR="00BD508A" w:rsidRPr="00746CA9" w:rsidRDefault="00BD508A" w:rsidP="00891828">
      <w:pPr>
        <w:rPr>
          <w:shd w:val="clear" w:color="auto" w:fill="FFFFFF"/>
        </w:rPr>
      </w:pPr>
      <w:r w:rsidRPr="00746CA9">
        <w:rPr>
          <w:shd w:val="clear" w:color="auto" w:fill="FFFFFF"/>
        </w:rPr>
        <w:t>Ibrahim, A. and Shiring, E. (2022) ‘The Relationship between Educators' Attitudes, Perceived Usefulness, and Perceived Ease of Use of Instructional and Web-Based Technologies: Implications from Technology Acceptance Model (TAM)’, </w:t>
      </w:r>
      <w:r w:rsidRPr="00746CA9">
        <w:rPr>
          <w:i/>
          <w:iCs/>
          <w:shd w:val="clear" w:color="auto" w:fill="FFFFFF"/>
        </w:rPr>
        <w:t>International Journal of Technology in Education</w:t>
      </w:r>
      <w:r w:rsidRPr="00746CA9">
        <w:rPr>
          <w:shd w:val="clear" w:color="auto" w:fill="FFFFFF"/>
        </w:rPr>
        <w:t>, 5(4), pp. 535-551.</w:t>
      </w:r>
    </w:p>
    <w:p w14:paraId="1DE5646D" w14:textId="77777777" w:rsidR="00BD508A" w:rsidRPr="00746CA9" w:rsidRDefault="00BD508A" w:rsidP="005C7601">
      <w:r w:rsidRPr="00746CA9">
        <w:rPr>
          <w:shd w:val="clear" w:color="auto" w:fill="FFFFFF"/>
        </w:rPr>
        <w:t>Marfo-Yiadom, E., Kusi, L.Y. and Nketsiah, I. (2025) ‘Efficacy of the Porter’s generic strategies in achieving competitive advantage: The mediating roles of market ambidexterity and firm performance’, </w:t>
      </w:r>
      <w:r w:rsidRPr="00746CA9">
        <w:rPr>
          <w:i/>
          <w:iCs/>
          <w:shd w:val="clear" w:color="auto" w:fill="FFFFFF"/>
        </w:rPr>
        <w:t>Journal of Business and Enterprise Development (JOBED)</w:t>
      </w:r>
      <w:r w:rsidRPr="00746CA9">
        <w:rPr>
          <w:shd w:val="clear" w:color="auto" w:fill="FFFFFF"/>
        </w:rPr>
        <w:t>, 13(2).</w:t>
      </w:r>
    </w:p>
    <w:p w14:paraId="044A5E80" w14:textId="77777777" w:rsidR="00BD508A" w:rsidRPr="00746CA9" w:rsidRDefault="00BD508A" w:rsidP="005C7601">
      <w:pPr>
        <w:rPr>
          <w:shd w:val="clear" w:color="auto" w:fill="FFFFFF"/>
        </w:rPr>
      </w:pPr>
      <w:r w:rsidRPr="00746CA9">
        <w:rPr>
          <w:shd w:val="clear" w:color="auto" w:fill="FFFFFF"/>
        </w:rPr>
        <w:t xml:space="preserve">Menzli, L.J., Smirani, L.K., Boulahia, J.A. and Hadjouni, M. (2022) ‘Investigation of open educational resources adoption in higher education using Rogers’ diffusion of innovation theory’, </w:t>
      </w:r>
      <w:r w:rsidRPr="00746CA9">
        <w:rPr>
          <w:i/>
          <w:iCs/>
          <w:shd w:val="clear" w:color="auto" w:fill="FFFFFF"/>
        </w:rPr>
        <w:t>Heliyon</w:t>
      </w:r>
      <w:r w:rsidRPr="00746CA9">
        <w:rPr>
          <w:shd w:val="clear" w:color="auto" w:fill="FFFFFF"/>
        </w:rPr>
        <w:t>, 8(7).</w:t>
      </w:r>
    </w:p>
    <w:p w14:paraId="3418111E" w14:textId="77777777" w:rsidR="00BD508A" w:rsidRPr="00746CA9" w:rsidRDefault="00BD508A" w:rsidP="00891828">
      <w:r w:rsidRPr="00746CA9">
        <w:rPr>
          <w:shd w:val="clear" w:color="auto" w:fill="FFFFFF"/>
        </w:rPr>
        <w:lastRenderedPageBreak/>
        <w:t>Nassanga, L. (2024) ‘Shared Leadership and Transformational Leadership in higher Education Institutions’, </w:t>
      </w:r>
      <w:r w:rsidRPr="00746CA9">
        <w:rPr>
          <w:i/>
          <w:iCs/>
          <w:shd w:val="clear" w:color="auto" w:fill="FFFFFF"/>
        </w:rPr>
        <w:t>Multidisciplinary International Journal of Research and Development</w:t>
      </w:r>
      <w:r w:rsidRPr="00746CA9">
        <w:rPr>
          <w:shd w:val="clear" w:color="auto" w:fill="FFFFFF"/>
        </w:rPr>
        <w:t>, 4(3), pp. 91-91.</w:t>
      </w:r>
    </w:p>
    <w:p w14:paraId="1A5583B8" w14:textId="77777777" w:rsidR="00BD508A" w:rsidRPr="00746CA9" w:rsidRDefault="00BD508A" w:rsidP="00E76C64">
      <w:r w:rsidRPr="00746CA9">
        <w:t xml:space="preserve">NHS (2026) </w:t>
      </w:r>
      <w:r w:rsidRPr="00746CA9">
        <w:rPr>
          <w:i/>
          <w:iCs/>
        </w:rPr>
        <w:t>Leading with care.</w:t>
      </w:r>
      <w:r w:rsidRPr="00746CA9">
        <w:t xml:space="preserve"> Available at: https://www.leadershipacademy.nhs.uk/healthcare-leadership-model/explore-the-healthcare-leadership-model/leading-with-care/ (Accessed: 23 July 2026). </w:t>
      </w:r>
    </w:p>
    <w:p w14:paraId="5DAAD8D3" w14:textId="77777777" w:rsidR="00BD508A" w:rsidRPr="00746CA9" w:rsidRDefault="00BD508A" w:rsidP="005C7601">
      <w:r w:rsidRPr="00746CA9">
        <w:t xml:space="preserve">NHS England (2025) </w:t>
      </w:r>
      <w:r w:rsidRPr="00746CA9">
        <w:rPr>
          <w:i/>
          <w:iCs/>
        </w:rPr>
        <w:t>Medical devices and digital tools.</w:t>
      </w:r>
      <w:r w:rsidRPr="00746CA9">
        <w:t xml:space="preserve"> Available at: https://www.england.nhs.uk/long-read/medical-devices-and-digital-tools/ (Accessed: 23 July 2026). </w:t>
      </w:r>
    </w:p>
    <w:p w14:paraId="7E4CEC38" w14:textId="77777777" w:rsidR="00BD508A" w:rsidRPr="00746CA9" w:rsidRDefault="00BD508A" w:rsidP="00E76C64">
      <w:r w:rsidRPr="00746CA9">
        <w:t xml:space="preserve">NHS England (2025b) </w:t>
      </w:r>
      <w:r w:rsidRPr="00746CA9">
        <w:rPr>
          <w:i/>
          <w:iCs/>
        </w:rPr>
        <w:t>Purpose of the GP electronic health record.</w:t>
      </w:r>
      <w:r w:rsidRPr="00746CA9">
        <w:t xml:space="preserve"> Available at: https://www.england.nhs.uk/long-read/purpose-of-the-gp-electronic-health-record/ (Accessed: 23 July 2026). </w:t>
      </w:r>
    </w:p>
    <w:p w14:paraId="680F0AD1" w14:textId="77777777" w:rsidR="00BD508A" w:rsidRPr="00746CA9" w:rsidRDefault="00BD508A" w:rsidP="005C7601">
      <w:r w:rsidRPr="00746CA9">
        <w:t xml:space="preserve">NHS England (2026a) </w:t>
      </w:r>
      <w:r w:rsidRPr="00746CA9">
        <w:rPr>
          <w:i/>
          <w:iCs/>
        </w:rPr>
        <w:t>Digital transformation.</w:t>
      </w:r>
      <w:r w:rsidRPr="00746CA9">
        <w:t xml:space="preserve"> Available at: https://www.england.nhs.uk/digitaltechnology/ (Accessed: 23 July 2026). </w:t>
      </w:r>
    </w:p>
    <w:p w14:paraId="241ED21D" w14:textId="77777777" w:rsidR="00BD508A" w:rsidRPr="00746CA9" w:rsidRDefault="00BD508A" w:rsidP="005C7601">
      <w:r w:rsidRPr="00746CA9">
        <w:t xml:space="preserve">NHS England (2026b) </w:t>
      </w:r>
      <w:r w:rsidRPr="00746CA9">
        <w:rPr>
          <w:i/>
          <w:iCs/>
        </w:rPr>
        <w:t>What is improvement?</w:t>
      </w:r>
      <w:r w:rsidRPr="00746CA9">
        <w:t xml:space="preserve"> Available at: https://www.england.nhs.uk/nhsimpact/what-is-improvement/ (Accessed: 23 July 2026). </w:t>
      </w:r>
    </w:p>
    <w:p w14:paraId="4D6F6260" w14:textId="77777777" w:rsidR="00BD508A" w:rsidRPr="00746CA9" w:rsidRDefault="00BD508A" w:rsidP="005C7601">
      <w:r w:rsidRPr="00746CA9">
        <w:t xml:space="preserve">NHS England (2026c) </w:t>
      </w:r>
      <w:r w:rsidRPr="00746CA9">
        <w:rPr>
          <w:i/>
          <w:iCs/>
        </w:rPr>
        <w:t>Evolving to meet a changing world.</w:t>
      </w:r>
      <w:r w:rsidRPr="00746CA9">
        <w:t xml:space="preserve"> Available at: https://www.england.nhs.uk/future-of-human-resources-and-organisational-development/the-future-of-nhs-human-resources-and-organisational-development-report/evolving-to-meet-a-changing-world/ (Accessed: 23 July 2026). </w:t>
      </w:r>
    </w:p>
    <w:p w14:paraId="451DCD6C" w14:textId="77777777" w:rsidR="00BD508A" w:rsidRPr="00746CA9" w:rsidRDefault="00BD508A" w:rsidP="00292A82">
      <w:r w:rsidRPr="00746CA9">
        <w:t xml:space="preserve">NHS England (2026d) </w:t>
      </w:r>
      <w:r w:rsidRPr="00746CA9">
        <w:rPr>
          <w:i/>
          <w:iCs/>
        </w:rPr>
        <w:t xml:space="preserve">Virtual wards. </w:t>
      </w:r>
      <w:r w:rsidRPr="00746CA9">
        <w:t xml:space="preserve">Available at: https://www.england.nhs.uk/virtual-wards/ (Accessed: 23 July 2026). </w:t>
      </w:r>
    </w:p>
    <w:p w14:paraId="235E8C31" w14:textId="77777777" w:rsidR="00BD508A" w:rsidRPr="00746CA9" w:rsidRDefault="00BD508A" w:rsidP="00080D46">
      <w:r w:rsidRPr="00746CA9">
        <w:t xml:space="preserve">NHS England (2026e) </w:t>
      </w:r>
      <w:r w:rsidRPr="00746CA9">
        <w:rPr>
          <w:i/>
          <w:iCs/>
        </w:rPr>
        <w:t>Applications and benefits.</w:t>
      </w:r>
      <w:r w:rsidRPr="00746CA9">
        <w:t xml:space="preserve"> Available at: https://digital.nhs.uk/services/networks-and-connectivity-centre-of-excellence/connectivity-hub/advice-and-guidance/introduction-to-wireless-technologies-in-health/applications-and-benefits (Accessed: 23 July 2026). </w:t>
      </w:r>
    </w:p>
    <w:p w14:paraId="7D34F31D" w14:textId="77777777" w:rsidR="00BD508A" w:rsidRPr="00746CA9" w:rsidRDefault="00BD508A" w:rsidP="00E76C64">
      <w:r w:rsidRPr="00746CA9">
        <w:t xml:space="preserve">NHS England (2026f) </w:t>
      </w:r>
      <w:r w:rsidRPr="00746CA9">
        <w:rPr>
          <w:i/>
          <w:iCs/>
        </w:rPr>
        <w:t xml:space="preserve">GP online services: the key benefits. </w:t>
      </w:r>
      <w:r w:rsidRPr="00746CA9">
        <w:t xml:space="preserve">Available at: https://www.england.nhs.uk/gp-online-services/learning-so-far/key-benefits/ (Accessed: 23 July 2026). </w:t>
      </w:r>
    </w:p>
    <w:p w14:paraId="735F8C07" w14:textId="77777777" w:rsidR="00BD508A" w:rsidRPr="00746CA9" w:rsidRDefault="00BD508A" w:rsidP="00E76C64">
      <w:r w:rsidRPr="00746CA9">
        <w:lastRenderedPageBreak/>
        <w:t xml:space="preserve">NHS England (2026g) </w:t>
      </w:r>
      <w:r w:rsidRPr="00746CA9">
        <w:rPr>
          <w:i/>
          <w:iCs/>
        </w:rPr>
        <w:t>NHS Leadership and Management Framework.</w:t>
      </w:r>
      <w:r w:rsidRPr="00746CA9">
        <w:t xml:space="preserve"> Available at: https://www.england.nhs.uk/leaders/nhs-leadership-and-management-framework/ (Accessed: 23 July 2026). </w:t>
      </w:r>
    </w:p>
    <w:p w14:paraId="338BE959" w14:textId="77777777" w:rsidR="00BD508A" w:rsidRPr="00746CA9" w:rsidRDefault="00BD508A" w:rsidP="005C7601">
      <w:r w:rsidRPr="00746CA9">
        <w:t xml:space="preserve">Nicita, C. (2024) </w:t>
      </w:r>
      <w:r w:rsidRPr="00746CA9">
        <w:rPr>
          <w:i/>
          <w:iCs/>
        </w:rPr>
        <w:t>Four Stumbling Blocks To Value Creation And How To Overcome Them.</w:t>
      </w:r>
      <w:r w:rsidRPr="00746CA9">
        <w:t xml:space="preserve"> Available at: https://www.forbes.com/councils/forbesbusinesscouncil/2024/12/05/four-stumbling-blocks-to-value-creation-and-how-to-overcome-them/ (Accessed: 23 July 2026). </w:t>
      </w:r>
    </w:p>
    <w:p w14:paraId="1983B81A" w14:textId="77777777" w:rsidR="00BD508A" w:rsidRPr="00746CA9" w:rsidRDefault="00BD508A" w:rsidP="005C7601">
      <w:r w:rsidRPr="00746CA9">
        <w:t xml:space="preserve">Schlabach, G. (2024) </w:t>
      </w:r>
      <w:r w:rsidRPr="00746CA9">
        <w:rPr>
          <w:i/>
          <w:iCs/>
        </w:rPr>
        <w:t>What Is Innovation? The Answer Might Be Closer Than You Think.</w:t>
      </w:r>
      <w:r w:rsidRPr="00746CA9">
        <w:t xml:space="preserve"> Available at: https://www.forbes.com/councils/forbestechcouncil/2024/02/15/what-is-innovation-the-answer-might-be-closer-than-you-think/ (Accessed: 23 July 2026). </w:t>
      </w:r>
    </w:p>
    <w:p w14:paraId="6D3A7CD5" w14:textId="77777777" w:rsidR="00BD508A" w:rsidRPr="00746CA9" w:rsidRDefault="00BD508A" w:rsidP="00891828">
      <w:pPr>
        <w:rPr>
          <w:shd w:val="clear" w:color="auto" w:fill="FFFFFF"/>
        </w:rPr>
      </w:pPr>
      <w:r w:rsidRPr="00746CA9">
        <w:rPr>
          <w:shd w:val="clear" w:color="auto" w:fill="FFFFFF"/>
        </w:rPr>
        <w:t>Soares, J.P., Lopes, R.H., de Souza Mendonça, P.B., Silva, C.R.D.V., Rodrigues, C.C.F.M. and de Castro, J.L. (2023) ‘Use of the Maslach burnout inventory among public health care professionals: scoping review’, </w:t>
      </w:r>
      <w:r w:rsidRPr="00746CA9">
        <w:rPr>
          <w:i/>
          <w:iCs/>
          <w:shd w:val="clear" w:color="auto" w:fill="FFFFFF"/>
        </w:rPr>
        <w:t>JMIR mental health</w:t>
      </w:r>
      <w:r w:rsidRPr="00746CA9">
        <w:rPr>
          <w:shd w:val="clear" w:color="auto" w:fill="FFFFFF"/>
        </w:rPr>
        <w:t>, 10(1), p. e44195.</w:t>
      </w:r>
    </w:p>
    <w:p w14:paraId="77D3EAD7" w14:textId="77777777" w:rsidR="00BD508A" w:rsidRPr="00746CA9" w:rsidRDefault="00BD508A" w:rsidP="00292A82">
      <w:r w:rsidRPr="00746CA9">
        <w:rPr>
          <w:shd w:val="clear" w:color="auto" w:fill="FFFFFF"/>
        </w:rPr>
        <w:t xml:space="preserve">Sun, J., Sarfraz, M., Ivascu, L., Iqbal, K. and Mansoor, A. (2022) ‘How did work-related depression, anxiety, and stress hamper healthcare employee performance during COVID-19? The mediating role of job burnout and mental health’, </w:t>
      </w:r>
      <w:r w:rsidRPr="00746CA9">
        <w:rPr>
          <w:i/>
          <w:iCs/>
          <w:shd w:val="clear" w:color="auto" w:fill="FFFFFF"/>
        </w:rPr>
        <w:t>International journal of environmental research and public health</w:t>
      </w:r>
      <w:r w:rsidRPr="00746CA9">
        <w:rPr>
          <w:shd w:val="clear" w:color="auto" w:fill="FFFFFF"/>
        </w:rPr>
        <w:t>, 19(16), p. 10359.</w:t>
      </w:r>
    </w:p>
    <w:p w14:paraId="17E536DD" w14:textId="77777777" w:rsidR="00BD508A" w:rsidRPr="00746CA9" w:rsidRDefault="00BD508A" w:rsidP="00080D46">
      <w:r w:rsidRPr="00746CA9">
        <w:t xml:space="preserve">Triggle, N. and Wainwright, D. (2026) </w:t>
      </w:r>
      <w:r w:rsidRPr="00746CA9">
        <w:rPr>
          <w:i/>
          <w:iCs/>
        </w:rPr>
        <w:t>The hospitals where waiting times are getting worse. Is yours one of them?</w:t>
      </w:r>
      <w:r w:rsidRPr="00746CA9">
        <w:t xml:space="preserve"> Available at: https://www.bbc.com/news/articles/ckgjk89n2nyo (Accessed: 23 July 2026). </w:t>
      </w:r>
    </w:p>
    <w:p w14:paraId="4F768065" w14:textId="77777777" w:rsidR="00BD508A" w:rsidRPr="00746CA9" w:rsidRDefault="00BD508A" w:rsidP="00080D46">
      <w:r w:rsidRPr="00746CA9">
        <w:rPr>
          <w:shd w:val="clear" w:color="auto" w:fill="FFFFFF"/>
        </w:rPr>
        <w:t xml:space="preserve">Wigert, B.G., Murugavel, V.R. and Reiter-Palmon, R. (2024) ‘The utility of divergent and convergent thinking in the problem construction processes during creative problem-solving’, </w:t>
      </w:r>
      <w:r w:rsidRPr="00746CA9">
        <w:rPr>
          <w:i/>
          <w:iCs/>
          <w:shd w:val="clear" w:color="auto" w:fill="FFFFFF"/>
        </w:rPr>
        <w:t>Psychology of Aesthetics, Creativity, and the Arts</w:t>
      </w:r>
      <w:r w:rsidRPr="00746CA9">
        <w:rPr>
          <w:shd w:val="clear" w:color="auto" w:fill="FFFFFF"/>
        </w:rPr>
        <w:t>, 18(5), p. 858.</w:t>
      </w:r>
    </w:p>
    <w:p w14:paraId="00A6004F" w14:textId="77777777" w:rsidR="000C2115" w:rsidRPr="00746CA9" w:rsidRDefault="000C2115" w:rsidP="000C2115">
      <w:pPr>
        <w:rPr>
          <w:b/>
          <w:bCs/>
        </w:rPr>
      </w:pPr>
    </w:p>
    <w:sectPr w:rsidR="000C2115" w:rsidRPr="00746CA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286EE" w14:textId="77777777" w:rsidR="00417C5B" w:rsidRDefault="00417C5B">
      <w:pPr>
        <w:spacing w:after="0" w:line="240" w:lineRule="auto"/>
      </w:pPr>
      <w:r>
        <w:separator/>
      </w:r>
    </w:p>
  </w:endnote>
  <w:endnote w:type="continuationSeparator" w:id="0">
    <w:p w14:paraId="26222983" w14:textId="77777777" w:rsidR="00417C5B" w:rsidRDefault="00417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4361338"/>
      <w:docPartObj>
        <w:docPartGallery w:val="Page Numbers (Bottom of Page)"/>
        <w:docPartUnique/>
      </w:docPartObj>
    </w:sdtPr>
    <w:sdtEndPr>
      <w:rPr>
        <w:noProof/>
      </w:rPr>
    </w:sdtEndPr>
    <w:sdtContent>
      <w:p w14:paraId="4F37C5F0" w14:textId="6E736E8E" w:rsidR="000C2115" w:rsidRDefault="00C37B0E">
        <w:pPr>
          <w:pStyle w:val="Footer"/>
          <w:jc w:val="right"/>
        </w:pPr>
        <w:r>
          <w:fldChar w:fldCharType="begin"/>
        </w:r>
        <w:r>
          <w:instrText xml:space="preserve"> PAGE   \* MERGEFORMAT </w:instrText>
        </w:r>
        <w:r>
          <w:fldChar w:fldCharType="separate"/>
        </w:r>
        <w:r w:rsidR="00746CA9">
          <w:rPr>
            <w:noProof/>
          </w:rPr>
          <w:t>3</w:t>
        </w:r>
        <w:r>
          <w:rPr>
            <w:noProof/>
          </w:rPr>
          <w:fldChar w:fldCharType="end"/>
        </w:r>
      </w:p>
    </w:sdtContent>
  </w:sdt>
  <w:p w14:paraId="29B16CAB" w14:textId="77777777" w:rsidR="000C2115" w:rsidRDefault="000C2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F837D" w14:textId="77777777" w:rsidR="00417C5B" w:rsidRDefault="00417C5B">
      <w:pPr>
        <w:spacing w:after="0" w:line="240" w:lineRule="auto"/>
      </w:pPr>
      <w:r>
        <w:separator/>
      </w:r>
    </w:p>
  </w:footnote>
  <w:footnote w:type="continuationSeparator" w:id="0">
    <w:p w14:paraId="714CC209" w14:textId="77777777" w:rsidR="00417C5B" w:rsidRDefault="00417C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4D0"/>
    <w:rsid w:val="000634D0"/>
    <w:rsid w:val="00080D46"/>
    <w:rsid w:val="000C2115"/>
    <w:rsid w:val="000C27B8"/>
    <w:rsid w:val="001565DB"/>
    <w:rsid w:val="00174058"/>
    <w:rsid w:val="001E4F98"/>
    <w:rsid w:val="00292A82"/>
    <w:rsid w:val="0031077A"/>
    <w:rsid w:val="003C2DD9"/>
    <w:rsid w:val="004171E1"/>
    <w:rsid w:val="00417C5B"/>
    <w:rsid w:val="004955FC"/>
    <w:rsid w:val="004A7E36"/>
    <w:rsid w:val="004D68E0"/>
    <w:rsid w:val="00534B47"/>
    <w:rsid w:val="005358AD"/>
    <w:rsid w:val="00536BA2"/>
    <w:rsid w:val="00561AFD"/>
    <w:rsid w:val="00587979"/>
    <w:rsid w:val="005937B6"/>
    <w:rsid w:val="005C7601"/>
    <w:rsid w:val="006A3659"/>
    <w:rsid w:val="00746CA9"/>
    <w:rsid w:val="007714CD"/>
    <w:rsid w:val="00781D1F"/>
    <w:rsid w:val="007C303A"/>
    <w:rsid w:val="0084497B"/>
    <w:rsid w:val="00891828"/>
    <w:rsid w:val="008B0998"/>
    <w:rsid w:val="00907B18"/>
    <w:rsid w:val="00932DD3"/>
    <w:rsid w:val="0098752D"/>
    <w:rsid w:val="00A066ED"/>
    <w:rsid w:val="00A15962"/>
    <w:rsid w:val="00B34B20"/>
    <w:rsid w:val="00BB1D6C"/>
    <w:rsid w:val="00BD508A"/>
    <w:rsid w:val="00C15A1A"/>
    <w:rsid w:val="00C21B79"/>
    <w:rsid w:val="00C37B0E"/>
    <w:rsid w:val="00CB5B4F"/>
    <w:rsid w:val="00D548F5"/>
    <w:rsid w:val="00E04E3E"/>
    <w:rsid w:val="00E51851"/>
    <w:rsid w:val="00E76C64"/>
    <w:rsid w:val="00F7748D"/>
    <w:rsid w:val="00FB3C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D9DF6"/>
  <w15:chartTrackingRefBased/>
  <w15:docId w15:val="{54D88199-4CBA-4B1E-A42E-7C9D96CA3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11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C2115"/>
    <w:pPr>
      <w:outlineLvl w:val="0"/>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0C2115"/>
    <w:pPr>
      <w:widowControl w:val="0"/>
      <w:autoSpaceDE w:val="0"/>
      <w:autoSpaceDN w:val="0"/>
      <w:spacing w:after="0" w:line="240" w:lineRule="auto"/>
      <w:jc w:val="left"/>
    </w:pPr>
    <w:rPr>
      <w:rFonts w:ascii="Arial MT" w:eastAsia="Arial MT" w:hAnsi="Arial MT" w:cs="Arial MT"/>
      <w:sz w:val="22"/>
      <w:lang w:val="en-US"/>
    </w:rPr>
  </w:style>
  <w:style w:type="character" w:styleId="Strong">
    <w:name w:val="Strong"/>
    <w:uiPriority w:val="22"/>
    <w:qFormat/>
    <w:rsid w:val="000C2115"/>
    <w:rPr>
      <w:b/>
      <w:bCs/>
    </w:rPr>
  </w:style>
  <w:style w:type="character" w:customStyle="1" w:styleId="Heading1Char">
    <w:name w:val="Heading 1 Char"/>
    <w:basedOn w:val="DefaultParagraphFont"/>
    <w:link w:val="Heading1"/>
    <w:uiPriority w:val="9"/>
    <w:rsid w:val="000C2115"/>
    <w:rPr>
      <w:rFonts w:ascii="Times New Roman" w:hAnsi="Times New Roman"/>
      <w:b/>
      <w:bCs/>
      <w:sz w:val="24"/>
      <w:lang w:val="en-GB"/>
    </w:rPr>
  </w:style>
  <w:style w:type="paragraph" w:styleId="Header">
    <w:name w:val="header"/>
    <w:basedOn w:val="Normal"/>
    <w:link w:val="HeaderChar"/>
    <w:uiPriority w:val="99"/>
    <w:unhideWhenUsed/>
    <w:rsid w:val="000C21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115"/>
    <w:rPr>
      <w:rFonts w:ascii="Times New Roman" w:hAnsi="Times New Roman"/>
      <w:sz w:val="24"/>
      <w:lang w:val="en-GB"/>
    </w:rPr>
  </w:style>
  <w:style w:type="paragraph" w:styleId="Footer">
    <w:name w:val="footer"/>
    <w:basedOn w:val="Normal"/>
    <w:link w:val="FooterChar"/>
    <w:uiPriority w:val="99"/>
    <w:unhideWhenUsed/>
    <w:rsid w:val="000C21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115"/>
    <w:rPr>
      <w:rFonts w:ascii="Times New Roman" w:hAnsi="Times New Roman"/>
      <w:sz w:val="24"/>
      <w:lang w:val="en-GB"/>
    </w:rPr>
  </w:style>
  <w:style w:type="paragraph" w:styleId="TOCHeading">
    <w:name w:val="TOC Heading"/>
    <w:basedOn w:val="Heading1"/>
    <w:next w:val="Normal"/>
    <w:uiPriority w:val="39"/>
    <w:unhideWhenUsed/>
    <w:qFormat/>
    <w:rsid w:val="000C2115"/>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0C2115"/>
    <w:pPr>
      <w:spacing w:after="100"/>
    </w:pPr>
  </w:style>
  <w:style w:type="character" w:styleId="Hyperlink">
    <w:name w:val="Hyperlink"/>
    <w:basedOn w:val="DefaultParagraphFont"/>
    <w:uiPriority w:val="99"/>
    <w:unhideWhenUsed/>
    <w:rsid w:val="000C2115"/>
    <w:rPr>
      <w:color w:val="0563C1" w:themeColor="hyperlink"/>
      <w:u w:val="single"/>
    </w:rPr>
  </w:style>
  <w:style w:type="paragraph" w:customStyle="1" w:styleId="isselectedend">
    <w:name w:val="isselectedend"/>
    <w:basedOn w:val="Normal"/>
    <w:rsid w:val="00080D46"/>
    <w:pPr>
      <w:spacing w:before="100" w:beforeAutospacing="1" w:after="100" w:afterAutospacing="1" w:line="240" w:lineRule="auto"/>
      <w:jc w:val="left"/>
    </w:pPr>
    <w:rPr>
      <w:rFonts w:eastAsia="Times New Roman" w:cs="Times New Roman"/>
      <w:szCs w:val="24"/>
      <w:lang w:val="en-IN" w:eastAsia="en-IN"/>
    </w:rPr>
  </w:style>
  <w:style w:type="paragraph" w:styleId="NormalWeb">
    <w:name w:val="Normal (Web)"/>
    <w:basedOn w:val="Normal"/>
    <w:uiPriority w:val="99"/>
    <w:semiHidden/>
    <w:unhideWhenUsed/>
    <w:rsid w:val="00080D46"/>
    <w:pPr>
      <w:spacing w:before="100" w:beforeAutospacing="1" w:after="100" w:afterAutospacing="1" w:line="240" w:lineRule="auto"/>
      <w:jc w:val="left"/>
    </w:pPr>
    <w:rPr>
      <w:rFonts w:eastAsia="Times New Roman" w:cs="Times New Roman"/>
      <w:szCs w:val="24"/>
      <w:lang w:val="en-IN" w:eastAsia="en-IN"/>
    </w:rPr>
  </w:style>
  <w:style w:type="paragraph" w:styleId="ListParagraph">
    <w:name w:val="List Paragraph"/>
    <w:basedOn w:val="Normal"/>
    <w:uiPriority w:val="34"/>
    <w:qFormat/>
    <w:rsid w:val="00080D46"/>
    <w:pPr>
      <w:ind w:left="720"/>
      <w:contextualSpacing/>
    </w:pPr>
  </w:style>
  <w:style w:type="paragraph" w:styleId="Caption">
    <w:name w:val="caption"/>
    <w:basedOn w:val="Normal"/>
    <w:next w:val="Normal"/>
    <w:uiPriority w:val="35"/>
    <w:unhideWhenUsed/>
    <w:qFormat/>
    <w:rsid w:val="00B34B2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1D91E-390C-41C2-81F6-911A44463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3162</Words>
  <Characters>18028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Davia Jordan</cp:lastModifiedBy>
  <cp:revision>5</cp:revision>
  <dcterms:created xsi:type="dcterms:W3CDTF">2026-07-25T08:45:00Z</dcterms:created>
  <dcterms:modified xsi:type="dcterms:W3CDTF">2026-08-12T16:23:00Z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83bf1002-68c6-41ea-8a76-a7f080c22ff2</vt:lpwstr>
  </property>
</Properties>
</file>