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53DD4F8" w14:textId="77777777" w:rsidR="00F92DBB" w:rsidRPr="002E3388" w:rsidRDefault="002264C4" w:rsidP="002E3388">
      <w:pPr>
        <w:spacing w:before="40" w:line="360" w:lineRule="auto"/>
        <w:rPr>
          <w:rFonts w:ascii="Calibri" w:hAnsi="Calibri" w:cs="Calibri"/>
          <w:color w:val="000000" w:themeColor="text1"/>
        </w:rPr>
      </w:pPr>
      <w:r w:rsidRPr="002E3388">
        <w:rPr>
          <w:rFonts w:ascii="Calibri" w:hAnsi="Calibri" w:cs="Calibri"/>
          <w:color w:val="000000" w:themeColor="text1"/>
        </w:rPr>
        <w:t xml:space="preserve">Social Research for Professional Practice (ECYW5001). </w:t>
      </w:r>
    </w:p>
    <w:p w14:paraId="40202036" w14:textId="77777777" w:rsidR="00FE2513" w:rsidRPr="002E3388" w:rsidRDefault="002264C4" w:rsidP="002E3388">
      <w:pPr>
        <w:spacing w:before="40" w:line="360" w:lineRule="auto"/>
        <w:rPr>
          <w:rFonts w:ascii="Calibri" w:hAnsi="Calibri" w:cs="Calibri"/>
          <w:color w:val="000000" w:themeColor="text1"/>
        </w:rPr>
      </w:pPr>
      <w:r w:rsidRPr="002E3388">
        <w:rPr>
          <w:rFonts w:ascii="Calibri" w:hAnsi="Calibri" w:cs="Calibri"/>
          <w:color w:val="000000" w:themeColor="text1"/>
        </w:rPr>
        <w:t>The article is</w:t>
      </w:r>
      <w:r w:rsidR="001B2B79" w:rsidRPr="002E3388">
        <w:rPr>
          <w:rFonts w:ascii="Calibri" w:hAnsi="Calibri" w:cs="Calibri"/>
          <w:color w:val="000000" w:themeColor="text1"/>
        </w:rPr>
        <w:t xml:space="preserve"> titled Social Media</w:t>
      </w:r>
      <w:r w:rsidRPr="002E3388">
        <w:rPr>
          <w:rFonts w:ascii="Calibri" w:hAnsi="Calibri" w:cs="Calibri"/>
          <w:color w:val="000000" w:themeColor="text1"/>
        </w:rPr>
        <w:t xml:space="preserve"> and Adolescent Mental Health: The Good, the Bad and the Ugly. </w:t>
      </w:r>
      <w:r w:rsidR="000B6242" w:rsidRPr="002E3388">
        <w:rPr>
          <w:rFonts w:ascii="Calibri" w:hAnsi="Calibri" w:cs="Calibri"/>
          <w:color w:val="000000" w:themeColor="text1"/>
        </w:rPr>
        <w:t>The Good, the Bad and the Ugly is a popular Western film from 1966 starring Clint Eastwood; using the same title</w:t>
      </w:r>
      <w:r w:rsidR="005803D8" w:rsidRPr="002E3388">
        <w:rPr>
          <w:rFonts w:ascii="Calibri" w:hAnsi="Calibri" w:cs="Calibri"/>
          <w:color w:val="000000" w:themeColor="text1"/>
        </w:rPr>
        <w:t xml:space="preserve"> as the film</w:t>
      </w:r>
      <w:r w:rsidR="000B6242" w:rsidRPr="002E3388">
        <w:rPr>
          <w:rFonts w:ascii="Calibri" w:hAnsi="Calibri" w:cs="Calibri"/>
          <w:color w:val="000000" w:themeColor="text1"/>
        </w:rPr>
        <w:t xml:space="preserve"> draws readers in and encourages them to read the article</w:t>
      </w:r>
      <w:r w:rsidR="00BF57E2" w:rsidRPr="002E3388">
        <w:rPr>
          <w:rFonts w:ascii="Calibri" w:hAnsi="Calibri" w:cs="Calibri"/>
          <w:color w:val="000000" w:themeColor="text1"/>
        </w:rPr>
        <w:t xml:space="preserve"> (The Good, the Bad and the Ugly, 1966)</w:t>
      </w:r>
      <w:r w:rsidR="000B6242" w:rsidRPr="002E3388">
        <w:rPr>
          <w:rFonts w:ascii="Calibri" w:hAnsi="Calibri" w:cs="Calibri"/>
          <w:color w:val="000000" w:themeColor="text1"/>
        </w:rPr>
        <w:t xml:space="preserve">. </w:t>
      </w:r>
      <w:r w:rsidR="000978EF" w:rsidRPr="002E3388">
        <w:rPr>
          <w:rFonts w:ascii="Calibri" w:hAnsi="Calibri" w:cs="Calibri"/>
          <w:color w:val="000000" w:themeColor="text1"/>
        </w:rPr>
        <w:t>O’Reilly (2020)</w:t>
      </w:r>
      <w:r w:rsidR="008013BA" w:rsidRPr="002E3388">
        <w:rPr>
          <w:rFonts w:ascii="Calibri" w:hAnsi="Calibri" w:cs="Calibri"/>
          <w:color w:val="000000" w:themeColor="text1"/>
        </w:rPr>
        <w:t>investigates</w:t>
      </w:r>
      <w:r w:rsidRPr="002E3388">
        <w:rPr>
          <w:rFonts w:ascii="Calibri" w:hAnsi="Calibri" w:cs="Calibri"/>
          <w:color w:val="000000" w:themeColor="text1"/>
        </w:rPr>
        <w:t xml:space="preserve"> the link between social media usage and mental health in adolescents. It covers three themes: the good, the bad and the ugly (O’Reilly, 2020). </w:t>
      </w:r>
      <w:r w:rsidR="005803D8" w:rsidRPr="002E3388">
        <w:rPr>
          <w:rFonts w:ascii="Calibri" w:hAnsi="Calibri" w:cs="Calibri"/>
          <w:color w:val="000000" w:themeColor="text1"/>
        </w:rPr>
        <w:t>It is concerned with</w:t>
      </w:r>
      <w:r w:rsidR="00AF354E" w:rsidRPr="002E3388">
        <w:rPr>
          <w:rFonts w:ascii="Calibri" w:hAnsi="Calibri" w:cs="Calibri"/>
          <w:color w:val="000000" w:themeColor="text1"/>
        </w:rPr>
        <w:t xml:space="preserve"> the topic of social media and </w:t>
      </w:r>
      <w:r w:rsidR="000978EF" w:rsidRPr="002E3388">
        <w:rPr>
          <w:rFonts w:ascii="Calibri" w:hAnsi="Calibri" w:cs="Calibri"/>
          <w:color w:val="000000" w:themeColor="text1"/>
        </w:rPr>
        <w:t>its</w:t>
      </w:r>
      <w:r w:rsidR="00AF354E" w:rsidRPr="002E3388">
        <w:rPr>
          <w:rFonts w:ascii="Calibri" w:hAnsi="Calibri" w:cs="Calibri"/>
          <w:color w:val="000000" w:themeColor="text1"/>
        </w:rPr>
        <w:t xml:space="preserve"> link to young people’s mental health</w:t>
      </w:r>
      <w:r w:rsidR="000978EF" w:rsidRPr="002E3388">
        <w:rPr>
          <w:rFonts w:ascii="Calibri" w:hAnsi="Calibri" w:cs="Calibri"/>
          <w:color w:val="000000" w:themeColor="text1"/>
        </w:rPr>
        <w:t>.</w:t>
      </w:r>
      <w:r w:rsidR="00F1741A" w:rsidRPr="002E3388">
        <w:rPr>
          <w:rFonts w:ascii="Calibri" w:hAnsi="Calibri" w:cs="Calibri"/>
          <w:color w:val="000000" w:themeColor="text1"/>
        </w:rPr>
        <w:t xml:space="preserve"> Michelle O'Reilly </w:t>
      </w:r>
      <w:r w:rsidR="005803D8" w:rsidRPr="002E3388">
        <w:rPr>
          <w:rFonts w:ascii="Calibri" w:hAnsi="Calibri" w:cs="Calibri"/>
          <w:color w:val="000000" w:themeColor="text1"/>
        </w:rPr>
        <w:t xml:space="preserve">undertook the research for this study, and this article is the result of those findings. </w:t>
      </w:r>
      <w:r w:rsidR="004772C0" w:rsidRPr="002E3388">
        <w:rPr>
          <w:rFonts w:ascii="Calibri" w:hAnsi="Calibri" w:cs="Calibri"/>
          <w:color w:val="000000" w:themeColor="text1"/>
        </w:rPr>
        <w:t>O'Reilly works in Communication in Mental Health at the University of Leicester</w:t>
      </w:r>
      <w:r w:rsidR="00B1125E" w:rsidRPr="002E3388">
        <w:rPr>
          <w:rFonts w:ascii="Calibri" w:hAnsi="Calibri" w:cs="Calibri"/>
          <w:color w:val="000000" w:themeColor="text1"/>
        </w:rPr>
        <w:t xml:space="preserve"> in the UK</w:t>
      </w:r>
      <w:r w:rsidR="004772C0" w:rsidRPr="002E3388">
        <w:rPr>
          <w:rFonts w:ascii="Calibri" w:hAnsi="Calibri" w:cs="Calibri"/>
          <w:color w:val="000000" w:themeColor="text1"/>
        </w:rPr>
        <w:t xml:space="preserve">. </w:t>
      </w:r>
      <w:r w:rsidR="005723A8" w:rsidRPr="002E3388">
        <w:rPr>
          <w:rFonts w:ascii="Calibri" w:hAnsi="Calibri" w:cs="Calibri"/>
          <w:color w:val="000000" w:themeColor="text1"/>
        </w:rPr>
        <w:t xml:space="preserve">This paper was published in volume 29, issue 2 of the Journal of Mental Health in January 2020. </w:t>
      </w:r>
      <w:r w:rsidR="005803D8" w:rsidRPr="002E3388">
        <w:rPr>
          <w:rFonts w:ascii="Calibri" w:hAnsi="Calibri" w:cs="Calibri"/>
          <w:color w:val="000000" w:themeColor="text1"/>
        </w:rPr>
        <w:t xml:space="preserve">O’Reilly (2020) </w:t>
      </w:r>
      <w:r w:rsidR="00312CAF" w:rsidRPr="002E3388">
        <w:rPr>
          <w:rFonts w:ascii="Calibri" w:hAnsi="Calibri" w:cs="Calibri"/>
          <w:color w:val="000000" w:themeColor="text1"/>
        </w:rPr>
        <w:t xml:space="preserve">clearly states </w:t>
      </w:r>
      <w:r w:rsidR="00F1741A" w:rsidRPr="002E3388">
        <w:rPr>
          <w:rFonts w:ascii="Calibri" w:hAnsi="Calibri" w:cs="Calibri"/>
          <w:color w:val="000000" w:themeColor="text1"/>
        </w:rPr>
        <w:t>the article's aim</w:t>
      </w:r>
      <w:r w:rsidR="00312CAF" w:rsidRPr="002E3388">
        <w:rPr>
          <w:rFonts w:ascii="Calibri" w:hAnsi="Calibri" w:cs="Calibri"/>
          <w:color w:val="000000" w:themeColor="text1"/>
        </w:rPr>
        <w:t xml:space="preserve"> in the first sentence of the abstract, which is helpful as it tells the reader what to expect from the article</w:t>
      </w:r>
      <w:r w:rsidR="000978EF" w:rsidRPr="002E3388">
        <w:rPr>
          <w:rFonts w:ascii="Calibri" w:hAnsi="Calibri" w:cs="Calibri"/>
          <w:color w:val="000000" w:themeColor="text1"/>
        </w:rPr>
        <w:t>. It provides the readers with an immediate grasp of the goal and scope of the work, assisting them in determining whether the entire research article is applicable to their interests (Nalen, 2023)</w:t>
      </w:r>
      <w:r w:rsidR="00312CAF" w:rsidRPr="002E3388">
        <w:rPr>
          <w:rFonts w:ascii="Calibri" w:hAnsi="Calibri" w:cs="Calibri"/>
          <w:color w:val="000000" w:themeColor="text1"/>
        </w:rPr>
        <w:t xml:space="preserve">. </w:t>
      </w:r>
      <w:r w:rsidR="001B2B79" w:rsidRPr="002E3388">
        <w:rPr>
          <w:rFonts w:ascii="Calibri" w:hAnsi="Calibri" w:cs="Calibri"/>
          <w:color w:val="000000" w:themeColor="text1"/>
        </w:rPr>
        <w:t>The purpose of the abstract is to provide the readers with a concise and accurate overview of the study, making it easy to rapidly grasp the key ideas without having to read the full article (Nalen, 2023).</w:t>
      </w:r>
    </w:p>
    <w:p w14:paraId="2B808399" w14:textId="77777777" w:rsidR="00A254D4" w:rsidRPr="002E3388" w:rsidRDefault="002264C4" w:rsidP="002E3388">
      <w:pPr>
        <w:spacing w:before="40" w:line="360" w:lineRule="auto"/>
        <w:rPr>
          <w:rFonts w:ascii="Calibri" w:hAnsi="Calibri" w:cs="Calibri"/>
          <w:color w:val="000000" w:themeColor="text1"/>
        </w:rPr>
      </w:pPr>
      <w:r w:rsidRPr="002E3388">
        <w:rPr>
          <w:rFonts w:ascii="Calibri" w:hAnsi="Calibri" w:cs="Calibri"/>
          <w:color w:val="000000" w:themeColor="text1"/>
        </w:rPr>
        <w:t>O’Reilly (2020)</w:t>
      </w:r>
      <w:r w:rsidR="002B615C" w:rsidRPr="002E3388">
        <w:rPr>
          <w:rFonts w:ascii="Calibri" w:hAnsi="Calibri" w:cs="Calibri"/>
          <w:color w:val="000000" w:themeColor="text1"/>
        </w:rPr>
        <w:t xml:space="preserve"> has examined the positive aspects of social media, including staying in touch with friends and family. </w:t>
      </w:r>
      <w:r w:rsidR="000978EF" w:rsidRPr="002E3388">
        <w:rPr>
          <w:rFonts w:ascii="Calibri" w:hAnsi="Calibri" w:cs="Calibri"/>
          <w:color w:val="000000" w:themeColor="text1"/>
        </w:rPr>
        <w:t>O’Reilly (2020) has</w:t>
      </w:r>
      <w:r w:rsidR="002B615C" w:rsidRPr="002E3388">
        <w:rPr>
          <w:rFonts w:ascii="Calibri" w:hAnsi="Calibri" w:cs="Calibri"/>
          <w:color w:val="000000" w:themeColor="text1"/>
        </w:rPr>
        <w:t xml:space="preserve"> also examined </w:t>
      </w:r>
      <w:r w:rsidR="000978EF" w:rsidRPr="002E3388">
        <w:rPr>
          <w:rFonts w:ascii="Calibri" w:hAnsi="Calibri" w:cs="Calibri"/>
          <w:color w:val="000000" w:themeColor="text1"/>
        </w:rPr>
        <w:t>the</w:t>
      </w:r>
      <w:r w:rsidR="002B615C" w:rsidRPr="002E3388">
        <w:rPr>
          <w:rFonts w:ascii="Calibri" w:hAnsi="Calibri" w:cs="Calibri"/>
          <w:color w:val="000000" w:themeColor="text1"/>
        </w:rPr>
        <w:t xml:space="preserve"> negative </w:t>
      </w:r>
      <w:r w:rsidR="001B2B79" w:rsidRPr="002E3388">
        <w:rPr>
          <w:rFonts w:ascii="Calibri" w:hAnsi="Calibri" w:cs="Calibri"/>
          <w:color w:val="000000" w:themeColor="text1"/>
        </w:rPr>
        <w:t>aspects</w:t>
      </w:r>
      <w:r w:rsidR="000978EF" w:rsidRPr="002E3388">
        <w:rPr>
          <w:rFonts w:ascii="Calibri" w:hAnsi="Calibri" w:cs="Calibri"/>
          <w:color w:val="000000" w:themeColor="text1"/>
        </w:rPr>
        <w:t xml:space="preserve"> of social media</w:t>
      </w:r>
      <w:r w:rsidR="002B615C" w:rsidRPr="002E3388">
        <w:rPr>
          <w:rFonts w:ascii="Calibri" w:hAnsi="Calibri" w:cs="Calibri"/>
          <w:color w:val="000000" w:themeColor="text1"/>
        </w:rPr>
        <w:t xml:space="preserve">, such as </w:t>
      </w:r>
      <w:r w:rsidR="000978EF" w:rsidRPr="002E3388">
        <w:rPr>
          <w:rFonts w:ascii="Calibri" w:hAnsi="Calibri" w:cs="Calibri"/>
          <w:color w:val="000000" w:themeColor="text1"/>
        </w:rPr>
        <w:t xml:space="preserve">its </w:t>
      </w:r>
      <w:r w:rsidR="002B615C" w:rsidRPr="002E3388">
        <w:rPr>
          <w:rFonts w:ascii="Calibri" w:hAnsi="Calibri" w:cs="Calibri"/>
          <w:color w:val="000000" w:themeColor="text1"/>
        </w:rPr>
        <w:t xml:space="preserve">overuse. Finally, </w:t>
      </w:r>
      <w:r w:rsidR="000978EF" w:rsidRPr="002E3388">
        <w:rPr>
          <w:rFonts w:ascii="Calibri" w:hAnsi="Calibri" w:cs="Calibri"/>
          <w:color w:val="000000" w:themeColor="text1"/>
        </w:rPr>
        <w:t xml:space="preserve">O’Reilly (2020) has </w:t>
      </w:r>
      <w:r w:rsidR="002B615C" w:rsidRPr="002E3388">
        <w:rPr>
          <w:rFonts w:ascii="Calibri" w:hAnsi="Calibri" w:cs="Calibri"/>
          <w:color w:val="000000" w:themeColor="text1"/>
        </w:rPr>
        <w:t>reviewed its ugly aspects, such as bullying and online trolling. The main findings are that social media is bad for mental health, it can lead to self-harm and attempted suicide, and it can disturb sleeping patterns. However, on the other hand, social media could provide adolescents with valuable information</w:t>
      </w:r>
      <w:r w:rsidR="000978EF" w:rsidRPr="002E3388">
        <w:rPr>
          <w:rFonts w:ascii="Calibri" w:hAnsi="Calibri" w:cs="Calibri"/>
          <w:color w:val="000000" w:themeColor="text1"/>
        </w:rPr>
        <w:t xml:space="preserve">, </w:t>
      </w:r>
      <w:r w:rsidR="002B615C" w:rsidRPr="002E3388">
        <w:rPr>
          <w:rFonts w:ascii="Calibri" w:hAnsi="Calibri" w:cs="Calibri"/>
          <w:color w:val="000000" w:themeColor="text1"/>
        </w:rPr>
        <w:t>tips for dealing with and improving their mental health</w:t>
      </w:r>
      <w:r w:rsidR="000978EF" w:rsidRPr="002E3388">
        <w:rPr>
          <w:rFonts w:ascii="Calibri" w:hAnsi="Calibri" w:cs="Calibri"/>
          <w:color w:val="000000" w:themeColor="text1"/>
        </w:rPr>
        <w:t xml:space="preserve"> and a way to stay in contact with friends and family</w:t>
      </w:r>
      <w:r w:rsidR="002B615C" w:rsidRPr="002E3388">
        <w:rPr>
          <w:rFonts w:ascii="Calibri" w:hAnsi="Calibri" w:cs="Calibri"/>
          <w:color w:val="000000" w:themeColor="text1"/>
        </w:rPr>
        <w:t xml:space="preserve"> (O’Reilly, 2020).</w:t>
      </w:r>
      <w:r w:rsidR="005573D7" w:rsidRPr="002E3388">
        <w:rPr>
          <w:rFonts w:ascii="Calibri" w:hAnsi="Calibri" w:cs="Calibri"/>
          <w:color w:val="000000" w:themeColor="text1"/>
        </w:rPr>
        <w:t xml:space="preserve"> Weir (2023) </w:t>
      </w:r>
      <w:r w:rsidR="00FB40D1" w:rsidRPr="002E3388">
        <w:rPr>
          <w:rFonts w:ascii="Calibri" w:hAnsi="Calibri" w:cs="Calibri"/>
          <w:color w:val="000000" w:themeColor="text1"/>
        </w:rPr>
        <w:t>agrees with</w:t>
      </w:r>
      <w:r w:rsidR="005573D7" w:rsidRPr="002E3388">
        <w:rPr>
          <w:rFonts w:ascii="Calibri" w:hAnsi="Calibri" w:cs="Calibri"/>
          <w:color w:val="000000" w:themeColor="text1"/>
        </w:rPr>
        <w:t xml:space="preserve"> O'Reilly's finding</w:t>
      </w:r>
      <w:r w:rsidRPr="002E3388">
        <w:rPr>
          <w:rFonts w:ascii="Calibri" w:hAnsi="Calibri" w:cs="Calibri"/>
          <w:color w:val="000000" w:themeColor="text1"/>
        </w:rPr>
        <w:t xml:space="preserve">s and </w:t>
      </w:r>
      <w:r w:rsidR="00FB40D1" w:rsidRPr="002E3388">
        <w:rPr>
          <w:rFonts w:ascii="Calibri" w:hAnsi="Calibri" w:cs="Calibri"/>
          <w:color w:val="000000" w:themeColor="text1"/>
        </w:rPr>
        <w:t>highlight</w:t>
      </w:r>
      <w:r w:rsidRPr="002E3388">
        <w:rPr>
          <w:rFonts w:ascii="Calibri" w:hAnsi="Calibri" w:cs="Calibri"/>
          <w:color w:val="000000" w:themeColor="text1"/>
        </w:rPr>
        <w:t xml:space="preserve">s </w:t>
      </w:r>
      <w:r w:rsidR="005573D7" w:rsidRPr="002E3388">
        <w:rPr>
          <w:rFonts w:ascii="Calibri" w:hAnsi="Calibri" w:cs="Calibri"/>
          <w:color w:val="000000" w:themeColor="text1"/>
        </w:rPr>
        <w:t xml:space="preserve">that the primary benefit of adolescents using social media is </w:t>
      </w:r>
      <w:r w:rsidR="00072B2C" w:rsidRPr="002E3388">
        <w:rPr>
          <w:rFonts w:ascii="Calibri" w:hAnsi="Calibri" w:cs="Calibri"/>
          <w:color w:val="000000" w:themeColor="text1"/>
        </w:rPr>
        <w:t>connecting with others; however, social media can also have a negative impact</w:t>
      </w:r>
      <w:r w:rsidR="005573D7" w:rsidRPr="002E3388">
        <w:rPr>
          <w:rFonts w:ascii="Calibri" w:hAnsi="Calibri" w:cs="Calibri"/>
          <w:color w:val="000000" w:themeColor="text1"/>
        </w:rPr>
        <w:t xml:space="preserve"> on sleep, schoolwork, and mental health.</w:t>
      </w:r>
      <w:r w:rsidR="00E510E0" w:rsidRPr="002E3388">
        <w:rPr>
          <w:rFonts w:ascii="Calibri" w:hAnsi="Calibri" w:cs="Calibri"/>
          <w:color w:val="000000" w:themeColor="text1"/>
        </w:rPr>
        <w:t xml:space="preserve"> To gather research, </w:t>
      </w:r>
      <w:r w:rsidRPr="002E3388">
        <w:rPr>
          <w:rFonts w:ascii="Calibri" w:hAnsi="Calibri" w:cs="Calibri"/>
          <w:color w:val="000000" w:themeColor="text1"/>
        </w:rPr>
        <w:t>O’Reilly (2020)</w:t>
      </w:r>
      <w:r w:rsidR="00E510E0" w:rsidRPr="002E3388">
        <w:rPr>
          <w:rFonts w:ascii="Calibri" w:hAnsi="Calibri" w:cs="Calibri"/>
          <w:color w:val="000000" w:themeColor="text1"/>
        </w:rPr>
        <w:t xml:space="preserve"> conducted eight focus groups, six of which consisted of adolescents aged between 11 and 18, and the final two comprised mental health practitioners. The</w:t>
      </w:r>
      <w:r w:rsidR="00072B2C" w:rsidRPr="002E3388">
        <w:rPr>
          <w:rFonts w:ascii="Calibri" w:hAnsi="Calibri" w:cs="Calibri"/>
          <w:color w:val="000000" w:themeColor="text1"/>
        </w:rPr>
        <w:t>re are many</w:t>
      </w:r>
      <w:r w:rsidR="00E510E0" w:rsidRPr="002E3388">
        <w:rPr>
          <w:rFonts w:ascii="Calibri" w:hAnsi="Calibri" w:cs="Calibri"/>
          <w:color w:val="000000" w:themeColor="text1"/>
        </w:rPr>
        <w:t xml:space="preserve"> benefits of using focus group</w:t>
      </w:r>
      <w:r w:rsidR="00072B2C" w:rsidRPr="002E3388">
        <w:rPr>
          <w:rFonts w:ascii="Calibri" w:hAnsi="Calibri" w:cs="Calibri"/>
          <w:color w:val="000000" w:themeColor="text1"/>
        </w:rPr>
        <w:t xml:space="preserve">s. Focus groups provide a thorough comprehension of the participants. This leads to more insightful results since it </w:t>
      </w:r>
      <w:r w:rsidR="00072B2C" w:rsidRPr="002E3388">
        <w:rPr>
          <w:rFonts w:ascii="Calibri" w:hAnsi="Calibri" w:cs="Calibri"/>
          <w:color w:val="000000" w:themeColor="text1"/>
        </w:rPr>
        <w:lastRenderedPageBreak/>
        <w:t>allows researchers to uncover personal attitudes and opinions that other market research techniques are unable to duplicate (Boughton, 2024).</w:t>
      </w:r>
      <w:r w:rsidR="006A0CED" w:rsidRPr="002E3388">
        <w:rPr>
          <w:rFonts w:ascii="Calibri" w:hAnsi="Calibri" w:cs="Calibri"/>
          <w:color w:val="000000" w:themeColor="text1"/>
        </w:rPr>
        <w:t xml:space="preserve"> Focus groups</w:t>
      </w:r>
      <w:r w:rsidR="00C05051" w:rsidRPr="002E3388">
        <w:rPr>
          <w:rFonts w:ascii="Calibri" w:hAnsi="Calibri" w:cs="Calibri"/>
          <w:color w:val="000000" w:themeColor="text1"/>
        </w:rPr>
        <w:t xml:space="preserve">’ </w:t>
      </w:r>
      <w:r w:rsidR="006A0CED" w:rsidRPr="002E3388">
        <w:rPr>
          <w:rFonts w:ascii="Calibri" w:hAnsi="Calibri" w:cs="Calibri"/>
          <w:color w:val="000000" w:themeColor="text1"/>
        </w:rPr>
        <w:t xml:space="preserve">qualitative character enables researchers to see beyond the data and facts that may be gathered by survey methods: they can discover or validate the significance of the data (Leung, 2009). </w:t>
      </w:r>
      <w:r w:rsidR="00705C17" w:rsidRPr="002E3388">
        <w:rPr>
          <w:rFonts w:ascii="Calibri" w:hAnsi="Calibri" w:cs="Calibri"/>
          <w:color w:val="000000" w:themeColor="text1"/>
        </w:rPr>
        <w:t>The author has used qualitative data for their research instead of quantitative data. Quantitative data gathers numerical data and applies statistical techniques to analyse it.</w:t>
      </w:r>
    </w:p>
    <w:p w14:paraId="7C453F19" w14:textId="77777777" w:rsidR="00A254D4" w:rsidRPr="002E3388" w:rsidRDefault="00A254D4" w:rsidP="002E3388">
      <w:pPr>
        <w:spacing w:before="40" w:line="360" w:lineRule="auto"/>
        <w:rPr>
          <w:rFonts w:ascii="Calibri" w:hAnsi="Calibri" w:cs="Calibri"/>
          <w:color w:val="000000" w:themeColor="text1"/>
        </w:rPr>
      </w:pPr>
    </w:p>
    <w:p w14:paraId="07929CF8" w14:textId="77777777" w:rsidR="00A254D4" w:rsidRPr="002E3388" w:rsidRDefault="00A254D4" w:rsidP="002E3388">
      <w:pPr>
        <w:spacing w:before="40" w:line="360" w:lineRule="auto"/>
        <w:rPr>
          <w:rFonts w:ascii="Calibri" w:hAnsi="Calibri" w:cs="Calibri"/>
          <w:color w:val="000000" w:themeColor="text1"/>
        </w:rPr>
      </w:pPr>
    </w:p>
    <w:p w14:paraId="1E9C8560" w14:textId="77777777" w:rsidR="00A254D4" w:rsidRPr="002E3388" w:rsidRDefault="00705C17" w:rsidP="002E3388">
      <w:pPr>
        <w:spacing w:before="40" w:line="360" w:lineRule="auto"/>
        <w:rPr>
          <w:rFonts w:ascii="Calibri" w:hAnsi="Calibri" w:cs="Calibri"/>
          <w:color w:val="000000" w:themeColor="text1"/>
        </w:rPr>
      </w:pPr>
      <w:r w:rsidRPr="002E3388">
        <w:rPr>
          <w:rFonts w:ascii="Calibri" w:hAnsi="Calibri" w:cs="Calibri"/>
          <w:color w:val="000000" w:themeColor="text1"/>
        </w:rPr>
        <w:t xml:space="preserve">In contrast, qualitative research examines subjective experiences and attitudes using non-numerical data, such as words, pictures, and sounds, frequently through observation and interviews (McLeod, 2025). </w:t>
      </w:r>
      <w:r w:rsidR="006A0CED" w:rsidRPr="002E3388">
        <w:rPr>
          <w:rFonts w:ascii="Calibri" w:hAnsi="Calibri" w:cs="Calibri"/>
          <w:color w:val="000000" w:themeColor="text1"/>
        </w:rPr>
        <w:t xml:space="preserve">Rich qualitative data from focus groups, such as tales, stories, and anecdotes, may provide user experiences </w:t>
      </w:r>
      <w:r w:rsidR="00AF354E" w:rsidRPr="002E3388">
        <w:rPr>
          <w:rFonts w:ascii="Calibri" w:hAnsi="Calibri" w:cs="Calibri"/>
          <w:color w:val="000000" w:themeColor="text1"/>
        </w:rPr>
        <w:t xml:space="preserve">with </w:t>
      </w:r>
      <w:r w:rsidR="006A0CED" w:rsidRPr="002E3388">
        <w:rPr>
          <w:rFonts w:ascii="Calibri" w:hAnsi="Calibri" w:cs="Calibri"/>
          <w:color w:val="000000" w:themeColor="text1"/>
        </w:rPr>
        <w:t xml:space="preserve">more depth and </w:t>
      </w:r>
      <w:r w:rsidR="00AF354E" w:rsidRPr="002E3388">
        <w:rPr>
          <w:rFonts w:ascii="Calibri" w:hAnsi="Calibri" w:cs="Calibri"/>
          <w:color w:val="000000" w:themeColor="text1"/>
        </w:rPr>
        <w:t>dimension</w:t>
      </w:r>
      <w:r w:rsidR="006A0CED" w:rsidRPr="002E3388">
        <w:rPr>
          <w:rFonts w:ascii="Calibri" w:hAnsi="Calibri" w:cs="Calibri"/>
          <w:color w:val="000000" w:themeColor="text1"/>
        </w:rPr>
        <w:t xml:space="preserve">. The results of </w:t>
      </w:r>
      <w:r w:rsidR="00AF354E" w:rsidRPr="002E3388">
        <w:rPr>
          <w:rFonts w:ascii="Calibri" w:hAnsi="Calibri" w:cs="Calibri"/>
          <w:color w:val="000000" w:themeColor="text1"/>
        </w:rPr>
        <w:t xml:space="preserve">a </w:t>
      </w:r>
      <w:r w:rsidR="006A0CED" w:rsidRPr="002E3388">
        <w:rPr>
          <w:rFonts w:ascii="Calibri" w:hAnsi="Calibri" w:cs="Calibri"/>
          <w:color w:val="000000" w:themeColor="text1"/>
        </w:rPr>
        <w:t>quantitative study can be supplemented by this qualitative data (</w:t>
      </w:r>
      <w:r w:rsidR="00AF354E" w:rsidRPr="002E3388">
        <w:rPr>
          <w:rFonts w:ascii="Calibri" w:hAnsi="Calibri" w:cs="Calibri"/>
          <w:color w:val="000000" w:themeColor="text1"/>
        </w:rPr>
        <w:t>Lawless, 2023).</w:t>
      </w:r>
      <w:r w:rsidRPr="002E3388">
        <w:rPr>
          <w:rFonts w:ascii="Calibri" w:hAnsi="Calibri" w:cs="Calibri"/>
          <w:color w:val="000000" w:themeColor="text1"/>
        </w:rPr>
        <w:t xml:space="preserve"> Instead</w:t>
      </w:r>
      <w:r w:rsidR="00E510E0" w:rsidRPr="002E3388">
        <w:rPr>
          <w:rFonts w:ascii="Calibri" w:hAnsi="Calibri" w:cs="Calibri"/>
          <w:color w:val="000000" w:themeColor="text1"/>
        </w:rPr>
        <w:t xml:space="preserve"> of interviews</w:t>
      </w:r>
      <w:r w:rsidR="00072B2C" w:rsidRPr="002E3388">
        <w:rPr>
          <w:rFonts w:ascii="Calibri" w:hAnsi="Calibri" w:cs="Calibri"/>
          <w:color w:val="000000" w:themeColor="text1"/>
        </w:rPr>
        <w:t>,</w:t>
      </w:r>
      <w:r w:rsidR="00040534" w:rsidRPr="002E3388">
        <w:rPr>
          <w:rFonts w:ascii="Calibri" w:hAnsi="Calibri" w:cs="Calibri"/>
          <w:color w:val="000000" w:themeColor="text1"/>
        </w:rPr>
        <w:t xml:space="preserve"> group dynamics can encourage dialogue, idea exchange and debate. They offer a variety of shared experiences from individuals with similar traits, such as those with similar medical conditions (Office for Health Improvement and Disparities, 2020). </w:t>
      </w:r>
      <w:r w:rsidR="002264C4" w:rsidRPr="002E3388">
        <w:rPr>
          <w:rFonts w:ascii="Calibri" w:hAnsi="Calibri" w:cs="Calibri"/>
          <w:color w:val="000000" w:themeColor="text1"/>
        </w:rPr>
        <w:t>However, there are also limitations to using focus groups since focus groups mainly depend on facilitated conversation to gain results</w:t>
      </w:r>
      <w:r w:rsidR="004A5D72" w:rsidRPr="002E3388">
        <w:rPr>
          <w:rFonts w:ascii="Calibri" w:hAnsi="Calibri" w:cs="Calibri"/>
          <w:color w:val="000000" w:themeColor="text1"/>
        </w:rPr>
        <w:t>; conversation supervision is essential (Leung, 2009).</w:t>
      </w:r>
      <w:r w:rsidR="0021580A" w:rsidRPr="002E3388">
        <w:rPr>
          <w:rFonts w:ascii="Calibri" w:hAnsi="Calibri" w:cs="Calibri"/>
          <w:color w:val="000000" w:themeColor="text1"/>
        </w:rPr>
        <w:t xml:space="preserve"> There are other additional disadvantages, such as the requirement for a facilitator to promote conversation. Lastly, focus group studies are not a time-saving substitute for interviews, as it may be challenging to get the group together in the same place at the same time (GOV.UK, 2020). </w:t>
      </w:r>
    </w:p>
    <w:p w14:paraId="75B57EF3" w14:textId="77777777" w:rsidR="00277D38" w:rsidRPr="002E3388" w:rsidRDefault="002264C4" w:rsidP="002E3388">
      <w:pPr>
        <w:spacing w:line="360" w:lineRule="auto"/>
        <w:rPr>
          <w:rFonts w:ascii="Calibri" w:eastAsia="Times New Roman" w:hAnsi="Calibri" w:cs="Calibri"/>
          <w:color w:val="000000" w:themeColor="text1"/>
          <w:kern w:val="0"/>
          <w:lang w:eastAsia="en-GB"/>
        </w:rPr>
      </w:pPr>
      <w:r w:rsidRPr="002E3388">
        <w:rPr>
          <w:rFonts w:ascii="Calibri" w:hAnsi="Calibri" w:cs="Calibri"/>
          <w:color w:val="000000" w:themeColor="text1"/>
        </w:rPr>
        <w:t>O’Reilly (2020)</w:t>
      </w:r>
      <w:r w:rsidR="002B615C" w:rsidRPr="002E3388">
        <w:rPr>
          <w:rFonts w:ascii="Calibri" w:hAnsi="Calibri" w:cs="Calibri"/>
          <w:color w:val="000000" w:themeColor="text1"/>
        </w:rPr>
        <w:t xml:space="preserve"> has structured the research paper </w:t>
      </w:r>
      <w:r w:rsidR="00AF354E" w:rsidRPr="002E3388">
        <w:rPr>
          <w:rFonts w:ascii="Calibri" w:hAnsi="Calibri" w:cs="Calibri"/>
          <w:color w:val="000000" w:themeColor="text1"/>
        </w:rPr>
        <w:t>clearly</w:t>
      </w:r>
      <w:r w:rsidR="002B615C" w:rsidRPr="002E3388">
        <w:rPr>
          <w:rFonts w:ascii="Calibri" w:hAnsi="Calibri" w:cs="Calibri"/>
          <w:color w:val="000000" w:themeColor="text1"/>
        </w:rPr>
        <w:t>.</w:t>
      </w:r>
      <w:r w:rsidR="00B41367" w:rsidRPr="002E3388">
        <w:rPr>
          <w:rFonts w:ascii="Calibri" w:hAnsi="Calibri" w:cs="Calibri"/>
          <w:color w:val="000000" w:themeColor="text1"/>
        </w:rPr>
        <w:t xml:space="preserve"> A well-structured paper is beneficial in many ways. It is simpler to read and comprehend to start. Following a regular style, such as a recipe, makes it easier for readers to locate the information they want quickly (Smith, M. 2024).</w:t>
      </w:r>
      <w:r w:rsidR="002B615C" w:rsidRPr="002E3388">
        <w:rPr>
          <w:rFonts w:ascii="Calibri" w:hAnsi="Calibri" w:cs="Calibri"/>
          <w:color w:val="000000" w:themeColor="text1"/>
        </w:rPr>
        <w:t xml:space="preserve"> It is laid out with an abstract, introduction, the research aims, methods used to collect the data, Analysis, Ethics, Results, discussion and references. The introduction is </w:t>
      </w:r>
      <w:r w:rsidR="00FB40D1" w:rsidRPr="002E3388">
        <w:rPr>
          <w:rFonts w:ascii="Calibri" w:hAnsi="Calibri" w:cs="Calibri"/>
          <w:color w:val="000000" w:themeColor="text1"/>
        </w:rPr>
        <w:t>lengthy but very important</w:t>
      </w:r>
      <w:r w:rsidR="00AF354E" w:rsidRPr="002E3388">
        <w:rPr>
          <w:rFonts w:ascii="Calibri" w:hAnsi="Calibri" w:cs="Calibri"/>
          <w:color w:val="000000" w:themeColor="text1"/>
        </w:rPr>
        <w:t>,</w:t>
      </w:r>
      <w:r w:rsidR="002B615C" w:rsidRPr="002E3388">
        <w:rPr>
          <w:rFonts w:ascii="Calibri" w:hAnsi="Calibri" w:cs="Calibri"/>
          <w:color w:val="000000" w:themeColor="text1"/>
        </w:rPr>
        <w:t xml:space="preserve"> citing sixteen references that highlight what other researchers have found regarding this issue. </w:t>
      </w:r>
      <w:r w:rsidR="00D432F2" w:rsidRPr="002E3388">
        <w:rPr>
          <w:rFonts w:ascii="Calibri" w:hAnsi="Calibri" w:cs="Calibri"/>
          <w:color w:val="000000" w:themeColor="text1"/>
        </w:rPr>
        <w:t>The discussion is quite lengthy; however, it lacks a concluding paragraph. T</w:t>
      </w:r>
      <w:r w:rsidRPr="002E3388">
        <w:rPr>
          <w:rFonts w:ascii="Calibri" w:hAnsi="Calibri" w:cs="Calibri"/>
          <w:color w:val="000000" w:themeColor="text1"/>
        </w:rPr>
        <w:t>he conclusion</w:t>
      </w:r>
      <w:r w:rsidR="00D432F2" w:rsidRPr="002E3388">
        <w:rPr>
          <w:rFonts w:ascii="Calibri" w:hAnsi="Calibri" w:cs="Calibri"/>
          <w:color w:val="000000" w:themeColor="text1"/>
        </w:rPr>
        <w:t xml:space="preserve"> would have been a good place to include </w:t>
      </w:r>
      <w:r w:rsidR="00D432F2" w:rsidRPr="002E3388">
        <w:rPr>
          <w:rFonts w:ascii="Calibri" w:hAnsi="Calibri" w:cs="Calibri"/>
          <w:color w:val="000000" w:themeColor="text1"/>
        </w:rPr>
        <w:lastRenderedPageBreak/>
        <w:t>recommendations</w:t>
      </w:r>
      <w:r w:rsidR="00B41367" w:rsidRPr="002E3388">
        <w:rPr>
          <w:rFonts w:ascii="Calibri" w:hAnsi="Calibri" w:cs="Calibri"/>
          <w:color w:val="000000" w:themeColor="text1"/>
        </w:rPr>
        <w:t>,</w:t>
      </w:r>
      <w:r w:rsidR="00D432F2" w:rsidRPr="002E3388">
        <w:rPr>
          <w:rFonts w:ascii="Calibri" w:hAnsi="Calibri" w:cs="Calibri"/>
          <w:color w:val="000000" w:themeColor="text1"/>
        </w:rPr>
        <w:t xml:space="preserve"> such as reducing screen time, helpful websites and letting people know</w:t>
      </w:r>
      <w:r w:rsidR="00B41367" w:rsidRPr="002E3388">
        <w:rPr>
          <w:rFonts w:ascii="Calibri" w:hAnsi="Calibri" w:cs="Calibri"/>
          <w:color w:val="000000" w:themeColor="text1"/>
        </w:rPr>
        <w:t xml:space="preserve"> how</w:t>
      </w:r>
      <w:r w:rsidR="00D432F2" w:rsidRPr="002E3388">
        <w:rPr>
          <w:rFonts w:ascii="Calibri" w:hAnsi="Calibri" w:cs="Calibri"/>
          <w:color w:val="000000" w:themeColor="text1"/>
        </w:rPr>
        <w:t xml:space="preserve"> they can report harmful things they see on social media instead of these being included in the discussion. The paragraphs are well-structured and not too long. This is beneficial as when they are long, people tend not to read the whole paragraph. Each section also links to the next one, so there is </w:t>
      </w:r>
      <w:r w:rsidR="00AF354E" w:rsidRPr="002E3388">
        <w:rPr>
          <w:rFonts w:ascii="Calibri" w:hAnsi="Calibri" w:cs="Calibri"/>
          <w:color w:val="000000" w:themeColor="text1"/>
        </w:rPr>
        <w:t>an effortless</w:t>
      </w:r>
      <w:r w:rsidR="00D432F2" w:rsidRPr="002E3388">
        <w:rPr>
          <w:rFonts w:ascii="Calibri" w:hAnsi="Calibri" w:cs="Calibri"/>
          <w:color w:val="000000" w:themeColor="text1"/>
        </w:rPr>
        <w:t xml:space="preserve"> flow to the entire research paper. </w:t>
      </w:r>
      <w:r w:rsidR="00592667" w:rsidRPr="002E3388">
        <w:rPr>
          <w:rFonts w:ascii="Calibri" w:hAnsi="Calibri" w:cs="Calibri"/>
          <w:color w:val="000000" w:themeColor="text1"/>
        </w:rPr>
        <w:t>The author has used statistics from Ofcom</w:t>
      </w:r>
      <w:r w:rsidR="00FB40D1" w:rsidRPr="002E3388">
        <w:rPr>
          <w:rFonts w:ascii="Calibri" w:hAnsi="Calibri" w:cs="Calibri"/>
          <w:color w:val="000000" w:themeColor="text1"/>
        </w:rPr>
        <w:t xml:space="preserve"> to back up her argument and findings</w:t>
      </w:r>
      <w:r w:rsidR="00592667" w:rsidRPr="002E3388">
        <w:rPr>
          <w:rFonts w:ascii="Calibri" w:hAnsi="Calibri" w:cs="Calibri"/>
          <w:color w:val="000000" w:themeColor="text1"/>
        </w:rPr>
        <w:t xml:space="preserve">, which are </w:t>
      </w:r>
      <w:r w:rsidR="00B41367" w:rsidRPr="002E3388">
        <w:rPr>
          <w:rFonts w:ascii="Calibri" w:hAnsi="Calibri" w:cs="Calibri"/>
          <w:color w:val="000000" w:themeColor="text1"/>
        </w:rPr>
        <w:t xml:space="preserve">well </w:t>
      </w:r>
      <w:r w:rsidR="00592667" w:rsidRPr="002E3388">
        <w:rPr>
          <w:rFonts w:ascii="Calibri" w:hAnsi="Calibri" w:cs="Calibri"/>
          <w:color w:val="000000" w:themeColor="text1"/>
        </w:rPr>
        <w:t xml:space="preserve">presented and easy to understand; however, the author could have sought more statistics to back up their findings, as there are not many statistics cited throughout the research paper. A long list of </w:t>
      </w:r>
      <w:r w:rsidR="003F0743" w:rsidRPr="002E3388">
        <w:rPr>
          <w:rFonts w:ascii="Calibri" w:hAnsi="Calibri" w:cs="Calibri"/>
          <w:color w:val="000000" w:themeColor="text1"/>
        </w:rPr>
        <w:t>r</w:t>
      </w:r>
      <w:r w:rsidR="00592667" w:rsidRPr="002E3388">
        <w:rPr>
          <w:rFonts w:ascii="Calibri" w:hAnsi="Calibri" w:cs="Calibri"/>
          <w:color w:val="000000" w:themeColor="text1"/>
        </w:rPr>
        <w:t>eferences demonstrates that the writer has conducted thorough research. However, there are no appendices</w:t>
      </w:r>
      <w:r w:rsidR="003F0743" w:rsidRPr="002E3388">
        <w:rPr>
          <w:rFonts w:ascii="Calibri" w:hAnsi="Calibri" w:cs="Calibri"/>
          <w:color w:val="000000" w:themeColor="text1"/>
        </w:rPr>
        <w:t>. An appendix plays an important role; it is a list at the end that contains information that is not essential to the work but could provide the readers with useful information (Proofed, 2017)</w:t>
      </w:r>
      <w:r w:rsidRPr="002E3388">
        <w:rPr>
          <w:rFonts w:ascii="Calibri" w:hAnsi="Calibri" w:cs="Calibri"/>
          <w:color w:val="000000" w:themeColor="text1"/>
        </w:rPr>
        <w:t xml:space="preserve">. A research article that does not include an appendix may be less thorough and less influential. It can impede the flow of the work and the clarity of the </w:t>
      </w:r>
      <w:r w:rsidR="00836F97" w:rsidRPr="002E3388">
        <w:rPr>
          <w:rFonts w:ascii="Calibri" w:hAnsi="Calibri" w:cs="Calibri"/>
          <w:color w:val="000000" w:themeColor="text1"/>
        </w:rPr>
        <w:t>author's</w:t>
      </w:r>
      <w:r w:rsidRPr="002E3388">
        <w:rPr>
          <w:rFonts w:ascii="Calibri" w:hAnsi="Calibri" w:cs="Calibri"/>
          <w:color w:val="000000" w:themeColor="text1"/>
        </w:rPr>
        <w:t xml:space="preserve"> ideas by making the primary text too long, crowded and difficult to read. Additionally</w:t>
      </w:r>
      <w:r w:rsidR="00836F97" w:rsidRPr="002E3388">
        <w:rPr>
          <w:rFonts w:ascii="Calibri" w:hAnsi="Calibri" w:cs="Calibri"/>
          <w:color w:val="000000" w:themeColor="text1"/>
        </w:rPr>
        <w:t>,</w:t>
      </w:r>
      <w:r w:rsidRPr="002E3388">
        <w:rPr>
          <w:rFonts w:ascii="Calibri" w:hAnsi="Calibri" w:cs="Calibri"/>
          <w:color w:val="000000" w:themeColor="text1"/>
        </w:rPr>
        <w:t xml:space="preserve"> it may obscure sources, techniques, or supporting information, which may compromise the validity and reproducibility of the work (</w:t>
      </w:r>
      <w:r w:rsidR="00836F97" w:rsidRPr="002E3388">
        <w:rPr>
          <w:rFonts w:ascii="Calibri" w:hAnsi="Calibri" w:cs="Calibri"/>
          <w:color w:val="000000" w:themeColor="text1"/>
        </w:rPr>
        <w:t>Oxford BROOKES University, 2024)</w:t>
      </w:r>
    </w:p>
    <w:p w14:paraId="4ED430A1" w14:textId="77777777" w:rsidR="00A660EB" w:rsidRPr="002E3388" w:rsidRDefault="002264C4" w:rsidP="002E3388">
      <w:pPr>
        <w:spacing w:before="40" w:line="360" w:lineRule="auto"/>
        <w:rPr>
          <w:rFonts w:ascii="Calibri" w:hAnsi="Calibri" w:cs="Calibri"/>
          <w:color w:val="000000" w:themeColor="text1"/>
        </w:rPr>
      </w:pPr>
      <w:r w:rsidRPr="002E3388">
        <w:rPr>
          <w:rFonts w:ascii="Calibri" w:hAnsi="Calibri" w:cs="Calibri"/>
          <w:color w:val="000000" w:themeColor="text1"/>
        </w:rPr>
        <w:t xml:space="preserve">By </w:t>
      </w:r>
      <w:r w:rsidR="00277D38" w:rsidRPr="002E3388">
        <w:rPr>
          <w:rFonts w:ascii="Calibri" w:hAnsi="Calibri" w:cs="Calibri"/>
          <w:color w:val="000000" w:themeColor="text1"/>
        </w:rPr>
        <w:t xml:space="preserve">O’Reilly (2020), not </w:t>
      </w:r>
      <w:r w:rsidRPr="002E3388">
        <w:rPr>
          <w:rFonts w:ascii="Calibri" w:hAnsi="Calibri" w:cs="Calibri"/>
          <w:color w:val="000000" w:themeColor="text1"/>
        </w:rPr>
        <w:t xml:space="preserve">using an appendix, the reader has to take the author's word for their findings without seeing how they reached their conclusions from these findings. </w:t>
      </w:r>
    </w:p>
    <w:p w14:paraId="3D5A702C" w14:textId="77777777" w:rsidR="00072B2C" w:rsidRPr="002E3388" w:rsidRDefault="002264C4" w:rsidP="002E3388">
      <w:pPr>
        <w:spacing w:line="360" w:lineRule="auto"/>
        <w:rPr>
          <w:rFonts w:ascii="Calibri" w:eastAsia="Times New Roman" w:hAnsi="Calibri" w:cs="Calibri"/>
          <w:color w:val="000000" w:themeColor="text1"/>
          <w:kern w:val="0"/>
          <w:lang w:eastAsia="en-GB"/>
        </w:rPr>
      </w:pPr>
      <w:r w:rsidRPr="002E3388">
        <w:rPr>
          <w:rFonts w:ascii="Calibri" w:hAnsi="Calibri" w:cs="Calibri"/>
          <w:color w:val="000000" w:themeColor="text1"/>
        </w:rPr>
        <w:t xml:space="preserve">O’Reilly (2020) </w:t>
      </w:r>
      <w:r w:rsidR="0089270D" w:rsidRPr="002E3388">
        <w:rPr>
          <w:rFonts w:ascii="Calibri" w:hAnsi="Calibri" w:cs="Calibri"/>
          <w:color w:val="000000" w:themeColor="text1"/>
        </w:rPr>
        <w:t>has used language that is easy to read and understand</w:t>
      </w:r>
      <w:r w:rsidR="004E5520" w:rsidRPr="002E3388">
        <w:rPr>
          <w:rFonts w:ascii="Calibri" w:hAnsi="Calibri" w:cs="Calibri"/>
          <w:color w:val="000000" w:themeColor="text1"/>
        </w:rPr>
        <w:t>;</w:t>
      </w:r>
      <w:r w:rsidR="0089270D" w:rsidRPr="002E3388">
        <w:rPr>
          <w:rFonts w:ascii="Calibri" w:hAnsi="Calibri" w:cs="Calibri"/>
          <w:color w:val="000000" w:themeColor="text1"/>
        </w:rPr>
        <w:t xml:space="preserve"> there are </w:t>
      </w:r>
      <w:r w:rsidR="004E5520" w:rsidRPr="002E3388">
        <w:rPr>
          <w:rFonts w:ascii="Calibri" w:hAnsi="Calibri" w:cs="Calibri"/>
          <w:color w:val="000000" w:themeColor="text1"/>
        </w:rPr>
        <w:t>a few more difficult words</w:t>
      </w:r>
      <w:r w:rsidR="0089270D" w:rsidRPr="002E3388">
        <w:rPr>
          <w:rFonts w:ascii="Calibri" w:hAnsi="Calibri" w:cs="Calibri"/>
          <w:color w:val="000000" w:themeColor="text1"/>
        </w:rPr>
        <w:t>, such as ubiquitous and congruent</w:t>
      </w:r>
      <w:r w:rsidR="0021580A" w:rsidRPr="002E3388">
        <w:rPr>
          <w:rFonts w:ascii="Calibri" w:hAnsi="Calibri" w:cs="Calibri"/>
          <w:color w:val="000000" w:themeColor="text1"/>
        </w:rPr>
        <w:t xml:space="preserve">. However, the syntax of the sentences is uncomplicated and straightforward, so any complex vocabulary is easy to look up. </w:t>
      </w:r>
      <w:r w:rsidR="0089270D" w:rsidRPr="002E3388">
        <w:rPr>
          <w:rFonts w:ascii="Calibri" w:hAnsi="Calibri" w:cs="Calibri"/>
          <w:color w:val="000000" w:themeColor="text1"/>
        </w:rPr>
        <w:t xml:space="preserve">Using simpler </w:t>
      </w:r>
      <w:r w:rsidR="00730A66" w:rsidRPr="002E3388">
        <w:rPr>
          <w:rFonts w:ascii="Calibri" w:hAnsi="Calibri" w:cs="Calibri"/>
          <w:color w:val="000000" w:themeColor="text1"/>
        </w:rPr>
        <w:t>language</w:t>
      </w:r>
      <w:r w:rsidR="0089270D" w:rsidRPr="002E3388">
        <w:rPr>
          <w:rFonts w:ascii="Calibri" w:hAnsi="Calibri" w:cs="Calibri"/>
          <w:color w:val="000000" w:themeColor="text1"/>
        </w:rPr>
        <w:t xml:space="preserve"> makes it easier for the general public to examine, challenge and interact with the research findings. This motivates the researcher to uphold the highest standards of honesty in their </w:t>
      </w:r>
      <w:r w:rsidR="00730A66" w:rsidRPr="002E3388">
        <w:rPr>
          <w:rFonts w:ascii="Calibri" w:hAnsi="Calibri" w:cs="Calibri"/>
          <w:color w:val="000000" w:themeColor="text1"/>
        </w:rPr>
        <w:t>work</w:t>
      </w:r>
      <w:r w:rsidR="0089270D" w:rsidRPr="002E3388">
        <w:rPr>
          <w:rFonts w:ascii="Calibri" w:hAnsi="Calibri" w:cs="Calibri"/>
          <w:color w:val="000000" w:themeColor="text1"/>
        </w:rPr>
        <w:t xml:space="preserve"> and keeps them accountable (Kapadia, A. 2023).</w:t>
      </w:r>
      <w:r w:rsidRPr="002E3388">
        <w:rPr>
          <w:rFonts w:ascii="Calibri" w:hAnsi="Calibri" w:cs="Calibri"/>
          <w:color w:val="000000" w:themeColor="text1"/>
        </w:rPr>
        <w:t xml:space="preserve"> O'Reilly (2020)</w:t>
      </w:r>
      <w:r w:rsidR="002B615C" w:rsidRPr="002E3388">
        <w:rPr>
          <w:rFonts w:ascii="Calibri" w:hAnsi="Calibri" w:cs="Calibri"/>
          <w:color w:val="000000" w:themeColor="text1"/>
        </w:rPr>
        <w:t xml:space="preserve"> has written it objectively</w:t>
      </w:r>
      <w:r w:rsidR="004E5520" w:rsidRPr="002E3388">
        <w:rPr>
          <w:rFonts w:ascii="Calibri" w:hAnsi="Calibri" w:cs="Calibri"/>
          <w:color w:val="000000" w:themeColor="text1"/>
        </w:rPr>
        <w:t>, which</w:t>
      </w:r>
      <w:r w:rsidR="002B615C" w:rsidRPr="002E3388">
        <w:rPr>
          <w:rFonts w:ascii="Calibri" w:hAnsi="Calibri" w:cs="Calibri"/>
          <w:color w:val="000000" w:themeColor="text1"/>
        </w:rPr>
        <w:t xml:space="preserve"> means </w:t>
      </w:r>
      <w:r w:rsidR="004E5520" w:rsidRPr="002E3388">
        <w:rPr>
          <w:rFonts w:ascii="Calibri" w:hAnsi="Calibri" w:cs="Calibri"/>
          <w:color w:val="000000" w:themeColor="text1"/>
        </w:rPr>
        <w:t xml:space="preserve">that </w:t>
      </w:r>
      <w:r w:rsidRPr="002E3388">
        <w:rPr>
          <w:rFonts w:ascii="Calibri" w:hAnsi="Calibri" w:cs="Calibri"/>
          <w:color w:val="000000" w:themeColor="text1"/>
        </w:rPr>
        <w:t>they</w:t>
      </w:r>
      <w:r w:rsidR="004E5520" w:rsidRPr="002E3388">
        <w:rPr>
          <w:rFonts w:ascii="Calibri" w:hAnsi="Calibri" w:cs="Calibri"/>
          <w:color w:val="000000" w:themeColor="text1"/>
        </w:rPr>
        <w:t xml:space="preserve"> ha</w:t>
      </w:r>
      <w:r w:rsidRPr="002E3388">
        <w:rPr>
          <w:rFonts w:ascii="Calibri" w:hAnsi="Calibri" w:cs="Calibri"/>
          <w:color w:val="000000" w:themeColor="text1"/>
        </w:rPr>
        <w:t>ve</w:t>
      </w:r>
      <w:r w:rsidR="004E5520" w:rsidRPr="002E3388">
        <w:rPr>
          <w:rFonts w:ascii="Calibri" w:hAnsi="Calibri" w:cs="Calibri"/>
          <w:color w:val="000000" w:themeColor="text1"/>
        </w:rPr>
        <w:t xml:space="preserve"> used facts and is not </w:t>
      </w:r>
      <w:r w:rsidRPr="002E3388">
        <w:rPr>
          <w:rFonts w:ascii="Calibri" w:hAnsi="Calibri" w:cs="Calibri"/>
          <w:color w:val="000000" w:themeColor="text1"/>
        </w:rPr>
        <w:t>their</w:t>
      </w:r>
      <w:r w:rsidR="004E5520" w:rsidRPr="002E3388">
        <w:rPr>
          <w:rFonts w:ascii="Calibri" w:hAnsi="Calibri" w:cs="Calibri"/>
          <w:color w:val="000000" w:themeColor="text1"/>
        </w:rPr>
        <w:t xml:space="preserve"> personal opinion (Yang, 2021). This benefits students and other academics as the paper is based on facts and is</w:t>
      </w:r>
      <w:r w:rsidRPr="002E3388">
        <w:rPr>
          <w:rFonts w:ascii="Calibri" w:hAnsi="Calibri" w:cs="Calibri"/>
          <w:color w:val="000000" w:themeColor="text1"/>
        </w:rPr>
        <w:t xml:space="preserve"> simple to read and comprehend.</w:t>
      </w:r>
    </w:p>
    <w:p w14:paraId="518E2019" w14:textId="77777777" w:rsidR="00E510E0" w:rsidRPr="002E3388" w:rsidRDefault="002264C4" w:rsidP="002E3388">
      <w:pPr>
        <w:spacing w:before="40" w:line="360" w:lineRule="auto"/>
        <w:rPr>
          <w:rFonts w:ascii="Calibri" w:hAnsi="Calibri" w:cs="Calibri"/>
          <w:color w:val="000000" w:themeColor="text1"/>
        </w:rPr>
      </w:pPr>
      <w:r w:rsidRPr="002E3388">
        <w:rPr>
          <w:rFonts w:ascii="Calibri" w:hAnsi="Calibri" w:cs="Calibri"/>
          <w:color w:val="000000" w:themeColor="text1"/>
        </w:rPr>
        <w:t>This article highlights that t</w:t>
      </w:r>
      <w:r w:rsidR="002B615C" w:rsidRPr="002E3388">
        <w:rPr>
          <w:rFonts w:ascii="Calibri" w:hAnsi="Calibri" w:cs="Calibri"/>
          <w:color w:val="000000" w:themeColor="text1"/>
        </w:rPr>
        <w:t>here is a</w:t>
      </w:r>
      <w:r w:rsidR="0021580A" w:rsidRPr="002E3388">
        <w:rPr>
          <w:rFonts w:ascii="Calibri" w:hAnsi="Calibri" w:cs="Calibri"/>
          <w:color w:val="000000" w:themeColor="text1"/>
        </w:rPr>
        <w:t>n unambiguous link</w:t>
      </w:r>
      <w:r w:rsidR="002B615C" w:rsidRPr="002E3388">
        <w:rPr>
          <w:rFonts w:ascii="Calibri" w:hAnsi="Calibri" w:cs="Calibri"/>
          <w:color w:val="000000" w:themeColor="text1"/>
        </w:rPr>
        <w:t xml:space="preserve">, which is the </w:t>
      </w:r>
      <w:r w:rsidR="005803D8" w:rsidRPr="002E3388">
        <w:rPr>
          <w:rFonts w:ascii="Calibri" w:hAnsi="Calibri" w:cs="Calibri"/>
          <w:color w:val="000000" w:themeColor="text1"/>
        </w:rPr>
        <w:t>connection</w:t>
      </w:r>
      <w:r w:rsidR="002B615C" w:rsidRPr="002E3388">
        <w:rPr>
          <w:rFonts w:ascii="Calibri" w:hAnsi="Calibri" w:cs="Calibri"/>
          <w:color w:val="000000" w:themeColor="text1"/>
        </w:rPr>
        <w:t xml:space="preserve"> between adolescents using social media and their poor mental health; this is clearly stated in the abstract. </w:t>
      </w:r>
      <w:r w:rsidR="00277D38" w:rsidRPr="002E3388">
        <w:rPr>
          <w:rFonts w:ascii="Calibri" w:hAnsi="Calibri" w:cs="Calibri"/>
          <w:color w:val="000000" w:themeColor="text1"/>
        </w:rPr>
        <w:t>O’Reilly (2020)</w:t>
      </w:r>
      <w:r w:rsidR="002B615C" w:rsidRPr="002E3388">
        <w:rPr>
          <w:rFonts w:ascii="Calibri" w:hAnsi="Calibri" w:cs="Calibri"/>
          <w:color w:val="000000" w:themeColor="text1"/>
        </w:rPr>
        <w:t xml:space="preserve"> has </w:t>
      </w:r>
      <w:r w:rsidR="00072B2C" w:rsidRPr="002E3388">
        <w:rPr>
          <w:rFonts w:ascii="Calibri" w:hAnsi="Calibri" w:cs="Calibri"/>
          <w:color w:val="000000" w:themeColor="text1"/>
        </w:rPr>
        <w:t>primarily used</w:t>
      </w:r>
      <w:r w:rsidR="002B615C" w:rsidRPr="002E3388">
        <w:rPr>
          <w:rFonts w:ascii="Calibri" w:hAnsi="Calibri" w:cs="Calibri"/>
          <w:color w:val="000000" w:themeColor="text1"/>
        </w:rPr>
        <w:t xml:space="preserve"> other research articles and journal articles for their research</w:t>
      </w:r>
      <w:r w:rsidR="00863DF6" w:rsidRPr="002E3388">
        <w:rPr>
          <w:rFonts w:ascii="Calibri" w:hAnsi="Calibri" w:cs="Calibri"/>
          <w:color w:val="000000" w:themeColor="text1"/>
        </w:rPr>
        <w:t xml:space="preserve">, which helps to support what they are saying. However, no actual results were </w:t>
      </w:r>
      <w:r w:rsidR="00863DF6" w:rsidRPr="002E3388">
        <w:rPr>
          <w:rFonts w:ascii="Calibri" w:hAnsi="Calibri" w:cs="Calibri"/>
          <w:color w:val="000000" w:themeColor="text1"/>
        </w:rPr>
        <w:lastRenderedPageBreak/>
        <w:t xml:space="preserve">shown in this article; having the results of what the young people said in the article would have been more helpful and more evidence-based. When making an argument in a research paper, it is strengthened by supporting evidence, which makes the research stronger than it would be without the supporting evidence. Without evidence, the article may be considered unsubstantial or insignificantly researched if </w:t>
      </w:r>
      <w:r w:rsidR="009F1FF4" w:rsidRPr="002E3388">
        <w:rPr>
          <w:rFonts w:ascii="Calibri" w:hAnsi="Calibri" w:cs="Calibri"/>
          <w:color w:val="000000" w:themeColor="text1"/>
        </w:rPr>
        <w:t xml:space="preserve">there is a </w:t>
      </w:r>
      <w:r w:rsidR="00863DF6" w:rsidRPr="002E3388">
        <w:rPr>
          <w:rFonts w:ascii="Calibri" w:hAnsi="Calibri" w:cs="Calibri"/>
          <w:color w:val="000000" w:themeColor="text1"/>
        </w:rPr>
        <w:t>claim without evidence to support it (University of GUELPH, 2025).</w:t>
      </w:r>
      <w:r w:rsidR="00277D38" w:rsidRPr="002E3388">
        <w:rPr>
          <w:rFonts w:ascii="Calibri" w:hAnsi="Calibri" w:cs="Calibri"/>
          <w:color w:val="000000" w:themeColor="text1"/>
        </w:rPr>
        <w:t xml:space="preserve"> O'Reilly (2020) </w:t>
      </w:r>
      <w:r w:rsidR="002B615C" w:rsidRPr="002E3388">
        <w:rPr>
          <w:rFonts w:ascii="Calibri" w:hAnsi="Calibri" w:cs="Calibri"/>
          <w:color w:val="000000" w:themeColor="text1"/>
        </w:rPr>
        <w:t>did not write a conclusion at the end of the research paper; however, they did include a minimal conclusion at the end of the abstract.</w:t>
      </w:r>
      <w:r w:rsidR="009C1289" w:rsidRPr="002E3388">
        <w:rPr>
          <w:rFonts w:ascii="Calibri" w:hAnsi="Calibri" w:cs="Calibri"/>
          <w:color w:val="000000" w:themeColor="text1"/>
        </w:rPr>
        <w:t xml:space="preserve"> After reading the article, the reader should be able to comprehend why the study is important to the writer by reading the conclusion; a conclusion is a synthesis of essential elements rather than just a restatement of the main ideas or the research subject (Sacred Heart University, 2024)</w:t>
      </w:r>
      <w:r w:rsidR="002B615C" w:rsidRPr="002E3388">
        <w:rPr>
          <w:rFonts w:ascii="Calibri" w:hAnsi="Calibri" w:cs="Calibri"/>
          <w:color w:val="000000" w:themeColor="text1"/>
        </w:rPr>
        <w:t xml:space="preserve"> This conclusion suggests that not all relationships with social media are negative. Based on the fact that there was no appendix at the end of the paper, the reader can only take the writer's word as there is no evidence to back up what they have said in the small conclusion.</w:t>
      </w:r>
    </w:p>
    <w:p w14:paraId="5472504C" w14:textId="77777777" w:rsidR="00D35531" w:rsidRPr="002E3388" w:rsidRDefault="002264C4" w:rsidP="002E3388">
      <w:pPr>
        <w:spacing w:before="40" w:line="360" w:lineRule="auto"/>
        <w:rPr>
          <w:rFonts w:ascii="Calibri" w:hAnsi="Calibri" w:cs="Calibri"/>
          <w:color w:val="000000" w:themeColor="text1"/>
        </w:rPr>
      </w:pPr>
      <w:r w:rsidRPr="002E3388">
        <w:rPr>
          <w:rFonts w:ascii="Calibri" w:hAnsi="Calibri" w:cs="Calibri"/>
          <w:color w:val="000000" w:themeColor="text1"/>
        </w:rPr>
        <w:t>For the ethical section of the paper</w:t>
      </w:r>
      <w:r w:rsidR="00EA2C0B" w:rsidRPr="002E3388">
        <w:rPr>
          <w:rFonts w:ascii="Calibri" w:hAnsi="Calibri" w:cs="Calibri"/>
          <w:color w:val="000000" w:themeColor="text1"/>
        </w:rPr>
        <w:t>,</w:t>
      </w:r>
      <w:r w:rsidR="00277D38" w:rsidRPr="002E3388">
        <w:rPr>
          <w:rFonts w:ascii="Calibri" w:hAnsi="Calibri" w:cs="Calibri"/>
          <w:color w:val="000000" w:themeColor="text1"/>
        </w:rPr>
        <w:t xml:space="preserve"> O'Reilly (2020)</w:t>
      </w:r>
      <w:r w:rsidR="00EA2C0B" w:rsidRPr="002E3388">
        <w:rPr>
          <w:rFonts w:ascii="Calibri" w:hAnsi="Calibri" w:cs="Calibri"/>
          <w:color w:val="000000" w:themeColor="text1"/>
        </w:rPr>
        <w:t xml:space="preserve">states that the 'study was governed by the University of Leicester' as they are the ones that provided the ethical approval (O'Reilly, 2020). O'Reilly (2020) also states that for all participants under the age of 15, they had parental consent, and everyone else provided written consent. Ethical approval is </w:t>
      </w:r>
      <w:r w:rsidR="00E254B1" w:rsidRPr="002E3388">
        <w:rPr>
          <w:rFonts w:ascii="Calibri" w:hAnsi="Calibri" w:cs="Calibri"/>
          <w:color w:val="000000" w:themeColor="text1"/>
        </w:rPr>
        <w:t xml:space="preserve">required to safeguard the study participants’ rights, security, self-respect, and welfare (UK Research and Innovation, 2024). </w:t>
      </w:r>
      <w:r w:rsidRPr="002E3388">
        <w:rPr>
          <w:rFonts w:ascii="Calibri" w:hAnsi="Calibri" w:cs="Calibri"/>
          <w:color w:val="000000" w:themeColor="text1"/>
        </w:rPr>
        <w:t xml:space="preserve">According to fundamental ethics, researchers should not fabricate results to become famous since, although doing so would bring them temporary celebrity, it would also harm the field’s overall efforts. However, ethics is more than this. Severe incidents from the recent past continue to plague the sector, leading to more stringent regulation and bringing mistrust in research (Science for Georgia, 2025). </w:t>
      </w:r>
      <w:r w:rsidR="00E254B1" w:rsidRPr="002E3388">
        <w:rPr>
          <w:rFonts w:ascii="Calibri" w:hAnsi="Calibri" w:cs="Calibri"/>
          <w:color w:val="000000" w:themeColor="text1"/>
        </w:rPr>
        <w:t>The rules of behaviour for researchers are governed by research ethics. Respecting ethical standards is essential for safeguarding the rights, welfare, and dignity of study participants. To ensure that proper ethical standards are followed, an ethics committee should review every study involving human subjects</w:t>
      </w:r>
      <w:r w:rsidR="001B5A36" w:rsidRPr="002E3388">
        <w:rPr>
          <w:rFonts w:ascii="Calibri" w:hAnsi="Calibri" w:cs="Calibri"/>
          <w:color w:val="000000" w:themeColor="text1"/>
        </w:rPr>
        <w:t xml:space="preserve">. A </w:t>
      </w:r>
      <w:r w:rsidR="00E254B1" w:rsidRPr="002E3388">
        <w:rPr>
          <w:rFonts w:ascii="Calibri" w:hAnsi="Calibri" w:cs="Calibri"/>
          <w:color w:val="000000" w:themeColor="text1"/>
        </w:rPr>
        <w:t>key component of ethical review is the discussion of the moral principles of beneficence, fairness and autonomy (</w:t>
      </w:r>
      <w:r w:rsidR="001B5A36" w:rsidRPr="002E3388">
        <w:rPr>
          <w:rFonts w:ascii="Calibri" w:hAnsi="Calibri" w:cs="Calibri"/>
          <w:color w:val="000000" w:themeColor="text1"/>
        </w:rPr>
        <w:t xml:space="preserve">WHO, 2024). </w:t>
      </w:r>
      <w:r w:rsidRPr="002E3388">
        <w:rPr>
          <w:rFonts w:ascii="Calibri" w:hAnsi="Calibri" w:cs="Calibri"/>
          <w:color w:val="000000" w:themeColor="text1"/>
        </w:rPr>
        <w:t xml:space="preserve">The ethical guidelines are primary goals that weigh the advantages of involvement against the dangers and provide complete openness for study participants. Among the crucial ethical guidelines guiding </w:t>
      </w:r>
      <w:r w:rsidRPr="002E3388">
        <w:rPr>
          <w:rFonts w:ascii="Calibri" w:hAnsi="Calibri" w:cs="Calibri"/>
          <w:color w:val="000000" w:themeColor="text1"/>
        </w:rPr>
        <w:lastRenderedPageBreak/>
        <w:t xml:space="preserve">social research are informed consent, voluntary participation and participant identity protection (Editage, 2019). </w:t>
      </w:r>
    </w:p>
    <w:p w14:paraId="407F5F0F" w14:textId="77777777" w:rsidR="00AB3E8E" w:rsidRPr="002E3388" w:rsidRDefault="00AB3E8E" w:rsidP="002E3388">
      <w:pPr>
        <w:spacing w:before="40" w:line="360" w:lineRule="auto"/>
        <w:rPr>
          <w:rFonts w:ascii="Calibri" w:hAnsi="Calibri" w:cs="Calibri"/>
          <w:color w:val="000000" w:themeColor="text1"/>
        </w:rPr>
      </w:pPr>
    </w:p>
    <w:p w14:paraId="716E880E" w14:textId="77777777" w:rsidR="00E510E0" w:rsidRPr="002E3388" w:rsidRDefault="002264C4" w:rsidP="002E3388">
      <w:pPr>
        <w:spacing w:before="40" w:line="360" w:lineRule="auto"/>
        <w:rPr>
          <w:rFonts w:ascii="Calibri" w:hAnsi="Calibri" w:cs="Calibri"/>
          <w:color w:val="000000" w:themeColor="text1"/>
        </w:rPr>
      </w:pPr>
      <w:r w:rsidRPr="002E3388">
        <w:rPr>
          <w:rFonts w:ascii="Calibri" w:hAnsi="Calibri" w:cs="Calibri"/>
          <w:color w:val="000000" w:themeColor="text1"/>
        </w:rPr>
        <w:t xml:space="preserve">This article </w:t>
      </w:r>
      <w:r w:rsidR="005803D8" w:rsidRPr="002E3388">
        <w:rPr>
          <w:rFonts w:ascii="Calibri" w:hAnsi="Calibri" w:cs="Calibri"/>
          <w:color w:val="000000" w:themeColor="text1"/>
        </w:rPr>
        <w:t>investigates</w:t>
      </w:r>
      <w:r w:rsidRPr="002E3388">
        <w:rPr>
          <w:rFonts w:ascii="Calibri" w:hAnsi="Calibri" w:cs="Calibri"/>
          <w:color w:val="000000" w:themeColor="text1"/>
        </w:rPr>
        <w:t xml:space="preserve"> the link between the mental health of adolescents and the use of social media. </w:t>
      </w:r>
      <w:r w:rsidR="00040534" w:rsidRPr="002E3388">
        <w:rPr>
          <w:rFonts w:ascii="Calibri" w:hAnsi="Calibri" w:cs="Calibri"/>
          <w:color w:val="000000" w:themeColor="text1"/>
        </w:rPr>
        <w:t xml:space="preserve">The writer employed focus groups as a research method. </w:t>
      </w:r>
      <w:r w:rsidR="00B86A99" w:rsidRPr="002E3388">
        <w:rPr>
          <w:rFonts w:ascii="Calibri" w:hAnsi="Calibri" w:cs="Calibri"/>
          <w:color w:val="000000" w:themeColor="text1"/>
        </w:rPr>
        <w:t>There are both positives and negatives to using focus groups, such as providing a thorough comprehension of the participants as a research method (Boughton, 2024). However, there are also negatives to using focus groups, such as focus group studies not being a time-saving substitute for interviews since it might be challenging to get the group together in the same place at the same time (GOV.UK, 2020). O'Reilly (2020) did not use an appendix at the end of the research paper; using</w:t>
      </w:r>
      <w:r w:rsidR="00040534" w:rsidRPr="002E3388">
        <w:rPr>
          <w:rFonts w:ascii="Calibri" w:hAnsi="Calibri" w:cs="Calibri"/>
          <w:color w:val="000000" w:themeColor="text1"/>
        </w:rPr>
        <w:t xml:space="preserve"> an appendix would improve this research paper as it would show the reader where the writer has </w:t>
      </w:r>
      <w:r w:rsidR="00F81CE9" w:rsidRPr="002E3388">
        <w:rPr>
          <w:rFonts w:ascii="Calibri" w:hAnsi="Calibri" w:cs="Calibri"/>
          <w:color w:val="000000" w:themeColor="text1"/>
        </w:rPr>
        <w:t>obtained</w:t>
      </w:r>
      <w:r w:rsidR="00040534" w:rsidRPr="002E3388">
        <w:rPr>
          <w:rFonts w:ascii="Calibri" w:hAnsi="Calibri" w:cs="Calibri"/>
          <w:color w:val="000000" w:themeColor="text1"/>
        </w:rPr>
        <w:t xml:space="preserve"> their information and facts. Providing the reader with a conclusion would give a clear ending to the paper, </w:t>
      </w:r>
      <w:r w:rsidR="00AF354E" w:rsidRPr="002E3388">
        <w:rPr>
          <w:rFonts w:ascii="Calibri" w:hAnsi="Calibri" w:cs="Calibri"/>
          <w:color w:val="000000" w:themeColor="text1"/>
        </w:rPr>
        <w:t>summarising</w:t>
      </w:r>
      <w:r w:rsidR="00040534" w:rsidRPr="002E3388">
        <w:rPr>
          <w:rFonts w:ascii="Calibri" w:hAnsi="Calibri" w:cs="Calibri"/>
          <w:color w:val="000000" w:themeColor="text1"/>
        </w:rPr>
        <w:t xml:space="preserve"> the main points that the writer has found. </w:t>
      </w:r>
    </w:p>
    <w:p w14:paraId="38667779" w14:textId="77777777" w:rsidR="004E5520" w:rsidRPr="002E3388" w:rsidRDefault="004E5520" w:rsidP="002E3388">
      <w:pPr>
        <w:spacing w:before="40" w:line="360" w:lineRule="auto"/>
        <w:rPr>
          <w:rFonts w:ascii="Calibri" w:hAnsi="Calibri" w:cs="Calibri"/>
          <w:color w:val="000000" w:themeColor="text1"/>
        </w:rPr>
      </w:pPr>
    </w:p>
    <w:p w14:paraId="4E02367F" w14:textId="77777777" w:rsidR="004772C0" w:rsidRPr="002E3388" w:rsidRDefault="004772C0" w:rsidP="002E3388">
      <w:pPr>
        <w:spacing w:line="360" w:lineRule="auto"/>
        <w:rPr>
          <w:rFonts w:ascii="Calibri" w:hAnsi="Calibri" w:cs="Calibri"/>
          <w:color w:val="000000" w:themeColor="text1"/>
        </w:rPr>
      </w:pPr>
    </w:p>
    <w:p w14:paraId="45F1824C" w14:textId="77777777" w:rsidR="004772C0" w:rsidRPr="002E3388" w:rsidRDefault="004772C0" w:rsidP="002E3388">
      <w:pPr>
        <w:spacing w:line="360" w:lineRule="auto"/>
        <w:rPr>
          <w:rFonts w:ascii="Calibri" w:hAnsi="Calibri" w:cs="Calibri"/>
          <w:color w:val="000000" w:themeColor="text1"/>
        </w:rPr>
      </w:pPr>
    </w:p>
    <w:p w14:paraId="5D20877B" w14:textId="77777777" w:rsidR="004772C0"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 xml:space="preserve">References. </w:t>
      </w:r>
    </w:p>
    <w:p w14:paraId="43FA6CC6" w14:textId="77777777" w:rsidR="00072B2C"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Boughton, L. (2024). </w:t>
      </w:r>
      <w:r w:rsidRPr="002E3388">
        <w:rPr>
          <w:rFonts w:ascii="Calibri" w:hAnsi="Calibri" w:cs="Calibri"/>
          <w:i/>
          <w:iCs/>
          <w:color w:val="000000" w:themeColor="text1"/>
        </w:rPr>
        <w:t>What is a focus group and how can it benefit your market research?</w:t>
      </w:r>
      <w:r w:rsidRPr="002E3388">
        <w:rPr>
          <w:rFonts w:ascii="Calibri" w:hAnsi="Calibri" w:cs="Calibri"/>
          <w:color w:val="000000" w:themeColor="text1"/>
          <w:shd w:val="clear" w:color="auto" w:fill="FFFFFF"/>
        </w:rPr>
        <w:t>. [Online]. angelfish fieldwork. Last Updated: unknown. Available at: https://info.angelfishfieldwork.com/market-research-fieldwork-blog/what-is-a-focus-group-and-how-can [Accessed 25 May 2025].</w:t>
      </w:r>
    </w:p>
    <w:p w14:paraId="792BC1C4" w14:textId="77777777" w:rsidR="00D35531"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Editage. (2019). </w:t>
      </w:r>
      <w:r w:rsidRPr="002E3388">
        <w:rPr>
          <w:rFonts w:ascii="Calibri" w:hAnsi="Calibri" w:cs="Calibri"/>
          <w:i/>
          <w:iCs/>
          <w:color w:val="000000" w:themeColor="text1"/>
        </w:rPr>
        <w:t>Why is ethics important for social research?</w:t>
      </w:r>
      <w:r w:rsidRPr="002E3388">
        <w:rPr>
          <w:rFonts w:ascii="Calibri" w:hAnsi="Calibri" w:cs="Calibri"/>
          <w:color w:val="000000" w:themeColor="text1"/>
          <w:shd w:val="clear" w:color="auto" w:fill="FFFFFF"/>
        </w:rPr>
        <w:t xml:space="preserve"> [Online]. Editage. Last Updated: 14th December 2019. Available at: https://www.editage.com/insights/why-are-ethics-important-for-social-research [Accessed 26 May 2025].</w:t>
      </w:r>
    </w:p>
    <w:p w14:paraId="1EB5743E" w14:textId="77777777" w:rsidR="0021580A"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shd w:val="clear" w:color="auto" w:fill="FFFFFF"/>
        </w:rPr>
        <w:t>GOV.UK. (2020). </w:t>
      </w:r>
      <w:r w:rsidRPr="002E3388">
        <w:rPr>
          <w:rFonts w:ascii="Calibri" w:hAnsi="Calibri" w:cs="Calibri"/>
          <w:i/>
          <w:iCs/>
          <w:color w:val="000000" w:themeColor="text1"/>
        </w:rPr>
        <w:t>focus group study: qualitative studies</w:t>
      </w:r>
      <w:r w:rsidRPr="002E3388">
        <w:rPr>
          <w:rFonts w:ascii="Calibri" w:hAnsi="Calibri" w:cs="Calibri"/>
          <w:color w:val="000000" w:themeColor="text1"/>
          <w:shd w:val="clear" w:color="auto" w:fill="FFFFFF"/>
        </w:rPr>
        <w:t>. [Online]. GOV.UK. Last Updated: 30th January 2020. Available at: https://www.gov.uk/guidance/focus-group-study-qualitative-studies#cons [Accessed 26 May 2025].</w:t>
      </w:r>
    </w:p>
    <w:p w14:paraId="323921B3" w14:textId="77777777" w:rsidR="00730A66"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lastRenderedPageBreak/>
        <w:t>Kapadia, A. (2023). </w:t>
      </w:r>
      <w:r w:rsidRPr="002E3388">
        <w:rPr>
          <w:rFonts w:ascii="Calibri" w:hAnsi="Calibri" w:cs="Calibri"/>
          <w:i/>
          <w:iCs/>
          <w:color w:val="000000" w:themeColor="text1"/>
        </w:rPr>
        <w:t>The PLS Series: The Power of Plain Language - 4 Reasons Why Every Research Paper Needs A Plain Language Summary, With A Real-Life Example</w:t>
      </w:r>
      <w:r w:rsidRPr="002E3388">
        <w:rPr>
          <w:rFonts w:ascii="Calibri" w:hAnsi="Calibri" w:cs="Calibri"/>
          <w:color w:val="000000" w:themeColor="text1"/>
          <w:shd w:val="clear" w:color="auto" w:fill="FFFFFF"/>
        </w:rPr>
        <w:t>. [Online]. Enago life sciences. Last Updated: 15th November 2023. Available at: https://lifesciences.enago.com/blogs/need-for-plain-language-summary-for-research-papers#:~:text=Whe [Accessed 24 May 2025].</w:t>
      </w:r>
    </w:p>
    <w:p w14:paraId="54CEAC30" w14:textId="77777777" w:rsidR="00AF354E"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Lawless, J. (2023). </w:t>
      </w:r>
      <w:r w:rsidRPr="002E3388">
        <w:rPr>
          <w:rFonts w:ascii="Calibri" w:hAnsi="Calibri" w:cs="Calibri"/>
          <w:i/>
          <w:iCs/>
          <w:color w:val="000000" w:themeColor="text1"/>
        </w:rPr>
        <w:t>Focus Group Advantages and Disadvantages.</w:t>
      </w:r>
      <w:r w:rsidRPr="002E3388">
        <w:rPr>
          <w:rFonts w:ascii="Calibri" w:hAnsi="Calibri" w:cs="Calibri"/>
          <w:color w:val="000000" w:themeColor="text1"/>
          <w:shd w:val="clear" w:color="auto" w:fill="FFFFFF"/>
        </w:rPr>
        <w:t>. [Online]. Purple Griffon. Last Updated: 8th November 2023. Available at: https://purplegriffon.com/blog/focus-groups-advantages-and-disadvantages-in-research [Accessed 25 May 2025].</w:t>
      </w:r>
    </w:p>
    <w:p w14:paraId="17B09750" w14:textId="77777777" w:rsidR="00777C27"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Leung, F. Savithiri, R. (2009). Spotlight on Focus groups. </w:t>
      </w:r>
      <w:r w:rsidRPr="002E3388">
        <w:rPr>
          <w:rFonts w:ascii="Calibri" w:hAnsi="Calibri" w:cs="Calibri"/>
          <w:i/>
          <w:iCs/>
          <w:color w:val="000000" w:themeColor="text1"/>
        </w:rPr>
        <w:t>Can Fam Physician</w:t>
      </w:r>
      <w:r w:rsidRPr="002E3388">
        <w:rPr>
          <w:rFonts w:ascii="Calibri" w:hAnsi="Calibri" w:cs="Calibri"/>
          <w:color w:val="000000" w:themeColor="text1"/>
          <w:shd w:val="clear" w:color="auto" w:fill="FFFFFF"/>
        </w:rPr>
        <w:t>. 55(2), pp.218-219. [Online]. Available at: PMCID: PMC2642503 PMID: 19221085 [Accessed 25 May 2025].</w:t>
      </w:r>
    </w:p>
    <w:p w14:paraId="6CA9A4C9" w14:textId="77777777" w:rsidR="00777C27"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McLeod, S. (2025). </w:t>
      </w:r>
      <w:r w:rsidRPr="002E3388">
        <w:rPr>
          <w:rFonts w:ascii="Calibri" w:hAnsi="Calibri" w:cs="Calibri"/>
          <w:i/>
          <w:iCs/>
          <w:color w:val="000000" w:themeColor="text1"/>
        </w:rPr>
        <w:t>Qualitative vs Quantitative Research Methods</w:t>
      </w:r>
      <w:r w:rsidRPr="002E3388">
        <w:rPr>
          <w:rFonts w:ascii="Calibri" w:hAnsi="Calibri" w:cs="Calibri"/>
          <w:color w:val="000000" w:themeColor="text1"/>
          <w:shd w:val="clear" w:color="auto" w:fill="FFFFFF"/>
        </w:rPr>
        <w:t>. [Online]. Simply Psychology. Last Updated: 16th May 2025. Available at: https://www.simplypsychology.org/qualitative-quantitative.html [Accessed 26 May 2025].</w:t>
      </w:r>
    </w:p>
    <w:p w14:paraId="4323B339" w14:textId="77777777" w:rsidR="001B2B79"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Nalen, C. (2023). </w:t>
      </w:r>
      <w:r w:rsidRPr="002E3388">
        <w:rPr>
          <w:rFonts w:ascii="Calibri" w:hAnsi="Calibri" w:cs="Calibri"/>
          <w:i/>
          <w:iCs/>
          <w:color w:val="000000" w:themeColor="text1"/>
        </w:rPr>
        <w:t>5 Reasons why your abstract is important.</w:t>
      </w:r>
      <w:r w:rsidRPr="002E3388">
        <w:rPr>
          <w:rFonts w:ascii="Calibri" w:hAnsi="Calibri" w:cs="Calibri"/>
          <w:color w:val="000000" w:themeColor="text1"/>
          <w:shd w:val="clear" w:color="auto" w:fill="FFFFFF"/>
        </w:rPr>
        <w:t>. [Online]. AJE. Last Updated: 24th August 2023. Available at: https://www.aje.com/arc/why-your-abstract-is-important/ [Accessed 26 May 2025].</w:t>
      </w:r>
    </w:p>
    <w:p w14:paraId="4B9F6374" w14:textId="77777777" w:rsidR="00040534"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office for health improvement and disparities. (2020). </w:t>
      </w:r>
      <w:r w:rsidRPr="002E3388">
        <w:rPr>
          <w:rFonts w:ascii="Calibri" w:hAnsi="Calibri" w:cs="Calibri"/>
          <w:i/>
          <w:iCs/>
          <w:color w:val="000000" w:themeColor="text1"/>
        </w:rPr>
        <w:t>Focus Group Study: qualitative studies.</w:t>
      </w:r>
      <w:r w:rsidRPr="002E3388">
        <w:rPr>
          <w:rFonts w:ascii="Calibri" w:hAnsi="Calibri" w:cs="Calibri"/>
          <w:color w:val="000000" w:themeColor="text1"/>
          <w:shd w:val="clear" w:color="auto" w:fill="FFFFFF"/>
        </w:rPr>
        <w:t>. [Online]. gov.uk. Last Updated: 30th January 2020. Available at: https://www.gov.uk/guidance/focus-group-study-qualitative-studies#:~:text=Benefits%20include%3A,prof [Accessed 24 May 2025].</w:t>
      </w:r>
    </w:p>
    <w:p w14:paraId="3CB73980" w14:textId="77777777" w:rsidR="00836F97"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Oxford BROOKES University. (2024). </w:t>
      </w:r>
      <w:r w:rsidRPr="002E3388">
        <w:rPr>
          <w:rFonts w:ascii="Calibri" w:hAnsi="Calibri" w:cs="Calibri"/>
          <w:i/>
          <w:iCs/>
          <w:color w:val="000000" w:themeColor="text1"/>
        </w:rPr>
        <w:t>Appendices</w:t>
      </w:r>
      <w:r w:rsidRPr="002E3388">
        <w:rPr>
          <w:rFonts w:ascii="Calibri" w:hAnsi="Calibri" w:cs="Calibri"/>
          <w:color w:val="000000" w:themeColor="text1"/>
          <w:shd w:val="clear" w:color="auto" w:fill="FFFFFF"/>
        </w:rPr>
        <w:t>. [Online]. Oxford BROOKES University. Last Updated: unknown. Available at: https://www.brookes.ac.uk/students/academic-development/online-resources/appendices [Accessed 26 May 2025].</w:t>
      </w:r>
    </w:p>
    <w:p w14:paraId="5C25AD9A" w14:textId="77777777" w:rsidR="00BF57E2" w:rsidRPr="002E3388" w:rsidRDefault="002264C4" w:rsidP="002E3388">
      <w:pPr>
        <w:spacing w:line="360" w:lineRule="auto"/>
        <w:rPr>
          <w:rFonts w:ascii="Calibri" w:hAnsi="Calibri" w:cs="Calibri"/>
          <w:color w:val="000000" w:themeColor="text1"/>
        </w:rPr>
      </w:pPr>
      <w:r w:rsidRPr="002E3388">
        <w:rPr>
          <w:rFonts w:ascii="Calibri" w:hAnsi="Calibri" w:cs="Calibri"/>
          <w:i/>
          <w:iCs/>
          <w:color w:val="000000" w:themeColor="text1"/>
          <w:shd w:val="clear" w:color="auto" w:fill="FFFFFF"/>
        </w:rPr>
        <w:t xml:space="preserve">The good, the bad, the ugly. </w:t>
      </w:r>
      <w:r w:rsidRPr="002E3388">
        <w:rPr>
          <w:rFonts w:ascii="Calibri" w:hAnsi="Calibri" w:cs="Calibri"/>
          <w:color w:val="000000" w:themeColor="text1"/>
          <w:shd w:val="clear" w:color="auto" w:fill="FFFFFF"/>
        </w:rPr>
        <w:t>(1966</w:t>
      </w:r>
      <w:r w:rsidR="00FB40D1" w:rsidRPr="002E3388">
        <w:rPr>
          <w:rFonts w:ascii="Calibri" w:hAnsi="Calibri" w:cs="Calibri"/>
          <w:color w:val="000000" w:themeColor="text1"/>
          <w:shd w:val="clear" w:color="auto" w:fill="FFFFFF"/>
        </w:rPr>
        <w:t xml:space="preserve">). Directed by, Sergio Leone. DVD. Spain. </w:t>
      </w:r>
    </w:p>
    <w:p w14:paraId="2C81DF70" w14:textId="77777777" w:rsidR="004772C0"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O'Reilly, M. (2020). Social media and adolescent mental health: the good, the bad and the ugly.. </w:t>
      </w:r>
      <w:r w:rsidRPr="002E3388">
        <w:rPr>
          <w:rFonts w:ascii="Calibri" w:hAnsi="Calibri" w:cs="Calibri"/>
          <w:i/>
          <w:iCs/>
          <w:color w:val="000000" w:themeColor="text1"/>
        </w:rPr>
        <w:t>Journal of Mental Health</w:t>
      </w:r>
      <w:r w:rsidRPr="002E3388">
        <w:rPr>
          <w:rFonts w:ascii="Calibri" w:hAnsi="Calibri" w:cs="Calibri"/>
          <w:color w:val="000000" w:themeColor="text1"/>
          <w:shd w:val="clear" w:color="auto" w:fill="FFFFFF"/>
        </w:rPr>
        <w:t>. 29(2), pp.200-206. [Online]. Available at: https://doi.org/10.1080/09638237.2020.1714007 [Accessed 10 May 2025].</w:t>
      </w:r>
    </w:p>
    <w:p w14:paraId="0D659426" w14:textId="77777777" w:rsidR="003F0743"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lastRenderedPageBreak/>
        <w:t>Proofed. (2017). </w:t>
      </w:r>
      <w:r w:rsidRPr="002E3388">
        <w:rPr>
          <w:rFonts w:ascii="Calibri" w:hAnsi="Calibri" w:cs="Calibri"/>
          <w:i/>
          <w:iCs/>
          <w:color w:val="000000" w:themeColor="text1"/>
        </w:rPr>
        <w:t>The Appendix (How to Use One in an Essay).</w:t>
      </w:r>
      <w:r w:rsidRPr="002E3388">
        <w:rPr>
          <w:rFonts w:ascii="Calibri" w:hAnsi="Calibri" w:cs="Calibri"/>
          <w:color w:val="000000" w:themeColor="text1"/>
          <w:shd w:val="clear" w:color="auto" w:fill="FFFFFF"/>
        </w:rPr>
        <w:t>. [Online]. Proofed. Last Updated: 30th March 2017. Available at: https://proofed.co.uk/writing-tips/the-appendix-how-and-when-to-use-one-in-an-essay/#:~:text=An%20ap [Accessed 24 May 2025].</w:t>
      </w:r>
    </w:p>
    <w:p w14:paraId="0CF11BB9" w14:textId="77777777" w:rsidR="00B86A99"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Sacred Heart University. (2024). </w:t>
      </w:r>
      <w:r w:rsidRPr="002E3388">
        <w:rPr>
          <w:rFonts w:ascii="Calibri" w:hAnsi="Calibri" w:cs="Calibri"/>
          <w:i/>
          <w:iCs/>
          <w:color w:val="000000" w:themeColor="text1"/>
        </w:rPr>
        <w:t>Organising Academic Research Papers: 9. The Conclusion</w:t>
      </w:r>
      <w:r w:rsidRPr="002E3388">
        <w:rPr>
          <w:rFonts w:ascii="Calibri" w:hAnsi="Calibri" w:cs="Calibri"/>
          <w:color w:val="000000" w:themeColor="text1"/>
          <w:shd w:val="clear" w:color="auto" w:fill="FFFFFF"/>
        </w:rPr>
        <w:t>. [Online]. Sacred Heart University Library. Last Updated: Unknown. Available at: https://library.sacredheart.edu/c.php?g=29803&amp;p=185935 [Accessed 25 May 2025].</w:t>
      </w:r>
    </w:p>
    <w:p w14:paraId="18C1383D" w14:textId="77777777" w:rsidR="00B86A99"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Science for Georgia. (2025). </w:t>
      </w:r>
      <w:r w:rsidRPr="002E3388">
        <w:rPr>
          <w:rFonts w:ascii="Calibri" w:hAnsi="Calibri" w:cs="Calibri"/>
          <w:i/>
          <w:iCs/>
          <w:color w:val="000000" w:themeColor="text1"/>
        </w:rPr>
        <w:t>Ethics in social sciences</w:t>
      </w:r>
      <w:r w:rsidRPr="002E3388">
        <w:rPr>
          <w:rFonts w:ascii="Calibri" w:hAnsi="Calibri" w:cs="Calibri"/>
          <w:color w:val="000000" w:themeColor="text1"/>
          <w:shd w:val="clear" w:color="auto" w:fill="FFFFFF"/>
        </w:rPr>
        <w:t>. [Online]. Science for Georgia. Last Updated: unknown. Available at: https://scienceforgeorgia.org/knowledge-base1/ethics-in-social-sciences/ [Accessed 26 May 2025].</w:t>
      </w:r>
    </w:p>
    <w:p w14:paraId="47974032" w14:textId="77777777" w:rsidR="00B41367"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Smith, Dr M. (2024). </w:t>
      </w:r>
      <w:r w:rsidRPr="002E3388">
        <w:rPr>
          <w:rFonts w:ascii="Calibri" w:hAnsi="Calibri" w:cs="Calibri"/>
          <w:i/>
          <w:iCs/>
          <w:color w:val="000000" w:themeColor="text1"/>
        </w:rPr>
        <w:t>how to structure a research paper.</w:t>
      </w:r>
      <w:r w:rsidRPr="002E3388">
        <w:rPr>
          <w:rFonts w:ascii="Calibri" w:hAnsi="Calibri" w:cs="Calibri"/>
          <w:color w:val="000000" w:themeColor="text1"/>
          <w:shd w:val="clear" w:color="auto" w:fill="FFFFFF"/>
        </w:rPr>
        <w:t>. [Online]. blainy. Last Updated: 8th August 2024. Available at: https://blainy.com/research-paper-structure/ [Accessed 26 May 2025].</w:t>
      </w:r>
    </w:p>
    <w:p w14:paraId="1086954F" w14:textId="77777777" w:rsidR="00E254B1"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University of GUELPH. (2025). </w:t>
      </w:r>
      <w:r w:rsidRPr="002E3388">
        <w:rPr>
          <w:rFonts w:ascii="Calibri" w:hAnsi="Calibri" w:cs="Calibri"/>
          <w:i/>
          <w:iCs/>
          <w:color w:val="000000" w:themeColor="text1"/>
        </w:rPr>
        <w:t>Write Clearly: Using Evidence Effectively.</w:t>
      </w:r>
      <w:r w:rsidRPr="002E3388">
        <w:rPr>
          <w:rFonts w:ascii="Calibri" w:hAnsi="Calibri" w:cs="Calibri"/>
          <w:color w:val="000000" w:themeColor="text1"/>
          <w:shd w:val="clear" w:color="auto" w:fill="FFFFFF"/>
        </w:rPr>
        <w:t>. [Online]. University of GUELPH. Last Updated: 23rd April 2025. Available at: https://guides.lib.uoguelph.ca/UseEvidenceEffectively#:~:text=Think%20of%20evidence%20as%20the,or%20 [Accessed 24 May 2025].</w:t>
      </w:r>
    </w:p>
    <w:p w14:paraId="161AB4B2" w14:textId="77777777" w:rsidR="00E254B1"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nnovationUK Research and Innovation. (2024). </w:t>
      </w:r>
      <w:r w:rsidRPr="002E3388">
        <w:rPr>
          <w:rFonts w:ascii="Calibri" w:hAnsi="Calibri" w:cs="Calibri"/>
          <w:i/>
          <w:iCs/>
          <w:color w:val="000000" w:themeColor="text1"/>
        </w:rPr>
        <w:t>Understanding health research</w:t>
      </w:r>
      <w:r w:rsidRPr="002E3388">
        <w:rPr>
          <w:rFonts w:ascii="Calibri" w:hAnsi="Calibri" w:cs="Calibri"/>
          <w:color w:val="000000" w:themeColor="text1"/>
          <w:shd w:val="clear" w:color="auto" w:fill="FFFFFF"/>
        </w:rPr>
        <w:t>. [Online]. UK Research and Innovation. Last Updated: 11th July 2024. Available at: https://www.ukri.org/councils/mrc/facilities-and-resources/find-an-mrc-facility-or-resource/mrc-regu [Accessed 26 May 2025].</w:t>
      </w:r>
    </w:p>
    <w:p w14:paraId="1992BE99" w14:textId="77777777" w:rsidR="005573D7"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 xml:space="preserve">Weir, K. (2023). Social media brings benefits and risks to teens. Psychology can help identify a path forward. </w:t>
      </w:r>
      <w:r w:rsidRPr="002E3388">
        <w:rPr>
          <w:rFonts w:ascii="Calibri" w:hAnsi="Calibri" w:cs="Calibri"/>
          <w:i/>
          <w:iCs/>
          <w:color w:val="000000" w:themeColor="text1"/>
        </w:rPr>
        <w:t>American Psychological Association</w:t>
      </w:r>
      <w:r w:rsidRPr="002E3388">
        <w:rPr>
          <w:rFonts w:ascii="Calibri" w:hAnsi="Calibri" w:cs="Calibri"/>
          <w:color w:val="000000" w:themeColor="text1"/>
          <w:shd w:val="clear" w:color="auto" w:fill="FFFFFF"/>
        </w:rPr>
        <w:t>. 54(6), p.46. [Online]. Available at: https://www.apa.org/monitor/2023/09/protecting-teens-on-social-media [Accessed 23 May 2025].</w:t>
      </w:r>
    </w:p>
    <w:p w14:paraId="2DA6B452" w14:textId="77777777" w:rsidR="001B5A36"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World Health Organisation (WHO). (2024). </w:t>
      </w:r>
      <w:r w:rsidRPr="002E3388">
        <w:rPr>
          <w:rFonts w:ascii="Calibri" w:hAnsi="Calibri" w:cs="Calibri"/>
          <w:i/>
          <w:iCs/>
          <w:color w:val="000000" w:themeColor="text1"/>
        </w:rPr>
        <w:t>Ensuring ethical standards and procedures for research with human beings.</w:t>
      </w:r>
      <w:r w:rsidRPr="002E3388">
        <w:rPr>
          <w:rFonts w:ascii="Calibri" w:hAnsi="Calibri" w:cs="Calibri"/>
          <w:color w:val="000000" w:themeColor="text1"/>
          <w:shd w:val="clear" w:color="auto" w:fill="FFFFFF"/>
        </w:rPr>
        <w:t>. [Online]. World Health Organisation. Last Updated: unknown. Available at: https://www.who.int/activities/ensuring-ethical-standards-and-procedures-for-research-with-human-bei [Accessed 26 May 2025].</w:t>
      </w:r>
    </w:p>
    <w:p w14:paraId="6F60853A" w14:textId="77777777" w:rsidR="00120035"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lastRenderedPageBreak/>
        <w:t>Yang, H. (2021). </w:t>
      </w:r>
      <w:r w:rsidRPr="002E3388">
        <w:rPr>
          <w:rFonts w:ascii="Calibri" w:hAnsi="Calibri" w:cs="Calibri"/>
          <w:i/>
          <w:iCs/>
          <w:color w:val="000000" w:themeColor="text1"/>
        </w:rPr>
        <w:t>Subjective vs Objective: What's the difference?</w:t>
      </w:r>
      <w:r w:rsidRPr="002E3388">
        <w:rPr>
          <w:rFonts w:ascii="Calibri" w:hAnsi="Calibri" w:cs="Calibri"/>
          <w:color w:val="000000" w:themeColor="text1"/>
          <w:shd w:val="clear" w:color="auto" w:fill="FFFFFF"/>
        </w:rPr>
        <w:t>. [Online]. pro writing aid. Last Updated: 9th December 2021. Available at: https://prowritingaid.com/subjective-vs-objective [Accessed 24 May 2025]</w:t>
      </w:r>
    </w:p>
    <w:p w14:paraId="64E4014C" w14:textId="77777777" w:rsidR="000B33DE" w:rsidRPr="002E3388" w:rsidRDefault="000B33DE" w:rsidP="002E3388">
      <w:pPr>
        <w:spacing w:line="360" w:lineRule="auto"/>
        <w:rPr>
          <w:rFonts w:ascii="Calibri" w:hAnsi="Calibri" w:cs="Calibri"/>
          <w:color w:val="000000" w:themeColor="text1"/>
        </w:rPr>
      </w:pPr>
    </w:p>
    <w:p w14:paraId="1A12AAEF" w14:textId="77777777" w:rsidR="00F92DBB" w:rsidRPr="002E3388" w:rsidRDefault="00F92DBB" w:rsidP="002E3388">
      <w:pPr>
        <w:spacing w:line="360" w:lineRule="auto"/>
        <w:rPr>
          <w:rFonts w:ascii="Calibri" w:hAnsi="Calibri" w:cs="Calibri"/>
          <w:color w:val="000000" w:themeColor="text1"/>
        </w:rPr>
      </w:pPr>
    </w:p>
    <w:p w14:paraId="593462FF" w14:textId="77777777" w:rsidR="00120035" w:rsidRPr="002E3388" w:rsidRDefault="00120035" w:rsidP="002E3388">
      <w:pPr>
        <w:spacing w:line="360" w:lineRule="auto"/>
        <w:rPr>
          <w:rFonts w:ascii="Calibri" w:hAnsi="Calibri" w:cs="Calibri"/>
          <w:color w:val="000000" w:themeColor="text1"/>
        </w:rPr>
      </w:pPr>
    </w:p>
    <w:p w14:paraId="49C6B81D" w14:textId="77777777" w:rsidR="00120035"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br w:type="page"/>
      </w:r>
    </w:p>
    <w:p w14:paraId="67920474" w14:textId="77777777" w:rsidR="008740CD"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lastRenderedPageBreak/>
        <w:t xml:space="preserve">Suicidal ideation in LGBTQ+ youth. </w:t>
      </w:r>
    </w:p>
    <w:p w14:paraId="4472F1F8" w14:textId="15113639" w:rsidR="00F512AA"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 xml:space="preserve">This paper will research why LGBTQ+ (lesbian, gay, bisexual, transgender, queer plus) youth are more susceptible to suicidal ideation and self-harm. </w:t>
      </w:r>
      <w:r w:rsidR="00EA1A13" w:rsidRPr="002E3388">
        <w:rPr>
          <w:rFonts w:ascii="Calibri" w:hAnsi="Calibri" w:cs="Calibri"/>
          <w:color w:val="000000" w:themeColor="text1"/>
        </w:rPr>
        <w:t xml:space="preserve">Johns et al. (2019) found that compared to their classmates, LGBTQ+ youth have a suicide attempt rate that is more than four times higher. </w:t>
      </w:r>
      <w:r w:rsidR="00BD19D4" w:rsidRPr="002E3388">
        <w:rPr>
          <w:rFonts w:ascii="Calibri" w:hAnsi="Calibri" w:cs="Calibri"/>
          <w:color w:val="000000" w:themeColor="text1"/>
        </w:rPr>
        <w:t xml:space="preserve">Kann et al (2018) back up this finding by also stating that LGBTQ+ young people attempt suicide four times more frequently </w:t>
      </w:r>
      <w:r w:rsidR="00A24B89" w:rsidRPr="002E3388">
        <w:rPr>
          <w:rFonts w:ascii="Calibri" w:hAnsi="Calibri" w:cs="Calibri"/>
          <w:color w:val="000000" w:themeColor="text1"/>
        </w:rPr>
        <w:t>than</w:t>
      </w:r>
      <w:r w:rsidR="00BD19D4" w:rsidRPr="002E3388">
        <w:rPr>
          <w:rFonts w:ascii="Calibri" w:hAnsi="Calibri" w:cs="Calibri"/>
          <w:color w:val="000000" w:themeColor="text1"/>
        </w:rPr>
        <w:t xml:space="preserve"> their straight and cisgender classmates.</w:t>
      </w:r>
      <w:r w:rsidR="00EA1A13" w:rsidRPr="002E3388">
        <w:rPr>
          <w:rFonts w:ascii="Calibri" w:hAnsi="Calibri" w:cs="Calibri"/>
          <w:color w:val="000000" w:themeColor="text1"/>
        </w:rPr>
        <w:t xml:space="preserve"> Clayton (2020) found that, according to several reports, the LGBTQ+ community in the UK may be more likely to suffer from common mental health issues such as anxiety and depression. 52% of LGBTQ+ individuals reported self-harming, compared to 35% of heterosexual non-trans youth, according to a Youth Chances (2016) study.</w:t>
      </w:r>
      <w:r w:rsidR="00843E4C" w:rsidRPr="002E3388">
        <w:rPr>
          <w:rFonts w:ascii="Calibri" w:hAnsi="Calibri" w:cs="Calibri"/>
          <w:color w:val="000000" w:themeColor="text1"/>
        </w:rPr>
        <w:t xml:space="preserve"> </w:t>
      </w:r>
      <w:r w:rsidR="00781C9C">
        <w:rPr>
          <w:rFonts w:ascii="Calibri" w:hAnsi="Calibri" w:cs="Calibri"/>
          <w:color w:val="000000" w:themeColor="text1"/>
        </w:rPr>
        <w:t xml:space="preserve">The deliberate harming of one’s own body without suicidal intent and for non-socially or culturally acceptable reasons is known as non-suicidal self-injury (NSSI) or simply self-harm (Klonsky et al, 2014). Bruising, scraping, or cutting oneself are examples of non-suicidal self-harm. Intrapersonal (pertaining to oneself or one’s internal condition) or interpersonal (pertaining to one’s connections with others) factors are frequently the driving forces behind self-harm ( International Society for the Study of Self-injury, 2022). </w:t>
      </w:r>
      <w:r w:rsidR="00F512AA">
        <w:rPr>
          <w:rFonts w:ascii="Calibri" w:hAnsi="Calibri" w:cs="Calibri"/>
          <w:color w:val="000000" w:themeColor="text1"/>
        </w:rPr>
        <w:t xml:space="preserve">Quarshie, (2020) found that compared to the heterosexual group (23%) the LGBTQ+ group had a higher lifetime prevalence estimate of self-harm (47%). Compared to the heterosexual group (18%), the LGBTQ+ group reported a greater rate of self-harm within the preceding 12 months (45%). </w:t>
      </w:r>
    </w:p>
    <w:p w14:paraId="67C1C0C3" w14:textId="6730567D" w:rsidR="008740CD" w:rsidRPr="002E3388" w:rsidRDefault="00843E4C" w:rsidP="002E3388">
      <w:pPr>
        <w:spacing w:line="360" w:lineRule="auto"/>
        <w:rPr>
          <w:rFonts w:ascii="Calibri" w:hAnsi="Calibri" w:cs="Calibri"/>
          <w:color w:val="000000" w:themeColor="text1"/>
        </w:rPr>
      </w:pPr>
      <w:r w:rsidRPr="002E3388">
        <w:rPr>
          <w:rFonts w:ascii="Calibri" w:hAnsi="Calibri" w:cs="Calibri"/>
          <w:color w:val="000000" w:themeColor="text1"/>
        </w:rPr>
        <w:t xml:space="preserve">Meyer's minority stress hypothesis has been used to explain why mental health issues are so common among LGBTQ+ people. According to this view, the increased incidence of mental health problems in this demographic is caused by stigma, prejudice, and discrimination (minority stress) connected to being a sexual minority (Jadva et al., 2023). </w:t>
      </w:r>
      <w:r w:rsidR="00B03313" w:rsidRPr="002E3388">
        <w:rPr>
          <w:rFonts w:ascii="Calibri" w:hAnsi="Calibri" w:cs="Calibri"/>
          <w:color w:val="000000" w:themeColor="text1"/>
        </w:rPr>
        <w:t>This topic is important because it helps people understand the experiences of LGBTQ+ youth</w:t>
      </w:r>
      <w:r w:rsidR="00E1128C" w:rsidRPr="002E3388">
        <w:rPr>
          <w:rFonts w:ascii="Calibri" w:hAnsi="Calibri" w:cs="Calibri"/>
          <w:color w:val="000000" w:themeColor="text1"/>
        </w:rPr>
        <w:t xml:space="preserve">. I asked the young people if they knew how high the suicide rates were among LGBTQ+ young people, and they did not. When I asked if they wanted to know more information and take part in a research paper about the suicide rates of LGBTQ+ youth, they said yes. </w:t>
      </w:r>
    </w:p>
    <w:p w14:paraId="0F0CE4E4" w14:textId="77777777" w:rsidR="00B13DF0"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 xml:space="preserve">Aims and objectives </w:t>
      </w:r>
    </w:p>
    <w:p w14:paraId="7CB5AF74" w14:textId="77777777" w:rsidR="00B13DF0"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 xml:space="preserve">The main aim of this research paper is to investigate why LGBTQ+ youth are more likely to suffer from mental health conditions and suicidal ideation. This will be achieved by using </w:t>
      </w:r>
      <w:r w:rsidRPr="002E3388">
        <w:rPr>
          <w:rFonts w:ascii="Calibri" w:hAnsi="Calibri" w:cs="Calibri"/>
          <w:color w:val="000000" w:themeColor="text1"/>
        </w:rPr>
        <w:lastRenderedPageBreak/>
        <w:t xml:space="preserve">focus groups of </w:t>
      </w:r>
      <w:r w:rsidR="00843E4C" w:rsidRPr="002E3388">
        <w:rPr>
          <w:rFonts w:ascii="Calibri" w:hAnsi="Calibri" w:cs="Calibri"/>
          <w:color w:val="000000" w:themeColor="text1"/>
        </w:rPr>
        <w:t xml:space="preserve">8 </w:t>
      </w:r>
      <w:r w:rsidRPr="002E3388">
        <w:rPr>
          <w:rFonts w:ascii="Calibri" w:hAnsi="Calibri" w:cs="Calibri"/>
          <w:color w:val="000000" w:themeColor="text1"/>
        </w:rPr>
        <w:t xml:space="preserve">young people aged between 15 and 20 who identify as LGBTQ+ from different areas around Wales. </w:t>
      </w:r>
    </w:p>
    <w:p w14:paraId="6118F0EC" w14:textId="77777777" w:rsidR="00B13DF0" w:rsidRPr="002E3388" w:rsidRDefault="002264C4" w:rsidP="002E3388">
      <w:pPr>
        <w:pStyle w:val="ListParagraph"/>
        <w:numPr>
          <w:ilvl w:val="0"/>
          <w:numId w:val="5"/>
        </w:numPr>
        <w:spacing w:line="360" w:lineRule="auto"/>
        <w:rPr>
          <w:rFonts w:ascii="Calibri" w:hAnsi="Calibri" w:cs="Calibri"/>
          <w:color w:val="000000" w:themeColor="text1"/>
        </w:rPr>
      </w:pPr>
      <w:r w:rsidRPr="002E3388">
        <w:rPr>
          <w:rFonts w:ascii="Calibri" w:hAnsi="Calibri" w:cs="Calibri"/>
          <w:color w:val="000000" w:themeColor="text1"/>
        </w:rPr>
        <w:t xml:space="preserve">Discover why LGBTQ+ youth are more likely to attempt suicide than their cisgender counterparts. </w:t>
      </w:r>
    </w:p>
    <w:p w14:paraId="14DF6A46" w14:textId="77777777" w:rsidR="00BD19D4" w:rsidRPr="002E3388" w:rsidRDefault="002264C4" w:rsidP="002E3388">
      <w:pPr>
        <w:pStyle w:val="ListParagraph"/>
        <w:numPr>
          <w:ilvl w:val="0"/>
          <w:numId w:val="5"/>
        </w:numPr>
        <w:spacing w:line="360" w:lineRule="auto"/>
        <w:rPr>
          <w:rFonts w:ascii="Calibri" w:hAnsi="Calibri" w:cs="Calibri"/>
          <w:color w:val="000000" w:themeColor="text1"/>
        </w:rPr>
      </w:pPr>
      <w:r w:rsidRPr="002E3388">
        <w:rPr>
          <w:rFonts w:ascii="Calibri" w:hAnsi="Calibri" w:cs="Calibri"/>
          <w:color w:val="000000" w:themeColor="text1"/>
        </w:rPr>
        <w:t xml:space="preserve">To explore ways to help LGBTQ+ youth </w:t>
      </w:r>
      <w:r w:rsidR="00843E4C" w:rsidRPr="002E3388">
        <w:rPr>
          <w:rFonts w:ascii="Calibri" w:hAnsi="Calibri" w:cs="Calibri"/>
          <w:color w:val="000000" w:themeColor="text1"/>
        </w:rPr>
        <w:t>control and maintain their mental health</w:t>
      </w:r>
      <w:r w:rsidRPr="002E3388">
        <w:rPr>
          <w:rFonts w:ascii="Calibri" w:hAnsi="Calibri" w:cs="Calibri"/>
          <w:color w:val="000000" w:themeColor="text1"/>
        </w:rPr>
        <w:t xml:space="preserve">. </w:t>
      </w:r>
    </w:p>
    <w:p w14:paraId="59FCBF6B" w14:textId="77777777" w:rsidR="00B13DF0" w:rsidRPr="002E3388" w:rsidRDefault="00B13DF0" w:rsidP="002E3388">
      <w:pPr>
        <w:spacing w:line="360" w:lineRule="auto"/>
        <w:rPr>
          <w:rFonts w:ascii="Calibri" w:hAnsi="Calibri" w:cs="Calibri"/>
          <w:color w:val="000000" w:themeColor="text1"/>
        </w:rPr>
      </w:pPr>
    </w:p>
    <w:p w14:paraId="50484A5B" w14:textId="77777777" w:rsidR="00B03313"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Methods used</w:t>
      </w:r>
      <w:r w:rsidR="00B13DF0" w:rsidRPr="002E3388">
        <w:rPr>
          <w:rFonts w:ascii="Calibri" w:hAnsi="Calibri" w:cs="Calibri"/>
          <w:color w:val="000000" w:themeColor="text1"/>
        </w:rPr>
        <w:t>.</w:t>
      </w:r>
    </w:p>
    <w:p w14:paraId="005960C6" w14:textId="77777777" w:rsidR="00B03313"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 xml:space="preserve">The research method used was focus groups. Focus groups are a type of qualitative study (Leung, 2009). Focus groups have the benefit of </w:t>
      </w:r>
      <w:r w:rsidR="00346D94" w:rsidRPr="002E3388">
        <w:rPr>
          <w:rFonts w:ascii="Calibri" w:hAnsi="Calibri" w:cs="Calibri"/>
          <w:color w:val="000000" w:themeColor="text1"/>
        </w:rPr>
        <w:t>producing</w:t>
      </w:r>
      <w:r w:rsidRPr="002E3388">
        <w:rPr>
          <w:rFonts w:ascii="Calibri" w:hAnsi="Calibri" w:cs="Calibri"/>
          <w:color w:val="000000" w:themeColor="text1"/>
        </w:rPr>
        <w:t xml:space="preserve"> rich, detailed data </w:t>
      </w:r>
      <w:r w:rsidR="00346D94" w:rsidRPr="002E3388">
        <w:rPr>
          <w:rFonts w:ascii="Calibri" w:hAnsi="Calibri" w:cs="Calibri"/>
          <w:color w:val="000000" w:themeColor="text1"/>
        </w:rPr>
        <w:t xml:space="preserve">that </w:t>
      </w:r>
      <w:r w:rsidRPr="002E3388">
        <w:rPr>
          <w:rFonts w:ascii="Calibri" w:hAnsi="Calibri" w:cs="Calibri"/>
          <w:color w:val="000000" w:themeColor="text1"/>
        </w:rPr>
        <w:t xml:space="preserve">the quantitative approaches can miss. It allows information to be obtained that </w:t>
      </w:r>
      <w:r w:rsidR="00346D94" w:rsidRPr="002E3388">
        <w:rPr>
          <w:rFonts w:ascii="Calibri" w:hAnsi="Calibri" w:cs="Calibri"/>
          <w:color w:val="000000" w:themeColor="text1"/>
        </w:rPr>
        <w:t xml:space="preserve">is frequently overlooked by surveys and other data-driven techniques (Stanat, 2024). </w:t>
      </w:r>
      <w:r w:rsidR="00E1128C" w:rsidRPr="002E3388">
        <w:rPr>
          <w:rFonts w:ascii="Calibri" w:hAnsi="Calibri" w:cs="Calibri"/>
          <w:color w:val="000000" w:themeColor="text1"/>
        </w:rPr>
        <w:t xml:space="preserve">I will be the moderator for the focus groups. I will ensure that everyone has the opportunity to speak freely without fear of judgment. For the focus groups, I have chosen to have 10 LGBTQ+ identifying young people from the same area. I have conducted three focus groups in three different regions of Wales. </w:t>
      </w:r>
      <w:r w:rsidR="00F15A90" w:rsidRPr="002E3388">
        <w:rPr>
          <w:rFonts w:ascii="Calibri" w:hAnsi="Calibri" w:cs="Calibri"/>
          <w:color w:val="000000" w:themeColor="text1"/>
        </w:rPr>
        <w:t>I developed a set of open-ended questions that encouraged a discussion in the focus group</w:t>
      </w:r>
      <w:r w:rsidR="00485787" w:rsidRPr="002E3388">
        <w:rPr>
          <w:rFonts w:ascii="Calibri" w:hAnsi="Calibri" w:cs="Calibri"/>
          <w:color w:val="000000" w:themeColor="text1"/>
        </w:rPr>
        <w:t xml:space="preserve">. A participant can decide what to give and how much detail to provide in response to open-ended enquiries, which promotes subject inquiry. Instead of responding with a single word or brief phrase, participants are urged to provide a well-reasoned response (Rosala, 2024). </w:t>
      </w:r>
      <w:r w:rsidR="00FC7AE9" w:rsidRPr="002E3388">
        <w:rPr>
          <w:rFonts w:ascii="Calibri" w:hAnsi="Calibri" w:cs="Calibri"/>
          <w:color w:val="000000" w:themeColor="text1"/>
        </w:rPr>
        <w:t xml:space="preserve">The open-ended questions that I used in the focus groups are </w:t>
      </w:r>
    </w:p>
    <w:p w14:paraId="7FE24BFD" w14:textId="77777777" w:rsidR="00D86946" w:rsidRPr="002E3388" w:rsidRDefault="002264C4" w:rsidP="002E3388">
      <w:pPr>
        <w:pStyle w:val="ListParagraph"/>
        <w:numPr>
          <w:ilvl w:val="0"/>
          <w:numId w:val="6"/>
        </w:numPr>
        <w:spacing w:line="360" w:lineRule="auto"/>
        <w:rPr>
          <w:rFonts w:ascii="Calibri" w:hAnsi="Calibri" w:cs="Calibri"/>
          <w:color w:val="000000" w:themeColor="text1"/>
        </w:rPr>
      </w:pPr>
      <w:r w:rsidRPr="002E3388">
        <w:rPr>
          <w:rFonts w:ascii="Calibri" w:hAnsi="Calibri" w:cs="Calibri"/>
          <w:color w:val="000000" w:themeColor="text1"/>
        </w:rPr>
        <w:t>Do you think that LGBTQ+ young people suffer more with their mental health than Cisgendered young people, and if so, why?</w:t>
      </w:r>
    </w:p>
    <w:p w14:paraId="278A34BB" w14:textId="77777777" w:rsidR="00D86946" w:rsidRPr="002E3388" w:rsidRDefault="002264C4" w:rsidP="002E3388">
      <w:pPr>
        <w:pStyle w:val="ListParagraph"/>
        <w:numPr>
          <w:ilvl w:val="0"/>
          <w:numId w:val="6"/>
        </w:numPr>
        <w:spacing w:line="360" w:lineRule="auto"/>
        <w:rPr>
          <w:rFonts w:ascii="Calibri" w:hAnsi="Calibri" w:cs="Calibri"/>
          <w:color w:val="000000" w:themeColor="text1"/>
        </w:rPr>
      </w:pPr>
      <w:r w:rsidRPr="002E3388">
        <w:rPr>
          <w:rFonts w:ascii="Calibri" w:hAnsi="Calibri" w:cs="Calibri"/>
          <w:color w:val="000000" w:themeColor="text1"/>
        </w:rPr>
        <w:t xml:space="preserve">What percentage of LGBTQ+ youth do you think have tried to take their life? </w:t>
      </w:r>
    </w:p>
    <w:p w14:paraId="7C15A98B" w14:textId="77777777" w:rsidR="00D86946" w:rsidRPr="002E3388" w:rsidRDefault="002264C4" w:rsidP="002E3388">
      <w:pPr>
        <w:pStyle w:val="ListParagraph"/>
        <w:numPr>
          <w:ilvl w:val="0"/>
          <w:numId w:val="6"/>
        </w:numPr>
        <w:spacing w:line="360" w:lineRule="auto"/>
        <w:rPr>
          <w:rFonts w:ascii="Calibri" w:hAnsi="Calibri" w:cs="Calibri"/>
          <w:color w:val="000000" w:themeColor="text1"/>
        </w:rPr>
      </w:pPr>
      <w:r w:rsidRPr="002E3388">
        <w:rPr>
          <w:rFonts w:ascii="Calibri" w:hAnsi="Calibri" w:cs="Calibri"/>
          <w:color w:val="000000" w:themeColor="text1"/>
        </w:rPr>
        <w:t xml:space="preserve">What percentage of LGBTQ+ youth do you think have self-harmed? </w:t>
      </w:r>
    </w:p>
    <w:p w14:paraId="661641DD" w14:textId="77777777" w:rsidR="00D86946" w:rsidRPr="002E3388" w:rsidRDefault="002264C4" w:rsidP="002E3388">
      <w:pPr>
        <w:pStyle w:val="ListParagraph"/>
        <w:numPr>
          <w:ilvl w:val="0"/>
          <w:numId w:val="6"/>
        </w:numPr>
        <w:spacing w:line="360" w:lineRule="auto"/>
        <w:rPr>
          <w:rFonts w:ascii="Calibri" w:hAnsi="Calibri" w:cs="Calibri"/>
          <w:color w:val="000000" w:themeColor="text1"/>
        </w:rPr>
      </w:pPr>
      <w:r w:rsidRPr="002E3388">
        <w:rPr>
          <w:rFonts w:ascii="Calibri" w:hAnsi="Calibri" w:cs="Calibri"/>
          <w:color w:val="000000" w:themeColor="text1"/>
        </w:rPr>
        <w:t>Do you feel comfortable sharing if you have had thoughts of suicide or self-harming?</w:t>
      </w:r>
    </w:p>
    <w:p w14:paraId="7EE9AB99" w14:textId="77777777" w:rsidR="00D86946" w:rsidRPr="002E3388" w:rsidRDefault="002264C4" w:rsidP="002E3388">
      <w:pPr>
        <w:pStyle w:val="ListParagraph"/>
        <w:numPr>
          <w:ilvl w:val="0"/>
          <w:numId w:val="6"/>
        </w:numPr>
        <w:spacing w:line="360" w:lineRule="auto"/>
        <w:rPr>
          <w:rFonts w:ascii="Calibri" w:hAnsi="Calibri" w:cs="Calibri"/>
          <w:color w:val="000000" w:themeColor="text1"/>
        </w:rPr>
      </w:pPr>
      <w:r w:rsidRPr="002E3388">
        <w:rPr>
          <w:rFonts w:ascii="Calibri" w:hAnsi="Calibri" w:cs="Calibri"/>
          <w:color w:val="000000" w:themeColor="text1"/>
        </w:rPr>
        <w:t>Do you feel comfortable sharing if you have ever acted on these thoughts?</w:t>
      </w:r>
    </w:p>
    <w:p w14:paraId="6569177F" w14:textId="77777777" w:rsidR="00D86946" w:rsidRPr="002E3388" w:rsidRDefault="002264C4" w:rsidP="002E3388">
      <w:pPr>
        <w:pStyle w:val="ListParagraph"/>
        <w:numPr>
          <w:ilvl w:val="0"/>
          <w:numId w:val="6"/>
        </w:numPr>
        <w:spacing w:line="360" w:lineRule="auto"/>
        <w:rPr>
          <w:rFonts w:ascii="Calibri" w:hAnsi="Calibri" w:cs="Calibri"/>
          <w:color w:val="000000" w:themeColor="text1"/>
        </w:rPr>
      </w:pPr>
      <w:r w:rsidRPr="002E3388">
        <w:rPr>
          <w:rFonts w:ascii="Calibri" w:hAnsi="Calibri" w:cs="Calibri"/>
          <w:color w:val="000000" w:themeColor="text1"/>
        </w:rPr>
        <w:t>Do you feel that these thoughts were linked to you being LGBTQ+?</w:t>
      </w:r>
    </w:p>
    <w:p w14:paraId="0BB75A5A" w14:textId="77777777" w:rsidR="00AD3E27" w:rsidRPr="002E3388" w:rsidRDefault="002264C4" w:rsidP="002E3388">
      <w:pPr>
        <w:pStyle w:val="ListParagraph"/>
        <w:numPr>
          <w:ilvl w:val="0"/>
          <w:numId w:val="6"/>
        </w:numPr>
        <w:spacing w:line="360" w:lineRule="auto"/>
        <w:rPr>
          <w:rFonts w:ascii="Calibri" w:hAnsi="Calibri" w:cs="Calibri"/>
          <w:color w:val="000000" w:themeColor="text1"/>
        </w:rPr>
      </w:pPr>
      <w:r w:rsidRPr="002E3388">
        <w:rPr>
          <w:rFonts w:ascii="Calibri" w:hAnsi="Calibri" w:cs="Calibri"/>
          <w:color w:val="000000" w:themeColor="text1"/>
        </w:rPr>
        <w:t>Do you feel that the world is more accepting of LGBTQ+ youth now compared to 5 years ago?</w:t>
      </w:r>
    </w:p>
    <w:p w14:paraId="1411E1CD" w14:textId="77777777" w:rsidR="00AD3E27" w:rsidRPr="002E3388" w:rsidRDefault="002264C4" w:rsidP="002E3388">
      <w:pPr>
        <w:pStyle w:val="ListParagraph"/>
        <w:numPr>
          <w:ilvl w:val="0"/>
          <w:numId w:val="6"/>
        </w:numPr>
        <w:spacing w:line="360" w:lineRule="auto"/>
        <w:rPr>
          <w:rFonts w:ascii="Calibri" w:hAnsi="Calibri" w:cs="Calibri"/>
          <w:color w:val="000000" w:themeColor="text1"/>
        </w:rPr>
      </w:pPr>
      <w:r w:rsidRPr="002E3388">
        <w:rPr>
          <w:rFonts w:ascii="Calibri" w:hAnsi="Calibri" w:cs="Calibri"/>
          <w:color w:val="000000" w:themeColor="text1"/>
        </w:rPr>
        <w:t>Do you feel that Pride has a positive impact?</w:t>
      </w:r>
    </w:p>
    <w:p w14:paraId="0D10244E" w14:textId="77777777" w:rsidR="00AD3E27"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lastRenderedPageBreak/>
        <w:t>For each focus group, we met at a youth centre local to them. Whilst there, we used a separate room, and only I and the young people involved in the focus group were in attendance. All participants have given informed consent</w:t>
      </w:r>
      <w:r w:rsidR="00E06EA1" w:rsidRPr="002E3388">
        <w:rPr>
          <w:rFonts w:ascii="Calibri" w:hAnsi="Calibri" w:cs="Calibri"/>
          <w:color w:val="000000" w:themeColor="text1"/>
        </w:rPr>
        <w:t>;</w:t>
      </w:r>
      <w:r w:rsidRPr="002E3388">
        <w:rPr>
          <w:rFonts w:ascii="Calibri" w:hAnsi="Calibri" w:cs="Calibri"/>
          <w:color w:val="000000" w:themeColor="text1"/>
        </w:rPr>
        <w:t xml:space="preserve"> those under 18 had consent forms to be signed by their parents, indicating their consent for participation in the research. </w:t>
      </w:r>
      <w:r w:rsidR="00E06EA1" w:rsidRPr="002E3388">
        <w:rPr>
          <w:rFonts w:ascii="Calibri" w:hAnsi="Calibri" w:cs="Calibri"/>
          <w:color w:val="000000" w:themeColor="text1"/>
        </w:rPr>
        <w:t xml:space="preserve">According to authoritative international criteria, a parental or guardian agreement is required before minors can engage in research (Cheah, 2014). As a thank you to the young people participating, I got them all pizza after all the research was completed. </w:t>
      </w:r>
    </w:p>
    <w:p w14:paraId="3F4D8BF8" w14:textId="77777777" w:rsidR="00B0351F" w:rsidRPr="002E3388" w:rsidRDefault="00B0351F" w:rsidP="002E3388">
      <w:pPr>
        <w:spacing w:line="360" w:lineRule="auto"/>
        <w:rPr>
          <w:rFonts w:ascii="Calibri" w:hAnsi="Calibri" w:cs="Calibri"/>
          <w:color w:val="000000" w:themeColor="text1"/>
        </w:rPr>
      </w:pPr>
    </w:p>
    <w:p w14:paraId="1CFF7573" w14:textId="77777777" w:rsidR="00B03313"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 xml:space="preserve">Ethical issues. </w:t>
      </w:r>
    </w:p>
    <w:p w14:paraId="0F4973C7" w14:textId="77777777" w:rsidR="00E06EA1"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 xml:space="preserve">Everyone involved in the research process had to give their consent; for those under 18, written consent from their parents or guardians was required. This was obtained by using consent forms. All research answers were recorded anonymously, which provided the young person with confidentiality. Providing confidentiality is important as this allows participants to understand better how their data is being secured. Researchers should be open and honest about how they handle data security and confidentiality. Participants may become more open and honest in their responses to researchers as a result of having greater faith in the research (UK Statistics Authority, 2022). When I recorded the collected data, all information was recorded anonymously, using the names' Person 1' through 'Person 10' on the documents. The documents were then kept in a folder which was password protected, which only I knew. </w:t>
      </w:r>
      <w:r w:rsidR="00DA706F" w:rsidRPr="002E3388">
        <w:rPr>
          <w:rFonts w:ascii="Calibri" w:hAnsi="Calibri" w:cs="Calibri"/>
          <w:color w:val="000000" w:themeColor="text1"/>
        </w:rPr>
        <w:t xml:space="preserve">Each young person knew they had a right to withdraw from the research at any time. BERA (British Educational Research Association) (2024) states that every participant has the right to withdraw from a study for any reason and that researchers should acknowledge this right and </w:t>
      </w:r>
      <w:r w:rsidR="00DD318C" w:rsidRPr="002E3388">
        <w:rPr>
          <w:rFonts w:ascii="Calibri" w:hAnsi="Calibri" w:cs="Calibri"/>
          <w:color w:val="000000" w:themeColor="text1"/>
        </w:rPr>
        <w:t>explain</w:t>
      </w:r>
      <w:r w:rsidR="00DA706F" w:rsidRPr="002E3388">
        <w:rPr>
          <w:rFonts w:ascii="Calibri" w:hAnsi="Calibri" w:cs="Calibri"/>
          <w:color w:val="000000" w:themeColor="text1"/>
        </w:rPr>
        <w:t xml:space="preserve"> to the participants how to use it. In the majority of situations, the researchers should </w:t>
      </w:r>
      <w:r w:rsidR="00DD318C" w:rsidRPr="002E3388">
        <w:rPr>
          <w:rFonts w:ascii="Calibri" w:hAnsi="Calibri" w:cs="Calibri"/>
          <w:color w:val="000000" w:themeColor="text1"/>
        </w:rPr>
        <w:t xml:space="preserve">accept a </w:t>
      </w:r>
      <w:r w:rsidR="008B7730" w:rsidRPr="002E3388">
        <w:rPr>
          <w:rFonts w:ascii="Calibri" w:hAnsi="Calibri" w:cs="Calibri"/>
          <w:color w:val="000000" w:themeColor="text1"/>
        </w:rPr>
        <w:t>participant's</w:t>
      </w:r>
      <w:r w:rsidR="00DD318C" w:rsidRPr="002E3388">
        <w:rPr>
          <w:rFonts w:ascii="Calibri" w:hAnsi="Calibri" w:cs="Calibri"/>
          <w:color w:val="000000" w:themeColor="text1"/>
        </w:rPr>
        <w:t xml:space="preserve"> decision to withdraw</w:t>
      </w:r>
      <w:r w:rsidR="008B7730" w:rsidRPr="002E3388">
        <w:rPr>
          <w:rFonts w:ascii="Calibri" w:hAnsi="Calibri" w:cs="Calibri"/>
          <w:color w:val="000000" w:themeColor="text1"/>
        </w:rPr>
        <w:t xml:space="preserve">. I am also aware that the University of Wales Trinity Saint David has their own ethical approval form and process. </w:t>
      </w:r>
    </w:p>
    <w:p w14:paraId="0FEB5936" w14:textId="77777777" w:rsidR="00B03313" w:rsidRPr="002E3388" w:rsidRDefault="00B03313" w:rsidP="002E3388">
      <w:pPr>
        <w:spacing w:line="360" w:lineRule="auto"/>
        <w:rPr>
          <w:rFonts w:ascii="Calibri" w:hAnsi="Calibri" w:cs="Calibri"/>
          <w:color w:val="000000" w:themeColor="text1"/>
        </w:rPr>
      </w:pPr>
    </w:p>
    <w:p w14:paraId="52CA1DC5" w14:textId="77777777" w:rsidR="00B03313"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Strengths and weaknesses of the approach</w:t>
      </w:r>
      <w:r w:rsidR="009C4586" w:rsidRPr="002E3388">
        <w:rPr>
          <w:rFonts w:ascii="Calibri" w:hAnsi="Calibri" w:cs="Calibri"/>
          <w:color w:val="000000" w:themeColor="text1"/>
        </w:rPr>
        <w:t>.</w:t>
      </w:r>
    </w:p>
    <w:p w14:paraId="2EE4EE67" w14:textId="77777777" w:rsidR="009C4586"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lastRenderedPageBreak/>
        <w:t xml:space="preserve">One strength of using a focus group is that it permits observers to be present, particularly in the face-to-face form, and it raises the possibility that a variety of perspectives, expertise, and experiences will be recorded in a single group session (Research Design Review, 2025). Another strength of using focus groups is that the individual's body language and facial expressions can be easily read. Another strength is that focus groups have instant feedback. This allows the moderator to collect information in real-time from a number of individuals who were carefully </w:t>
      </w:r>
      <w:r w:rsidR="00083179" w:rsidRPr="002E3388">
        <w:rPr>
          <w:rFonts w:ascii="Calibri" w:hAnsi="Calibri" w:cs="Calibri"/>
          <w:color w:val="000000" w:themeColor="text1"/>
        </w:rPr>
        <w:t>chosen</w:t>
      </w:r>
      <w:r w:rsidRPr="002E3388">
        <w:rPr>
          <w:rFonts w:ascii="Calibri" w:hAnsi="Calibri" w:cs="Calibri"/>
          <w:color w:val="000000" w:themeColor="text1"/>
        </w:rPr>
        <w:t xml:space="preserve"> because they represent the target demographic (Stanley, 2025)</w:t>
      </w:r>
    </w:p>
    <w:p w14:paraId="1F9AA51C" w14:textId="77777777" w:rsidR="009C4586"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Like other research approaches, focus group research has limits despite its numerous benefits. Some are inevitable and unique to this strategy, while others may be avoided with proper preparation and moderation.</w:t>
      </w:r>
    </w:p>
    <w:p w14:paraId="0ABCE5C9" w14:textId="77777777" w:rsidR="009C4586"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 xml:space="preserve">One weakness is that the young people who need parental consent may not have come out to their parents/guardians. Another weakness is that it is hard for everyone to be available at the same time for the focus group meetings. Another weakness is that some young people may not tell the truth about their mental health challenges due to feeling embarrassed or scared of what others will think of them. Focus groups can be ineffective when discussing delicate subjects such as mental health, as members can be reluctant to respond to such enquiries, making it difficult to persuade people to express their honest opinions (Somekh, 2024). Another weakness is that focus groups are not completely confidential, as information is shared with other members of the group. </w:t>
      </w:r>
    </w:p>
    <w:p w14:paraId="0BC815DB" w14:textId="77777777" w:rsidR="00B03313"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Method of analysis</w:t>
      </w:r>
      <w:r w:rsidR="009C4586" w:rsidRPr="002E3388">
        <w:rPr>
          <w:rFonts w:ascii="Calibri" w:hAnsi="Calibri" w:cs="Calibri"/>
          <w:color w:val="000000" w:themeColor="text1"/>
        </w:rPr>
        <w:t xml:space="preserve">. </w:t>
      </w:r>
    </w:p>
    <w:p w14:paraId="15FB3120" w14:textId="386965E6" w:rsidR="009C4586"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My research question is the rate of suicidal ideation in LGBTQ+ youth</w:t>
      </w:r>
      <w:r w:rsidR="00781C9C">
        <w:rPr>
          <w:rFonts w:ascii="Calibri" w:hAnsi="Calibri" w:cs="Calibri"/>
          <w:color w:val="000000" w:themeColor="text1"/>
        </w:rPr>
        <w:t>.</w:t>
      </w:r>
      <w:r w:rsidRPr="002E3388">
        <w:rPr>
          <w:rFonts w:ascii="Calibri" w:hAnsi="Calibri" w:cs="Calibri"/>
          <w:color w:val="000000" w:themeColor="text1"/>
        </w:rPr>
        <w:t xml:space="preserve"> I used Qualitative research. Qualitative analysis, which focuses on traits, and quantitative analysis, which focuses on statistics, are the two main categories of data analysis techniques that are employed in research (Chilman, 2023). Although there are many different approaches to qualitative data analysis, the fundamental ideas include inductive reasoning, contextual awareness, subjectivity and reflexivity, and active participation (Dye, 2023). To gather research information, I met with young people in the LGBTQ+ community at their local youth club. We then had a discussion, during which I took notes</w:t>
      </w:r>
      <w:r w:rsidR="002E3388" w:rsidRPr="002E3388">
        <w:rPr>
          <w:rFonts w:ascii="Calibri" w:hAnsi="Calibri" w:cs="Calibri"/>
          <w:color w:val="000000" w:themeColor="text1"/>
        </w:rPr>
        <w:t xml:space="preserve"> and recorded the entire meeting, which lasted one hour. At the end, I asked the young people what parts they would like included in the research and typed them up in a separate document. T</w:t>
      </w:r>
      <w:r w:rsidRPr="002E3388">
        <w:rPr>
          <w:rFonts w:ascii="Calibri" w:hAnsi="Calibri" w:cs="Calibri"/>
          <w:color w:val="000000" w:themeColor="text1"/>
        </w:rPr>
        <w:t xml:space="preserve">he young people also </w:t>
      </w:r>
      <w:r w:rsidRPr="002E3388">
        <w:rPr>
          <w:rFonts w:ascii="Calibri" w:hAnsi="Calibri" w:cs="Calibri"/>
          <w:color w:val="000000" w:themeColor="text1"/>
        </w:rPr>
        <w:lastRenderedPageBreak/>
        <w:t>had the opportunity to leave notes in a box if they did not want to share their thoughts out loud. To gather the data</w:t>
      </w:r>
      <w:r w:rsidR="00083179" w:rsidRPr="002E3388">
        <w:rPr>
          <w:rFonts w:ascii="Calibri" w:hAnsi="Calibri" w:cs="Calibri"/>
          <w:color w:val="000000" w:themeColor="text1"/>
        </w:rPr>
        <w:t>,</w:t>
      </w:r>
      <w:r w:rsidRPr="002E3388">
        <w:rPr>
          <w:rFonts w:ascii="Calibri" w:hAnsi="Calibri" w:cs="Calibri"/>
          <w:color w:val="000000" w:themeColor="text1"/>
        </w:rPr>
        <w:t xml:space="preserve"> I conducted focus group</w:t>
      </w:r>
      <w:r w:rsidR="00083179" w:rsidRPr="002E3388">
        <w:rPr>
          <w:rFonts w:ascii="Calibri" w:hAnsi="Calibri" w:cs="Calibri"/>
          <w:color w:val="000000" w:themeColor="text1"/>
        </w:rPr>
        <w:t>s</w:t>
      </w:r>
      <w:r w:rsidRPr="002E3388">
        <w:rPr>
          <w:rFonts w:ascii="Calibri" w:hAnsi="Calibri" w:cs="Calibri"/>
          <w:color w:val="000000" w:themeColor="text1"/>
        </w:rPr>
        <w:t xml:space="preserve"> with eight young people aged between 15 and 20 years old. The data was recorded on a </w:t>
      </w:r>
      <w:r w:rsidR="00083179" w:rsidRPr="002E3388">
        <w:rPr>
          <w:rFonts w:ascii="Calibri" w:hAnsi="Calibri" w:cs="Calibri"/>
          <w:color w:val="000000" w:themeColor="text1"/>
        </w:rPr>
        <w:t xml:space="preserve">confidential </w:t>
      </w:r>
      <w:r w:rsidRPr="002E3388">
        <w:rPr>
          <w:rFonts w:ascii="Calibri" w:hAnsi="Calibri" w:cs="Calibri"/>
          <w:color w:val="000000" w:themeColor="text1"/>
        </w:rPr>
        <w:t xml:space="preserve">document, with each person assigned a number instead of their name. The documents were stored in a password-protected file on my password-protected laptop. </w:t>
      </w:r>
    </w:p>
    <w:p w14:paraId="0233D5F4" w14:textId="77777777" w:rsidR="00781C9C" w:rsidRPr="002E3388" w:rsidRDefault="00781C9C" w:rsidP="002E3388">
      <w:pPr>
        <w:spacing w:line="360" w:lineRule="auto"/>
        <w:rPr>
          <w:rFonts w:ascii="Calibri" w:hAnsi="Calibri" w:cs="Calibri"/>
          <w:color w:val="000000" w:themeColor="text1"/>
        </w:rPr>
      </w:pPr>
    </w:p>
    <w:p w14:paraId="609865CD" w14:textId="77777777" w:rsidR="00B03313" w:rsidRPr="002E3388" w:rsidRDefault="00B03313" w:rsidP="002E3388">
      <w:pPr>
        <w:spacing w:line="360" w:lineRule="auto"/>
        <w:rPr>
          <w:rFonts w:ascii="Calibri" w:hAnsi="Calibri" w:cs="Calibri"/>
          <w:color w:val="000000" w:themeColor="text1"/>
        </w:rPr>
      </w:pPr>
    </w:p>
    <w:p w14:paraId="518646C2" w14:textId="77777777" w:rsidR="00B03313"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 xml:space="preserve">Reporting, </w:t>
      </w:r>
      <w:r w:rsidR="00083179" w:rsidRPr="002E3388">
        <w:rPr>
          <w:rFonts w:ascii="Calibri" w:hAnsi="Calibri" w:cs="Calibri"/>
          <w:color w:val="000000" w:themeColor="text1"/>
        </w:rPr>
        <w:t>feedback,</w:t>
      </w:r>
      <w:r w:rsidRPr="002E3388">
        <w:rPr>
          <w:rFonts w:ascii="Calibri" w:hAnsi="Calibri" w:cs="Calibri"/>
          <w:color w:val="000000" w:themeColor="text1"/>
        </w:rPr>
        <w:t xml:space="preserve"> and dissemination.</w:t>
      </w:r>
    </w:p>
    <w:p w14:paraId="27555FCA" w14:textId="77777777" w:rsidR="00843E4C"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rPr>
        <w:t xml:space="preserve">The information gained from the research will be reported as a research article with graphs showing the percentages of LGBTQ+ young people who have developed mental health conditions. There will also be a graph showing what the most common mental health condition is among LGBTQ+ youth. Each participant will be given a copy of the research and the research paper to read and discuss. This paper will encourage young people to open up about their mental health struggles and to find a support system that works for them. There are a few LGBTQ+ specific support sites such as The Trevor Project, Stonewall, MindOut, Switchboard and Galop, which specialises in anti-abuse. Each young person who participated was signposted to these websites, and they were all given leaflets explaining what the websites can help with. </w:t>
      </w:r>
    </w:p>
    <w:p w14:paraId="11487DA9" w14:textId="77777777" w:rsidR="00EA1A13" w:rsidRPr="002E3388" w:rsidRDefault="00EA1A13" w:rsidP="002E3388">
      <w:pPr>
        <w:spacing w:line="360" w:lineRule="auto"/>
        <w:rPr>
          <w:rFonts w:ascii="Calibri" w:hAnsi="Calibri" w:cs="Calibri"/>
          <w:color w:val="000000" w:themeColor="text1"/>
        </w:rPr>
      </w:pPr>
    </w:p>
    <w:p w14:paraId="2509757E" w14:textId="77777777" w:rsidR="00EA1A13" w:rsidRPr="002E3388" w:rsidRDefault="00EA1A13" w:rsidP="002E3388">
      <w:pPr>
        <w:spacing w:line="360" w:lineRule="auto"/>
        <w:rPr>
          <w:rFonts w:ascii="Calibri" w:hAnsi="Calibri" w:cs="Calibri"/>
          <w:color w:val="000000" w:themeColor="text1"/>
        </w:rPr>
      </w:pPr>
    </w:p>
    <w:p w14:paraId="76ED25FB" w14:textId="77777777" w:rsidR="00EA1A13" w:rsidRPr="002E3388" w:rsidRDefault="00EA1A13" w:rsidP="002E3388">
      <w:pPr>
        <w:spacing w:line="360" w:lineRule="auto"/>
        <w:rPr>
          <w:rFonts w:ascii="Calibri" w:hAnsi="Calibri" w:cs="Calibri"/>
          <w:color w:val="000000" w:themeColor="text1"/>
        </w:rPr>
      </w:pPr>
    </w:p>
    <w:p w14:paraId="02D70BC4" w14:textId="77777777" w:rsidR="00EA1A13" w:rsidRPr="002E3388" w:rsidRDefault="00EA1A13" w:rsidP="002E3388">
      <w:pPr>
        <w:spacing w:line="360" w:lineRule="auto"/>
        <w:rPr>
          <w:rFonts w:ascii="Calibri" w:hAnsi="Calibri" w:cs="Calibri"/>
          <w:color w:val="000000" w:themeColor="text1"/>
        </w:rPr>
      </w:pPr>
    </w:p>
    <w:p w14:paraId="0EEB222B" w14:textId="77777777" w:rsidR="00EA1A13" w:rsidRPr="002E3388" w:rsidRDefault="00EA1A13" w:rsidP="002E3388">
      <w:pPr>
        <w:spacing w:line="360" w:lineRule="auto"/>
        <w:rPr>
          <w:rFonts w:ascii="Calibri" w:hAnsi="Calibri" w:cs="Calibri"/>
          <w:color w:val="000000" w:themeColor="text1"/>
        </w:rPr>
      </w:pPr>
    </w:p>
    <w:p w14:paraId="6D8A756E" w14:textId="77777777" w:rsidR="00843E4C" w:rsidRPr="002E3388" w:rsidRDefault="00843E4C" w:rsidP="002E3388">
      <w:pPr>
        <w:tabs>
          <w:tab w:val="left" w:pos="2360"/>
        </w:tabs>
        <w:spacing w:line="360" w:lineRule="auto"/>
        <w:rPr>
          <w:rFonts w:ascii="Calibri" w:hAnsi="Calibri" w:cs="Calibri"/>
          <w:color w:val="000000" w:themeColor="text1"/>
        </w:rPr>
      </w:pPr>
    </w:p>
    <w:p w14:paraId="21B9EFEA" w14:textId="77777777" w:rsidR="00843E4C" w:rsidRDefault="00843E4C" w:rsidP="002E3388">
      <w:pPr>
        <w:tabs>
          <w:tab w:val="left" w:pos="2360"/>
        </w:tabs>
        <w:spacing w:line="360" w:lineRule="auto"/>
        <w:rPr>
          <w:rFonts w:ascii="Calibri" w:hAnsi="Calibri" w:cs="Calibri"/>
          <w:color w:val="000000" w:themeColor="text1"/>
        </w:rPr>
      </w:pPr>
    </w:p>
    <w:p w14:paraId="4A9053B7" w14:textId="77777777" w:rsidR="00F512AA" w:rsidRPr="002E3388" w:rsidRDefault="00F512AA" w:rsidP="002E3388">
      <w:pPr>
        <w:tabs>
          <w:tab w:val="left" w:pos="2360"/>
        </w:tabs>
        <w:spacing w:line="360" w:lineRule="auto"/>
        <w:rPr>
          <w:rFonts w:ascii="Calibri" w:hAnsi="Calibri" w:cs="Calibri"/>
          <w:color w:val="000000" w:themeColor="text1"/>
        </w:rPr>
      </w:pPr>
    </w:p>
    <w:p w14:paraId="7535B980" w14:textId="77777777" w:rsidR="00843E4C" w:rsidRPr="002E3388" w:rsidRDefault="00843E4C" w:rsidP="002E3388">
      <w:pPr>
        <w:tabs>
          <w:tab w:val="left" w:pos="2360"/>
        </w:tabs>
        <w:spacing w:line="360" w:lineRule="auto"/>
        <w:rPr>
          <w:rFonts w:ascii="Calibri" w:hAnsi="Calibri" w:cs="Calibri"/>
          <w:color w:val="000000" w:themeColor="text1"/>
        </w:rPr>
      </w:pPr>
    </w:p>
    <w:p w14:paraId="291A4702" w14:textId="77777777" w:rsidR="00EA1A13" w:rsidRPr="002E3388" w:rsidRDefault="002264C4" w:rsidP="002E3388">
      <w:pPr>
        <w:tabs>
          <w:tab w:val="left" w:pos="2360"/>
        </w:tabs>
        <w:spacing w:line="360" w:lineRule="auto"/>
        <w:rPr>
          <w:rFonts w:ascii="Calibri" w:hAnsi="Calibri" w:cs="Calibri"/>
          <w:color w:val="000000" w:themeColor="text1"/>
        </w:rPr>
      </w:pPr>
      <w:r w:rsidRPr="002E3388">
        <w:rPr>
          <w:rFonts w:ascii="Calibri" w:hAnsi="Calibri" w:cs="Calibri"/>
          <w:color w:val="000000" w:themeColor="text1"/>
        </w:rPr>
        <w:lastRenderedPageBreak/>
        <w:t xml:space="preserve">References. </w:t>
      </w:r>
      <w:r w:rsidR="008B7730" w:rsidRPr="002E3388">
        <w:rPr>
          <w:rFonts w:ascii="Calibri" w:hAnsi="Calibri" w:cs="Calibri"/>
          <w:color w:val="000000" w:themeColor="text1"/>
        </w:rPr>
        <w:tab/>
      </w:r>
    </w:p>
    <w:p w14:paraId="7022D397" w14:textId="77777777" w:rsidR="008B7730" w:rsidRPr="002E3388" w:rsidRDefault="002264C4" w:rsidP="002E3388">
      <w:pPr>
        <w:tabs>
          <w:tab w:val="left" w:pos="2360"/>
        </w:tabs>
        <w:spacing w:line="360" w:lineRule="auto"/>
        <w:rPr>
          <w:rFonts w:ascii="Calibri" w:hAnsi="Calibri" w:cs="Calibri"/>
          <w:color w:val="000000" w:themeColor="text1"/>
        </w:rPr>
      </w:pPr>
      <w:r w:rsidRPr="002E3388">
        <w:rPr>
          <w:rFonts w:ascii="Calibri" w:hAnsi="Calibri" w:cs="Calibri"/>
          <w:color w:val="000000" w:themeColor="text1"/>
          <w:shd w:val="clear" w:color="auto" w:fill="FFFFFF"/>
        </w:rPr>
        <w:t>BERA. (2024). Right to Withdraw. </w:t>
      </w:r>
      <w:r w:rsidRPr="002E3388">
        <w:rPr>
          <w:rFonts w:ascii="Calibri" w:hAnsi="Calibri" w:cs="Calibri"/>
          <w:i/>
          <w:iCs/>
          <w:color w:val="000000" w:themeColor="text1"/>
        </w:rPr>
        <w:t>Ethical Guidelines for Educational Research, fifth edition (2024)</w:t>
      </w:r>
      <w:r w:rsidRPr="002E3388">
        <w:rPr>
          <w:rFonts w:ascii="Calibri" w:hAnsi="Calibri" w:cs="Calibri"/>
          <w:color w:val="000000" w:themeColor="text1"/>
          <w:shd w:val="clear" w:color="auto" w:fill="FFFFFF"/>
        </w:rPr>
        <w:t>. 17th May 2024, p.unknown.</w:t>
      </w:r>
    </w:p>
    <w:p w14:paraId="031C4D15" w14:textId="77777777" w:rsidR="00E06EA1"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Cheah, P. Parker, M. (2014). Research consent from young people in resource-poor areas.. </w:t>
      </w:r>
      <w:r w:rsidRPr="002E3388">
        <w:rPr>
          <w:rFonts w:ascii="Calibri" w:hAnsi="Calibri" w:cs="Calibri"/>
          <w:i/>
          <w:iCs/>
          <w:color w:val="000000" w:themeColor="text1"/>
        </w:rPr>
        <w:t>Archives of Disease in Childhood</w:t>
      </w:r>
      <w:r w:rsidRPr="002E3388">
        <w:rPr>
          <w:rFonts w:ascii="Calibri" w:hAnsi="Calibri" w:cs="Calibri"/>
          <w:color w:val="000000" w:themeColor="text1"/>
          <w:shd w:val="clear" w:color="auto" w:fill="FFFFFF"/>
        </w:rPr>
        <w:t>. 100(5), pp.438-440. [Online]. Available at: https://doi.org/10.1136/archdischild-2014-307121 [Accessed 7 June 2025].as</w:t>
      </w:r>
    </w:p>
    <w:p w14:paraId="6FC5D09A" w14:textId="77777777" w:rsidR="00843E4C"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shd w:val="clear" w:color="auto" w:fill="FFFFFF"/>
        </w:rPr>
        <w:t>Chilman, C. Whiting, B. Chapel, L. (Unknown). </w:t>
      </w:r>
      <w:r w:rsidRPr="002E3388">
        <w:rPr>
          <w:rFonts w:ascii="Calibri" w:hAnsi="Calibri" w:cs="Calibri"/>
          <w:i/>
          <w:iCs/>
          <w:color w:val="000000" w:themeColor="text1"/>
        </w:rPr>
        <w:t>Data Analysis in Research Methods, Techniques &amp; Examples.</w:t>
      </w:r>
      <w:r w:rsidRPr="002E3388">
        <w:rPr>
          <w:rFonts w:ascii="Calibri" w:hAnsi="Calibri" w:cs="Calibri"/>
          <w:color w:val="000000" w:themeColor="text1"/>
          <w:shd w:val="clear" w:color="auto" w:fill="FFFFFF"/>
        </w:rPr>
        <w:t>. [Online]. Study.com. Last Updated: 21st November 2023.. Available at: https://study.com/academy/lesson/data-analysis-techniques-methods.html#:~:text=There%20are%20two%20m [Accessed 9 June 2025].</w:t>
      </w:r>
    </w:p>
    <w:p w14:paraId="12E0AA13" w14:textId="77777777" w:rsidR="00843E4C"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Clayton, H. (2020). </w:t>
      </w:r>
      <w:r w:rsidRPr="002E3388">
        <w:rPr>
          <w:rFonts w:ascii="Calibri" w:hAnsi="Calibri" w:cs="Calibri"/>
          <w:i/>
          <w:iCs/>
          <w:color w:val="000000" w:themeColor="text1"/>
        </w:rPr>
        <w:t>Why is the LGBTQ+ community disproportionately affected by mental health problems and suicide?</w:t>
      </w:r>
      <w:r w:rsidRPr="002E3388">
        <w:rPr>
          <w:rFonts w:ascii="Calibri" w:hAnsi="Calibri" w:cs="Calibri"/>
          <w:color w:val="000000" w:themeColor="text1"/>
          <w:shd w:val="clear" w:color="auto" w:fill="FFFFFF"/>
        </w:rPr>
        <w:t xml:space="preserve"> [Online]. NHS. Greater Manchester Mental Health. Last Updated: 8th October 2020. Available at: https://www.gmmh.nhs.uk/news/why-is-the-lgbtq-community-disproportionately-affected-by-mental-health [Accessed 6 June 2025].</w:t>
      </w:r>
    </w:p>
    <w:p w14:paraId="4FE94456" w14:textId="77777777" w:rsidR="00843E4C"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Dye, T. (2023). </w:t>
      </w:r>
      <w:r w:rsidRPr="002E3388">
        <w:rPr>
          <w:rFonts w:ascii="Calibri" w:hAnsi="Calibri" w:cs="Calibri"/>
          <w:i/>
          <w:iCs/>
          <w:color w:val="000000" w:themeColor="text1"/>
        </w:rPr>
        <w:t>The Primary Methods of Qualitative Data Analysis</w:t>
      </w:r>
      <w:r w:rsidRPr="002E3388">
        <w:rPr>
          <w:rFonts w:ascii="Calibri" w:hAnsi="Calibri" w:cs="Calibri"/>
          <w:color w:val="000000" w:themeColor="text1"/>
          <w:shd w:val="clear" w:color="auto" w:fill="FFFFFF"/>
        </w:rPr>
        <w:t>. [Online]. Thematic. Last Updated: 10th December 2023. Available at: https://getthematic.com/insights/methods-of-qualitative-data-analysis/ [Accessed 9 June 2025].</w:t>
      </w:r>
    </w:p>
    <w:p w14:paraId="3F0F9446" w14:textId="170D5918" w:rsidR="00546584" w:rsidRPr="00546584" w:rsidRDefault="00546584" w:rsidP="002E3388">
      <w:pPr>
        <w:spacing w:line="360" w:lineRule="auto"/>
        <w:rPr>
          <w:rFonts w:ascii="Calibri" w:hAnsi="Calibri" w:cs="Calibri"/>
          <w:color w:val="000000" w:themeColor="text1"/>
        </w:rPr>
      </w:pPr>
      <w:r w:rsidRPr="00546584">
        <w:rPr>
          <w:rFonts w:ascii="Calibri" w:hAnsi="Calibri" w:cs="Calibri"/>
          <w:color w:val="000000"/>
          <w:shd w:val="clear" w:color="auto" w:fill="FFFFFF"/>
        </w:rPr>
        <w:t>International Society for the Study of Self-Injury. (2022). </w:t>
      </w:r>
      <w:r w:rsidRPr="00546584">
        <w:rPr>
          <w:rFonts w:ascii="Calibri" w:hAnsi="Calibri" w:cs="Calibri"/>
          <w:i/>
          <w:iCs/>
          <w:color w:val="000000"/>
        </w:rPr>
        <w:t xml:space="preserve">Who </w:t>
      </w:r>
      <w:r>
        <w:rPr>
          <w:rFonts w:ascii="Calibri" w:hAnsi="Calibri" w:cs="Calibri"/>
          <w:i/>
          <w:iCs/>
          <w:color w:val="000000"/>
        </w:rPr>
        <w:t>Self-Injures</w:t>
      </w:r>
      <w:r w:rsidRPr="00546584">
        <w:rPr>
          <w:rFonts w:ascii="Calibri" w:hAnsi="Calibri" w:cs="Calibri"/>
          <w:i/>
          <w:iCs/>
          <w:color w:val="000000"/>
        </w:rPr>
        <w:t xml:space="preserve"> and Why?</w:t>
      </w:r>
      <w:r w:rsidRPr="00546584">
        <w:rPr>
          <w:rFonts w:ascii="Calibri" w:hAnsi="Calibri" w:cs="Calibri"/>
          <w:color w:val="000000"/>
          <w:shd w:val="clear" w:color="auto" w:fill="FFFFFF"/>
        </w:rPr>
        <w:t>. [Online]. International Society for the Study of Self-Injury. Last Updated: 2022. Available at: https://www.itriples.org/aboutnssi/who-self-injures-and-why [Accessed 11 June 2025].</w:t>
      </w:r>
    </w:p>
    <w:p w14:paraId="796446AF" w14:textId="32FBDAC7" w:rsidR="00A24B89" w:rsidRPr="00781C9C"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 xml:space="preserve">Jada, V. Guasp, A. Bradlow, J. Bower-Brown, S. Foleey, S. (2023). </w:t>
      </w:r>
      <w:r w:rsidR="00781C9C">
        <w:rPr>
          <w:rFonts w:ascii="Calibri" w:hAnsi="Calibri" w:cs="Calibri"/>
          <w:color w:val="000000" w:themeColor="text1"/>
          <w:shd w:val="clear" w:color="auto" w:fill="FFFFFF"/>
        </w:rPr>
        <w:t>Predictors</w:t>
      </w:r>
      <w:r w:rsidRPr="002E3388">
        <w:rPr>
          <w:rFonts w:ascii="Calibri" w:hAnsi="Calibri" w:cs="Calibri"/>
          <w:color w:val="000000" w:themeColor="text1"/>
          <w:shd w:val="clear" w:color="auto" w:fill="FFFFFF"/>
        </w:rPr>
        <w:t xml:space="preserve"> of self-harm and suicide in LGBT youth: The role of gender, socio-economic status, bullying and school experiences. </w:t>
      </w:r>
      <w:r w:rsidRPr="002E3388">
        <w:rPr>
          <w:rFonts w:ascii="Calibri" w:hAnsi="Calibri" w:cs="Calibri"/>
          <w:i/>
          <w:iCs/>
          <w:color w:val="000000" w:themeColor="text1"/>
        </w:rPr>
        <w:t>Journal of Public Health</w:t>
      </w:r>
      <w:r w:rsidRPr="002E3388">
        <w:rPr>
          <w:rFonts w:ascii="Calibri" w:hAnsi="Calibri" w:cs="Calibri"/>
          <w:color w:val="000000" w:themeColor="text1"/>
          <w:shd w:val="clear" w:color="auto" w:fill="FFFFFF"/>
        </w:rPr>
        <w:t>. 45(1), pp.102-108. [Online]. Available at: https://doi.org/10.1093/pubmed/fdab383 [Accessed 6 June 2025].</w:t>
      </w:r>
    </w:p>
    <w:p w14:paraId="16F89054" w14:textId="5A58045A" w:rsidR="00EA1A13" w:rsidRPr="002E3388" w:rsidRDefault="002264C4" w:rsidP="002E3388">
      <w:pPr>
        <w:spacing w:line="360" w:lineRule="auto"/>
        <w:rPr>
          <w:rFonts w:ascii="Calibri" w:hAnsi="Calibri" w:cs="Calibri"/>
          <w:color w:val="000000" w:themeColor="text1"/>
          <w:spacing w:val="7"/>
          <w:shd w:val="clear" w:color="auto" w:fill="FFFFFF"/>
        </w:rPr>
      </w:pPr>
      <w:r w:rsidRPr="002E3388">
        <w:rPr>
          <w:rFonts w:ascii="Calibri" w:hAnsi="Calibri" w:cs="Calibri"/>
          <w:color w:val="000000" w:themeColor="text1"/>
          <w:spacing w:val="7"/>
          <w:shd w:val="clear" w:color="auto" w:fill="FFFFFF"/>
        </w:rPr>
        <w:t xml:space="preserve">Johns, M. M., Lowry, R., Andrzejewski, J., Barrios, L. C., Zewditu, D., McManus, T., et al. (2019). Transgender identity and experiences of violence victimisation, substance use, suicide risk, and sexual risk </w:t>
      </w:r>
      <w:r w:rsidR="00781C9C">
        <w:rPr>
          <w:rFonts w:ascii="Calibri" w:hAnsi="Calibri" w:cs="Calibri"/>
          <w:color w:val="000000" w:themeColor="text1"/>
          <w:spacing w:val="7"/>
          <w:shd w:val="clear" w:color="auto" w:fill="FFFFFF"/>
        </w:rPr>
        <w:t>behaviours</w:t>
      </w:r>
      <w:r w:rsidRPr="002E3388">
        <w:rPr>
          <w:rFonts w:ascii="Calibri" w:hAnsi="Calibri" w:cs="Calibri"/>
          <w:color w:val="000000" w:themeColor="text1"/>
          <w:spacing w:val="7"/>
          <w:shd w:val="clear" w:color="auto" w:fill="FFFFFF"/>
        </w:rPr>
        <w:t xml:space="preserve"> among high school </w:t>
      </w:r>
      <w:r w:rsidR="00A24B89" w:rsidRPr="002E3388">
        <w:rPr>
          <w:rFonts w:ascii="Calibri" w:hAnsi="Calibri" w:cs="Calibri"/>
          <w:color w:val="000000" w:themeColor="text1"/>
          <w:spacing w:val="7"/>
          <w:shd w:val="clear" w:color="auto" w:fill="FFFFFF"/>
        </w:rPr>
        <w:t>students</w:t>
      </w:r>
      <w:r w:rsidRPr="002E3388">
        <w:rPr>
          <w:rFonts w:ascii="Calibri" w:hAnsi="Calibri" w:cs="Calibri"/>
          <w:color w:val="000000" w:themeColor="text1"/>
          <w:spacing w:val="7"/>
          <w:shd w:val="clear" w:color="auto" w:fill="FFFFFF"/>
        </w:rPr>
        <w:t>–19 states and large urban school districts, 2017. </w:t>
      </w:r>
      <w:r w:rsidRPr="002E3388">
        <w:rPr>
          <w:rStyle w:val="Emphasis"/>
          <w:rFonts w:ascii="Calibri" w:hAnsi="Calibri" w:cs="Calibri"/>
          <w:color w:val="000000" w:themeColor="text1"/>
          <w:spacing w:val="7"/>
          <w:bdr w:val="single" w:sz="2" w:space="0" w:color="auto" w:frame="1"/>
          <w:shd w:val="clear" w:color="auto" w:fill="FFFFFF"/>
        </w:rPr>
        <w:t>Morbidity and Mortality Weekly Report, 68</w:t>
      </w:r>
      <w:r w:rsidRPr="002E3388">
        <w:rPr>
          <w:rFonts w:ascii="Calibri" w:hAnsi="Calibri" w:cs="Calibri"/>
          <w:color w:val="000000" w:themeColor="text1"/>
          <w:spacing w:val="7"/>
          <w:shd w:val="clear" w:color="auto" w:fill="FFFFFF"/>
        </w:rPr>
        <w:t>(3), 65-71.</w:t>
      </w:r>
    </w:p>
    <w:p w14:paraId="58C59798" w14:textId="35A27373" w:rsidR="00B13DF0"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lastRenderedPageBreak/>
        <w:t>Kann, L. McManus, T. Harris, W. Shanklin, S. Flint, K. Queen, B. Lowry, R. Chyen</w:t>
      </w:r>
      <w:r w:rsidR="00781C9C">
        <w:rPr>
          <w:rFonts w:ascii="Calibri" w:hAnsi="Calibri" w:cs="Calibri"/>
          <w:color w:val="000000" w:themeColor="text1"/>
          <w:shd w:val="clear" w:color="auto" w:fill="FFFFFF"/>
        </w:rPr>
        <w:t>,</w:t>
      </w:r>
      <w:r w:rsidRPr="002E3388">
        <w:rPr>
          <w:rFonts w:ascii="Calibri" w:hAnsi="Calibri" w:cs="Calibri"/>
          <w:color w:val="000000" w:themeColor="text1"/>
          <w:shd w:val="clear" w:color="auto" w:fill="FFFFFF"/>
        </w:rPr>
        <w:t xml:space="preserve"> D. Whittle, L. Thornton, J. Lim, C. Bradford, D. Yamakawa, Y. Leon, M. Brener, N. Ethier, K. (2018). Youth Risk Behaviour Surveillance - US 2017. </w:t>
      </w:r>
      <w:r w:rsidRPr="002E3388">
        <w:rPr>
          <w:rFonts w:ascii="Calibri" w:hAnsi="Calibri" w:cs="Calibri"/>
          <w:i/>
          <w:iCs/>
          <w:color w:val="000000" w:themeColor="text1"/>
        </w:rPr>
        <w:t>MMWR Surveill Summ</w:t>
      </w:r>
      <w:r w:rsidRPr="002E3388">
        <w:rPr>
          <w:rFonts w:ascii="Calibri" w:hAnsi="Calibri" w:cs="Calibri"/>
          <w:color w:val="000000" w:themeColor="text1"/>
          <w:shd w:val="clear" w:color="auto" w:fill="FFFFFF"/>
        </w:rPr>
        <w:t>. 15(67), pp.1-114. [Online]. Available at: DOI: 10.15585/mmwr.ss6708a1 [Accessed 7 June 2025].</w:t>
      </w:r>
    </w:p>
    <w:p w14:paraId="64DD385D" w14:textId="6486A8AB" w:rsidR="00781C9C" w:rsidRPr="00781C9C" w:rsidRDefault="00781C9C" w:rsidP="002E3388">
      <w:pPr>
        <w:spacing w:line="360" w:lineRule="auto"/>
        <w:rPr>
          <w:rFonts w:ascii="Calibri" w:hAnsi="Calibri" w:cs="Calibri"/>
          <w:color w:val="000000" w:themeColor="text1"/>
          <w:shd w:val="clear" w:color="auto" w:fill="FFFFFF"/>
        </w:rPr>
      </w:pPr>
      <w:r w:rsidRPr="00781C9C">
        <w:rPr>
          <w:rFonts w:ascii="Calibri" w:hAnsi="Calibri" w:cs="Calibri"/>
          <w:color w:val="000000"/>
          <w:shd w:val="clear" w:color="auto" w:fill="FFFFFF"/>
        </w:rPr>
        <w:t>Klonsky, E. Victor, S. Saffer, B. (2014). Nonsuicidal self-injury: what we know, and what we need to know.. </w:t>
      </w:r>
      <w:r w:rsidRPr="00781C9C">
        <w:rPr>
          <w:rFonts w:ascii="Calibri" w:hAnsi="Calibri" w:cs="Calibri"/>
          <w:i/>
          <w:iCs/>
          <w:color w:val="000000"/>
        </w:rPr>
        <w:t>The Canadian Journal of Psychiatry.</w:t>
      </w:r>
      <w:r w:rsidRPr="00781C9C">
        <w:rPr>
          <w:rFonts w:ascii="Calibri" w:hAnsi="Calibri" w:cs="Calibri"/>
          <w:color w:val="000000"/>
          <w:shd w:val="clear" w:color="auto" w:fill="FFFFFF"/>
        </w:rPr>
        <w:t>. 59(11), pp.565-568. [Online]. Available at: https://doi.org/10.1177/070674371405901101 [Accessed 11 June 2025].</w:t>
      </w:r>
    </w:p>
    <w:p w14:paraId="2F557B16" w14:textId="3C935684" w:rsidR="00B0351F"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 xml:space="preserve">Leung, F. Savithiri, R. (2009). Spotlight on Focus </w:t>
      </w:r>
      <w:r w:rsidR="00781C9C">
        <w:rPr>
          <w:rFonts w:ascii="Calibri" w:hAnsi="Calibri" w:cs="Calibri"/>
          <w:color w:val="000000" w:themeColor="text1"/>
          <w:shd w:val="clear" w:color="auto" w:fill="FFFFFF"/>
        </w:rPr>
        <w:t>Groups</w:t>
      </w:r>
      <w:r w:rsidRPr="002E3388">
        <w:rPr>
          <w:rFonts w:ascii="Calibri" w:hAnsi="Calibri" w:cs="Calibri"/>
          <w:color w:val="000000" w:themeColor="text1"/>
          <w:shd w:val="clear" w:color="auto" w:fill="FFFFFF"/>
        </w:rPr>
        <w:t>. </w:t>
      </w:r>
      <w:r w:rsidRPr="002E3388">
        <w:rPr>
          <w:rFonts w:ascii="Calibri" w:hAnsi="Calibri" w:cs="Calibri"/>
          <w:i/>
          <w:iCs/>
          <w:color w:val="000000" w:themeColor="text1"/>
        </w:rPr>
        <w:t>Can Fam Physician</w:t>
      </w:r>
      <w:r w:rsidRPr="002E3388">
        <w:rPr>
          <w:rFonts w:ascii="Calibri" w:hAnsi="Calibri" w:cs="Calibri"/>
          <w:color w:val="000000" w:themeColor="text1"/>
          <w:shd w:val="clear" w:color="auto" w:fill="FFFFFF"/>
        </w:rPr>
        <w:t>. 55(2), pp.218-219. [Online]. Available at: PMCID: PMC2642503 PMID: 19221085 [Accessed 07</w:t>
      </w:r>
      <w:r w:rsidRPr="002E3388">
        <w:rPr>
          <w:rFonts w:ascii="Calibri" w:hAnsi="Calibri" w:cs="Calibri"/>
          <w:color w:val="000000" w:themeColor="text1"/>
          <w:shd w:val="clear" w:color="auto" w:fill="FFFFFF"/>
          <w:vertAlign w:val="superscript"/>
        </w:rPr>
        <w:t>th</w:t>
      </w:r>
      <w:r w:rsidRPr="002E3388">
        <w:rPr>
          <w:rFonts w:ascii="Calibri" w:hAnsi="Calibri" w:cs="Calibri"/>
          <w:color w:val="000000" w:themeColor="text1"/>
          <w:shd w:val="clear" w:color="auto" w:fill="FFFFFF"/>
        </w:rPr>
        <w:t xml:space="preserve"> June 2025].</w:t>
      </w:r>
    </w:p>
    <w:p w14:paraId="7D5FBECD" w14:textId="77777777" w:rsidR="009C4586"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Research Design Review. (2015). </w:t>
      </w:r>
      <w:r w:rsidRPr="002E3388">
        <w:rPr>
          <w:rFonts w:ascii="Calibri" w:hAnsi="Calibri" w:cs="Calibri"/>
          <w:i/>
          <w:iCs/>
          <w:color w:val="000000" w:themeColor="text1"/>
        </w:rPr>
        <w:t>Strengths of the focus group method: an overview</w:t>
      </w:r>
      <w:r w:rsidRPr="002E3388">
        <w:rPr>
          <w:rFonts w:ascii="Calibri" w:hAnsi="Calibri" w:cs="Calibri"/>
          <w:color w:val="000000" w:themeColor="text1"/>
          <w:shd w:val="clear" w:color="auto" w:fill="FFFFFF"/>
        </w:rPr>
        <w:t>. [Online]. Research Design Review. Last Updated: Unknown. Available at: https://researchdesignreview.com/2020/10/30/strengths-focus-group-method-overview/#:~:text=There%20a [Accessed 9 June 2025].</w:t>
      </w:r>
    </w:p>
    <w:p w14:paraId="5D27A712" w14:textId="77777777" w:rsidR="00485787"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Rosala, M. (2024). </w:t>
      </w:r>
      <w:r w:rsidRPr="002E3388">
        <w:rPr>
          <w:rFonts w:ascii="Calibri" w:hAnsi="Calibri" w:cs="Calibri"/>
          <w:i/>
          <w:iCs/>
          <w:color w:val="000000" w:themeColor="text1"/>
        </w:rPr>
        <w:t>Open-Ended vs. Closed questions in user research</w:t>
      </w:r>
      <w:r w:rsidRPr="002E3388">
        <w:rPr>
          <w:rFonts w:ascii="Calibri" w:hAnsi="Calibri" w:cs="Calibri"/>
          <w:color w:val="000000" w:themeColor="text1"/>
          <w:shd w:val="clear" w:color="auto" w:fill="FFFFFF"/>
        </w:rPr>
        <w:t>. [Online]. NNGroup. Last Updated: 26th January 2024. Available at: https://www.nngroup.com/articles/open-ended-questions/ [Accessed 7 June 2025].</w:t>
      </w:r>
    </w:p>
    <w:p w14:paraId="55414D42" w14:textId="77777777" w:rsidR="009C4586"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Somekh, S. (2024). </w:t>
      </w:r>
      <w:r w:rsidRPr="002E3388">
        <w:rPr>
          <w:rFonts w:ascii="Calibri" w:hAnsi="Calibri" w:cs="Calibri"/>
          <w:i/>
          <w:iCs/>
          <w:color w:val="000000" w:themeColor="text1"/>
        </w:rPr>
        <w:t>Disadvantages of Focus Groups (And How to Avoid Them): The Complete Guide (2024)</w:t>
      </w:r>
      <w:r w:rsidRPr="002E3388">
        <w:rPr>
          <w:rFonts w:ascii="Calibri" w:hAnsi="Calibri" w:cs="Calibri"/>
          <w:color w:val="000000" w:themeColor="text1"/>
          <w:shd w:val="clear" w:color="auto" w:fill="FFFFFF"/>
        </w:rPr>
        <w:t>. [Online]. Revuse. Last Updated: 10th November 2024. Available at: https://www.revuze.it/blog/disadvantages-of-focus-groups/ [Accessed 9 June 2025].</w:t>
      </w:r>
    </w:p>
    <w:p w14:paraId="453DB026" w14:textId="77777777" w:rsidR="00346D94"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Stanat, R. (2024). </w:t>
      </w:r>
      <w:r w:rsidRPr="002E3388">
        <w:rPr>
          <w:rFonts w:ascii="Calibri" w:hAnsi="Calibri" w:cs="Calibri"/>
          <w:i/>
          <w:iCs/>
          <w:color w:val="000000" w:themeColor="text1"/>
        </w:rPr>
        <w:t>Advantages of focus groups</w:t>
      </w:r>
      <w:r w:rsidRPr="002E3388">
        <w:rPr>
          <w:rFonts w:ascii="Calibri" w:hAnsi="Calibri" w:cs="Calibri"/>
          <w:color w:val="000000" w:themeColor="text1"/>
          <w:shd w:val="clear" w:color="auto" w:fill="FFFFFF"/>
        </w:rPr>
        <w:t>. [Online]. International Research and Strategy. Last Updated: 24th June 2024. Available at: https://www.sisinternational.com/advantages-of-focus-groups/ [Accessed 7 June 2025].</w:t>
      </w:r>
    </w:p>
    <w:p w14:paraId="6A9B6D1B" w14:textId="77777777" w:rsidR="009C4586" w:rsidRPr="002E3388"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Stanley, J. (2025). </w:t>
      </w:r>
      <w:r w:rsidRPr="002E3388">
        <w:rPr>
          <w:rFonts w:ascii="Calibri" w:hAnsi="Calibri" w:cs="Calibri"/>
          <w:i/>
          <w:iCs/>
          <w:color w:val="000000" w:themeColor="text1"/>
        </w:rPr>
        <w:t>Advantages and disadvantages of focus groups for businesses</w:t>
      </w:r>
      <w:r w:rsidRPr="002E3388">
        <w:rPr>
          <w:rFonts w:ascii="Calibri" w:hAnsi="Calibri" w:cs="Calibri"/>
          <w:color w:val="000000" w:themeColor="text1"/>
          <w:shd w:val="clear" w:color="auto" w:fill="FFFFFF"/>
        </w:rPr>
        <w:t>. [Online]. Real Business. Last Updated: 14th February 2025. Available at: https://realbusiness.co.uk/advantages-and-disadvantages-of-focus-groups#Focus_Group_Advantages [Accessed 9 June 2025].</w:t>
      </w:r>
    </w:p>
    <w:p w14:paraId="67B593B3" w14:textId="77777777" w:rsidR="006B44C6" w:rsidRDefault="002264C4" w:rsidP="002E3388">
      <w:pPr>
        <w:spacing w:line="360" w:lineRule="auto"/>
        <w:rPr>
          <w:rFonts w:ascii="Calibri" w:hAnsi="Calibri" w:cs="Calibri"/>
          <w:color w:val="000000" w:themeColor="text1"/>
          <w:shd w:val="clear" w:color="auto" w:fill="FFFFFF"/>
        </w:rPr>
      </w:pPr>
      <w:r w:rsidRPr="002E3388">
        <w:rPr>
          <w:rFonts w:ascii="Calibri" w:hAnsi="Calibri" w:cs="Calibri"/>
          <w:color w:val="000000" w:themeColor="text1"/>
          <w:shd w:val="clear" w:color="auto" w:fill="FFFFFF"/>
        </w:rPr>
        <w:t>UK Statistics Authority. (2024). </w:t>
      </w:r>
      <w:r w:rsidRPr="002E3388">
        <w:rPr>
          <w:rFonts w:ascii="Calibri" w:hAnsi="Calibri" w:cs="Calibri"/>
          <w:i/>
          <w:iCs/>
          <w:color w:val="000000" w:themeColor="text1"/>
        </w:rPr>
        <w:t>Ethical Considerations associated with Qualitative Research methods.</w:t>
      </w:r>
      <w:r w:rsidRPr="002E3388">
        <w:rPr>
          <w:rFonts w:ascii="Calibri" w:hAnsi="Calibri" w:cs="Calibri"/>
          <w:color w:val="000000" w:themeColor="text1"/>
          <w:shd w:val="clear" w:color="auto" w:fill="FFFFFF"/>
        </w:rPr>
        <w:t xml:space="preserve">. [Online]. UK Statistics Authority. Last Updated: 25th May 2024. Available at: </w:t>
      </w:r>
      <w:r w:rsidRPr="002E3388">
        <w:rPr>
          <w:rFonts w:ascii="Calibri" w:hAnsi="Calibri" w:cs="Calibri"/>
          <w:color w:val="000000" w:themeColor="text1"/>
          <w:shd w:val="clear" w:color="auto" w:fill="FFFFFF"/>
        </w:rPr>
        <w:lastRenderedPageBreak/>
        <w:t>https://uksa.statisticsauthority.gov.uk/publication/ethical-considerations-associated-with-qualitati [Accessed 7 June 2025].</w:t>
      </w:r>
    </w:p>
    <w:p w14:paraId="4AFC2A51" w14:textId="6DC94FF9" w:rsidR="00F512AA" w:rsidRPr="00F512AA" w:rsidRDefault="00F512AA" w:rsidP="002E3388">
      <w:pPr>
        <w:spacing w:line="360" w:lineRule="auto"/>
        <w:rPr>
          <w:rFonts w:ascii="Calibri" w:hAnsi="Calibri" w:cs="Calibri"/>
          <w:color w:val="000000" w:themeColor="text1"/>
          <w:shd w:val="clear" w:color="auto" w:fill="FFFFFF"/>
        </w:rPr>
      </w:pPr>
      <w:r w:rsidRPr="00F512AA">
        <w:rPr>
          <w:rFonts w:ascii="Calibri" w:hAnsi="Calibri" w:cs="Calibri"/>
          <w:color w:val="000000"/>
          <w:shd w:val="clear" w:color="auto" w:fill="FFFFFF"/>
        </w:rPr>
        <w:t>Quarshie, E. Waterman, M. House, A. (2020). Prevalence of self-harm among lesbian, gay, bisexual, and transgender adolescents: a comparison of personal and social a</w:t>
      </w:r>
      <w:r w:rsidRPr="00F512AA">
        <w:rPr>
          <w:rFonts w:ascii="Calibri" w:hAnsi="Calibri" w:cs="Calibri"/>
          <w:color w:val="000000"/>
          <w:shd w:val="clear" w:color="auto" w:fill="FFFFFF"/>
        </w:rPr>
        <w:t>dversity with heterosexual youth</w:t>
      </w:r>
      <w:r w:rsidRPr="00F512AA">
        <w:rPr>
          <w:rFonts w:ascii="Calibri" w:hAnsi="Calibri" w:cs="Calibri"/>
          <w:color w:val="000000"/>
          <w:shd w:val="clear" w:color="auto" w:fill="FFFFFF"/>
        </w:rPr>
        <w:t>. </w:t>
      </w:r>
      <w:r w:rsidRPr="00F512AA">
        <w:rPr>
          <w:rFonts w:ascii="Calibri" w:hAnsi="Calibri" w:cs="Calibri"/>
          <w:i/>
          <w:iCs/>
          <w:color w:val="000000"/>
        </w:rPr>
        <w:t>BMC Research Notes</w:t>
      </w:r>
      <w:r w:rsidRPr="00F512AA">
        <w:rPr>
          <w:rFonts w:ascii="Calibri" w:hAnsi="Calibri" w:cs="Calibri"/>
          <w:color w:val="000000"/>
          <w:shd w:val="clear" w:color="auto" w:fill="FFFFFF"/>
        </w:rPr>
        <w:t xml:space="preserve">. 13(271), </w:t>
      </w:r>
      <w:r w:rsidRPr="00F512AA">
        <w:rPr>
          <w:rFonts w:ascii="Calibri" w:hAnsi="Calibri" w:cs="Calibri"/>
          <w:color w:val="000000"/>
          <w:shd w:val="clear" w:color="auto" w:fill="FFFFFF"/>
        </w:rPr>
        <w:t>p. unknown</w:t>
      </w:r>
      <w:r w:rsidRPr="00F512AA">
        <w:rPr>
          <w:rFonts w:ascii="Calibri" w:hAnsi="Calibri" w:cs="Calibri"/>
          <w:color w:val="000000"/>
          <w:shd w:val="clear" w:color="auto" w:fill="FFFFFF"/>
        </w:rPr>
        <w:t>. [Online]. Available at: https://doi.org/10.1186/s13104-020-05111-4 [Accessed 12 June 2025].</w:t>
      </w:r>
    </w:p>
    <w:p w14:paraId="3BF033A3" w14:textId="77777777" w:rsidR="00EA1A13" w:rsidRPr="002E3388" w:rsidRDefault="002264C4" w:rsidP="002E3388">
      <w:pPr>
        <w:spacing w:line="360" w:lineRule="auto"/>
        <w:rPr>
          <w:rFonts w:ascii="Calibri" w:hAnsi="Calibri" w:cs="Calibri"/>
          <w:color w:val="000000" w:themeColor="text1"/>
        </w:rPr>
      </w:pPr>
      <w:r w:rsidRPr="002E3388">
        <w:rPr>
          <w:rFonts w:ascii="Calibri" w:hAnsi="Calibri" w:cs="Calibri"/>
          <w:color w:val="000000" w:themeColor="text1"/>
          <w:shd w:val="clear" w:color="auto" w:fill="FFFFFF"/>
        </w:rPr>
        <w:t>Youth Chances. (2016). Section B Key Findings.. </w:t>
      </w:r>
      <w:r w:rsidRPr="002E3388">
        <w:rPr>
          <w:rFonts w:ascii="Calibri" w:hAnsi="Calibri" w:cs="Calibri"/>
          <w:i/>
          <w:iCs/>
          <w:color w:val="000000" w:themeColor="text1"/>
        </w:rPr>
        <w:t>Youth Chances: Integrated Report</w:t>
      </w:r>
      <w:r w:rsidRPr="002E3388">
        <w:rPr>
          <w:rFonts w:ascii="Calibri" w:hAnsi="Calibri" w:cs="Calibri"/>
          <w:color w:val="000000" w:themeColor="text1"/>
          <w:shd w:val="clear" w:color="auto" w:fill="FFFFFF"/>
        </w:rPr>
        <w:t>. 2016, p.B4.</w:t>
      </w:r>
    </w:p>
    <w:sectPr w:rsidR="00EA1A13" w:rsidRPr="002E3388" w:rsidSect="00D562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B7AEE"/>
    <w:multiLevelType w:val="multilevel"/>
    <w:tmpl w:val="BD32A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882694"/>
    <w:multiLevelType w:val="hybridMultilevel"/>
    <w:tmpl w:val="2708CC50"/>
    <w:lvl w:ilvl="0" w:tplc="832E0D8E">
      <w:start w:val="1"/>
      <w:numFmt w:val="decimal"/>
      <w:lvlText w:val="%1."/>
      <w:lvlJc w:val="left"/>
      <w:pPr>
        <w:ind w:left="720" w:hanging="360"/>
      </w:pPr>
      <w:rPr>
        <w:rFonts w:hint="default"/>
      </w:rPr>
    </w:lvl>
    <w:lvl w:ilvl="1" w:tplc="4596115A" w:tentative="1">
      <w:start w:val="1"/>
      <w:numFmt w:val="lowerLetter"/>
      <w:lvlText w:val="%2."/>
      <w:lvlJc w:val="left"/>
      <w:pPr>
        <w:ind w:left="1440" w:hanging="360"/>
      </w:pPr>
    </w:lvl>
    <w:lvl w:ilvl="2" w:tplc="0D7CBF82" w:tentative="1">
      <w:start w:val="1"/>
      <w:numFmt w:val="lowerRoman"/>
      <w:lvlText w:val="%3."/>
      <w:lvlJc w:val="right"/>
      <w:pPr>
        <w:ind w:left="2160" w:hanging="180"/>
      </w:pPr>
    </w:lvl>
    <w:lvl w:ilvl="3" w:tplc="936E7A32" w:tentative="1">
      <w:start w:val="1"/>
      <w:numFmt w:val="decimal"/>
      <w:lvlText w:val="%4."/>
      <w:lvlJc w:val="left"/>
      <w:pPr>
        <w:ind w:left="2880" w:hanging="360"/>
      </w:pPr>
    </w:lvl>
    <w:lvl w:ilvl="4" w:tplc="4FE8FC82" w:tentative="1">
      <w:start w:val="1"/>
      <w:numFmt w:val="lowerLetter"/>
      <w:lvlText w:val="%5."/>
      <w:lvlJc w:val="left"/>
      <w:pPr>
        <w:ind w:left="3600" w:hanging="360"/>
      </w:pPr>
    </w:lvl>
    <w:lvl w:ilvl="5" w:tplc="91CA71EC" w:tentative="1">
      <w:start w:val="1"/>
      <w:numFmt w:val="lowerRoman"/>
      <w:lvlText w:val="%6."/>
      <w:lvlJc w:val="right"/>
      <w:pPr>
        <w:ind w:left="4320" w:hanging="180"/>
      </w:pPr>
    </w:lvl>
    <w:lvl w:ilvl="6" w:tplc="C554B898" w:tentative="1">
      <w:start w:val="1"/>
      <w:numFmt w:val="decimal"/>
      <w:lvlText w:val="%7."/>
      <w:lvlJc w:val="left"/>
      <w:pPr>
        <w:ind w:left="5040" w:hanging="360"/>
      </w:pPr>
    </w:lvl>
    <w:lvl w:ilvl="7" w:tplc="1402EC32" w:tentative="1">
      <w:start w:val="1"/>
      <w:numFmt w:val="lowerLetter"/>
      <w:lvlText w:val="%8."/>
      <w:lvlJc w:val="left"/>
      <w:pPr>
        <w:ind w:left="5760" w:hanging="360"/>
      </w:pPr>
    </w:lvl>
    <w:lvl w:ilvl="8" w:tplc="E4289444" w:tentative="1">
      <w:start w:val="1"/>
      <w:numFmt w:val="lowerRoman"/>
      <w:lvlText w:val="%9."/>
      <w:lvlJc w:val="right"/>
      <w:pPr>
        <w:ind w:left="6480" w:hanging="180"/>
      </w:pPr>
    </w:lvl>
  </w:abstractNum>
  <w:abstractNum w:abstractNumId="2" w15:restartNumberingAfterBreak="0">
    <w:nsid w:val="1DC83D1A"/>
    <w:multiLevelType w:val="hybridMultilevel"/>
    <w:tmpl w:val="87D6B6F6"/>
    <w:lvl w:ilvl="0" w:tplc="DC789B14">
      <w:start w:val="1"/>
      <w:numFmt w:val="decimal"/>
      <w:lvlText w:val="%1."/>
      <w:lvlJc w:val="left"/>
      <w:pPr>
        <w:ind w:left="720" w:hanging="360"/>
      </w:pPr>
      <w:rPr>
        <w:rFonts w:hint="default"/>
      </w:rPr>
    </w:lvl>
    <w:lvl w:ilvl="1" w:tplc="C95C76E4" w:tentative="1">
      <w:start w:val="1"/>
      <w:numFmt w:val="lowerLetter"/>
      <w:lvlText w:val="%2."/>
      <w:lvlJc w:val="left"/>
      <w:pPr>
        <w:ind w:left="1440" w:hanging="360"/>
      </w:pPr>
    </w:lvl>
    <w:lvl w:ilvl="2" w:tplc="7A6ABB7C" w:tentative="1">
      <w:start w:val="1"/>
      <w:numFmt w:val="lowerRoman"/>
      <w:lvlText w:val="%3."/>
      <w:lvlJc w:val="right"/>
      <w:pPr>
        <w:ind w:left="2160" w:hanging="180"/>
      </w:pPr>
    </w:lvl>
    <w:lvl w:ilvl="3" w:tplc="F8AEB3FA" w:tentative="1">
      <w:start w:val="1"/>
      <w:numFmt w:val="decimal"/>
      <w:lvlText w:val="%4."/>
      <w:lvlJc w:val="left"/>
      <w:pPr>
        <w:ind w:left="2880" w:hanging="360"/>
      </w:pPr>
    </w:lvl>
    <w:lvl w:ilvl="4" w:tplc="1E4EF99A" w:tentative="1">
      <w:start w:val="1"/>
      <w:numFmt w:val="lowerLetter"/>
      <w:lvlText w:val="%5."/>
      <w:lvlJc w:val="left"/>
      <w:pPr>
        <w:ind w:left="3600" w:hanging="360"/>
      </w:pPr>
    </w:lvl>
    <w:lvl w:ilvl="5" w:tplc="42E47168" w:tentative="1">
      <w:start w:val="1"/>
      <w:numFmt w:val="lowerRoman"/>
      <w:lvlText w:val="%6."/>
      <w:lvlJc w:val="right"/>
      <w:pPr>
        <w:ind w:left="4320" w:hanging="180"/>
      </w:pPr>
    </w:lvl>
    <w:lvl w:ilvl="6" w:tplc="229298C6" w:tentative="1">
      <w:start w:val="1"/>
      <w:numFmt w:val="decimal"/>
      <w:lvlText w:val="%7."/>
      <w:lvlJc w:val="left"/>
      <w:pPr>
        <w:ind w:left="5040" w:hanging="360"/>
      </w:pPr>
    </w:lvl>
    <w:lvl w:ilvl="7" w:tplc="6764E256" w:tentative="1">
      <w:start w:val="1"/>
      <w:numFmt w:val="lowerLetter"/>
      <w:lvlText w:val="%8."/>
      <w:lvlJc w:val="left"/>
      <w:pPr>
        <w:ind w:left="5760" w:hanging="360"/>
      </w:pPr>
    </w:lvl>
    <w:lvl w:ilvl="8" w:tplc="C3BA2CD2" w:tentative="1">
      <w:start w:val="1"/>
      <w:numFmt w:val="lowerRoman"/>
      <w:lvlText w:val="%9."/>
      <w:lvlJc w:val="right"/>
      <w:pPr>
        <w:ind w:left="6480" w:hanging="180"/>
      </w:pPr>
    </w:lvl>
  </w:abstractNum>
  <w:abstractNum w:abstractNumId="3" w15:restartNumberingAfterBreak="0">
    <w:nsid w:val="296B2441"/>
    <w:multiLevelType w:val="multilevel"/>
    <w:tmpl w:val="1618E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DA4950"/>
    <w:multiLevelType w:val="multilevel"/>
    <w:tmpl w:val="969C5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1C3BDD"/>
    <w:multiLevelType w:val="hybridMultilevel"/>
    <w:tmpl w:val="1F2425E0"/>
    <w:lvl w:ilvl="0" w:tplc="FC34FF5E">
      <w:start w:val="1"/>
      <w:numFmt w:val="decimal"/>
      <w:lvlText w:val="%1."/>
      <w:lvlJc w:val="left"/>
      <w:pPr>
        <w:ind w:left="720" w:hanging="360"/>
      </w:pPr>
      <w:rPr>
        <w:rFonts w:hint="default"/>
      </w:rPr>
    </w:lvl>
    <w:lvl w:ilvl="1" w:tplc="84369D10" w:tentative="1">
      <w:start w:val="1"/>
      <w:numFmt w:val="lowerLetter"/>
      <w:lvlText w:val="%2."/>
      <w:lvlJc w:val="left"/>
      <w:pPr>
        <w:ind w:left="1440" w:hanging="360"/>
      </w:pPr>
    </w:lvl>
    <w:lvl w:ilvl="2" w:tplc="F20E88FC" w:tentative="1">
      <w:start w:val="1"/>
      <w:numFmt w:val="lowerRoman"/>
      <w:lvlText w:val="%3."/>
      <w:lvlJc w:val="right"/>
      <w:pPr>
        <w:ind w:left="2160" w:hanging="180"/>
      </w:pPr>
    </w:lvl>
    <w:lvl w:ilvl="3" w:tplc="D208012C" w:tentative="1">
      <w:start w:val="1"/>
      <w:numFmt w:val="decimal"/>
      <w:lvlText w:val="%4."/>
      <w:lvlJc w:val="left"/>
      <w:pPr>
        <w:ind w:left="2880" w:hanging="360"/>
      </w:pPr>
    </w:lvl>
    <w:lvl w:ilvl="4" w:tplc="3780B5EE" w:tentative="1">
      <w:start w:val="1"/>
      <w:numFmt w:val="lowerLetter"/>
      <w:lvlText w:val="%5."/>
      <w:lvlJc w:val="left"/>
      <w:pPr>
        <w:ind w:left="3600" w:hanging="360"/>
      </w:pPr>
    </w:lvl>
    <w:lvl w:ilvl="5" w:tplc="19901F7A" w:tentative="1">
      <w:start w:val="1"/>
      <w:numFmt w:val="lowerRoman"/>
      <w:lvlText w:val="%6."/>
      <w:lvlJc w:val="right"/>
      <w:pPr>
        <w:ind w:left="4320" w:hanging="180"/>
      </w:pPr>
    </w:lvl>
    <w:lvl w:ilvl="6" w:tplc="E3A82B26" w:tentative="1">
      <w:start w:val="1"/>
      <w:numFmt w:val="decimal"/>
      <w:lvlText w:val="%7."/>
      <w:lvlJc w:val="left"/>
      <w:pPr>
        <w:ind w:left="5040" w:hanging="360"/>
      </w:pPr>
    </w:lvl>
    <w:lvl w:ilvl="7" w:tplc="D1FEA4BE" w:tentative="1">
      <w:start w:val="1"/>
      <w:numFmt w:val="lowerLetter"/>
      <w:lvlText w:val="%8."/>
      <w:lvlJc w:val="left"/>
      <w:pPr>
        <w:ind w:left="5760" w:hanging="360"/>
      </w:pPr>
    </w:lvl>
    <w:lvl w:ilvl="8" w:tplc="B7D89188" w:tentative="1">
      <w:start w:val="1"/>
      <w:numFmt w:val="lowerRoman"/>
      <w:lvlText w:val="%9."/>
      <w:lvlJc w:val="right"/>
      <w:pPr>
        <w:ind w:left="6480" w:hanging="180"/>
      </w:pPr>
    </w:lvl>
  </w:abstractNum>
  <w:num w:numId="1" w16cid:durableId="623077726">
    <w:abstractNumId w:val="0"/>
  </w:num>
  <w:num w:numId="2" w16cid:durableId="1242367612">
    <w:abstractNumId w:val="3"/>
  </w:num>
  <w:num w:numId="3" w16cid:durableId="2113085644">
    <w:abstractNumId w:val="4"/>
  </w:num>
  <w:num w:numId="4" w16cid:durableId="1668822021">
    <w:abstractNumId w:val="1"/>
  </w:num>
  <w:num w:numId="5" w16cid:durableId="2064408536">
    <w:abstractNumId w:val="5"/>
  </w:num>
  <w:num w:numId="6" w16cid:durableId="568225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92DBB"/>
    <w:rsid w:val="00025186"/>
    <w:rsid w:val="00040534"/>
    <w:rsid w:val="00041E1A"/>
    <w:rsid w:val="00065D28"/>
    <w:rsid w:val="00072B2C"/>
    <w:rsid w:val="00074C54"/>
    <w:rsid w:val="00083179"/>
    <w:rsid w:val="000978EF"/>
    <w:rsid w:val="000B33DE"/>
    <w:rsid w:val="000B6242"/>
    <w:rsid w:val="000C743B"/>
    <w:rsid w:val="000D6326"/>
    <w:rsid w:val="00120035"/>
    <w:rsid w:val="00122BB5"/>
    <w:rsid w:val="001233A4"/>
    <w:rsid w:val="00132F32"/>
    <w:rsid w:val="001606DF"/>
    <w:rsid w:val="00166DF5"/>
    <w:rsid w:val="001B2B79"/>
    <w:rsid w:val="001B5A36"/>
    <w:rsid w:val="001D0B53"/>
    <w:rsid w:val="001D40BE"/>
    <w:rsid w:val="002072D8"/>
    <w:rsid w:val="0021580A"/>
    <w:rsid w:val="002264C4"/>
    <w:rsid w:val="002274F8"/>
    <w:rsid w:val="00277D38"/>
    <w:rsid w:val="00284348"/>
    <w:rsid w:val="002B615C"/>
    <w:rsid w:val="002C7A65"/>
    <w:rsid w:val="002E3388"/>
    <w:rsid w:val="00312CAF"/>
    <w:rsid w:val="00317639"/>
    <w:rsid w:val="00346D94"/>
    <w:rsid w:val="00355F5F"/>
    <w:rsid w:val="003574FE"/>
    <w:rsid w:val="0036142F"/>
    <w:rsid w:val="003F0743"/>
    <w:rsid w:val="00443930"/>
    <w:rsid w:val="004772C0"/>
    <w:rsid w:val="00485787"/>
    <w:rsid w:val="004A5D72"/>
    <w:rsid w:val="004E5520"/>
    <w:rsid w:val="00546584"/>
    <w:rsid w:val="00552B00"/>
    <w:rsid w:val="005573D7"/>
    <w:rsid w:val="005723A8"/>
    <w:rsid w:val="00576453"/>
    <w:rsid w:val="005803D8"/>
    <w:rsid w:val="00592667"/>
    <w:rsid w:val="006A0CED"/>
    <w:rsid w:val="006B44C6"/>
    <w:rsid w:val="00705C17"/>
    <w:rsid w:val="00730A66"/>
    <w:rsid w:val="00777C27"/>
    <w:rsid w:val="00781C9C"/>
    <w:rsid w:val="007A7991"/>
    <w:rsid w:val="007A7E83"/>
    <w:rsid w:val="007C2969"/>
    <w:rsid w:val="008013BA"/>
    <w:rsid w:val="00836F97"/>
    <w:rsid w:val="00843E4C"/>
    <w:rsid w:val="00863DF6"/>
    <w:rsid w:val="0086777D"/>
    <w:rsid w:val="008740CD"/>
    <w:rsid w:val="0089270D"/>
    <w:rsid w:val="00896667"/>
    <w:rsid w:val="008A570F"/>
    <w:rsid w:val="008B6D50"/>
    <w:rsid w:val="008B7730"/>
    <w:rsid w:val="008F2F88"/>
    <w:rsid w:val="00960835"/>
    <w:rsid w:val="009C1289"/>
    <w:rsid w:val="009C4586"/>
    <w:rsid w:val="009F1FF4"/>
    <w:rsid w:val="00A24B89"/>
    <w:rsid w:val="00A254D4"/>
    <w:rsid w:val="00A660EB"/>
    <w:rsid w:val="00AB3E8E"/>
    <w:rsid w:val="00AD3E27"/>
    <w:rsid w:val="00AF354E"/>
    <w:rsid w:val="00B03313"/>
    <w:rsid w:val="00B0351F"/>
    <w:rsid w:val="00B1125E"/>
    <w:rsid w:val="00B13DF0"/>
    <w:rsid w:val="00B41367"/>
    <w:rsid w:val="00B86A99"/>
    <w:rsid w:val="00BD19D4"/>
    <w:rsid w:val="00BF57E2"/>
    <w:rsid w:val="00C00479"/>
    <w:rsid w:val="00C05051"/>
    <w:rsid w:val="00C72448"/>
    <w:rsid w:val="00CF0CEF"/>
    <w:rsid w:val="00D35531"/>
    <w:rsid w:val="00D432F2"/>
    <w:rsid w:val="00D5626E"/>
    <w:rsid w:val="00D66CED"/>
    <w:rsid w:val="00D86946"/>
    <w:rsid w:val="00DA706F"/>
    <w:rsid w:val="00DB6B97"/>
    <w:rsid w:val="00DD318C"/>
    <w:rsid w:val="00DF2F7A"/>
    <w:rsid w:val="00DF5F39"/>
    <w:rsid w:val="00E06EA1"/>
    <w:rsid w:val="00E1128C"/>
    <w:rsid w:val="00E254B1"/>
    <w:rsid w:val="00E510E0"/>
    <w:rsid w:val="00E552F5"/>
    <w:rsid w:val="00EA1A13"/>
    <w:rsid w:val="00EA2C0B"/>
    <w:rsid w:val="00F15A90"/>
    <w:rsid w:val="00F1741A"/>
    <w:rsid w:val="00F438AA"/>
    <w:rsid w:val="00F512AA"/>
    <w:rsid w:val="00F56F19"/>
    <w:rsid w:val="00F81CE9"/>
    <w:rsid w:val="00F92DBB"/>
    <w:rsid w:val="00FB40D1"/>
    <w:rsid w:val="00FC7AE9"/>
    <w:rsid w:val="00FE2513"/>
    <w:rsid w:val="00FE4F2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778D65"/>
  <w15:docId w15:val="{879C3F2B-24E2-485F-AC2D-C372B427D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26E"/>
  </w:style>
  <w:style w:type="paragraph" w:styleId="Heading1">
    <w:name w:val="heading 1"/>
    <w:basedOn w:val="Normal"/>
    <w:next w:val="Normal"/>
    <w:link w:val="Heading1Char"/>
    <w:uiPriority w:val="9"/>
    <w:qFormat/>
    <w:rsid w:val="00F92D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2D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2D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2D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2D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2D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2D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2D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2D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D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2D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2D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2D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2D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2D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D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D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DBB"/>
    <w:rPr>
      <w:rFonts w:eastAsiaTheme="majorEastAsia" w:cstheme="majorBidi"/>
      <w:color w:val="272727" w:themeColor="text1" w:themeTint="D8"/>
    </w:rPr>
  </w:style>
  <w:style w:type="paragraph" w:styleId="Title">
    <w:name w:val="Title"/>
    <w:basedOn w:val="Normal"/>
    <w:next w:val="Normal"/>
    <w:link w:val="TitleChar"/>
    <w:uiPriority w:val="10"/>
    <w:qFormat/>
    <w:rsid w:val="00F92D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D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D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2D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DBB"/>
    <w:pPr>
      <w:spacing w:before="160"/>
      <w:jc w:val="center"/>
    </w:pPr>
    <w:rPr>
      <w:i/>
      <w:iCs/>
      <w:color w:val="404040" w:themeColor="text1" w:themeTint="BF"/>
    </w:rPr>
  </w:style>
  <w:style w:type="character" w:customStyle="1" w:styleId="QuoteChar">
    <w:name w:val="Quote Char"/>
    <w:basedOn w:val="DefaultParagraphFont"/>
    <w:link w:val="Quote"/>
    <w:uiPriority w:val="29"/>
    <w:rsid w:val="00F92DBB"/>
    <w:rPr>
      <w:i/>
      <w:iCs/>
      <w:color w:val="404040" w:themeColor="text1" w:themeTint="BF"/>
    </w:rPr>
  </w:style>
  <w:style w:type="paragraph" w:styleId="ListParagraph">
    <w:name w:val="List Paragraph"/>
    <w:basedOn w:val="Normal"/>
    <w:uiPriority w:val="34"/>
    <w:qFormat/>
    <w:rsid w:val="00F92DBB"/>
    <w:pPr>
      <w:ind w:left="720"/>
      <w:contextualSpacing/>
    </w:pPr>
  </w:style>
  <w:style w:type="character" w:styleId="IntenseEmphasis">
    <w:name w:val="Intense Emphasis"/>
    <w:basedOn w:val="DefaultParagraphFont"/>
    <w:uiPriority w:val="21"/>
    <w:qFormat/>
    <w:rsid w:val="00F92DBB"/>
    <w:rPr>
      <w:i/>
      <w:iCs/>
      <w:color w:val="0F4761" w:themeColor="accent1" w:themeShade="BF"/>
    </w:rPr>
  </w:style>
  <w:style w:type="paragraph" w:styleId="IntenseQuote">
    <w:name w:val="Intense Quote"/>
    <w:basedOn w:val="Normal"/>
    <w:next w:val="Normal"/>
    <w:link w:val="IntenseQuoteChar"/>
    <w:uiPriority w:val="30"/>
    <w:qFormat/>
    <w:rsid w:val="00F92D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2DBB"/>
    <w:rPr>
      <w:i/>
      <w:iCs/>
      <w:color w:val="0F4761" w:themeColor="accent1" w:themeShade="BF"/>
    </w:rPr>
  </w:style>
  <w:style w:type="character" w:styleId="IntenseReference">
    <w:name w:val="Intense Reference"/>
    <w:basedOn w:val="DefaultParagraphFont"/>
    <w:uiPriority w:val="32"/>
    <w:qFormat/>
    <w:rsid w:val="00F92DBB"/>
    <w:rPr>
      <w:b/>
      <w:bCs/>
      <w:smallCaps/>
      <w:color w:val="0F4761" w:themeColor="accent1" w:themeShade="BF"/>
      <w:spacing w:val="5"/>
    </w:rPr>
  </w:style>
  <w:style w:type="character" w:customStyle="1" w:styleId="multiline">
    <w:name w:val="multiline"/>
    <w:basedOn w:val="DefaultParagraphFont"/>
    <w:rsid w:val="00F92DBB"/>
  </w:style>
  <w:style w:type="character" w:styleId="CommentReference">
    <w:name w:val="annotation reference"/>
    <w:basedOn w:val="DefaultParagraphFont"/>
    <w:uiPriority w:val="99"/>
    <w:semiHidden/>
    <w:unhideWhenUsed/>
    <w:rsid w:val="001D0B53"/>
    <w:rPr>
      <w:sz w:val="16"/>
      <w:szCs w:val="16"/>
    </w:rPr>
  </w:style>
  <w:style w:type="paragraph" w:styleId="CommentText">
    <w:name w:val="annotation text"/>
    <w:basedOn w:val="Normal"/>
    <w:link w:val="CommentTextChar"/>
    <w:uiPriority w:val="99"/>
    <w:unhideWhenUsed/>
    <w:rsid w:val="001D0B53"/>
    <w:pPr>
      <w:spacing w:line="240" w:lineRule="auto"/>
    </w:pPr>
    <w:rPr>
      <w:sz w:val="20"/>
      <w:szCs w:val="20"/>
    </w:rPr>
  </w:style>
  <w:style w:type="character" w:customStyle="1" w:styleId="CommentTextChar">
    <w:name w:val="Comment Text Char"/>
    <w:basedOn w:val="DefaultParagraphFont"/>
    <w:link w:val="CommentText"/>
    <w:uiPriority w:val="99"/>
    <w:rsid w:val="001D0B53"/>
    <w:rPr>
      <w:sz w:val="20"/>
      <w:szCs w:val="20"/>
    </w:rPr>
  </w:style>
  <w:style w:type="paragraph" w:styleId="CommentSubject">
    <w:name w:val="annotation subject"/>
    <w:basedOn w:val="CommentText"/>
    <w:next w:val="CommentText"/>
    <w:link w:val="CommentSubjectChar"/>
    <w:uiPriority w:val="99"/>
    <w:semiHidden/>
    <w:unhideWhenUsed/>
    <w:rsid w:val="001D0B53"/>
    <w:rPr>
      <w:b/>
      <w:bCs/>
    </w:rPr>
  </w:style>
  <w:style w:type="character" w:customStyle="1" w:styleId="CommentSubjectChar">
    <w:name w:val="Comment Subject Char"/>
    <w:basedOn w:val="CommentTextChar"/>
    <w:link w:val="CommentSubject"/>
    <w:uiPriority w:val="99"/>
    <w:semiHidden/>
    <w:rsid w:val="001D0B53"/>
    <w:rPr>
      <w:b/>
      <w:bCs/>
      <w:sz w:val="20"/>
      <w:szCs w:val="20"/>
    </w:rPr>
  </w:style>
  <w:style w:type="paragraph" w:styleId="BalloonText">
    <w:name w:val="Balloon Text"/>
    <w:basedOn w:val="Normal"/>
    <w:link w:val="BalloonTextChar"/>
    <w:uiPriority w:val="99"/>
    <w:semiHidden/>
    <w:unhideWhenUsed/>
    <w:rsid w:val="001D0B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0B53"/>
    <w:rPr>
      <w:rFonts w:ascii="Tahoma" w:hAnsi="Tahoma" w:cs="Tahoma"/>
      <w:sz w:val="16"/>
      <w:szCs w:val="16"/>
    </w:rPr>
  </w:style>
  <w:style w:type="character" w:styleId="Hyperlink">
    <w:name w:val="Hyperlink"/>
    <w:basedOn w:val="DefaultParagraphFont"/>
    <w:uiPriority w:val="99"/>
    <w:semiHidden/>
    <w:unhideWhenUsed/>
    <w:rsid w:val="00DF2F7A"/>
    <w:rPr>
      <w:color w:val="0000FF"/>
      <w:u w:val="single"/>
    </w:rPr>
  </w:style>
  <w:style w:type="character" w:customStyle="1" w:styleId="cf01">
    <w:name w:val="cf01"/>
    <w:basedOn w:val="DefaultParagraphFont"/>
    <w:rsid w:val="0021580A"/>
    <w:rPr>
      <w:rFonts w:ascii="Segoe UI" w:hAnsi="Segoe UI" w:cs="Segoe UI" w:hint="default"/>
      <w:sz w:val="18"/>
      <w:szCs w:val="18"/>
    </w:rPr>
  </w:style>
  <w:style w:type="character" w:styleId="Emphasis">
    <w:name w:val="Emphasis"/>
    <w:basedOn w:val="DefaultParagraphFont"/>
    <w:uiPriority w:val="20"/>
    <w:qFormat/>
    <w:rsid w:val="00EA1A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16</Pages>
  <Words>4640</Words>
  <Characters>27522</Characters>
  <Application>Microsoft Office Word</Application>
  <DocSecurity>0</DocSecurity>
  <Lines>430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C. (1914331)</dc:creator>
  <cp:lastModifiedBy>THOMAS C. (1914331)</cp:lastModifiedBy>
  <cp:revision>3</cp:revision>
  <dcterms:created xsi:type="dcterms:W3CDTF">2025-06-11T15:24:00Z</dcterms:created>
  <dcterms:modified xsi:type="dcterms:W3CDTF">2025-06-11T23:07:00Z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810d288c-bdb3-489c-a948-bb579dc1d8b9</vt:lpwstr>
  </property>
</Properties>
</file>