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A618" w14:textId="77777777" w:rsidR="00054358" w:rsidRDefault="00054358"/>
    <w:p w14:paraId="299ADADC" w14:textId="77777777" w:rsidR="006A5392" w:rsidRPr="006A5392" w:rsidRDefault="006A5392" w:rsidP="006A5392">
      <w:pPr>
        <w:pStyle w:val="NoSpacing"/>
      </w:pPr>
      <w:r w:rsidRPr="006A5392">
        <w:t>BMPP5002D</w:t>
      </w:r>
    </w:p>
    <w:p w14:paraId="34CAF23B" w14:textId="77777777" w:rsidR="006A5392" w:rsidRPr="006A5392" w:rsidRDefault="006A5392" w:rsidP="006A5392">
      <w:pPr>
        <w:pStyle w:val="NoSpacing"/>
      </w:pPr>
      <w:r w:rsidRPr="006A5392">
        <w:t xml:space="preserve">Assignment1 Draft </w:t>
      </w:r>
    </w:p>
    <w:p w14:paraId="68BB7FC6" w14:textId="77777777" w:rsidR="006A5392" w:rsidRDefault="006A5392" w:rsidP="006A5392">
      <w:pPr>
        <w:pStyle w:val="NoSpacing"/>
      </w:pPr>
      <w:r w:rsidRPr="006A5392">
        <w:t>Alan Oliver</w:t>
      </w:r>
      <w:r>
        <w:t xml:space="preserve"> </w:t>
      </w:r>
    </w:p>
    <w:p w14:paraId="7C21AD90" w14:textId="77777777" w:rsidR="006A5392" w:rsidRDefault="006A5392" w:rsidP="006A5392">
      <w:pPr>
        <w:pStyle w:val="NoSpacing"/>
      </w:pPr>
    </w:p>
    <w:p w14:paraId="330C56F6" w14:textId="77777777" w:rsidR="006A5392" w:rsidRPr="00607DA4" w:rsidRDefault="006A5392" w:rsidP="006A5392">
      <w:r w:rsidRPr="00607DA4">
        <w:rPr>
          <w:b/>
          <w:bCs/>
        </w:rPr>
        <w:t>Essay 1</w:t>
      </w:r>
      <w:r w:rsidRPr="00607DA4">
        <w:t xml:space="preserve">: </w:t>
      </w:r>
    </w:p>
    <w:p w14:paraId="7B70F9B3" w14:textId="77777777" w:rsidR="006A5392" w:rsidRPr="006A5392" w:rsidRDefault="006A5392" w:rsidP="006A5392">
      <w:pPr>
        <w:rPr>
          <w:u w:val="single"/>
        </w:rPr>
      </w:pPr>
      <w:r w:rsidRPr="006A5392">
        <w:rPr>
          <w:u w:val="single"/>
        </w:rPr>
        <w:t>How Might the Code of Ethics help to reduce the incidences of professional misconduct and increase public confidence in the police?</w:t>
      </w:r>
    </w:p>
    <w:p w14:paraId="38283C2B" w14:textId="77777777" w:rsidR="00607DA4" w:rsidRDefault="00607DA4" w:rsidP="00607DA4">
      <w:pPr>
        <w:pStyle w:val="PlainText"/>
      </w:pPr>
      <w:r>
        <w:t xml:space="preserve">Professional misconduct within the police force can significantly erode public trust and hinder effective law enforcement. </w:t>
      </w:r>
      <w:proofErr w:type="gramStart"/>
      <w:r>
        <w:t>In order to</w:t>
      </w:r>
      <w:proofErr w:type="gramEnd"/>
      <w:r>
        <w:t xml:space="preserve"> address this issue, many police departments implement a comprehensive code of ethics. A code of ethics provides guidelines and expectations for ethical conduct, promotes integrity, and establishes accountability within police organizations. This essay will explore how a code of ethics acts as a powerful tool in reducing instances of professional misconduct and enhancing public confidence in the police.</w:t>
      </w:r>
    </w:p>
    <w:p w14:paraId="7A990613" w14:textId="77777777" w:rsidR="00607DA4" w:rsidRDefault="00607DA4" w:rsidP="00607DA4">
      <w:pPr>
        <w:pStyle w:val="PlainText"/>
      </w:pPr>
    </w:p>
    <w:p w14:paraId="5B8AF98B" w14:textId="77777777" w:rsidR="00607DA4" w:rsidRDefault="00607DA4" w:rsidP="00607DA4">
      <w:pPr>
        <w:pStyle w:val="PlainText"/>
      </w:pPr>
      <w:r>
        <w:t xml:space="preserve">I. Instilling Core Values and Ethical Conduct A code of ethics serves as a foundational document that articulates the core values and principles that guide police officers' </w:t>
      </w:r>
      <w:r>
        <w:t>behaviour</w:t>
      </w:r>
      <w:r>
        <w:t>. By clearly defining expectations regarding professionalism, integrity, and responsibility, the code helps police officers understand the importance of upholding ethical standards while carrying out their duties. This promotes a collective understanding of desired conduct and provides a benchmark against which actions can be assessed.</w:t>
      </w:r>
    </w:p>
    <w:p w14:paraId="7D942009" w14:textId="77777777" w:rsidR="00607DA4" w:rsidRDefault="00607DA4" w:rsidP="00607DA4">
      <w:pPr>
        <w:pStyle w:val="PlainText"/>
      </w:pPr>
    </w:p>
    <w:p w14:paraId="369DF19B" w14:textId="77777777" w:rsidR="00607DA4" w:rsidRDefault="00607DA4" w:rsidP="00607DA4">
      <w:pPr>
        <w:pStyle w:val="PlainText"/>
      </w:pPr>
      <w:r>
        <w:t>II. Promoting Accountability and Transparency A well-designed code of ethics delineates the consequences of misconduct, including disciplinary actions and potential legal repercussions. By emphasizing the importance of accountability, a code of ethics motivates police officers to adhere to ethical standards and discourages them from engaging in misconduct. Furthermore, a transparent system of accountability ensures that offenders are held responsible for their actions, reassuring the public that internal mechanisms are in place to address any misconduct promptly and fairly.</w:t>
      </w:r>
    </w:p>
    <w:p w14:paraId="644A965B" w14:textId="77777777" w:rsidR="00607DA4" w:rsidRDefault="00607DA4" w:rsidP="00607DA4">
      <w:pPr>
        <w:pStyle w:val="PlainText"/>
      </w:pPr>
    </w:p>
    <w:p w14:paraId="1C77131A" w14:textId="77777777" w:rsidR="00607DA4" w:rsidRDefault="00607DA4" w:rsidP="00607DA4">
      <w:pPr>
        <w:pStyle w:val="PlainText"/>
      </w:pPr>
      <w:r>
        <w:t xml:space="preserve">III. Encouraging Ethical Decision-Making Law enforcement professionals often face complex and high-pressure situations that require quick and ethical decision-making. A code of ethics provides officers with a framework for critically </w:t>
      </w:r>
      <w:r>
        <w:t>analysing</w:t>
      </w:r>
      <w:r>
        <w:t xml:space="preserve"> ethical dilemmas and making decisions based on moral values. It guides officers to consider factors such as fairness, impartiality, and respect for individual rights. By doing so, the code promotes consistency in decision-making and minimizes the potential for personal biases or misconduct to influence outcomes.</w:t>
      </w:r>
    </w:p>
    <w:p w14:paraId="1F249175" w14:textId="77777777" w:rsidR="00607DA4" w:rsidRDefault="00607DA4" w:rsidP="00607DA4">
      <w:pPr>
        <w:pStyle w:val="PlainText"/>
      </w:pPr>
    </w:p>
    <w:p w14:paraId="58ECF425" w14:textId="77777777" w:rsidR="00607DA4" w:rsidRDefault="00607DA4" w:rsidP="00607DA4">
      <w:pPr>
        <w:pStyle w:val="PlainText"/>
      </w:pPr>
      <w:r>
        <w:t xml:space="preserve">IV. Fostering Professionalism and Integrity A code of ethics emphasizes the importance of professionalism and integrity as foundational attributes of police officers. By adhering to such a code, police officers demonstrate a commitment to maintaining high standards of </w:t>
      </w:r>
      <w:r>
        <w:t>behaviour</w:t>
      </w:r>
      <w:r>
        <w:t xml:space="preserve"> and actively promote public confidence. This fosters a culture of professionalism within the police force, fostering a sense of pride and dedication among officers. When the public perceives professionalism in policing, it increases their trust and confidence in law enforcement agencies.</w:t>
      </w:r>
    </w:p>
    <w:p w14:paraId="155F0397" w14:textId="77777777" w:rsidR="00607DA4" w:rsidRDefault="00607DA4" w:rsidP="00607DA4">
      <w:pPr>
        <w:pStyle w:val="PlainText"/>
      </w:pPr>
    </w:p>
    <w:p w14:paraId="79196AA7" w14:textId="77777777" w:rsidR="00607DA4" w:rsidRDefault="00607DA4" w:rsidP="00607DA4">
      <w:pPr>
        <w:pStyle w:val="PlainText"/>
      </w:pPr>
      <w:r>
        <w:t xml:space="preserve">V. Ensuring Ethical Conduct in Challenging Situations Police officers often face difficult scenarios that test their commitment to ethical conduct. A code of ethics establishes guidelines to navigate these challenging situations. For example, it may provide guidance on the appropriate use of force, handling confidential information, engaging with diverse communities, and avoiding bias during investigations. The code acts as a compass, offering officers clear direction and ethical boundaries. </w:t>
      </w:r>
      <w:r>
        <w:lastRenderedPageBreak/>
        <w:t>This guidance reduces the likelihood of misconduct occurring during stressful or ambiguous circumstances.</w:t>
      </w:r>
    </w:p>
    <w:p w14:paraId="5F1D8EB7" w14:textId="77777777" w:rsidR="00607DA4" w:rsidRDefault="00607DA4" w:rsidP="00607DA4">
      <w:pPr>
        <w:pStyle w:val="PlainText"/>
      </w:pPr>
    </w:p>
    <w:p w14:paraId="0BF8DAAD" w14:textId="77777777" w:rsidR="00607DA4" w:rsidRDefault="00607DA4" w:rsidP="00607DA4">
      <w:pPr>
        <w:pStyle w:val="PlainText"/>
      </w:pPr>
      <w:r>
        <w:t>In c</w:t>
      </w:r>
      <w:r>
        <w:t>onclusion</w:t>
      </w:r>
      <w:r>
        <w:t xml:space="preserve"> a</w:t>
      </w:r>
      <w:r>
        <w:t xml:space="preserve"> code of ethics plays a vital role in reducing professional misconduct and enhancing public confidence in the police force. Establishing clear guidelines, promoting accountability, encouraging ethical decision-making, fostering professionalism, and addressing challenging situations are all crucial elements of a robust code of ethics. When applied effectively, such a code can help guard against misconduct, ensure the desired </w:t>
      </w:r>
      <w:r>
        <w:t>behaviour</w:t>
      </w:r>
      <w:r>
        <w:t xml:space="preserve"> of police officers, and restore and maintain trust between law enforcement agencies and the public they serve. It is imperative that law enforcement agencies continue to prioritize the development and implementation of comprehensive codes of ethics to create a strong ethical foundation within the police force.</w:t>
      </w:r>
    </w:p>
    <w:p w14:paraId="64E9CA4E" w14:textId="77777777" w:rsidR="006A5392" w:rsidRDefault="006A5392" w:rsidP="006A5392"/>
    <w:p w14:paraId="7802F9A9" w14:textId="77777777" w:rsidR="006A5392" w:rsidRDefault="00607DA4" w:rsidP="006A5392">
      <w:r>
        <w:t>WORD COUNT: 592</w:t>
      </w:r>
    </w:p>
    <w:p w14:paraId="2530B4BE" w14:textId="77777777" w:rsidR="006A5392" w:rsidRDefault="006A5392" w:rsidP="006A5392"/>
    <w:p w14:paraId="5892A9AD" w14:textId="77777777" w:rsidR="006A5392" w:rsidRPr="00607DA4" w:rsidRDefault="006A5392" w:rsidP="006A5392">
      <w:pPr>
        <w:rPr>
          <w:b/>
          <w:bCs/>
        </w:rPr>
      </w:pPr>
      <w:r w:rsidRPr="00607DA4">
        <w:rPr>
          <w:b/>
          <w:bCs/>
        </w:rPr>
        <w:t xml:space="preserve">Essay </w:t>
      </w:r>
      <w:r w:rsidRPr="00607DA4">
        <w:rPr>
          <w:b/>
          <w:bCs/>
        </w:rPr>
        <w:t>2</w:t>
      </w:r>
      <w:r w:rsidRPr="00607DA4">
        <w:rPr>
          <w:b/>
          <w:bCs/>
        </w:rPr>
        <w:t>:</w:t>
      </w:r>
    </w:p>
    <w:p w14:paraId="0D8424B9" w14:textId="77777777" w:rsidR="006A5392" w:rsidRPr="006A5392" w:rsidRDefault="006A5392" w:rsidP="006A5392">
      <w:pPr>
        <w:rPr>
          <w:u w:val="single"/>
        </w:rPr>
      </w:pPr>
      <w:r w:rsidRPr="006A5392">
        <w:rPr>
          <w:u w:val="single"/>
        </w:rPr>
        <w:t xml:space="preserve">How effective is a multi-agency approach as a means of managing violent and sexual offenders? </w:t>
      </w:r>
    </w:p>
    <w:p w14:paraId="21817CA4" w14:textId="77777777" w:rsidR="00607DA4" w:rsidRDefault="00607DA4" w:rsidP="00607DA4">
      <w:pPr>
        <w:pStyle w:val="PlainText"/>
      </w:pPr>
      <w:r>
        <w:t>The effective management of violent and sexual offenders is a demanding task that requires close cooperation and coordination among various agencies within the criminal justice system. A multi-agency approach, which involves the collaboration of law enforcement, probation services, mental health professionals, and social workers, has emerged as an effective means of addressing the complex needs of these individuals. This essay will explore the effectiveness of a multi-agency approach in managing violent and sexual offenders by examining its potential benefits and highlighting some of the challenges that may arise.</w:t>
      </w:r>
    </w:p>
    <w:p w14:paraId="7F97523A" w14:textId="77777777" w:rsidR="00607DA4" w:rsidRDefault="00607DA4" w:rsidP="00607DA4">
      <w:pPr>
        <w:pStyle w:val="PlainText"/>
      </w:pPr>
    </w:p>
    <w:p w14:paraId="6B3A732E" w14:textId="77777777" w:rsidR="00607DA4" w:rsidRDefault="00607DA4" w:rsidP="00607DA4">
      <w:pPr>
        <w:pStyle w:val="PlainText"/>
      </w:pPr>
      <w:r>
        <w:t xml:space="preserve">First and foremost, a multi-agency approach ensures that the management of violent and sexual offenders is comprehensive and holistic. By bringing together different agencies, information can be shared and </w:t>
      </w:r>
      <w:r>
        <w:t>analysed</w:t>
      </w:r>
      <w:r>
        <w:t xml:space="preserve"> from various perspectives, allowing for a greater understanding of an offender's background, risks, and needs. This collaborative effort facilitates the development of tailored intervention plans that target specific risk factors, increasing the likelihood of successful rehabilitation and reducing the risk of reoffending. For instance, a combination of targeted therapy, substance abuse treatment, and close supervision may be designed to address the complex needs of an offender with a history of violent </w:t>
      </w:r>
      <w:r>
        <w:t>behaviour</w:t>
      </w:r>
      <w:r>
        <w:t xml:space="preserve"> and substance addiction.</w:t>
      </w:r>
    </w:p>
    <w:p w14:paraId="3C618C25" w14:textId="77777777" w:rsidR="00607DA4" w:rsidRDefault="00607DA4" w:rsidP="00607DA4">
      <w:pPr>
        <w:pStyle w:val="PlainText"/>
      </w:pPr>
    </w:p>
    <w:p w14:paraId="054A3898" w14:textId="77777777" w:rsidR="00607DA4" w:rsidRDefault="00607DA4" w:rsidP="00607DA4">
      <w:pPr>
        <w:pStyle w:val="PlainText"/>
      </w:pPr>
      <w:r>
        <w:t xml:space="preserve">Furthermore, a multi-agency approach allows for the pooling of resources and expertise. Each agency brings a unique set of skills and knowledge to the table, enabling a comprehensive assessment and management of violent and sexual offenders. Law enforcement agencies may provide crucial information about an offender's criminal history and risk level, while mental health professionals can diagnose and treat any underlying mental health issues that may contribute to their offending </w:t>
      </w:r>
      <w:r>
        <w:t>behaviour</w:t>
      </w:r>
      <w:r>
        <w:t>. Probation services and social workers can ensure proper monitoring and support, addressing the social and rehabilitative needs of the offender. By combining these resources, agencies can work together to provide a comprehensive and effective response to managing violent and sexual offenders.</w:t>
      </w:r>
    </w:p>
    <w:p w14:paraId="0B69C7D5" w14:textId="77777777" w:rsidR="00607DA4" w:rsidRDefault="00607DA4" w:rsidP="00607DA4">
      <w:pPr>
        <w:pStyle w:val="PlainText"/>
      </w:pPr>
    </w:p>
    <w:p w14:paraId="7423FB16" w14:textId="77777777" w:rsidR="00607DA4" w:rsidRDefault="00607DA4" w:rsidP="00607DA4">
      <w:pPr>
        <w:pStyle w:val="PlainText"/>
      </w:pPr>
      <w:r>
        <w:t xml:space="preserve">In addition, a multi-agency approach enhances the coordination and continuity of care for offenders. By having multiple agencies involved, communication and information sharing are crucial components that contribute to the success of managing these individuals. The coordination of efforts ensures that all agencies are working towards a shared goal, minimizing duplication and gaps in service provision. For instance, if a violent offender is released from prison and placed on </w:t>
      </w:r>
      <w:r>
        <w:lastRenderedPageBreak/>
        <w:t>probation, probation officers can work closely with mental health professionals to ensure a smooth transition and continued support. This collaboration can prevent institutional failures and ensure that the offender receives the necessary treatment and support while under community supervision.</w:t>
      </w:r>
    </w:p>
    <w:p w14:paraId="23646A7D" w14:textId="77777777" w:rsidR="00607DA4" w:rsidRDefault="00607DA4" w:rsidP="00607DA4">
      <w:pPr>
        <w:pStyle w:val="PlainText"/>
      </w:pPr>
    </w:p>
    <w:p w14:paraId="5E55FBAD" w14:textId="77777777" w:rsidR="00607DA4" w:rsidRDefault="00607DA4" w:rsidP="00607DA4">
      <w:pPr>
        <w:pStyle w:val="PlainText"/>
      </w:pPr>
      <w:r>
        <w:t>However, it is important to acknowledge that a multi-agency approach is not without challenges. One of the main obstacles is the coordination and cooperation among agencies with different priorities and work cultures. Interagency communication and information-sharing can be hindered by differences in organizational structures, policies, and practices. Overcoming these barriers requires effective leadership, clear protocols, and regular meetings, fostering a shared commitment to the common goal of managing violent and sexual offenders effectively.</w:t>
      </w:r>
    </w:p>
    <w:p w14:paraId="23A4F384" w14:textId="77777777" w:rsidR="00607DA4" w:rsidRDefault="00607DA4" w:rsidP="00607DA4">
      <w:pPr>
        <w:pStyle w:val="PlainText"/>
      </w:pPr>
    </w:p>
    <w:p w14:paraId="0A1ED65D" w14:textId="77777777" w:rsidR="00607DA4" w:rsidRDefault="00607DA4" w:rsidP="00607DA4">
      <w:pPr>
        <w:pStyle w:val="PlainText"/>
      </w:pPr>
      <w:r>
        <w:t>Moreover, resource constraints may pose challenges to the implementation of a multi-agency approach. Agencies may have limited budgets, staff, or services, impacting their ability to provide comprehensive support to offenders. To address this challenge, governments need to prioritize funding for collaborative initiatives and provide adequate resources to support effective multi-agency working. Investing in training and capacity-building can also ensure that professionals have the necessary skills and knowledge to work effectively within this approach.</w:t>
      </w:r>
    </w:p>
    <w:p w14:paraId="5C12653B" w14:textId="77777777" w:rsidR="00607DA4" w:rsidRDefault="00607DA4" w:rsidP="00607DA4">
      <w:pPr>
        <w:pStyle w:val="PlainText"/>
      </w:pPr>
    </w:p>
    <w:p w14:paraId="48C27228" w14:textId="77777777" w:rsidR="00607DA4" w:rsidRDefault="00607DA4" w:rsidP="00607DA4">
      <w:pPr>
        <w:pStyle w:val="PlainText"/>
      </w:pPr>
      <w:r>
        <w:t>In conclusion, a multi-agency approach is an effective means of managing violent and sexual offenders. It allows for comprehensive and holistic interventions, pooling of resources and expertise, and enhanced coordination and continuity of care. While challenges may arise in terms of coordination and resource allocation, addressing these obstacles can lead to successful collaboration among agencies and ultimately improve the management of violent and sexual offenders. Society must continue to prioritize and invest in this approach to ensure the safety of communities and reduce the risk of reoffending by these individuals.</w:t>
      </w:r>
    </w:p>
    <w:p w14:paraId="66A24DAF" w14:textId="77777777" w:rsidR="006A5392" w:rsidRDefault="006A5392" w:rsidP="006A5392"/>
    <w:p w14:paraId="7B8B14A7" w14:textId="77777777" w:rsidR="009867FC" w:rsidRDefault="00607DA4" w:rsidP="006A5392">
      <w:r>
        <w:t>WORD COUNT: 664</w:t>
      </w:r>
    </w:p>
    <w:p w14:paraId="21A441F5" w14:textId="77777777" w:rsidR="00607DA4" w:rsidRDefault="00607DA4" w:rsidP="006A5392"/>
    <w:p w14:paraId="35830E13" w14:textId="77777777" w:rsidR="006A5392" w:rsidRPr="00607DA4" w:rsidRDefault="006A5392" w:rsidP="006A5392">
      <w:pPr>
        <w:rPr>
          <w:b/>
          <w:bCs/>
        </w:rPr>
      </w:pPr>
      <w:r w:rsidRPr="00607DA4">
        <w:rPr>
          <w:b/>
          <w:bCs/>
        </w:rPr>
        <w:t xml:space="preserve">Essay </w:t>
      </w:r>
      <w:r w:rsidRPr="00607DA4">
        <w:rPr>
          <w:b/>
          <w:bCs/>
        </w:rPr>
        <w:t>3</w:t>
      </w:r>
      <w:r w:rsidRPr="00607DA4">
        <w:rPr>
          <w:b/>
          <w:bCs/>
        </w:rPr>
        <w:t>:</w:t>
      </w:r>
    </w:p>
    <w:p w14:paraId="7FBFBFF9" w14:textId="77777777" w:rsidR="006A5392" w:rsidRPr="009867FC" w:rsidRDefault="006A5392" w:rsidP="006A5392">
      <w:pPr>
        <w:rPr>
          <w:u w:val="single"/>
        </w:rPr>
      </w:pPr>
      <w:r w:rsidRPr="009867FC">
        <w:rPr>
          <w:u w:val="single"/>
        </w:rPr>
        <w:t>To what extent is ‘Lifestyle’ theory an accurate reflection of what makes certain people vulnerable to becoming a victim of Serious and Organised Crime?</w:t>
      </w:r>
    </w:p>
    <w:p w14:paraId="7A34A1D3" w14:textId="77777777" w:rsidR="00607DA4" w:rsidRDefault="00607DA4" w:rsidP="00607DA4">
      <w:pPr>
        <w:pStyle w:val="PlainText"/>
      </w:pPr>
      <w:r>
        <w:t xml:space="preserve">To assess the accuracy of the ‘lifestyle’ theory in explaining why certain individuals are more susceptible to becoming victims of Serious and Organised crime, it is crucial to examine the key factors and variables that influence vulnerability within this context. Coined by James F. Short Jr., 'lifestyle' theory suggests that one's routine activities, choices, and </w:t>
      </w:r>
      <w:r>
        <w:t>behaviours</w:t>
      </w:r>
      <w:r>
        <w:t xml:space="preserve"> shape their vulnerability to victimization. While it undeniably plays a role in determining vulnerability, it is inadequate to provide a comprehensive understanding of the multifaceted nature of victimization within Serious and Organised crime.</w:t>
      </w:r>
    </w:p>
    <w:p w14:paraId="50310AEC" w14:textId="77777777" w:rsidR="00607DA4" w:rsidRDefault="00607DA4" w:rsidP="00607DA4">
      <w:pPr>
        <w:pStyle w:val="PlainText"/>
      </w:pPr>
    </w:p>
    <w:p w14:paraId="047CCF89" w14:textId="77777777" w:rsidR="00607DA4" w:rsidRDefault="00607DA4" w:rsidP="00607DA4">
      <w:pPr>
        <w:pStyle w:val="PlainText"/>
      </w:pPr>
      <w:r>
        <w:t>The lifestyle theory posits that individuals who engage in high-risk activities, possess valuable resources, and have limited guardianship are more likely to become victims of crime. For instance, those who visibly display their wealth through expensive possessions and luxurious lifestyles may attract the attention of criminals seeking financial gain. Furthermore, individuals who consistently participate in activities such as drug use, gambling, or excessive partying may expose themselves to criminal networks that take advantage of their vulnerability. These lifestyle choices increase the likelihood of contact with offenders and, consequently, the likelihood of victimization.</w:t>
      </w:r>
    </w:p>
    <w:p w14:paraId="43327F67" w14:textId="77777777" w:rsidR="00607DA4" w:rsidRDefault="00607DA4" w:rsidP="00607DA4">
      <w:pPr>
        <w:pStyle w:val="PlainText"/>
      </w:pPr>
    </w:p>
    <w:p w14:paraId="034E7AF2" w14:textId="77777777" w:rsidR="00607DA4" w:rsidRDefault="00607DA4" w:rsidP="00607DA4">
      <w:pPr>
        <w:pStyle w:val="PlainText"/>
      </w:pPr>
      <w:r>
        <w:lastRenderedPageBreak/>
        <w:t>Moreover, the theory emphasizes the importance of guardianship in protecting individuals from victimization. Limited guardianship, such as weak social bonds, lack of supervision, or absence of security measures, can increase vulnerability. A person lacking strong social ties, who lives alone, or lacks access to security systems, may be an appealing target for organised criminals who can exploit their isolation. Therefore, the theory argues that the absence of guardianship can make individuals more vulnerable to becoming victims.</w:t>
      </w:r>
    </w:p>
    <w:p w14:paraId="74CF584C" w14:textId="77777777" w:rsidR="00607DA4" w:rsidRDefault="00607DA4" w:rsidP="00607DA4">
      <w:pPr>
        <w:pStyle w:val="PlainText"/>
      </w:pPr>
    </w:p>
    <w:p w14:paraId="517B5944" w14:textId="77777777" w:rsidR="00607DA4" w:rsidRDefault="00607DA4" w:rsidP="00607DA4">
      <w:pPr>
        <w:pStyle w:val="PlainText"/>
      </w:pPr>
      <w:r>
        <w:t>However, the ‘lifestyle’ theory fails to account for the broader systemic factors that contribute to vulnerability in Serious and Organised crime. Socioeconomic disparities, for instance, play a crucial role in determining an individual's susceptibility to becoming a victim. Individuals living in areas plagued by poverty, limited resources, and inadequate social support systems are inherently more vulnerable to being targeted by organised criminal networks. It is important to recognize that factors such as education, employment opportunities, and social inequality shape an individual's options and choices, therefore influencing their vulnerability.</w:t>
      </w:r>
    </w:p>
    <w:p w14:paraId="041C67A3" w14:textId="77777777" w:rsidR="00607DA4" w:rsidRDefault="00607DA4" w:rsidP="00607DA4">
      <w:pPr>
        <w:pStyle w:val="PlainText"/>
      </w:pPr>
    </w:p>
    <w:p w14:paraId="50C09B33" w14:textId="77777777" w:rsidR="00607DA4" w:rsidRDefault="00607DA4" w:rsidP="00607DA4">
      <w:pPr>
        <w:pStyle w:val="PlainText"/>
      </w:pPr>
      <w:r>
        <w:t>Furthermore, the theory overlooks the power dynamics and coercion involved in Serious and Organised crime. While some individuals may engage in high-risk activities voluntarily, others are compelled by external pressures or societal constraints. The theory's focus on individual choices disregards the fact that some people may have limited agency due to socio-economic circumstances, historical disadvantage, or involvement in illicit activities to meet basic needs. Vulnerability to Serious and Organised crime can be driven by a lack of alternatives rather than an individual's lifestyle choices.</w:t>
      </w:r>
    </w:p>
    <w:p w14:paraId="080EDC35" w14:textId="77777777" w:rsidR="00607DA4" w:rsidRDefault="00607DA4" w:rsidP="00607DA4">
      <w:pPr>
        <w:pStyle w:val="PlainText"/>
      </w:pPr>
    </w:p>
    <w:p w14:paraId="3D228737" w14:textId="77777777" w:rsidR="00607DA4" w:rsidRDefault="00607DA4" w:rsidP="00607DA4">
      <w:pPr>
        <w:pStyle w:val="PlainText"/>
      </w:pPr>
      <w:r>
        <w:t>Moreover, the ‘lifestyle’ theory neglects the role of systemic factors such as gender and race in shaping vulnerability to victimization. Research consistently indicates that certain groups, particularly marginalized communities, are disproportionately targeted by organised crime due to systemic discrimination and structural inequalities. A narrow focus on individual lifestyles fails to account for the social dynamics that perpetuate victimization within these groups.</w:t>
      </w:r>
    </w:p>
    <w:p w14:paraId="70AA1807" w14:textId="77777777" w:rsidR="00607DA4" w:rsidRDefault="00607DA4" w:rsidP="00607DA4">
      <w:pPr>
        <w:pStyle w:val="PlainText"/>
      </w:pPr>
    </w:p>
    <w:p w14:paraId="4868B695" w14:textId="77777777" w:rsidR="00607DA4" w:rsidRDefault="00607DA4" w:rsidP="00607DA4">
      <w:pPr>
        <w:pStyle w:val="PlainText"/>
      </w:pPr>
      <w:r>
        <w:t>In conclusion, while the ‘lifestyle’ theory offers valuable insights into why certain individuals may be targeted by Serious and Organised crime, its narrow focus on individual choices and lack of consideration for systemic factors limit its accuracy in explaining vulnerability comprehensively. By acknowledging broader socio-economic disparities, power dynamics, and systemic discrimination, a more holistic understanding of victimization can be reached. Consequently, policymakers and law enforcement agencies can develop more effective strategies to address the root causes of vulnerability and better protect individuals from Serious and Organised crime.</w:t>
      </w:r>
    </w:p>
    <w:p w14:paraId="74315DA6" w14:textId="77777777" w:rsidR="006A5392" w:rsidRDefault="006A5392" w:rsidP="006A5392"/>
    <w:p w14:paraId="24E29C3F" w14:textId="77777777" w:rsidR="009867FC" w:rsidRDefault="00607DA4" w:rsidP="006A5392">
      <w:r>
        <w:t>WORD COUNT: 601</w:t>
      </w:r>
    </w:p>
    <w:p w14:paraId="2490E8F1" w14:textId="77777777" w:rsidR="00607DA4" w:rsidRDefault="00607DA4" w:rsidP="006A5392"/>
    <w:p w14:paraId="66452709" w14:textId="77777777" w:rsidR="006A5392" w:rsidRDefault="009867FC" w:rsidP="006A5392">
      <w:r w:rsidRPr="00607DA4">
        <w:rPr>
          <w:b/>
          <w:bCs/>
        </w:rPr>
        <w:t xml:space="preserve">Essay </w:t>
      </w:r>
      <w:r w:rsidR="006A5392" w:rsidRPr="00607DA4">
        <w:rPr>
          <w:b/>
          <w:bCs/>
        </w:rPr>
        <w:t>4</w:t>
      </w:r>
      <w:r>
        <w:t>:</w:t>
      </w:r>
    </w:p>
    <w:p w14:paraId="05F77B09" w14:textId="77777777" w:rsidR="006A5392" w:rsidRPr="009867FC" w:rsidRDefault="006A5392" w:rsidP="006A5392">
      <w:pPr>
        <w:rPr>
          <w:u w:val="single"/>
        </w:rPr>
      </w:pPr>
      <w:r w:rsidRPr="009867FC">
        <w:rPr>
          <w:u w:val="single"/>
        </w:rPr>
        <w:t xml:space="preserve">Why </w:t>
      </w:r>
      <w:proofErr w:type="gramStart"/>
      <w:r w:rsidRPr="009867FC">
        <w:rPr>
          <w:u w:val="single"/>
        </w:rPr>
        <w:t>is</w:t>
      </w:r>
      <w:proofErr w:type="gramEnd"/>
      <w:r w:rsidRPr="009867FC">
        <w:rPr>
          <w:u w:val="single"/>
        </w:rPr>
        <w:t xml:space="preserve"> a partnership approach the most effective way of preventing re-offending?</w:t>
      </w:r>
    </w:p>
    <w:p w14:paraId="0237B7EE" w14:textId="77777777" w:rsidR="00607DA4" w:rsidRDefault="00607DA4" w:rsidP="00607DA4">
      <w:pPr>
        <w:pStyle w:val="PlainText"/>
      </w:pPr>
      <w:r>
        <w:t xml:space="preserve">The prevention of re-offending is a complex and crucial issue that demands a multifaceted approach involving various stakeholders. While there are several strategies available, a partnership approach has emerged as the most effective method for addressing re-offending. By fostering collaboration and shared responsibility among key </w:t>
      </w:r>
      <w:proofErr w:type="spellStart"/>
      <w:r>
        <w:t>actors</w:t>
      </w:r>
      <w:proofErr w:type="spellEnd"/>
      <w:r>
        <w:t xml:space="preserve"> such as the criminal justice system, </w:t>
      </w:r>
      <w:r>
        <w:t>non-profits</w:t>
      </w:r>
      <w:r>
        <w:t xml:space="preserve">, community organizations, and individuals involved in rehabilitation, this approach effectively reduces recidivism rates. This essay will discuss the fundamental reasons why the partnership </w:t>
      </w:r>
      <w:r>
        <w:lastRenderedPageBreak/>
        <w:t>approach is crucial in preventing re-offending, examining its ability to provide holistic support, enhance individual accountability, and generate sustainable change.</w:t>
      </w:r>
    </w:p>
    <w:p w14:paraId="2E97C6A8" w14:textId="77777777" w:rsidR="00607DA4" w:rsidRDefault="00607DA4" w:rsidP="00607DA4">
      <w:pPr>
        <w:pStyle w:val="PlainText"/>
      </w:pPr>
    </w:p>
    <w:p w14:paraId="0FACE06C" w14:textId="77777777" w:rsidR="00607DA4" w:rsidRDefault="00607DA4" w:rsidP="00607DA4">
      <w:pPr>
        <w:pStyle w:val="PlainText"/>
      </w:pPr>
      <w:r>
        <w:t>A partnership-based approach is highly effective in preventing re-offending due to its ability to provide comprehensive support to individuals in the criminal justice system. By fostering collaboration between various stakeholders, such as probation officers, psychologists, social workers, and community-based organizations, this approach ensures that offenders receive a wide range of services tailored to their individual needs.</w:t>
      </w:r>
    </w:p>
    <w:p w14:paraId="762A3AFD" w14:textId="77777777" w:rsidR="00607DA4" w:rsidRDefault="00607DA4" w:rsidP="00607DA4">
      <w:pPr>
        <w:pStyle w:val="PlainText"/>
      </w:pPr>
    </w:p>
    <w:p w14:paraId="4D25FF1C" w14:textId="77777777" w:rsidR="00607DA4" w:rsidRDefault="00607DA4" w:rsidP="00607DA4">
      <w:pPr>
        <w:pStyle w:val="PlainText"/>
      </w:pPr>
      <w:r>
        <w:t xml:space="preserve">Holistic support can include mental health </w:t>
      </w:r>
      <w:r>
        <w:t>counselling</w:t>
      </w:r>
      <w:r>
        <w:t xml:space="preserve">, substance abuse treatment, educational and vocational training, and assistance in securing stable housing and employment opportunities. Such comprehensive assistance helps address the underlying causes of criminal </w:t>
      </w:r>
      <w:r>
        <w:t>behaviour</w:t>
      </w:r>
      <w:r>
        <w:t>, reducing the likelihood of re-offending. Moreover, partnerships can facilitate the provision of wraparound services, ensuring that offenders can access support in different areas of their lives.</w:t>
      </w:r>
    </w:p>
    <w:p w14:paraId="45B8B11C" w14:textId="77777777" w:rsidR="00607DA4" w:rsidRDefault="00607DA4" w:rsidP="00607DA4">
      <w:pPr>
        <w:pStyle w:val="PlainText"/>
      </w:pPr>
    </w:p>
    <w:p w14:paraId="596F5424" w14:textId="77777777" w:rsidR="00607DA4" w:rsidRDefault="00607DA4" w:rsidP="00607DA4">
      <w:pPr>
        <w:pStyle w:val="PlainText"/>
      </w:pPr>
      <w:r>
        <w:t>The partnership approach also emphasizes individual accountability, which is crucial in preventing re-offending. By involving multiple stakeholders, this approach ensures that all relevant actors work cohesively towards common goals and objectives. Offenders are held accountable by the various agencies and organizations involved in their rehabilitation, whereby progress and compliance are regularly monitored.</w:t>
      </w:r>
    </w:p>
    <w:p w14:paraId="1EFBC22C" w14:textId="77777777" w:rsidR="00607DA4" w:rsidRDefault="00607DA4" w:rsidP="00607DA4">
      <w:pPr>
        <w:pStyle w:val="PlainText"/>
      </w:pPr>
    </w:p>
    <w:p w14:paraId="3B54C456" w14:textId="77777777" w:rsidR="00607DA4" w:rsidRDefault="00607DA4" w:rsidP="00607DA4">
      <w:pPr>
        <w:pStyle w:val="PlainText"/>
      </w:pPr>
      <w:r>
        <w:t xml:space="preserve">These partnerships enable the development of personalized and transparent rehabilitation plans. The involvement of multiple professionals, mentors, and community members creates a system of checks and balances, ensuring that offenders adhere to their commitments and pursue positive </w:t>
      </w:r>
      <w:r>
        <w:t>behavioural</w:t>
      </w:r>
      <w:r>
        <w:t xml:space="preserve"> change. Moreover, the collaborative nature of partnerships provides opportunities for offenders to take ownership of their actions, making them active participants in their rehabilitation process rather than passive recipients.</w:t>
      </w:r>
    </w:p>
    <w:p w14:paraId="3DFCF37B" w14:textId="77777777" w:rsidR="00607DA4" w:rsidRDefault="00607DA4" w:rsidP="00607DA4">
      <w:pPr>
        <w:pStyle w:val="PlainText"/>
      </w:pPr>
    </w:p>
    <w:p w14:paraId="2C15802A" w14:textId="77777777" w:rsidR="00607DA4" w:rsidRDefault="00607DA4" w:rsidP="00607DA4">
      <w:pPr>
        <w:pStyle w:val="PlainText"/>
      </w:pPr>
      <w:r>
        <w:t>Sustainable change, leading to a reduction in recidivism rates, can be achieved through the partnership approach. Collaboration between organizations involved in rehabilitation and the wider community enables the creation of a supportive environment for offenders transitioning back into society. Building connections between offenders and positive role models, mentors, and community members facilitates the development of pro-social networks, reducing the risk of re-offending.</w:t>
      </w:r>
    </w:p>
    <w:p w14:paraId="4FE293DD" w14:textId="77777777" w:rsidR="00607DA4" w:rsidRDefault="00607DA4" w:rsidP="00607DA4">
      <w:pPr>
        <w:pStyle w:val="PlainText"/>
      </w:pPr>
    </w:p>
    <w:p w14:paraId="424F5F80" w14:textId="77777777" w:rsidR="00607DA4" w:rsidRDefault="00607DA4" w:rsidP="00607DA4">
      <w:pPr>
        <w:pStyle w:val="PlainText"/>
      </w:pPr>
      <w:r>
        <w:t xml:space="preserve">Furthermore, partnerships can address the social determinants that contribute to criminal </w:t>
      </w:r>
      <w:r>
        <w:t>behaviour</w:t>
      </w:r>
      <w:r>
        <w:t>, such as poverty, lack of education, and limited access to healthcare. By working together, stakeholders can formulate programs that tackle these issues comprehensively, providing offenders with the tools and resources necessary to reintegrate successfully.</w:t>
      </w:r>
    </w:p>
    <w:p w14:paraId="7A0F7FA6" w14:textId="77777777" w:rsidR="00607DA4" w:rsidRDefault="00607DA4" w:rsidP="00607DA4">
      <w:pPr>
        <w:pStyle w:val="PlainText"/>
      </w:pPr>
    </w:p>
    <w:p w14:paraId="3FA0EE74" w14:textId="77777777" w:rsidR="00607DA4" w:rsidRDefault="00607DA4" w:rsidP="00607DA4">
      <w:pPr>
        <w:pStyle w:val="PlainText"/>
      </w:pPr>
      <w:r>
        <w:t xml:space="preserve">In conclusion, the partnership approach is the most effective way of preventing re-offending. By enabling comprehensive support, promoting individual accountability, and generating sustainable change, this collaborative method addresses the complex challenges faced by offenders. Embracing a partnership approach not only benefits the individuals involved but also contributes to the overall safety and well-being of </w:t>
      </w:r>
      <w:proofErr w:type="gramStart"/>
      <w:r>
        <w:t>society as a whole</w:t>
      </w:r>
      <w:proofErr w:type="gramEnd"/>
      <w:r>
        <w:t>.</w:t>
      </w:r>
    </w:p>
    <w:p w14:paraId="1BE8A864" w14:textId="77777777" w:rsidR="006A5392" w:rsidRDefault="006A5392" w:rsidP="006A5392"/>
    <w:p w14:paraId="4790CC69" w14:textId="77777777" w:rsidR="00607DA4" w:rsidRDefault="00607DA4" w:rsidP="006A5392">
      <w:r>
        <w:t>WORD COUNT: 509</w:t>
      </w:r>
    </w:p>
    <w:sectPr w:rsidR="00607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92"/>
    <w:rsid w:val="00054358"/>
    <w:rsid w:val="00607DA4"/>
    <w:rsid w:val="006A5392"/>
    <w:rsid w:val="0098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DF5A"/>
  <w15:chartTrackingRefBased/>
  <w15:docId w15:val="{AA3F8E01-5863-408C-9FEE-670FEB84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5392"/>
    <w:pPr>
      <w:spacing w:after="0" w:line="240" w:lineRule="auto"/>
    </w:pPr>
  </w:style>
  <w:style w:type="paragraph" w:styleId="PlainText">
    <w:name w:val="Plain Text"/>
    <w:basedOn w:val="Normal"/>
    <w:link w:val="PlainTextChar"/>
    <w:uiPriority w:val="99"/>
    <w:semiHidden/>
    <w:unhideWhenUsed/>
    <w:rsid w:val="006A539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A5392"/>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99989">
      <w:bodyDiv w:val="1"/>
      <w:marLeft w:val="0"/>
      <w:marRight w:val="0"/>
      <w:marTop w:val="0"/>
      <w:marBottom w:val="0"/>
      <w:divBdr>
        <w:top w:val="none" w:sz="0" w:space="0" w:color="auto"/>
        <w:left w:val="none" w:sz="0" w:space="0" w:color="auto"/>
        <w:bottom w:val="none" w:sz="0" w:space="0" w:color="auto"/>
        <w:right w:val="none" w:sz="0" w:space="0" w:color="auto"/>
      </w:divBdr>
    </w:div>
    <w:div w:id="282149785">
      <w:bodyDiv w:val="1"/>
      <w:marLeft w:val="0"/>
      <w:marRight w:val="0"/>
      <w:marTop w:val="0"/>
      <w:marBottom w:val="0"/>
      <w:divBdr>
        <w:top w:val="none" w:sz="0" w:space="0" w:color="auto"/>
        <w:left w:val="none" w:sz="0" w:space="0" w:color="auto"/>
        <w:bottom w:val="none" w:sz="0" w:space="0" w:color="auto"/>
        <w:right w:val="none" w:sz="0" w:space="0" w:color="auto"/>
      </w:divBdr>
    </w:div>
    <w:div w:id="356976254">
      <w:bodyDiv w:val="1"/>
      <w:marLeft w:val="0"/>
      <w:marRight w:val="0"/>
      <w:marTop w:val="0"/>
      <w:marBottom w:val="0"/>
      <w:divBdr>
        <w:top w:val="none" w:sz="0" w:space="0" w:color="auto"/>
        <w:left w:val="none" w:sz="0" w:space="0" w:color="auto"/>
        <w:bottom w:val="none" w:sz="0" w:space="0" w:color="auto"/>
        <w:right w:val="none" w:sz="0" w:space="0" w:color="auto"/>
      </w:divBdr>
    </w:div>
    <w:div w:id="1916621595">
      <w:bodyDiv w:val="1"/>
      <w:marLeft w:val="0"/>
      <w:marRight w:val="0"/>
      <w:marTop w:val="0"/>
      <w:marBottom w:val="0"/>
      <w:divBdr>
        <w:top w:val="none" w:sz="0" w:space="0" w:color="auto"/>
        <w:left w:val="none" w:sz="0" w:space="0" w:color="auto"/>
        <w:bottom w:val="none" w:sz="0" w:space="0" w:color="auto"/>
        <w:right w:val="none" w:sz="0" w:space="0" w:color="auto"/>
      </w:divBdr>
    </w:div>
    <w:div w:id="211848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2620</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Alan</dc:creator>
  <cp:keywords/>
  <dc:description/>
  <cp:lastModifiedBy>Oliver, Alan</cp:lastModifiedBy>
  <cp:revision>1</cp:revision>
  <dcterms:created xsi:type="dcterms:W3CDTF">2023-10-23T12:50:00Z</dcterms:created>
  <dcterms:modified xsi:type="dcterms:W3CDTF">2023-10-23T13:33:00Z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2023-10-23T12:55:52Z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3b619004-4815-4a64-8a4f-140f2efbab25</vt:lpwstr>
  </property>
  <property fmtid="{D5CDD505-2E9C-101B-9397-08002B2CF9AE}" pid="8" name="MSIP_Label_f2acd28b-79a3-4a0f-b0ff-4b75658b1549_ContentBits">
    <vt:lpwstr>0</vt:lpwstr>
  </property>
</Properties>
</file>