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E7AE61C" w14:textId="5572BB66" w:rsidR="00790BD6" w:rsidRDefault="00D45C49" w:rsidP="00D45C49">
      <w:r w:rsidRPr="002D79DF">
        <w:rPr>
          <w:noProof/>
        </w:rPr>
        <w:drawing>
          <wp:inline distT="0" distB="0" distL="0" distR="0" wp14:anchorId="1576D3E9" wp14:editId="6DD6D967">
            <wp:extent cx="3362325" cy="1496583"/>
            <wp:effectExtent l="0" t="0" r="0" b="889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8640" cy="1517198"/>
                    </a:xfrm>
                    <a:prstGeom prst="rect">
                      <a:avLst/>
                    </a:prstGeom>
                    <a:noFill/>
                  </pic:spPr>
                </pic:pic>
              </a:graphicData>
            </a:graphic>
          </wp:inline>
        </w:drawing>
      </w:r>
    </w:p>
    <w:p w14:paraId="2D8C2D05" w14:textId="77777777" w:rsidR="004F2512" w:rsidRPr="004F2512" w:rsidRDefault="004F2512" w:rsidP="00D45C49"/>
    <w:p w14:paraId="27CB9ECF" w14:textId="3BDA87BB" w:rsidR="00790BD6" w:rsidRPr="004B1B10" w:rsidRDefault="00790BD6" w:rsidP="00D45C49">
      <w:r w:rsidRPr="004B1B10">
        <w:rPr>
          <w:b/>
          <w:bCs/>
          <w:iCs/>
          <w:sz w:val="36"/>
          <w:szCs w:val="36"/>
        </w:rPr>
        <w:t>The impact of staff burnout on patient care quality in the UK NHS</w:t>
      </w:r>
    </w:p>
    <w:p w14:paraId="53858D0E" w14:textId="77777777" w:rsidR="003717EB" w:rsidRDefault="003717EB" w:rsidP="00D45C49"/>
    <w:p w14:paraId="75DAC712" w14:textId="6513F8CB" w:rsidR="00D4120C" w:rsidRDefault="00790BD6" w:rsidP="00D4120C">
      <w:pPr>
        <w:spacing w:after="0" w:line="240" w:lineRule="auto"/>
        <w:rPr>
          <w:rFonts w:ascii="Play" w:eastAsia="Play" w:hAnsi="Play" w:cs="Play"/>
          <w:color w:val="262626"/>
          <w:sz w:val="56"/>
          <w:szCs w:val="56"/>
        </w:rPr>
      </w:pPr>
      <w:r w:rsidRPr="00790BD6">
        <w:rPr>
          <w:rFonts w:ascii="Play" w:eastAsia="Play" w:hAnsi="Play" w:cs="Play"/>
          <w:color w:val="262626"/>
          <w:sz w:val="56"/>
          <w:szCs w:val="56"/>
        </w:rPr>
        <w:t>Individual Report</w:t>
      </w:r>
    </w:p>
    <w:p w14:paraId="5F8FCA88" w14:textId="77777777" w:rsidR="00D4120C" w:rsidRPr="00D4120C" w:rsidRDefault="00D4120C" w:rsidP="00D4120C">
      <w:pPr>
        <w:spacing w:after="0" w:line="240" w:lineRule="auto"/>
        <w:rPr>
          <w:rFonts w:ascii="Play" w:eastAsia="Play" w:hAnsi="Play" w:cs="Play"/>
          <w:color w:val="262626"/>
          <w:sz w:val="56"/>
          <w:szCs w:val="56"/>
        </w:rPr>
      </w:pPr>
    </w:p>
    <w:tbl>
      <w:tblPr>
        <w:tblStyle w:val="TableGrid"/>
        <w:tblpPr w:leftFromText="180" w:rightFromText="180" w:vertAnchor="text" w:tblpY="45"/>
        <w:tblW w:w="9606" w:type="dxa"/>
        <w:tblLook w:val="04A0" w:firstRow="1" w:lastRow="0" w:firstColumn="1" w:lastColumn="0" w:noHBand="0" w:noVBand="1"/>
      </w:tblPr>
      <w:tblGrid>
        <w:gridCol w:w="2235"/>
        <w:gridCol w:w="7371"/>
      </w:tblGrid>
      <w:tr w:rsidR="00260CA0" w14:paraId="7A7E15D3" w14:textId="77777777" w:rsidTr="00D4120C">
        <w:trPr>
          <w:trHeight w:val="552"/>
        </w:trPr>
        <w:tc>
          <w:tcPr>
            <w:tcW w:w="2235" w:type="dxa"/>
          </w:tcPr>
          <w:p w14:paraId="13E3DBAF" w14:textId="2A461D2E" w:rsidR="00260CA0" w:rsidRPr="00260CA0" w:rsidRDefault="00D4120C" w:rsidP="00260CA0">
            <w:pPr>
              <w:spacing w:line="278" w:lineRule="auto"/>
              <w:jc w:val="left"/>
            </w:pPr>
            <w:r>
              <w:t>Name:</w:t>
            </w:r>
          </w:p>
        </w:tc>
        <w:tc>
          <w:tcPr>
            <w:tcW w:w="7371" w:type="dxa"/>
          </w:tcPr>
          <w:p w14:paraId="276F78E8" w14:textId="226D8B90" w:rsidR="00260CA0" w:rsidRPr="00260CA0" w:rsidRDefault="00D4120C" w:rsidP="00260CA0">
            <w:pPr>
              <w:spacing w:line="278" w:lineRule="auto"/>
              <w:jc w:val="left"/>
            </w:pPr>
            <w:proofErr w:type="spellStart"/>
            <w:r>
              <w:t>Mousumi</w:t>
            </w:r>
            <w:proofErr w:type="spellEnd"/>
            <w:r>
              <w:t xml:space="preserve"> </w:t>
            </w:r>
            <w:proofErr w:type="spellStart"/>
            <w:r>
              <w:t>Akther</w:t>
            </w:r>
            <w:proofErr w:type="spellEnd"/>
          </w:p>
        </w:tc>
      </w:tr>
      <w:tr w:rsidR="00D4120C" w14:paraId="309CFD73" w14:textId="77777777" w:rsidTr="00D4120C">
        <w:trPr>
          <w:trHeight w:val="552"/>
        </w:trPr>
        <w:tc>
          <w:tcPr>
            <w:tcW w:w="2235" w:type="dxa"/>
          </w:tcPr>
          <w:p w14:paraId="0E015CD3" w14:textId="5EDA2CF3" w:rsidR="00D4120C" w:rsidRPr="00260CA0" w:rsidRDefault="00D4120C" w:rsidP="00260CA0">
            <w:pPr>
              <w:spacing w:line="278" w:lineRule="auto"/>
              <w:jc w:val="left"/>
            </w:pPr>
            <w:r>
              <w:t>Student ID:</w:t>
            </w:r>
          </w:p>
        </w:tc>
        <w:tc>
          <w:tcPr>
            <w:tcW w:w="7371" w:type="dxa"/>
          </w:tcPr>
          <w:p w14:paraId="6552B2A9" w14:textId="2D931EDE" w:rsidR="00D4120C" w:rsidRPr="00260CA0" w:rsidRDefault="00D4120C" w:rsidP="00260CA0">
            <w:pPr>
              <w:spacing w:line="278" w:lineRule="auto"/>
              <w:jc w:val="left"/>
            </w:pPr>
            <w:r>
              <w:t>2528629</w:t>
            </w:r>
          </w:p>
        </w:tc>
      </w:tr>
      <w:tr w:rsidR="00D4120C" w14:paraId="09C947E2" w14:textId="77777777" w:rsidTr="00D4120C">
        <w:trPr>
          <w:trHeight w:val="552"/>
        </w:trPr>
        <w:tc>
          <w:tcPr>
            <w:tcW w:w="2235" w:type="dxa"/>
          </w:tcPr>
          <w:p w14:paraId="182A0700" w14:textId="57E214CA" w:rsidR="00D4120C" w:rsidRPr="00260CA0" w:rsidRDefault="00D4120C" w:rsidP="00260CA0">
            <w:pPr>
              <w:spacing w:line="278" w:lineRule="auto"/>
              <w:jc w:val="left"/>
            </w:pPr>
            <w:r w:rsidRPr="00260CA0">
              <w:t>Programme:</w:t>
            </w:r>
          </w:p>
        </w:tc>
        <w:tc>
          <w:tcPr>
            <w:tcW w:w="7371" w:type="dxa"/>
          </w:tcPr>
          <w:p w14:paraId="1F5B39E8" w14:textId="78F7BF1A" w:rsidR="00D4120C" w:rsidRPr="00260CA0" w:rsidRDefault="00D4120C" w:rsidP="00260CA0">
            <w:pPr>
              <w:spacing w:line="278" w:lineRule="auto"/>
              <w:jc w:val="left"/>
            </w:pPr>
            <w:r w:rsidRPr="00260CA0">
              <w:t>Certificate of Higher Education Skills for the Workplace (Health &amp; Social Care)</w:t>
            </w:r>
          </w:p>
        </w:tc>
      </w:tr>
      <w:tr w:rsidR="00260CA0" w14:paraId="3545FE3A" w14:textId="77777777" w:rsidTr="00BD7EAF">
        <w:trPr>
          <w:trHeight w:val="552"/>
        </w:trPr>
        <w:tc>
          <w:tcPr>
            <w:tcW w:w="2235" w:type="dxa"/>
          </w:tcPr>
          <w:p w14:paraId="56A2723C" w14:textId="24C8C589" w:rsidR="00260CA0" w:rsidRPr="00260CA0" w:rsidRDefault="00260CA0" w:rsidP="00260CA0">
            <w:pPr>
              <w:spacing w:line="278" w:lineRule="auto"/>
              <w:jc w:val="left"/>
            </w:pPr>
            <w:r>
              <w:t>Module:</w:t>
            </w:r>
          </w:p>
        </w:tc>
        <w:tc>
          <w:tcPr>
            <w:tcW w:w="7371" w:type="dxa"/>
          </w:tcPr>
          <w:p w14:paraId="31055977" w14:textId="20D4817C" w:rsidR="00260CA0" w:rsidRPr="00260CA0" w:rsidRDefault="00260CA0" w:rsidP="00260CA0">
            <w:pPr>
              <w:spacing w:line="278" w:lineRule="auto"/>
              <w:jc w:val="left"/>
            </w:pPr>
            <w:r>
              <w:t xml:space="preserve">Digital Skills and Research Methods    </w:t>
            </w:r>
          </w:p>
        </w:tc>
      </w:tr>
      <w:tr w:rsidR="00260CA0" w14:paraId="196AB506" w14:textId="77777777" w:rsidTr="00BD7EAF">
        <w:trPr>
          <w:trHeight w:val="552"/>
        </w:trPr>
        <w:tc>
          <w:tcPr>
            <w:tcW w:w="2235" w:type="dxa"/>
          </w:tcPr>
          <w:p w14:paraId="0397885E" w14:textId="6D8A6B46" w:rsidR="00260CA0" w:rsidRDefault="00260CA0" w:rsidP="00260CA0">
            <w:pPr>
              <w:spacing w:line="278" w:lineRule="auto"/>
              <w:jc w:val="left"/>
            </w:pPr>
            <w:r>
              <w:t>Module Code:</w:t>
            </w:r>
          </w:p>
        </w:tc>
        <w:tc>
          <w:tcPr>
            <w:tcW w:w="7371" w:type="dxa"/>
          </w:tcPr>
          <w:p w14:paraId="67574122" w14:textId="5BAF1F30" w:rsidR="00260CA0" w:rsidRDefault="00260CA0" w:rsidP="00260CA0">
            <w:pPr>
              <w:spacing w:line="278" w:lineRule="auto"/>
              <w:jc w:val="left"/>
            </w:pPr>
            <w:r>
              <w:t>LCHS4007</w:t>
            </w:r>
          </w:p>
        </w:tc>
      </w:tr>
      <w:tr w:rsidR="004A3E56" w14:paraId="3E489EEE" w14:textId="77777777" w:rsidTr="00BD7EAF">
        <w:trPr>
          <w:trHeight w:val="552"/>
        </w:trPr>
        <w:tc>
          <w:tcPr>
            <w:tcW w:w="2235" w:type="dxa"/>
          </w:tcPr>
          <w:p w14:paraId="16983B39" w14:textId="07B7DFE0" w:rsidR="004A3E56" w:rsidRDefault="004A3E56" w:rsidP="00260CA0">
            <w:pPr>
              <w:spacing w:line="278" w:lineRule="auto"/>
              <w:jc w:val="left"/>
            </w:pPr>
            <w:r>
              <w:t>Lecturer:</w:t>
            </w:r>
          </w:p>
        </w:tc>
        <w:tc>
          <w:tcPr>
            <w:tcW w:w="7371" w:type="dxa"/>
          </w:tcPr>
          <w:p w14:paraId="6924A7DC" w14:textId="56FBEA27" w:rsidR="004A3E56" w:rsidRDefault="004A3E56" w:rsidP="00260CA0">
            <w:pPr>
              <w:spacing w:line="278" w:lineRule="auto"/>
              <w:jc w:val="left"/>
            </w:pPr>
            <w:r>
              <w:t xml:space="preserve">Rajeev </w:t>
            </w:r>
            <w:proofErr w:type="spellStart"/>
            <w:r>
              <w:t>Nath</w:t>
            </w:r>
            <w:proofErr w:type="spellEnd"/>
          </w:p>
        </w:tc>
      </w:tr>
      <w:tr w:rsidR="004A3E56" w14:paraId="39785C9A" w14:textId="77777777" w:rsidTr="00BD7EAF">
        <w:trPr>
          <w:trHeight w:val="552"/>
        </w:trPr>
        <w:tc>
          <w:tcPr>
            <w:tcW w:w="2235" w:type="dxa"/>
          </w:tcPr>
          <w:p w14:paraId="2D5E7CF5" w14:textId="37E8196D" w:rsidR="004A3E56" w:rsidRDefault="004A3E56" w:rsidP="00260CA0">
            <w:pPr>
              <w:spacing w:line="278" w:lineRule="auto"/>
              <w:jc w:val="left"/>
            </w:pPr>
            <w:r>
              <w:t>Assignment Title:</w:t>
            </w:r>
          </w:p>
        </w:tc>
        <w:tc>
          <w:tcPr>
            <w:tcW w:w="7371" w:type="dxa"/>
          </w:tcPr>
          <w:p w14:paraId="1CEC8A0A" w14:textId="2961276D" w:rsidR="004A3E56" w:rsidRDefault="004A3E56" w:rsidP="00260CA0">
            <w:pPr>
              <w:spacing w:line="278" w:lineRule="auto"/>
              <w:jc w:val="left"/>
            </w:pPr>
            <w:r>
              <w:t>Component 2 – Research Report</w:t>
            </w:r>
          </w:p>
        </w:tc>
      </w:tr>
      <w:tr w:rsidR="004A3E56" w14:paraId="52E33833" w14:textId="77777777" w:rsidTr="00BD7EAF">
        <w:trPr>
          <w:trHeight w:val="552"/>
        </w:trPr>
        <w:tc>
          <w:tcPr>
            <w:tcW w:w="2235" w:type="dxa"/>
          </w:tcPr>
          <w:p w14:paraId="6B7862E3" w14:textId="3C1CA355" w:rsidR="004A3E56" w:rsidRDefault="004A3E56" w:rsidP="00260CA0">
            <w:pPr>
              <w:spacing w:line="278" w:lineRule="auto"/>
              <w:jc w:val="left"/>
            </w:pPr>
            <w:r>
              <w:t>Submitted No:</w:t>
            </w:r>
          </w:p>
        </w:tc>
        <w:tc>
          <w:tcPr>
            <w:tcW w:w="7371" w:type="dxa"/>
          </w:tcPr>
          <w:p w14:paraId="04768BF0" w14:textId="25F5FFCA" w:rsidR="00D4120C" w:rsidRDefault="006014F8" w:rsidP="00260CA0">
            <w:pPr>
              <w:spacing w:line="278" w:lineRule="auto"/>
              <w:jc w:val="left"/>
            </w:pPr>
            <w:r>
              <w:t>21</w:t>
            </w:r>
            <w:r w:rsidR="004A3E56">
              <w:t>.04.2026</w:t>
            </w:r>
          </w:p>
        </w:tc>
      </w:tr>
    </w:tbl>
    <w:p w14:paraId="11410E72" w14:textId="4FF17202" w:rsidR="00AE176C" w:rsidRPr="00D4120C" w:rsidRDefault="00AE176C" w:rsidP="00D4120C">
      <w:pPr>
        <w:spacing w:line="278" w:lineRule="auto"/>
        <w:rPr>
          <w:b/>
          <w:bCs/>
          <w:i/>
          <w:iCs/>
          <w:sz w:val="36"/>
          <w:szCs w:val="36"/>
        </w:rPr>
      </w:pPr>
    </w:p>
    <w:p w14:paraId="305D2F83" w14:textId="01F473AF" w:rsidR="006014F8" w:rsidRDefault="00AE176C" w:rsidP="00AE176C">
      <w:pPr>
        <w:keepNext/>
        <w:keepLines/>
        <w:spacing w:before="240" w:after="0" w:line="256" w:lineRule="auto"/>
        <w:rPr>
          <w:rFonts w:ascii="Play" w:eastAsia="Play" w:hAnsi="Play" w:cs="Play"/>
          <w:color w:val="000000" w:themeColor="text1"/>
          <w:sz w:val="36"/>
          <w:szCs w:val="36"/>
        </w:rPr>
      </w:pPr>
      <w:r w:rsidRPr="006014F8">
        <w:rPr>
          <w:rFonts w:ascii="Play" w:eastAsia="Play" w:hAnsi="Play" w:cs="Play"/>
          <w:color w:val="000000" w:themeColor="text1"/>
          <w:sz w:val="36"/>
          <w:szCs w:val="36"/>
        </w:rPr>
        <w:lastRenderedPageBreak/>
        <w:t>Table of Contents</w:t>
      </w:r>
    </w:p>
    <w:p w14:paraId="1A06B1CE" w14:textId="77777777" w:rsidR="006014F8" w:rsidRPr="006014F8" w:rsidRDefault="006014F8" w:rsidP="00AE176C">
      <w:pPr>
        <w:keepNext/>
        <w:keepLines/>
        <w:spacing w:before="240" w:after="0" w:line="256" w:lineRule="auto"/>
        <w:rPr>
          <w:rFonts w:ascii="Play" w:eastAsia="Play" w:hAnsi="Play" w:cs="Play"/>
          <w:color w:val="000000" w:themeColor="text1"/>
          <w:sz w:val="22"/>
          <w:szCs w:val="22"/>
        </w:rPr>
      </w:pPr>
    </w:p>
    <w:p w14:paraId="6839EA0E" w14:textId="6A53A7A8" w:rsidR="00AE176C" w:rsidRPr="003717EB" w:rsidRDefault="00AE176C" w:rsidP="00AE176C">
      <w:pPr>
        <w:pStyle w:val="TOC1"/>
        <w:tabs>
          <w:tab w:val="right" w:leader="dot" w:pos="9016"/>
        </w:tabs>
        <w:rPr>
          <w:rFonts w:asciiTheme="minorHAnsi" w:eastAsiaTheme="minorEastAsia" w:hAnsiTheme="minorHAnsi" w:cstheme="minorBidi"/>
          <w:noProof/>
        </w:rPr>
      </w:pPr>
      <w:r w:rsidRPr="003717EB">
        <w:fldChar w:fldCharType="begin"/>
      </w:r>
      <w:r w:rsidRPr="003717EB">
        <w:instrText xml:space="preserve"> TOC \h \u \z \t "Heading 1,1,Heading 2,2,Heading 3,3,"</w:instrText>
      </w:r>
      <w:r w:rsidRPr="003717EB">
        <w:fldChar w:fldCharType="separate"/>
      </w:r>
      <w:hyperlink r:id="rId9" w:anchor="_Toc225024735" w:history="1">
        <w:r w:rsidRPr="003717EB">
          <w:rPr>
            <w:rStyle w:val="Hyperlink"/>
            <w:rFonts w:eastAsia="Arial"/>
            <w:noProof/>
            <w:color w:val="auto"/>
          </w:rPr>
          <w:t>Introduction</w:t>
        </w:r>
        <w:r w:rsidR="00D4120C">
          <w:rPr>
            <w:rStyle w:val="Hyperlink"/>
            <w:noProof/>
            <w:webHidden/>
            <w:color w:val="auto"/>
          </w:rPr>
          <w:t>………………………………………………………………………</w:t>
        </w:r>
        <w:r w:rsidR="008127E6" w:rsidRPr="003717EB">
          <w:rPr>
            <w:rStyle w:val="Hyperlink"/>
            <w:noProof/>
            <w:webHidden/>
            <w:color w:val="auto"/>
          </w:rPr>
          <w:t>3</w:t>
        </w:r>
      </w:hyperlink>
    </w:p>
    <w:p w14:paraId="10D50F3A" w14:textId="1F8FC94B" w:rsidR="00AE176C" w:rsidRPr="003717EB" w:rsidRDefault="008F4B16" w:rsidP="00AE176C">
      <w:pPr>
        <w:pStyle w:val="TOC1"/>
        <w:tabs>
          <w:tab w:val="right" w:leader="dot" w:pos="9016"/>
        </w:tabs>
        <w:rPr>
          <w:rFonts w:asciiTheme="minorHAnsi" w:eastAsiaTheme="minorEastAsia" w:hAnsiTheme="minorHAnsi" w:cstheme="minorBidi"/>
          <w:noProof/>
        </w:rPr>
      </w:pPr>
      <w:hyperlink r:id="rId10" w:anchor="_Toc225024736" w:history="1">
        <w:r w:rsidR="00AE176C" w:rsidRPr="003717EB">
          <w:rPr>
            <w:rStyle w:val="Hyperlink"/>
            <w:rFonts w:eastAsia="Arial"/>
            <w:noProof/>
            <w:color w:val="auto"/>
          </w:rPr>
          <w:t>Task 1 – Selection of a Research Topic</w:t>
        </w:r>
        <w:r w:rsidR="00D4120C">
          <w:rPr>
            <w:rStyle w:val="Hyperlink"/>
            <w:noProof/>
            <w:webHidden/>
            <w:color w:val="auto"/>
          </w:rPr>
          <w:t>………………………………………….</w:t>
        </w:r>
        <w:bookmarkStart w:id="0" w:name="_GoBack"/>
        <w:bookmarkEnd w:id="0"/>
        <w:r w:rsidR="008127E6" w:rsidRPr="003717EB">
          <w:rPr>
            <w:rStyle w:val="Hyperlink"/>
            <w:noProof/>
            <w:webHidden/>
            <w:color w:val="auto"/>
          </w:rPr>
          <w:t>3</w:t>
        </w:r>
      </w:hyperlink>
    </w:p>
    <w:p w14:paraId="58B5EC60" w14:textId="0186282A" w:rsidR="00AE176C" w:rsidRPr="003717EB" w:rsidRDefault="008F4B16" w:rsidP="00AE176C">
      <w:pPr>
        <w:pStyle w:val="TOC2"/>
        <w:tabs>
          <w:tab w:val="right" w:leader="dot" w:pos="9016"/>
        </w:tabs>
        <w:rPr>
          <w:rFonts w:asciiTheme="minorHAnsi" w:eastAsiaTheme="minorEastAsia" w:hAnsiTheme="minorHAnsi" w:cstheme="minorBidi"/>
          <w:noProof/>
        </w:rPr>
      </w:pPr>
      <w:hyperlink r:id="rId11" w:anchor="_Toc225024737" w:history="1">
        <w:r w:rsidR="00AE176C" w:rsidRPr="003717EB">
          <w:rPr>
            <w:rStyle w:val="Hyperlink"/>
            <w:rFonts w:eastAsia="Arial"/>
            <w:noProof/>
            <w:color w:val="auto"/>
          </w:rPr>
          <w:t>1.1 The Issue and Why It Matters</w:t>
        </w:r>
        <w:r w:rsidR="00D4120C">
          <w:rPr>
            <w:rStyle w:val="Hyperlink"/>
            <w:noProof/>
            <w:webHidden/>
            <w:color w:val="auto"/>
          </w:rPr>
          <w:t>……………………………………………..</w:t>
        </w:r>
        <w:r w:rsidR="008127E6" w:rsidRPr="003717EB">
          <w:rPr>
            <w:rStyle w:val="Hyperlink"/>
            <w:noProof/>
            <w:webHidden/>
            <w:color w:val="auto"/>
          </w:rPr>
          <w:t>3</w:t>
        </w:r>
      </w:hyperlink>
    </w:p>
    <w:p w14:paraId="563A0394" w14:textId="002F81C3" w:rsidR="00AE176C" w:rsidRPr="003717EB" w:rsidRDefault="008F4B16" w:rsidP="00AE176C">
      <w:pPr>
        <w:pStyle w:val="TOC2"/>
        <w:tabs>
          <w:tab w:val="right" w:leader="dot" w:pos="9016"/>
        </w:tabs>
        <w:rPr>
          <w:rFonts w:asciiTheme="minorHAnsi" w:eastAsiaTheme="minorEastAsia" w:hAnsiTheme="minorHAnsi" w:cstheme="minorBidi"/>
          <w:noProof/>
        </w:rPr>
      </w:pPr>
      <w:hyperlink r:id="rId12" w:anchor="_Toc225024738" w:history="1">
        <w:r w:rsidR="00AE176C" w:rsidRPr="003717EB">
          <w:rPr>
            <w:rStyle w:val="Hyperlink"/>
            <w:rFonts w:eastAsia="Arial"/>
            <w:noProof/>
            <w:color w:val="auto"/>
          </w:rPr>
          <w:t>1.2 Personal Reflection – Why I Chose This Topic</w:t>
        </w:r>
        <w:r w:rsidR="00D4120C">
          <w:rPr>
            <w:rStyle w:val="Hyperlink"/>
            <w:noProof/>
            <w:webHidden/>
            <w:color w:val="auto"/>
          </w:rPr>
          <w:t>…………………………...</w:t>
        </w:r>
        <w:r w:rsidR="008127E6" w:rsidRPr="003717EB">
          <w:rPr>
            <w:rStyle w:val="Hyperlink"/>
            <w:noProof/>
            <w:webHidden/>
            <w:color w:val="auto"/>
          </w:rPr>
          <w:t>4</w:t>
        </w:r>
      </w:hyperlink>
    </w:p>
    <w:p w14:paraId="0AA82367" w14:textId="626BDEEF" w:rsidR="00AE176C" w:rsidRPr="003717EB" w:rsidRDefault="008F4B16" w:rsidP="00AE176C">
      <w:pPr>
        <w:pStyle w:val="TOC1"/>
        <w:tabs>
          <w:tab w:val="right" w:leader="dot" w:pos="9016"/>
        </w:tabs>
        <w:rPr>
          <w:rFonts w:asciiTheme="minorHAnsi" w:eastAsiaTheme="minorEastAsia" w:hAnsiTheme="minorHAnsi" w:cstheme="minorBidi"/>
          <w:noProof/>
        </w:rPr>
      </w:pPr>
      <w:hyperlink r:id="rId13" w:anchor="_Toc225024739" w:history="1">
        <w:r w:rsidR="00AE176C" w:rsidRPr="003717EB">
          <w:rPr>
            <w:rStyle w:val="Hyperlink"/>
            <w:rFonts w:eastAsia="Arial"/>
            <w:noProof/>
            <w:color w:val="auto"/>
          </w:rPr>
          <w:t>Task 2 – Evaluating Information Sources</w:t>
        </w:r>
        <w:r w:rsidR="00D4120C">
          <w:rPr>
            <w:rStyle w:val="Hyperlink"/>
            <w:noProof/>
            <w:webHidden/>
            <w:color w:val="auto"/>
          </w:rPr>
          <w:t>………………………………………..</w:t>
        </w:r>
        <w:r w:rsidR="008127E6" w:rsidRPr="003717EB">
          <w:rPr>
            <w:rStyle w:val="Hyperlink"/>
            <w:noProof/>
            <w:webHidden/>
            <w:color w:val="auto"/>
          </w:rPr>
          <w:t>4</w:t>
        </w:r>
      </w:hyperlink>
    </w:p>
    <w:p w14:paraId="6F62E9B3" w14:textId="171EC424" w:rsidR="00AE176C" w:rsidRPr="003717EB" w:rsidRDefault="008F4B16" w:rsidP="00AE176C">
      <w:pPr>
        <w:pStyle w:val="TOC2"/>
        <w:tabs>
          <w:tab w:val="right" w:leader="dot" w:pos="9016"/>
        </w:tabs>
        <w:rPr>
          <w:rFonts w:asciiTheme="minorHAnsi" w:eastAsiaTheme="minorEastAsia" w:hAnsiTheme="minorHAnsi" w:cstheme="minorBidi"/>
          <w:noProof/>
        </w:rPr>
      </w:pPr>
      <w:hyperlink r:id="rId14" w:anchor="_Toc225024740" w:history="1">
        <w:r w:rsidR="00AE176C" w:rsidRPr="003717EB">
          <w:rPr>
            <w:rStyle w:val="Hyperlink"/>
            <w:rFonts w:eastAsia="Arial"/>
            <w:noProof/>
            <w:color w:val="auto"/>
          </w:rPr>
          <w:t>2.1 Source 1</w:t>
        </w:r>
        <w:r w:rsidR="00D4120C">
          <w:rPr>
            <w:rStyle w:val="Hyperlink"/>
            <w:noProof/>
            <w:webHidden/>
            <w:color w:val="auto"/>
          </w:rPr>
          <w:t>……………………………………………………………………</w:t>
        </w:r>
        <w:r w:rsidR="008127E6" w:rsidRPr="003717EB">
          <w:rPr>
            <w:rStyle w:val="Hyperlink"/>
            <w:noProof/>
            <w:webHidden/>
            <w:color w:val="auto"/>
          </w:rPr>
          <w:t>4</w:t>
        </w:r>
      </w:hyperlink>
    </w:p>
    <w:p w14:paraId="40AC7C93" w14:textId="70BB0B47" w:rsidR="00AE176C" w:rsidRPr="003717EB" w:rsidRDefault="008F4B16" w:rsidP="00AE176C">
      <w:pPr>
        <w:pStyle w:val="TOC2"/>
        <w:tabs>
          <w:tab w:val="right" w:leader="dot" w:pos="9016"/>
        </w:tabs>
        <w:rPr>
          <w:rFonts w:asciiTheme="minorHAnsi" w:eastAsiaTheme="minorEastAsia" w:hAnsiTheme="minorHAnsi" w:cstheme="minorBidi"/>
          <w:noProof/>
        </w:rPr>
      </w:pPr>
      <w:hyperlink r:id="rId15" w:anchor="_Toc225024741" w:history="1">
        <w:r w:rsidR="00AE176C" w:rsidRPr="003717EB">
          <w:rPr>
            <w:rStyle w:val="Hyperlink"/>
            <w:rFonts w:eastAsia="Arial"/>
            <w:noProof/>
            <w:color w:val="auto"/>
          </w:rPr>
          <w:t>2.2 Source 2</w:t>
        </w:r>
        <w:r w:rsidR="00D4120C">
          <w:rPr>
            <w:rStyle w:val="Hyperlink"/>
            <w:noProof/>
            <w:webHidden/>
            <w:color w:val="auto"/>
          </w:rPr>
          <w:t>……………………………………………………………………</w:t>
        </w:r>
        <w:r w:rsidR="008127E6" w:rsidRPr="003717EB">
          <w:rPr>
            <w:rStyle w:val="Hyperlink"/>
            <w:noProof/>
            <w:webHidden/>
            <w:color w:val="auto"/>
          </w:rPr>
          <w:t>5</w:t>
        </w:r>
      </w:hyperlink>
    </w:p>
    <w:p w14:paraId="3433F9AE" w14:textId="59C64467" w:rsidR="00AE176C" w:rsidRPr="003717EB" w:rsidRDefault="008F4B16" w:rsidP="00AE176C">
      <w:pPr>
        <w:pStyle w:val="TOC2"/>
        <w:tabs>
          <w:tab w:val="right" w:leader="dot" w:pos="9016"/>
        </w:tabs>
        <w:rPr>
          <w:rFonts w:asciiTheme="minorHAnsi" w:eastAsiaTheme="minorEastAsia" w:hAnsiTheme="minorHAnsi" w:cstheme="minorBidi"/>
          <w:noProof/>
        </w:rPr>
      </w:pPr>
      <w:hyperlink r:id="rId16" w:anchor="_Toc225024742" w:history="1">
        <w:r w:rsidR="00AE176C" w:rsidRPr="003717EB">
          <w:rPr>
            <w:rStyle w:val="Hyperlink"/>
            <w:rFonts w:eastAsia="Arial"/>
            <w:noProof/>
            <w:color w:val="auto"/>
          </w:rPr>
          <w:t>2.3 Source 3</w:t>
        </w:r>
        <w:r w:rsidR="00D4120C">
          <w:rPr>
            <w:rStyle w:val="Hyperlink"/>
            <w:noProof/>
            <w:webHidden/>
            <w:color w:val="auto"/>
          </w:rPr>
          <w:t>……………………………………………………………………</w:t>
        </w:r>
        <w:r w:rsidR="008127E6" w:rsidRPr="003717EB">
          <w:rPr>
            <w:rStyle w:val="Hyperlink"/>
            <w:noProof/>
            <w:webHidden/>
            <w:color w:val="auto"/>
          </w:rPr>
          <w:t>5</w:t>
        </w:r>
      </w:hyperlink>
    </w:p>
    <w:p w14:paraId="48FE5FBA" w14:textId="22E83453" w:rsidR="00AE176C" w:rsidRPr="003717EB" w:rsidRDefault="008F4B16" w:rsidP="00AE176C">
      <w:pPr>
        <w:pStyle w:val="TOC2"/>
        <w:tabs>
          <w:tab w:val="right" w:leader="dot" w:pos="9016"/>
        </w:tabs>
        <w:rPr>
          <w:rFonts w:asciiTheme="minorHAnsi" w:eastAsiaTheme="minorEastAsia" w:hAnsiTheme="minorHAnsi" w:cstheme="minorBidi"/>
          <w:noProof/>
        </w:rPr>
      </w:pPr>
      <w:hyperlink r:id="rId17" w:anchor="_Toc225024743" w:history="1">
        <w:r w:rsidR="00AE176C" w:rsidRPr="003717EB">
          <w:rPr>
            <w:rStyle w:val="Hyperlink"/>
            <w:rFonts w:eastAsia="Arial"/>
            <w:noProof/>
            <w:color w:val="auto"/>
          </w:rPr>
          <w:t>2.4 Gaps in Current Research</w:t>
        </w:r>
        <w:r w:rsidR="00D4120C">
          <w:rPr>
            <w:rStyle w:val="Hyperlink"/>
            <w:noProof/>
            <w:webHidden/>
            <w:color w:val="auto"/>
          </w:rPr>
          <w:t>………………………………………………….</w:t>
        </w:r>
        <w:r w:rsidR="008127E6" w:rsidRPr="003717EB">
          <w:rPr>
            <w:rStyle w:val="Hyperlink"/>
            <w:noProof/>
            <w:webHidden/>
            <w:color w:val="auto"/>
          </w:rPr>
          <w:t>6</w:t>
        </w:r>
      </w:hyperlink>
    </w:p>
    <w:p w14:paraId="61AB4267" w14:textId="21A7C9AB" w:rsidR="00AE176C" w:rsidRPr="003717EB" w:rsidRDefault="008F4B16" w:rsidP="00AE176C">
      <w:pPr>
        <w:pStyle w:val="TOC1"/>
        <w:tabs>
          <w:tab w:val="right" w:leader="dot" w:pos="9016"/>
        </w:tabs>
        <w:rPr>
          <w:rFonts w:asciiTheme="minorHAnsi" w:eastAsiaTheme="minorEastAsia" w:hAnsiTheme="minorHAnsi" w:cstheme="minorBidi"/>
          <w:noProof/>
        </w:rPr>
      </w:pPr>
      <w:hyperlink r:id="rId18" w:anchor="_Toc225024744" w:history="1">
        <w:r w:rsidR="00AE176C" w:rsidRPr="003717EB">
          <w:rPr>
            <w:rStyle w:val="Hyperlink"/>
            <w:rFonts w:eastAsia="Arial"/>
            <w:noProof/>
            <w:color w:val="auto"/>
          </w:rPr>
          <w:t>Task 3 – Research Methodologies</w:t>
        </w:r>
        <w:r w:rsidR="00D4120C">
          <w:rPr>
            <w:rStyle w:val="Hyperlink"/>
            <w:noProof/>
            <w:webHidden/>
            <w:color w:val="auto"/>
          </w:rPr>
          <w:t>……………………………………………….</w:t>
        </w:r>
        <w:r w:rsidR="008127E6" w:rsidRPr="003717EB">
          <w:rPr>
            <w:rStyle w:val="Hyperlink"/>
            <w:noProof/>
            <w:webHidden/>
            <w:color w:val="auto"/>
          </w:rPr>
          <w:t>6</w:t>
        </w:r>
      </w:hyperlink>
    </w:p>
    <w:p w14:paraId="021F4F79" w14:textId="02178B02" w:rsidR="00AE176C" w:rsidRPr="003717EB" w:rsidRDefault="008F4B16" w:rsidP="00AE176C">
      <w:pPr>
        <w:pStyle w:val="TOC2"/>
        <w:tabs>
          <w:tab w:val="right" w:leader="dot" w:pos="9016"/>
        </w:tabs>
        <w:rPr>
          <w:rFonts w:asciiTheme="minorHAnsi" w:eastAsiaTheme="minorEastAsia" w:hAnsiTheme="minorHAnsi" w:cstheme="minorBidi"/>
          <w:noProof/>
        </w:rPr>
      </w:pPr>
      <w:hyperlink r:id="rId19" w:anchor="_Toc225024745" w:history="1">
        <w:r w:rsidR="00AE176C" w:rsidRPr="003717EB">
          <w:rPr>
            <w:rStyle w:val="Hyperlink"/>
            <w:rFonts w:eastAsia="Arial"/>
            <w:noProof/>
            <w:color w:val="auto"/>
          </w:rPr>
          <w:t>3.1 Definitions and Examples</w:t>
        </w:r>
        <w:r w:rsidR="00D4120C">
          <w:rPr>
            <w:rStyle w:val="Hyperlink"/>
            <w:noProof/>
            <w:webHidden/>
            <w:color w:val="auto"/>
          </w:rPr>
          <w:t>………………………………………………….</w:t>
        </w:r>
        <w:r w:rsidR="008127E6" w:rsidRPr="003717EB">
          <w:rPr>
            <w:rStyle w:val="Hyperlink"/>
            <w:noProof/>
            <w:webHidden/>
            <w:color w:val="auto"/>
          </w:rPr>
          <w:t>6</w:t>
        </w:r>
      </w:hyperlink>
    </w:p>
    <w:p w14:paraId="06389792" w14:textId="0570EF6A" w:rsidR="00AE176C" w:rsidRPr="003717EB" w:rsidRDefault="008F4B16" w:rsidP="00AE176C">
      <w:pPr>
        <w:pStyle w:val="TOC2"/>
        <w:tabs>
          <w:tab w:val="right" w:leader="dot" w:pos="9016"/>
        </w:tabs>
        <w:rPr>
          <w:rFonts w:asciiTheme="minorHAnsi" w:eastAsiaTheme="minorEastAsia" w:hAnsiTheme="minorHAnsi" w:cstheme="minorBidi"/>
          <w:noProof/>
        </w:rPr>
      </w:pPr>
      <w:hyperlink r:id="rId20" w:anchor="_Toc225024746" w:history="1">
        <w:r w:rsidR="00AE176C" w:rsidRPr="003717EB">
          <w:rPr>
            <w:rStyle w:val="Hyperlink"/>
            <w:rFonts w:eastAsia="Arial"/>
            <w:noProof/>
            <w:color w:val="auto"/>
          </w:rPr>
          <w:t>3.2 Chosen Methodology and Justification</w:t>
        </w:r>
        <w:r w:rsidR="00D4120C">
          <w:rPr>
            <w:rStyle w:val="Hyperlink"/>
            <w:noProof/>
            <w:webHidden/>
            <w:color w:val="auto"/>
          </w:rPr>
          <w:t>…………………………………....</w:t>
        </w:r>
        <w:r w:rsidR="008127E6" w:rsidRPr="003717EB">
          <w:rPr>
            <w:rStyle w:val="Hyperlink"/>
            <w:noProof/>
            <w:webHidden/>
            <w:color w:val="auto"/>
          </w:rPr>
          <w:t>6</w:t>
        </w:r>
      </w:hyperlink>
    </w:p>
    <w:p w14:paraId="441B81E0" w14:textId="3847880A" w:rsidR="00AE176C" w:rsidRPr="003717EB" w:rsidRDefault="008F4B16" w:rsidP="00AE176C">
      <w:pPr>
        <w:pStyle w:val="TOC1"/>
        <w:tabs>
          <w:tab w:val="right" w:leader="dot" w:pos="9016"/>
        </w:tabs>
        <w:rPr>
          <w:rFonts w:asciiTheme="minorHAnsi" w:eastAsiaTheme="minorEastAsia" w:hAnsiTheme="minorHAnsi" w:cstheme="minorBidi"/>
          <w:noProof/>
        </w:rPr>
      </w:pPr>
      <w:hyperlink r:id="rId21" w:anchor="_Toc225024747" w:history="1">
        <w:r w:rsidR="00AE176C" w:rsidRPr="003717EB">
          <w:rPr>
            <w:rStyle w:val="Hyperlink"/>
            <w:rFonts w:eastAsia="Arial"/>
            <w:noProof/>
            <w:color w:val="auto"/>
          </w:rPr>
          <w:t>Task 4 – Data Collection</w:t>
        </w:r>
        <w:r w:rsidR="00D4120C">
          <w:rPr>
            <w:rStyle w:val="Hyperlink"/>
            <w:noProof/>
            <w:webHidden/>
            <w:color w:val="auto"/>
          </w:rPr>
          <w:t>………………………………………………………....</w:t>
        </w:r>
        <w:r w:rsidR="008127E6" w:rsidRPr="003717EB">
          <w:rPr>
            <w:rStyle w:val="Hyperlink"/>
            <w:noProof/>
            <w:webHidden/>
            <w:color w:val="auto"/>
          </w:rPr>
          <w:t>7</w:t>
        </w:r>
      </w:hyperlink>
    </w:p>
    <w:p w14:paraId="6E5243EE" w14:textId="47E09184" w:rsidR="00AE176C" w:rsidRPr="003717EB" w:rsidRDefault="008F4B16" w:rsidP="00AE176C">
      <w:pPr>
        <w:pStyle w:val="TOC2"/>
        <w:tabs>
          <w:tab w:val="right" w:leader="dot" w:pos="9016"/>
        </w:tabs>
        <w:rPr>
          <w:rFonts w:asciiTheme="minorHAnsi" w:eastAsiaTheme="minorEastAsia" w:hAnsiTheme="minorHAnsi" w:cstheme="minorBidi"/>
          <w:noProof/>
        </w:rPr>
      </w:pPr>
      <w:hyperlink r:id="rId22" w:anchor="_Toc225024748" w:history="1">
        <w:r w:rsidR="00AE176C" w:rsidRPr="003717EB">
          <w:rPr>
            <w:rStyle w:val="Hyperlink"/>
            <w:rFonts w:eastAsia="Arial"/>
            <w:noProof/>
            <w:color w:val="auto"/>
          </w:rPr>
          <w:t>4.1 Primary vs Secondary Data</w:t>
        </w:r>
        <w:r w:rsidR="00D4120C">
          <w:rPr>
            <w:rStyle w:val="Hyperlink"/>
            <w:noProof/>
            <w:webHidden/>
            <w:color w:val="auto"/>
          </w:rPr>
          <w:t>………………………………………………..</w:t>
        </w:r>
        <w:r w:rsidR="008127E6" w:rsidRPr="003717EB">
          <w:rPr>
            <w:rStyle w:val="Hyperlink"/>
            <w:noProof/>
            <w:webHidden/>
            <w:color w:val="auto"/>
          </w:rPr>
          <w:t>7</w:t>
        </w:r>
      </w:hyperlink>
    </w:p>
    <w:p w14:paraId="65050303" w14:textId="171CA8C0" w:rsidR="00AE176C" w:rsidRPr="003717EB" w:rsidRDefault="008F4B16" w:rsidP="00AE176C">
      <w:pPr>
        <w:pStyle w:val="TOC2"/>
        <w:tabs>
          <w:tab w:val="right" w:leader="dot" w:pos="9016"/>
        </w:tabs>
        <w:rPr>
          <w:rFonts w:asciiTheme="minorHAnsi" w:eastAsiaTheme="minorEastAsia" w:hAnsiTheme="minorHAnsi" w:cstheme="minorBidi"/>
          <w:noProof/>
        </w:rPr>
      </w:pPr>
      <w:hyperlink r:id="rId23" w:anchor="_Toc225024749" w:history="1">
        <w:r w:rsidR="00AE176C" w:rsidRPr="003717EB">
          <w:rPr>
            <w:rStyle w:val="Hyperlink"/>
            <w:rFonts w:eastAsia="Arial"/>
            <w:noProof/>
            <w:color w:val="auto"/>
          </w:rPr>
          <w:t>4.2 Chosen Data Type and Justification</w:t>
        </w:r>
        <w:r w:rsidR="00D4120C">
          <w:rPr>
            <w:rStyle w:val="Hyperlink"/>
            <w:noProof/>
            <w:webHidden/>
            <w:color w:val="auto"/>
          </w:rPr>
          <w:t>……………………………………….</w:t>
        </w:r>
        <w:r w:rsidR="008127E6" w:rsidRPr="003717EB">
          <w:rPr>
            <w:rStyle w:val="Hyperlink"/>
            <w:noProof/>
            <w:webHidden/>
            <w:color w:val="auto"/>
          </w:rPr>
          <w:t>7</w:t>
        </w:r>
      </w:hyperlink>
    </w:p>
    <w:p w14:paraId="0C51662E" w14:textId="58BFC936" w:rsidR="00AE176C" w:rsidRPr="003717EB" w:rsidRDefault="008F4B16" w:rsidP="00AE176C">
      <w:pPr>
        <w:pStyle w:val="TOC2"/>
        <w:tabs>
          <w:tab w:val="right" w:leader="dot" w:pos="9016"/>
        </w:tabs>
        <w:rPr>
          <w:rFonts w:asciiTheme="minorHAnsi" w:eastAsiaTheme="minorEastAsia" w:hAnsiTheme="minorHAnsi" w:cstheme="minorBidi"/>
          <w:noProof/>
        </w:rPr>
      </w:pPr>
      <w:hyperlink r:id="rId24" w:anchor="_Toc225024750" w:history="1">
        <w:r w:rsidR="00AE176C" w:rsidRPr="003717EB">
          <w:rPr>
            <w:rStyle w:val="Hyperlink"/>
            <w:rFonts w:eastAsia="Arial"/>
            <w:noProof/>
            <w:color w:val="auto"/>
          </w:rPr>
          <w:t>4.3 Advantages and Challenges</w:t>
        </w:r>
        <w:r w:rsidR="00D4120C">
          <w:rPr>
            <w:rStyle w:val="Hyperlink"/>
            <w:noProof/>
            <w:webHidden/>
            <w:color w:val="auto"/>
          </w:rPr>
          <w:t>………………………………………………..</w:t>
        </w:r>
        <w:r w:rsidR="008127E6" w:rsidRPr="003717EB">
          <w:rPr>
            <w:rStyle w:val="Hyperlink"/>
            <w:noProof/>
            <w:webHidden/>
            <w:color w:val="auto"/>
          </w:rPr>
          <w:t>8</w:t>
        </w:r>
      </w:hyperlink>
    </w:p>
    <w:p w14:paraId="29C9AF41" w14:textId="4A6878F4" w:rsidR="00AE176C" w:rsidRPr="003717EB" w:rsidRDefault="008F4B16" w:rsidP="00AE176C">
      <w:pPr>
        <w:pStyle w:val="TOC1"/>
        <w:tabs>
          <w:tab w:val="right" w:leader="dot" w:pos="9016"/>
        </w:tabs>
        <w:rPr>
          <w:rFonts w:asciiTheme="minorHAnsi" w:eastAsiaTheme="minorEastAsia" w:hAnsiTheme="minorHAnsi" w:cstheme="minorBidi"/>
          <w:noProof/>
        </w:rPr>
      </w:pPr>
      <w:hyperlink r:id="rId25" w:anchor="_Toc225024751" w:history="1">
        <w:r w:rsidR="00AE176C" w:rsidRPr="003717EB">
          <w:rPr>
            <w:rStyle w:val="Hyperlink"/>
            <w:rFonts w:eastAsia="Arial"/>
            <w:noProof/>
            <w:color w:val="auto"/>
          </w:rPr>
          <w:t>Conclusion</w:t>
        </w:r>
        <w:r w:rsidR="00D4120C">
          <w:rPr>
            <w:rStyle w:val="Hyperlink"/>
            <w:noProof/>
            <w:webHidden/>
            <w:color w:val="auto"/>
          </w:rPr>
          <w:t>………………………………………………………………………..</w:t>
        </w:r>
        <w:r w:rsidR="00406697" w:rsidRPr="003717EB">
          <w:rPr>
            <w:rStyle w:val="Hyperlink"/>
            <w:noProof/>
            <w:webHidden/>
            <w:color w:val="auto"/>
          </w:rPr>
          <w:t>8</w:t>
        </w:r>
      </w:hyperlink>
    </w:p>
    <w:p w14:paraId="39552176" w14:textId="645092AB" w:rsidR="00AE176C" w:rsidRPr="003717EB" w:rsidRDefault="008F4B16" w:rsidP="00AE176C">
      <w:pPr>
        <w:pStyle w:val="TOC1"/>
        <w:tabs>
          <w:tab w:val="right" w:leader="dot" w:pos="9016"/>
        </w:tabs>
        <w:rPr>
          <w:rFonts w:asciiTheme="minorHAnsi" w:eastAsiaTheme="minorEastAsia" w:hAnsiTheme="minorHAnsi" w:cstheme="minorBidi"/>
          <w:noProof/>
        </w:rPr>
      </w:pPr>
      <w:hyperlink r:id="rId26" w:anchor="_Toc225024752" w:history="1">
        <w:r w:rsidR="00AE176C" w:rsidRPr="003717EB">
          <w:rPr>
            <w:rStyle w:val="Hyperlink"/>
            <w:rFonts w:eastAsia="Arial"/>
            <w:noProof/>
            <w:color w:val="auto"/>
          </w:rPr>
          <w:t>Reference List</w:t>
        </w:r>
        <w:r w:rsidR="00D4120C">
          <w:rPr>
            <w:rStyle w:val="Hyperlink"/>
            <w:noProof/>
            <w:webHidden/>
            <w:color w:val="auto"/>
          </w:rPr>
          <w:t>………………………………………………………………….....</w:t>
        </w:r>
        <w:r w:rsidR="00406697" w:rsidRPr="003717EB">
          <w:rPr>
            <w:rStyle w:val="Hyperlink"/>
            <w:noProof/>
            <w:webHidden/>
            <w:color w:val="auto"/>
          </w:rPr>
          <w:t>9</w:t>
        </w:r>
      </w:hyperlink>
    </w:p>
    <w:p w14:paraId="175DDBB3" w14:textId="11F18556" w:rsidR="00AE176C" w:rsidRDefault="00AE176C" w:rsidP="00AE176C">
      <w:pPr>
        <w:keepNext/>
        <w:keepLines/>
        <w:pBdr>
          <w:top w:val="nil"/>
          <w:left w:val="nil"/>
          <w:bottom w:val="nil"/>
          <w:right w:val="nil"/>
          <w:between w:val="nil"/>
        </w:pBdr>
        <w:spacing w:before="240" w:after="0" w:line="259" w:lineRule="auto"/>
        <w:jc w:val="left"/>
        <w:rPr>
          <w:rFonts w:ascii="Play" w:eastAsia="Play" w:hAnsi="Play" w:cs="Play"/>
          <w:color w:val="0F4761"/>
          <w:sz w:val="32"/>
          <w:szCs w:val="32"/>
        </w:rPr>
      </w:pPr>
      <w:r w:rsidRPr="003717EB">
        <w:fldChar w:fldCharType="end"/>
      </w:r>
    </w:p>
    <w:p w14:paraId="37032881" w14:textId="77777777" w:rsidR="008127E6" w:rsidRDefault="008127E6" w:rsidP="008127E6">
      <w:pPr>
        <w:rPr>
          <w:rFonts w:ascii="Play" w:eastAsia="Play" w:hAnsi="Play" w:cs="Play"/>
          <w:color w:val="0F4761"/>
          <w:sz w:val="32"/>
          <w:szCs w:val="32"/>
        </w:rPr>
      </w:pPr>
      <w:bookmarkStart w:id="1" w:name="_uk37rnlm1qh7" w:colFirst="0" w:colLast="0"/>
      <w:bookmarkEnd w:id="1"/>
    </w:p>
    <w:p w14:paraId="43A7DFBA" w14:textId="77777777" w:rsidR="004F2512" w:rsidRDefault="004F2512" w:rsidP="008127E6">
      <w:pPr>
        <w:rPr>
          <w:rFonts w:ascii="Play" w:eastAsia="Play" w:hAnsi="Play" w:cs="Play"/>
          <w:color w:val="0F4761"/>
          <w:sz w:val="32"/>
          <w:szCs w:val="32"/>
        </w:rPr>
      </w:pPr>
    </w:p>
    <w:p w14:paraId="1A3EADBA" w14:textId="77777777" w:rsidR="004F2512" w:rsidRPr="008127E6" w:rsidRDefault="004F2512" w:rsidP="008127E6"/>
    <w:p w14:paraId="7CAF97AE" w14:textId="77777777" w:rsidR="00D4120C" w:rsidRDefault="00D4120C">
      <w:pPr>
        <w:pStyle w:val="Heading1"/>
        <w:rPr>
          <w:sz w:val="36"/>
          <w:szCs w:val="36"/>
        </w:rPr>
      </w:pPr>
    </w:p>
    <w:p w14:paraId="0000001A" w14:textId="77777777" w:rsidR="00653C03" w:rsidRPr="004C1C95" w:rsidRDefault="00844EA6">
      <w:pPr>
        <w:pStyle w:val="Heading1"/>
        <w:rPr>
          <w:sz w:val="36"/>
          <w:szCs w:val="36"/>
        </w:rPr>
      </w:pPr>
      <w:r w:rsidRPr="004C1C95">
        <w:rPr>
          <w:sz w:val="36"/>
          <w:szCs w:val="36"/>
        </w:rPr>
        <w:t>Introduction</w:t>
      </w:r>
    </w:p>
    <w:p w14:paraId="0000001C" w14:textId="6E4B9709" w:rsidR="00653C03" w:rsidRDefault="00844EA6" w:rsidP="0064687D">
      <w:pPr>
        <w:rPr>
          <w:sz w:val="22"/>
          <w:szCs w:val="22"/>
        </w:rPr>
      </w:pPr>
      <w:r w:rsidRPr="004C1C95">
        <w:rPr>
          <w:b/>
          <w:sz w:val="22"/>
          <w:szCs w:val="22"/>
        </w:rPr>
        <w:t>Staff burnout</w:t>
      </w:r>
      <w:r w:rsidRPr="004C1C95">
        <w:rPr>
          <w:sz w:val="22"/>
          <w:szCs w:val="22"/>
        </w:rPr>
        <w:t xml:space="preserve"> can be considered one of the most urgent issues of the UK National Health Service (NHS) today. Burnout is defined as a vital exhaustion caused by chronic organisational stress and exists in three fundamental dimensions, which are emotional exhaustion, depersonalisation and diminished personal accomplishment (Hall et al., 2016). To explore this urgent problem, this report analyses the effects of staff burnout on the quality of patient care in the NHS, assesses the available evidence, research methods and data collection techniques. The report will be organized in a way that it will explain the reasons behind the choice of the topic, how the information sources will be evaluated, the justification of the research methodology, and the data collection strategies and will conclude with observations on what professional development will be reflected on.</w:t>
      </w:r>
    </w:p>
    <w:p w14:paraId="719B8A2A" w14:textId="77777777" w:rsidR="004F2512" w:rsidRPr="004C1C95" w:rsidRDefault="004F2512" w:rsidP="0064687D">
      <w:pPr>
        <w:rPr>
          <w:b/>
          <w:bCs/>
          <w:sz w:val="22"/>
          <w:szCs w:val="22"/>
        </w:rPr>
      </w:pPr>
    </w:p>
    <w:p w14:paraId="0000001D" w14:textId="77777777" w:rsidR="00653C03" w:rsidRPr="004C1C95" w:rsidRDefault="00844EA6" w:rsidP="00EE1405">
      <w:pPr>
        <w:pStyle w:val="Heading1"/>
        <w:rPr>
          <w:color w:val="17365D" w:themeColor="text2" w:themeShade="BF"/>
          <w:sz w:val="36"/>
          <w:szCs w:val="36"/>
        </w:rPr>
      </w:pPr>
      <w:bookmarkStart w:id="2" w:name="_qhbpo5avvr8v" w:colFirst="0" w:colLast="0"/>
      <w:bookmarkEnd w:id="2"/>
      <w:r w:rsidRPr="004C1C95">
        <w:rPr>
          <w:color w:val="17365D" w:themeColor="text2" w:themeShade="BF"/>
          <w:sz w:val="36"/>
          <w:szCs w:val="36"/>
        </w:rPr>
        <w:t>Task 1 – Selection of Research Topic</w:t>
      </w:r>
    </w:p>
    <w:p w14:paraId="23DBB403" w14:textId="41C1D1EC" w:rsidR="00EE1405" w:rsidRPr="00E61B25" w:rsidRDefault="00EE1405" w:rsidP="00E61B25">
      <w:pPr>
        <w:pStyle w:val="ListParagraph"/>
        <w:numPr>
          <w:ilvl w:val="1"/>
          <w:numId w:val="5"/>
        </w:numPr>
        <w:rPr>
          <w:sz w:val="28"/>
          <w:szCs w:val="28"/>
        </w:rPr>
      </w:pPr>
      <w:r w:rsidRPr="00E61B25">
        <w:rPr>
          <w:sz w:val="28"/>
          <w:szCs w:val="28"/>
        </w:rPr>
        <w:t>The Issue and Why It Matters</w:t>
      </w:r>
    </w:p>
    <w:p w14:paraId="0000001E" w14:textId="77777777" w:rsidR="00653C03" w:rsidRPr="00E61B25" w:rsidRDefault="00844EA6">
      <w:pPr>
        <w:rPr>
          <w:sz w:val="22"/>
          <w:szCs w:val="22"/>
        </w:rPr>
      </w:pPr>
      <w:r w:rsidRPr="00E61B25">
        <w:rPr>
          <w:sz w:val="22"/>
          <w:szCs w:val="22"/>
        </w:rPr>
        <w:t>The rate of staff burnout in the NHS is so high that the 2023 NHS Staff Survey found that 30.4% of the staff felt burnt out due to their job, and 73.8% experienced unrealistic time demands (NHS England, 2023). This is especially a problem with ambulance workers (49.3%), medical and dental workers (35.3%), but nursing staff working in all settings report a high prevalence of burnout (Oliver, 2024). The effects do not only impact individual wellbeing but also have direct and quantifiable effects on patient safety and quality of care that are disheartening.</w:t>
      </w:r>
    </w:p>
    <w:p w14:paraId="4B278658" w14:textId="77777777" w:rsidR="004F2512" w:rsidRDefault="00844EA6">
      <w:pPr>
        <w:rPr>
          <w:sz w:val="22"/>
          <w:szCs w:val="22"/>
        </w:rPr>
      </w:pPr>
      <w:r w:rsidRPr="00E61B25">
        <w:rPr>
          <w:sz w:val="22"/>
          <w:szCs w:val="22"/>
        </w:rPr>
        <w:t xml:space="preserve">This issue is very important to healthcare organisations, staff and service users in general. The study has shown that clinicians with burnout are about twice more prone to diagnostic or prescription errors, posing tremendous patient safety risks (NIHR SPCR, 2023). Moreover, nearly half of all doctors’ report difficulty giving adequate patient care at least once per week, and 70% of doctors say that their workloads are uncontrollable, which is a major obstacle to quality care (General Medical Council, 2023). The financial cost is also quite dramatic, as the NHS estimates that medical errors cost about £1.3 billion a year in litigation, and add extra </w:t>
      </w:r>
      <w:r w:rsidRPr="00E61B25">
        <w:rPr>
          <w:sz w:val="22"/>
          <w:szCs w:val="22"/>
        </w:rPr>
        <w:lastRenderedPageBreak/>
        <w:t>expenses of 2 billion in extra bed days (Hall et al., 2016). Such numbers show that burnout is not a human resources problem but a core challenge to the sustainability of the NHS and patients.</w:t>
      </w:r>
    </w:p>
    <w:p w14:paraId="24995643" w14:textId="4659A96C" w:rsidR="00EE1405" w:rsidRPr="004F2512" w:rsidRDefault="00EE1405">
      <w:pPr>
        <w:rPr>
          <w:sz w:val="22"/>
          <w:szCs w:val="22"/>
        </w:rPr>
      </w:pPr>
      <w:r>
        <w:t xml:space="preserve">   </w:t>
      </w:r>
      <w:r w:rsidRPr="00EE1405">
        <w:rPr>
          <w:sz w:val="28"/>
          <w:szCs w:val="28"/>
        </w:rPr>
        <w:t xml:space="preserve">1.2 Personal Reflection – Why I Chose This Topic </w:t>
      </w:r>
    </w:p>
    <w:p w14:paraId="00000020" w14:textId="250DF3C2" w:rsidR="00653C03" w:rsidRDefault="00844EA6">
      <w:pPr>
        <w:rPr>
          <w:sz w:val="22"/>
          <w:szCs w:val="22"/>
        </w:rPr>
      </w:pPr>
      <w:r w:rsidRPr="00F06C9C">
        <w:rPr>
          <w:sz w:val="22"/>
          <w:szCs w:val="22"/>
        </w:rPr>
        <w:t xml:space="preserve">The given topic is of specific importance to my career growth as the student of health and social care. Through the placement experiences, I have been able to experience </w:t>
      </w:r>
      <w:r w:rsidR="00D45C49" w:rsidRPr="00F06C9C">
        <w:rPr>
          <w:sz w:val="22"/>
          <w:szCs w:val="22"/>
        </w:rPr>
        <w:t>first-hand</w:t>
      </w:r>
      <w:r w:rsidRPr="00F06C9C">
        <w:rPr>
          <w:sz w:val="22"/>
          <w:szCs w:val="22"/>
        </w:rPr>
        <w:t xml:space="preserve"> the stresses of the healthcare professional who aims at achieving high standards in the face of growing demands and a limited number of resources</w:t>
      </w:r>
      <w:r w:rsidR="00F06C9C">
        <w:rPr>
          <w:sz w:val="22"/>
          <w:szCs w:val="22"/>
        </w:rPr>
        <w:t xml:space="preserve"> (Hall et al., 2016)</w:t>
      </w:r>
      <w:r w:rsidRPr="00F06C9C">
        <w:rPr>
          <w:sz w:val="22"/>
          <w:szCs w:val="22"/>
        </w:rPr>
        <w:t>. These have prompted me to pursue the knowledge on how organisational factors can influence the wellbeing of workforce as well as patient outcomes</w:t>
      </w:r>
      <w:r w:rsidR="00F06C9C">
        <w:rPr>
          <w:sz w:val="22"/>
          <w:szCs w:val="22"/>
        </w:rPr>
        <w:t xml:space="preserve"> (NHS England, 2023)</w:t>
      </w:r>
      <w:r w:rsidRPr="00F06C9C">
        <w:rPr>
          <w:sz w:val="22"/>
          <w:szCs w:val="22"/>
        </w:rPr>
        <w:t>. This study will help me in my career in healthcare management, where I will be required to deal with the wellbeing of the staff to provide quality and sustainable care. Knowledge of the evidence base relating to burnout and patient safety will mean that I can be instrumental in organisational change in my future career by ensuring that I am able to advocate both staff and quality of patient care based on sound research findings</w:t>
      </w:r>
      <w:r w:rsidR="00F06C9C">
        <w:rPr>
          <w:sz w:val="22"/>
          <w:szCs w:val="22"/>
        </w:rPr>
        <w:t xml:space="preserve"> (Li et al., 2024)</w:t>
      </w:r>
      <w:r w:rsidRPr="00F06C9C">
        <w:rPr>
          <w:sz w:val="22"/>
          <w:szCs w:val="22"/>
        </w:rPr>
        <w:t>.</w:t>
      </w:r>
    </w:p>
    <w:p w14:paraId="00B8554C" w14:textId="77777777" w:rsidR="00E61B25" w:rsidRPr="00F06C9C" w:rsidRDefault="00E61B25">
      <w:pPr>
        <w:rPr>
          <w:sz w:val="22"/>
          <w:szCs w:val="22"/>
        </w:rPr>
      </w:pPr>
    </w:p>
    <w:p w14:paraId="00000021" w14:textId="77777777" w:rsidR="00653C03" w:rsidRPr="002E015F" w:rsidRDefault="00844EA6">
      <w:pPr>
        <w:pStyle w:val="Heading1"/>
        <w:rPr>
          <w:sz w:val="36"/>
          <w:szCs w:val="36"/>
        </w:rPr>
      </w:pPr>
      <w:bookmarkStart w:id="3" w:name="_4glgklsw7m5x" w:colFirst="0" w:colLast="0"/>
      <w:bookmarkEnd w:id="3"/>
      <w:r w:rsidRPr="002E015F">
        <w:rPr>
          <w:sz w:val="36"/>
          <w:szCs w:val="36"/>
        </w:rPr>
        <w:t>Task 2 – Evaluating Information Sources</w:t>
      </w:r>
    </w:p>
    <w:p w14:paraId="00000022" w14:textId="77777777" w:rsidR="00653C03" w:rsidRPr="002E015F" w:rsidRDefault="00844EA6">
      <w:pPr>
        <w:rPr>
          <w:sz w:val="22"/>
          <w:szCs w:val="22"/>
        </w:rPr>
      </w:pPr>
      <w:r w:rsidRPr="002E015F">
        <w:rPr>
          <w:sz w:val="22"/>
          <w:szCs w:val="22"/>
        </w:rPr>
        <w:t>Three reliable sources shed light on various aspects of this problem and offer complementary insights on the relationship between burnout and patient safety.</w:t>
      </w:r>
    </w:p>
    <w:p w14:paraId="78C56AB3" w14:textId="77777777" w:rsidR="004F2512" w:rsidRDefault="004F2512"/>
    <w:p w14:paraId="0530E3CD" w14:textId="3F9A63F1" w:rsidR="00130381" w:rsidRPr="00130381" w:rsidRDefault="00130381">
      <w:pPr>
        <w:rPr>
          <w:sz w:val="28"/>
          <w:szCs w:val="28"/>
        </w:rPr>
      </w:pPr>
      <w:r w:rsidRPr="00130381">
        <w:rPr>
          <w:sz w:val="28"/>
          <w:szCs w:val="28"/>
        </w:rPr>
        <w:t xml:space="preserve">   2.1 Source 1</w:t>
      </w:r>
    </w:p>
    <w:p w14:paraId="00000023" w14:textId="77777777" w:rsidR="00653C03" w:rsidRPr="002E015F" w:rsidRDefault="00844EA6" w:rsidP="00130381">
      <w:pPr>
        <w:pBdr>
          <w:top w:val="nil"/>
          <w:left w:val="nil"/>
          <w:bottom w:val="nil"/>
          <w:right w:val="nil"/>
          <w:between w:val="nil"/>
        </w:pBdr>
        <w:rPr>
          <w:i/>
          <w:iCs/>
          <w:color w:val="000000"/>
          <w:sz w:val="22"/>
          <w:szCs w:val="22"/>
        </w:rPr>
      </w:pPr>
      <w:r w:rsidRPr="002E015F">
        <w:rPr>
          <w:i/>
          <w:iCs/>
          <w:color w:val="000000"/>
          <w:sz w:val="22"/>
          <w:szCs w:val="22"/>
        </w:rPr>
        <w:t>Source 1: Hall et al. (2016) – Healthcare Staff Wellbeing, Burnout, and Patient Safety</w:t>
      </w:r>
    </w:p>
    <w:p w14:paraId="00000024" w14:textId="77777777" w:rsidR="00653C03" w:rsidRPr="002E015F" w:rsidRDefault="00844EA6">
      <w:pPr>
        <w:rPr>
          <w:sz w:val="22"/>
          <w:szCs w:val="22"/>
        </w:rPr>
      </w:pPr>
      <w:r w:rsidRPr="002E015F">
        <w:rPr>
          <w:sz w:val="22"/>
          <w:szCs w:val="22"/>
        </w:rPr>
        <w:t xml:space="preserve">This is a systematic review that was published in PLOS one and studied the association between the wellbeing of healthcare staff, burnout, and patient safety outcomes by searching 46 empirical studies (Hall et al., 2016). The study finds that both wellbeing and burnout have specific implications on patient safety, where 21 of 30 studies that measured burnout had significant associations of burnout with medical errors. This study is especially useful as it identifies wellbeing and burnout as two different constructs and states that burnout should be targeted by organisational interventions, not by general wellness programmes. Nevertheless, </w:t>
      </w:r>
      <w:r w:rsidRPr="002E015F">
        <w:rPr>
          <w:sz w:val="22"/>
          <w:szCs w:val="22"/>
        </w:rPr>
        <w:lastRenderedPageBreak/>
        <w:t>there is a large gap concerning the particular pathways by which burnout can be converted into the occurrence of patient safety incidents, which implies that more research on mediating variables and causal processes is necessary. The review also mentions that the majority of studies based their results on self-reported errors, which could underestimate the actual prevalence because of social desirability and fear of blame.</w:t>
      </w:r>
    </w:p>
    <w:p w14:paraId="1AA7EC87" w14:textId="77777777" w:rsidR="002E015F" w:rsidRDefault="002E015F"/>
    <w:p w14:paraId="4A13368F" w14:textId="6F3039EC" w:rsidR="00130381" w:rsidRPr="00130381" w:rsidRDefault="00130381">
      <w:pPr>
        <w:rPr>
          <w:sz w:val="28"/>
          <w:szCs w:val="28"/>
        </w:rPr>
      </w:pPr>
      <w:r w:rsidRPr="00130381">
        <w:rPr>
          <w:sz w:val="28"/>
          <w:szCs w:val="28"/>
        </w:rPr>
        <w:t xml:space="preserve">   2.2 Source 2</w:t>
      </w:r>
    </w:p>
    <w:p w14:paraId="00000025" w14:textId="77777777" w:rsidR="00653C03" w:rsidRPr="002E015F" w:rsidRDefault="00844EA6" w:rsidP="00130381">
      <w:pPr>
        <w:pBdr>
          <w:top w:val="nil"/>
          <w:left w:val="nil"/>
          <w:bottom w:val="nil"/>
          <w:right w:val="nil"/>
          <w:between w:val="nil"/>
        </w:pBdr>
        <w:rPr>
          <w:sz w:val="22"/>
          <w:szCs w:val="22"/>
        </w:rPr>
      </w:pPr>
      <w:r w:rsidRPr="002E015F">
        <w:rPr>
          <w:i/>
          <w:iCs/>
          <w:color w:val="000000"/>
          <w:sz w:val="22"/>
          <w:szCs w:val="22"/>
        </w:rPr>
        <w:t>Source 2: JAMA Network Open Meta-Analysis (2024)</w:t>
      </w:r>
    </w:p>
    <w:p w14:paraId="00000026" w14:textId="77777777" w:rsidR="00653C03" w:rsidRDefault="00844EA6">
      <w:pPr>
        <w:rPr>
          <w:sz w:val="22"/>
          <w:szCs w:val="22"/>
        </w:rPr>
      </w:pPr>
      <w:r w:rsidRPr="002E015F">
        <w:rPr>
          <w:sz w:val="22"/>
          <w:szCs w:val="22"/>
        </w:rPr>
        <w:t>The evidence presented in this meta-analysis of 85 studies (288581 nurses in 32 countries) is strong and quantitative as it establishes the relationship between nurse burnout and patient outcomes (Li et al., 2024). Both study established strong relationships between burnout and poor safety climate (standardised mean difference, -0.68), more medication errors (SMD, -0.30), more patient falls (SMD, -0.12), and missed care (SMD, -0.58). The value of this source is especially significant due to its statistical strength and global focus it provides and shows the same tendencies in various healthcare systems. Nevertheless, its applicability to UK-specific situations should be approached with a lot of caution because there are differences in the healthcare organisation and workforce structures. One of such gaps is the low longitudinal data since only four out of 85 studies engaged participants across time, thus, making causal inferences difficult and hence the need to adopt prospective research designs.</w:t>
      </w:r>
    </w:p>
    <w:p w14:paraId="0C97125B" w14:textId="77777777" w:rsidR="002E015F" w:rsidRPr="002E015F" w:rsidRDefault="002E015F">
      <w:pPr>
        <w:rPr>
          <w:sz w:val="22"/>
          <w:szCs w:val="22"/>
        </w:rPr>
      </w:pPr>
    </w:p>
    <w:p w14:paraId="7A9A90BA" w14:textId="2D9FD900" w:rsidR="00130381" w:rsidRPr="00130381" w:rsidRDefault="00130381">
      <w:pPr>
        <w:rPr>
          <w:sz w:val="28"/>
          <w:szCs w:val="28"/>
        </w:rPr>
      </w:pPr>
      <w:r w:rsidRPr="00130381">
        <w:rPr>
          <w:sz w:val="28"/>
          <w:szCs w:val="28"/>
        </w:rPr>
        <w:t xml:space="preserve">   2.3 Source 3</w:t>
      </w:r>
    </w:p>
    <w:p w14:paraId="00000027" w14:textId="77777777" w:rsidR="00653C03" w:rsidRPr="00DE42EB" w:rsidRDefault="00844EA6" w:rsidP="00130381">
      <w:pPr>
        <w:pBdr>
          <w:top w:val="nil"/>
          <w:left w:val="nil"/>
          <w:bottom w:val="nil"/>
          <w:right w:val="nil"/>
          <w:between w:val="nil"/>
        </w:pBdr>
        <w:rPr>
          <w:sz w:val="22"/>
          <w:szCs w:val="22"/>
        </w:rPr>
      </w:pPr>
      <w:r w:rsidRPr="00DE42EB">
        <w:rPr>
          <w:i/>
          <w:iCs/>
          <w:color w:val="000000"/>
          <w:sz w:val="22"/>
          <w:szCs w:val="22"/>
        </w:rPr>
        <w:t>Source 3: NHS England Staff Survey 2023</w:t>
      </w:r>
    </w:p>
    <w:p w14:paraId="300D3D45" w14:textId="77777777" w:rsidR="00130381" w:rsidRDefault="00844EA6">
      <w:pPr>
        <w:rPr>
          <w:sz w:val="22"/>
          <w:szCs w:val="22"/>
        </w:rPr>
      </w:pPr>
      <w:r w:rsidRPr="00DE42EB">
        <w:rPr>
          <w:sz w:val="22"/>
          <w:szCs w:val="22"/>
        </w:rPr>
        <w:t xml:space="preserve">This survey of the national level is one of the biggest workforce surveys in the world, with more than 707,000 NHS employees throughout England responding (NHS England, 2023). The survey will offer standardised, benchmarked information on the prevalence of burnout, work-related pressures and how they are distributed among occupational groups and geographic regions. The source is useful, as it is specific to the UK, has a substantial sample size, and is longitudinally comparable. </w:t>
      </w:r>
    </w:p>
    <w:p w14:paraId="397F11A0" w14:textId="77777777" w:rsidR="008127E6" w:rsidRDefault="008127E6">
      <w:pPr>
        <w:rPr>
          <w:sz w:val="22"/>
          <w:szCs w:val="22"/>
        </w:rPr>
      </w:pPr>
    </w:p>
    <w:p w14:paraId="489B4665" w14:textId="77777777" w:rsidR="004F2512" w:rsidRDefault="004F2512">
      <w:pPr>
        <w:rPr>
          <w:sz w:val="22"/>
          <w:szCs w:val="22"/>
        </w:rPr>
      </w:pPr>
    </w:p>
    <w:p w14:paraId="07E863CA" w14:textId="77777777" w:rsidR="004F2512" w:rsidRDefault="004F2512">
      <w:pPr>
        <w:rPr>
          <w:sz w:val="22"/>
          <w:szCs w:val="22"/>
        </w:rPr>
      </w:pPr>
    </w:p>
    <w:p w14:paraId="5754BF35" w14:textId="7B8AC272" w:rsidR="00207C5A" w:rsidRPr="00207C5A" w:rsidRDefault="00207C5A">
      <w:pPr>
        <w:rPr>
          <w:sz w:val="28"/>
          <w:szCs w:val="28"/>
        </w:rPr>
      </w:pPr>
      <w:r>
        <w:t xml:space="preserve">  </w:t>
      </w:r>
      <w:r w:rsidRPr="00207C5A">
        <w:rPr>
          <w:sz w:val="28"/>
          <w:szCs w:val="28"/>
        </w:rPr>
        <w:t xml:space="preserve">2.4 Gaps in Current Research </w:t>
      </w:r>
      <w:r>
        <w:rPr>
          <w:sz w:val="28"/>
          <w:szCs w:val="28"/>
        </w:rPr>
        <w:t xml:space="preserve">  </w:t>
      </w:r>
    </w:p>
    <w:p w14:paraId="2AFBD8D8" w14:textId="4F96281B" w:rsidR="001A782C" w:rsidRDefault="00844EA6" w:rsidP="001A782C">
      <w:pPr>
        <w:rPr>
          <w:sz w:val="22"/>
          <w:szCs w:val="22"/>
        </w:rPr>
      </w:pPr>
      <w:r w:rsidRPr="00031FBE">
        <w:rPr>
          <w:sz w:val="22"/>
          <w:szCs w:val="22"/>
        </w:rPr>
        <w:t>The identified research gap is that intervention studies that would test whether the reduction of certain factors through addressing them, in fact, leads to a decrease in burnout and better patient outcomes, instead of merely recording cross-sectional associations</w:t>
      </w:r>
      <w:r w:rsidR="00207C5A" w:rsidRPr="00031FBE">
        <w:rPr>
          <w:sz w:val="22"/>
          <w:szCs w:val="22"/>
        </w:rPr>
        <w:t xml:space="preserve"> ( Hall et al., 2016; Li et al., 2024; NHS England, 2023)</w:t>
      </w:r>
      <w:r w:rsidRPr="00031FBE">
        <w:rPr>
          <w:sz w:val="22"/>
          <w:szCs w:val="22"/>
        </w:rPr>
        <w:t>. Also, the survey is based on self-report measures that might not be able to represent the complete picture of burnout experiences and its direct influence on particular patient safety events.</w:t>
      </w:r>
      <w:bookmarkStart w:id="4" w:name="_eajb3md0k1ji" w:colFirst="0" w:colLast="0"/>
      <w:bookmarkEnd w:id="4"/>
    </w:p>
    <w:p w14:paraId="52FB11CD" w14:textId="77777777" w:rsidR="00031FBE" w:rsidRPr="00031FBE" w:rsidRDefault="00031FBE" w:rsidP="001A782C">
      <w:pPr>
        <w:rPr>
          <w:sz w:val="22"/>
          <w:szCs w:val="22"/>
        </w:rPr>
      </w:pPr>
    </w:p>
    <w:p w14:paraId="0000002A" w14:textId="77777777" w:rsidR="00653C03" w:rsidRPr="00456C23" w:rsidRDefault="00844EA6">
      <w:pPr>
        <w:pStyle w:val="Heading1"/>
        <w:rPr>
          <w:sz w:val="36"/>
          <w:szCs w:val="36"/>
        </w:rPr>
      </w:pPr>
      <w:r w:rsidRPr="00456C23">
        <w:rPr>
          <w:sz w:val="36"/>
          <w:szCs w:val="36"/>
        </w:rPr>
        <w:t>Task 3 – Research Methodologies</w:t>
      </w:r>
    </w:p>
    <w:p w14:paraId="706AC50F" w14:textId="1306AFEF" w:rsidR="00AC57CF" w:rsidRPr="00AC57CF" w:rsidRDefault="00AC57CF" w:rsidP="00AC57CF">
      <w:pPr>
        <w:rPr>
          <w:sz w:val="28"/>
          <w:szCs w:val="28"/>
        </w:rPr>
      </w:pPr>
      <w:r>
        <w:t xml:space="preserve">   </w:t>
      </w:r>
      <w:r w:rsidRPr="00AC57CF">
        <w:rPr>
          <w:sz w:val="28"/>
          <w:szCs w:val="28"/>
        </w:rPr>
        <w:t xml:space="preserve">3.1 Definitions and Examples </w:t>
      </w:r>
    </w:p>
    <w:p w14:paraId="0000002B" w14:textId="381D113E" w:rsidR="00653C03" w:rsidRPr="00456C23" w:rsidRDefault="00844EA6">
      <w:pPr>
        <w:rPr>
          <w:sz w:val="22"/>
          <w:szCs w:val="22"/>
        </w:rPr>
      </w:pPr>
      <w:r w:rsidRPr="00456C23">
        <w:rPr>
          <w:sz w:val="22"/>
          <w:szCs w:val="22"/>
        </w:rPr>
        <w:t xml:space="preserve">There are typically three research methodologies of health and social care, and each of them has its own unique benefits of studying complex phenomena. </w:t>
      </w:r>
      <w:r w:rsidRPr="00456C23">
        <w:rPr>
          <w:b/>
          <w:sz w:val="22"/>
          <w:szCs w:val="22"/>
        </w:rPr>
        <w:t>Quantitative</w:t>
      </w:r>
      <w:r w:rsidRPr="00456C23">
        <w:rPr>
          <w:sz w:val="22"/>
          <w:szCs w:val="22"/>
        </w:rPr>
        <w:t xml:space="preserve"> research involves the development of numerical data by using systematic approaches like surveys, statistical studies and experimental designs to develop hypothesis testing, </w:t>
      </w:r>
      <w:r w:rsidR="00AC57CF" w:rsidRPr="00456C23">
        <w:rPr>
          <w:sz w:val="22"/>
          <w:szCs w:val="22"/>
        </w:rPr>
        <w:t>generalizable</w:t>
      </w:r>
      <w:r w:rsidRPr="00456C23">
        <w:rPr>
          <w:sz w:val="22"/>
          <w:szCs w:val="22"/>
        </w:rPr>
        <w:t xml:space="preserve"> results, and detecting patterns within large groups of people (</w:t>
      </w:r>
      <w:proofErr w:type="spellStart"/>
      <w:r w:rsidRPr="00456C23">
        <w:rPr>
          <w:sz w:val="22"/>
          <w:szCs w:val="22"/>
        </w:rPr>
        <w:t>O'Cathain</w:t>
      </w:r>
      <w:proofErr w:type="spellEnd"/>
      <w:r w:rsidRPr="00456C23">
        <w:rPr>
          <w:sz w:val="22"/>
          <w:szCs w:val="22"/>
        </w:rPr>
        <w:t xml:space="preserve"> et al., 2008). </w:t>
      </w:r>
      <w:r w:rsidRPr="00456C23">
        <w:rPr>
          <w:b/>
          <w:sz w:val="22"/>
          <w:szCs w:val="22"/>
        </w:rPr>
        <w:t xml:space="preserve">Qualitative </w:t>
      </w:r>
      <w:r w:rsidRPr="00456C23">
        <w:rPr>
          <w:sz w:val="22"/>
          <w:szCs w:val="22"/>
        </w:rPr>
        <w:t xml:space="preserve">research gives a non-numerical data by conducting in-depth interviews, focus groups, observations, and document analysis which give a deep insight into experiences, meanings, and contextual influences that cannot be measured by numerical data. </w:t>
      </w:r>
      <w:r w:rsidRPr="00456C23">
        <w:rPr>
          <w:b/>
          <w:sz w:val="22"/>
          <w:szCs w:val="22"/>
        </w:rPr>
        <w:t>Mixed-methods</w:t>
      </w:r>
      <w:r w:rsidRPr="00456C23">
        <w:rPr>
          <w:sz w:val="22"/>
          <w:szCs w:val="22"/>
        </w:rPr>
        <w:t xml:space="preserve"> </w:t>
      </w:r>
      <w:r w:rsidRPr="00456C23">
        <w:rPr>
          <w:b/>
          <w:sz w:val="22"/>
          <w:szCs w:val="22"/>
        </w:rPr>
        <w:t>research</w:t>
      </w:r>
      <w:r w:rsidRPr="00456C23">
        <w:rPr>
          <w:sz w:val="22"/>
          <w:szCs w:val="22"/>
        </w:rPr>
        <w:t xml:space="preserve"> is a study that uses both methods, but in one study where quantitative and qualitative data are combined to offer complete insights into issues of complexity using complementary streams of evidence.</w:t>
      </w:r>
    </w:p>
    <w:p w14:paraId="4087B32B" w14:textId="77777777" w:rsidR="006D1A4A" w:rsidRDefault="006D1A4A"/>
    <w:p w14:paraId="30F13E88" w14:textId="4CCAE0E4" w:rsidR="006D1A4A" w:rsidRPr="00535802" w:rsidRDefault="006D1A4A">
      <w:pPr>
        <w:rPr>
          <w:sz w:val="28"/>
          <w:szCs w:val="28"/>
        </w:rPr>
      </w:pPr>
      <w:r w:rsidRPr="00535802">
        <w:rPr>
          <w:sz w:val="28"/>
          <w:szCs w:val="28"/>
        </w:rPr>
        <w:t xml:space="preserve">  </w:t>
      </w:r>
      <w:r w:rsidR="00456C23">
        <w:rPr>
          <w:sz w:val="28"/>
          <w:szCs w:val="28"/>
        </w:rPr>
        <w:t xml:space="preserve"> </w:t>
      </w:r>
      <w:r w:rsidRPr="00535802">
        <w:rPr>
          <w:sz w:val="28"/>
          <w:szCs w:val="28"/>
        </w:rPr>
        <w:t xml:space="preserve">3.2 Chosen Methodology and Justification </w:t>
      </w:r>
    </w:p>
    <w:p w14:paraId="0000002C" w14:textId="11B9B717" w:rsidR="00653C03" w:rsidRPr="00456C23" w:rsidRDefault="00844EA6">
      <w:pPr>
        <w:rPr>
          <w:sz w:val="22"/>
          <w:szCs w:val="22"/>
        </w:rPr>
      </w:pPr>
      <w:r w:rsidRPr="00456C23">
        <w:rPr>
          <w:sz w:val="22"/>
          <w:szCs w:val="22"/>
        </w:rPr>
        <w:t>To research the problem of burnout and quality of patient care among NHS staff, I would adopt mixed-methods research with an explanatory sequential design. This would start with the quantitative analysis of NHS Staff Survey data in order to find the patterns, prevalence rates, and organisation-specific differences in burnout levels</w:t>
      </w:r>
      <w:r w:rsidR="006D1A4A" w:rsidRPr="00456C23">
        <w:rPr>
          <w:sz w:val="22"/>
          <w:szCs w:val="22"/>
        </w:rPr>
        <w:t xml:space="preserve"> (NHS England, 2023)</w:t>
      </w:r>
      <w:r w:rsidRPr="00456C23">
        <w:rPr>
          <w:sz w:val="22"/>
          <w:szCs w:val="22"/>
        </w:rPr>
        <w:t xml:space="preserve">. The second step </w:t>
      </w:r>
      <w:r w:rsidRPr="00456C23">
        <w:rPr>
          <w:sz w:val="22"/>
          <w:szCs w:val="22"/>
        </w:rPr>
        <w:lastRenderedPageBreak/>
        <w:t>would be qualitative semi-structured interviews with healthcare employees in high burnout trusts to understand the causes and methods of these trends, scrutinizing the particular processes through which burnout impacts care delivery and determining situational aspects that affect these associations.</w:t>
      </w:r>
    </w:p>
    <w:p w14:paraId="0000002D" w14:textId="77777777" w:rsidR="00653C03" w:rsidRPr="00456C23" w:rsidRDefault="00844EA6">
      <w:pPr>
        <w:rPr>
          <w:sz w:val="22"/>
          <w:szCs w:val="22"/>
        </w:rPr>
      </w:pPr>
      <w:r w:rsidRPr="00456C23">
        <w:rPr>
          <w:sz w:val="22"/>
          <w:szCs w:val="22"/>
        </w:rPr>
        <w:t>Using this methodology is warranted since burnout is a multifaceted phenomenon that is affected by the individual psychology of the person, the organisational culture, the resource limitations inherent in the system, as well as the process of professional socialisation, which cannot be entirely measured by numerical indicators (</w:t>
      </w:r>
      <w:proofErr w:type="spellStart"/>
      <w:r w:rsidRPr="00456C23">
        <w:rPr>
          <w:sz w:val="22"/>
          <w:szCs w:val="22"/>
        </w:rPr>
        <w:t>O'Cathain</w:t>
      </w:r>
      <w:proofErr w:type="spellEnd"/>
      <w:r w:rsidRPr="00456C23">
        <w:rPr>
          <w:sz w:val="22"/>
          <w:szCs w:val="22"/>
        </w:rPr>
        <w:t xml:space="preserve"> et al., 2008). The quantitative stage would determine the extent and prevalence of the issue, and the qualitative exploration would determine the mechanisms by which burnout impacts the quality of care, protective factors, and guide the creation of specific interventions. This methodology is in line with the recommendations of health services research to go beyond mere documentation of associations and causal mechanisms and contexts of implementation.</w:t>
      </w:r>
    </w:p>
    <w:p w14:paraId="1EE21F21" w14:textId="77777777" w:rsidR="00535802" w:rsidRDefault="00535802"/>
    <w:p w14:paraId="0000002E" w14:textId="77777777" w:rsidR="00653C03" w:rsidRPr="0072229E" w:rsidRDefault="00844EA6">
      <w:pPr>
        <w:pStyle w:val="Heading1"/>
        <w:rPr>
          <w:sz w:val="36"/>
          <w:szCs w:val="36"/>
        </w:rPr>
      </w:pPr>
      <w:bookmarkStart w:id="5" w:name="_3y362hyarsx7" w:colFirst="0" w:colLast="0"/>
      <w:bookmarkEnd w:id="5"/>
      <w:r w:rsidRPr="0072229E">
        <w:rPr>
          <w:sz w:val="36"/>
          <w:szCs w:val="36"/>
        </w:rPr>
        <w:t>Task 4 – Data Collection</w:t>
      </w:r>
    </w:p>
    <w:p w14:paraId="238C3C6E" w14:textId="625EC640" w:rsidR="005C6490" w:rsidRPr="005C6490" w:rsidRDefault="005C6490" w:rsidP="005C6490">
      <w:pPr>
        <w:rPr>
          <w:sz w:val="28"/>
          <w:szCs w:val="28"/>
        </w:rPr>
      </w:pPr>
      <w:r>
        <w:t xml:space="preserve">  </w:t>
      </w:r>
      <w:r w:rsidRPr="005C6490">
        <w:rPr>
          <w:sz w:val="28"/>
          <w:szCs w:val="28"/>
        </w:rPr>
        <w:t xml:space="preserve">4.1 Primary </w:t>
      </w:r>
      <w:proofErr w:type="spellStart"/>
      <w:r w:rsidRPr="005C6490">
        <w:rPr>
          <w:sz w:val="28"/>
          <w:szCs w:val="28"/>
        </w:rPr>
        <w:t>vs</w:t>
      </w:r>
      <w:proofErr w:type="spellEnd"/>
      <w:r w:rsidRPr="005C6490">
        <w:rPr>
          <w:sz w:val="28"/>
          <w:szCs w:val="28"/>
        </w:rPr>
        <w:t xml:space="preserve"> Secondary Data </w:t>
      </w:r>
    </w:p>
    <w:p w14:paraId="58FFE8AF" w14:textId="5E118859" w:rsidR="00502000" w:rsidRPr="001A03D0" w:rsidRDefault="00844EA6">
      <w:pPr>
        <w:rPr>
          <w:sz w:val="22"/>
          <w:szCs w:val="22"/>
        </w:rPr>
      </w:pPr>
      <w:r w:rsidRPr="001A03D0">
        <w:rPr>
          <w:sz w:val="22"/>
          <w:szCs w:val="22"/>
        </w:rPr>
        <w:t>Primary data collection is the collection of original data at the source of research by methods created by a researcher (surveys, interviews, observations or experiments) and that give specific information to answer research questions but demand a lot of time and resources. Analysis Secondary data Secondary data collection examines data that has already been collected, which is usually obtained due to some other purpose, like administrative records, past research studies, or routine monitoring systems, and it is more efficient and provides access to large-scale data but has limitations in terms of variable definitions and collection procedures (Johnston, 2017).</w:t>
      </w:r>
    </w:p>
    <w:p w14:paraId="6C8E7064" w14:textId="77777777" w:rsidR="00502000" w:rsidRDefault="00502000"/>
    <w:p w14:paraId="2F7A9EF8" w14:textId="1D4A2538" w:rsidR="00502000" w:rsidRPr="00502000" w:rsidRDefault="008127E6">
      <w:pPr>
        <w:rPr>
          <w:sz w:val="28"/>
          <w:szCs w:val="28"/>
        </w:rPr>
      </w:pPr>
      <w:r>
        <w:rPr>
          <w:sz w:val="28"/>
          <w:szCs w:val="28"/>
        </w:rPr>
        <w:t xml:space="preserve">  </w:t>
      </w:r>
      <w:r w:rsidR="00502000" w:rsidRPr="00502000">
        <w:rPr>
          <w:sz w:val="28"/>
          <w:szCs w:val="28"/>
        </w:rPr>
        <w:t xml:space="preserve">4.2 Chosen Data Type and Justification </w:t>
      </w:r>
    </w:p>
    <w:p w14:paraId="59FD1B6A" w14:textId="029865A4" w:rsidR="00535802" w:rsidRPr="00406697" w:rsidRDefault="00844EA6">
      <w:pPr>
        <w:rPr>
          <w:sz w:val="22"/>
          <w:szCs w:val="22"/>
        </w:rPr>
      </w:pPr>
      <w:r w:rsidRPr="001A03D0">
        <w:rPr>
          <w:sz w:val="22"/>
          <w:szCs w:val="22"/>
        </w:rPr>
        <w:t xml:space="preserve">In this study, I would use secondary data sources in the form of annual NHS Staff Survey which offers detailed, standardised data of more than 700,000 staff of all NHS trusts (NHS England, 2023). This dataset provides longitudinal monitoring of the indicators of burnout, indicators of </w:t>
      </w:r>
      <w:r w:rsidRPr="001A03D0">
        <w:rPr>
          <w:sz w:val="22"/>
          <w:szCs w:val="22"/>
        </w:rPr>
        <w:lastRenderedPageBreak/>
        <w:t>patient safety, and organisational factors in two decades, which allows examining the patterns and recognising the environments with the highest risks.</w:t>
      </w:r>
    </w:p>
    <w:p w14:paraId="05971589" w14:textId="16355E16" w:rsidR="008526C3" w:rsidRPr="004F2512" w:rsidRDefault="00406697">
      <w:r>
        <w:t xml:space="preserve"> </w:t>
      </w:r>
      <w:r w:rsidR="001A03D0">
        <w:t xml:space="preserve"> </w:t>
      </w:r>
      <w:r w:rsidR="008526C3">
        <w:t xml:space="preserve"> </w:t>
      </w:r>
      <w:r w:rsidR="008526C3" w:rsidRPr="008526C3">
        <w:rPr>
          <w:sz w:val="28"/>
          <w:szCs w:val="28"/>
        </w:rPr>
        <w:t xml:space="preserve">4.3 Advantages and Challenges </w:t>
      </w:r>
    </w:p>
    <w:p w14:paraId="29789964" w14:textId="36EE6435" w:rsidR="008526C3" w:rsidRPr="001A03D0" w:rsidRDefault="00844EA6">
      <w:pPr>
        <w:rPr>
          <w:sz w:val="22"/>
          <w:szCs w:val="22"/>
        </w:rPr>
      </w:pPr>
      <w:r w:rsidRPr="001A03D0">
        <w:rPr>
          <w:sz w:val="22"/>
          <w:szCs w:val="22"/>
        </w:rPr>
        <w:t>The benefits of secondary data are it is economical; it is possible to obtain large sized representative samples that cannot be obtained in a single study, and the secondary data has been validated with rigorous NHS methodology. The information allows analysing the trends over time and different geographical areas to offer strong evidence in policy prescriptions and benchmarking of organisations</w:t>
      </w:r>
      <w:r w:rsidR="008526C3" w:rsidRPr="001A03D0">
        <w:rPr>
          <w:sz w:val="22"/>
          <w:szCs w:val="22"/>
        </w:rPr>
        <w:t xml:space="preserve"> (NHS England, 2023)</w:t>
      </w:r>
      <w:r w:rsidRPr="001A03D0">
        <w:rPr>
          <w:sz w:val="22"/>
          <w:szCs w:val="22"/>
        </w:rPr>
        <w:t xml:space="preserve">. </w:t>
      </w:r>
    </w:p>
    <w:p w14:paraId="0ECA7BCE" w14:textId="525D3F89" w:rsidR="00535802" w:rsidRPr="001A03D0" w:rsidRDefault="00844EA6" w:rsidP="00535802">
      <w:pPr>
        <w:rPr>
          <w:sz w:val="22"/>
          <w:szCs w:val="22"/>
        </w:rPr>
      </w:pPr>
      <w:r w:rsidRPr="001A03D0">
        <w:rPr>
          <w:sz w:val="22"/>
          <w:szCs w:val="22"/>
        </w:rPr>
        <w:t>The issues are, however, that there is not much control over the original data collection procedures, there may be gaps in the variables of particular interest, and that the definitions of data can have evolved throughout the history of the survey</w:t>
      </w:r>
      <w:r w:rsidR="008526C3" w:rsidRPr="001A03D0">
        <w:rPr>
          <w:sz w:val="22"/>
          <w:szCs w:val="22"/>
        </w:rPr>
        <w:t xml:space="preserve"> (Johnston, 2017)</w:t>
      </w:r>
      <w:r w:rsidRPr="001A03D0">
        <w:rPr>
          <w:sz w:val="22"/>
          <w:szCs w:val="22"/>
        </w:rPr>
        <w:t>. Also, secondary analysis will be unable to investigate new issues that were not reflected in original survey instruments. To mitigate these shortcomings, additional primary data gathering via targeted interview of employees working in trusts with high burnout would offer contextual richness, affirm the quantitative data, as well as investigate the implementation obstacles to possible interventions</w:t>
      </w:r>
      <w:r w:rsidR="008526C3" w:rsidRPr="001A03D0">
        <w:rPr>
          <w:sz w:val="22"/>
          <w:szCs w:val="22"/>
        </w:rPr>
        <w:t xml:space="preserve"> (Johnston, 2017; NHS England, 2023)</w:t>
      </w:r>
      <w:r w:rsidRPr="001A03D0">
        <w:rPr>
          <w:sz w:val="22"/>
          <w:szCs w:val="22"/>
        </w:rPr>
        <w:t>.</w:t>
      </w:r>
      <w:bookmarkStart w:id="6" w:name="_22glpf93crw4" w:colFirst="0" w:colLast="0"/>
      <w:bookmarkEnd w:id="6"/>
    </w:p>
    <w:p w14:paraId="5E5B4BCD" w14:textId="77777777" w:rsidR="00535802" w:rsidRDefault="00535802" w:rsidP="00535802"/>
    <w:p w14:paraId="00000033" w14:textId="77777777" w:rsidR="00653C03" w:rsidRPr="0072229E" w:rsidRDefault="00844EA6">
      <w:pPr>
        <w:pStyle w:val="Heading1"/>
        <w:rPr>
          <w:color w:val="17365D" w:themeColor="text2" w:themeShade="BF"/>
          <w:sz w:val="36"/>
          <w:szCs w:val="36"/>
        </w:rPr>
      </w:pPr>
      <w:r w:rsidRPr="0072229E">
        <w:rPr>
          <w:color w:val="17365D" w:themeColor="text2" w:themeShade="BF"/>
          <w:sz w:val="36"/>
          <w:szCs w:val="36"/>
        </w:rPr>
        <w:t>Conclusion</w:t>
      </w:r>
    </w:p>
    <w:p w14:paraId="52B0A171" w14:textId="3C5BBF5E" w:rsidR="00535802" w:rsidRPr="001A03D0" w:rsidRDefault="00844EA6" w:rsidP="00535802">
      <w:pPr>
        <w:rPr>
          <w:sz w:val="22"/>
          <w:szCs w:val="22"/>
        </w:rPr>
      </w:pPr>
      <w:r w:rsidRPr="001A03D0">
        <w:rPr>
          <w:sz w:val="22"/>
          <w:szCs w:val="22"/>
        </w:rPr>
        <w:t>Staff burnout in NHS is a major threat to patient care, and a large amount of evidence has shown links to high levels of medical errors, adverse events and low patient satisfaction. To solve this problem, it is necessary to have the idea of the extent of the problem based on quantitative analysis and the mechanisms of the problem based on qualitative study. Through the mixed-methods research based on secondary NHS Staff Survey data and enhanced with primary qualitative research, future studies will be able to determine effective interventions to safeguard both healthcare providers and the patients to whom they provide healthcare services. The research experience has solidified my belief in evidence-based healthcare management and the need to manage workforce wellbeing as a pillar to quality care provision.</w:t>
      </w:r>
      <w:bookmarkStart w:id="7" w:name="_xiecfhaknkge" w:colFirst="0" w:colLast="0"/>
      <w:bookmarkEnd w:id="7"/>
    </w:p>
    <w:p w14:paraId="0F4F2358" w14:textId="77777777" w:rsidR="00535802" w:rsidRDefault="00535802" w:rsidP="00535802"/>
    <w:p w14:paraId="00000036" w14:textId="77777777" w:rsidR="00653C03" w:rsidRPr="0072229E" w:rsidRDefault="00844EA6">
      <w:pPr>
        <w:pStyle w:val="Heading1"/>
        <w:rPr>
          <w:color w:val="17365D" w:themeColor="text2" w:themeShade="BF"/>
          <w:sz w:val="36"/>
          <w:szCs w:val="36"/>
        </w:rPr>
      </w:pPr>
      <w:r w:rsidRPr="0072229E">
        <w:rPr>
          <w:color w:val="17365D" w:themeColor="text2" w:themeShade="BF"/>
          <w:sz w:val="36"/>
          <w:szCs w:val="36"/>
        </w:rPr>
        <w:lastRenderedPageBreak/>
        <w:t>References</w:t>
      </w:r>
    </w:p>
    <w:p w14:paraId="1A021BF6" w14:textId="77777777" w:rsidR="0072229E" w:rsidRPr="0072229E" w:rsidRDefault="0072229E" w:rsidP="0072229E">
      <w:pPr>
        <w:rPr>
          <w:sz w:val="22"/>
          <w:szCs w:val="22"/>
        </w:rPr>
      </w:pPr>
      <w:r w:rsidRPr="0072229E">
        <w:rPr>
          <w:sz w:val="22"/>
          <w:szCs w:val="22"/>
        </w:rPr>
        <w:t xml:space="preserve">Aiken, L.H. et al. (2012) 'Patient safety, satisfaction, and quality of hospital care: cross sectional surveys of nurses and patients in 12 countries in Europe and the United States', </w:t>
      </w:r>
      <w:r w:rsidRPr="0072229E">
        <w:rPr>
          <w:i/>
          <w:iCs/>
          <w:sz w:val="22"/>
          <w:szCs w:val="22"/>
        </w:rPr>
        <w:t>BMJ</w:t>
      </w:r>
      <w:r w:rsidRPr="0072229E">
        <w:rPr>
          <w:sz w:val="22"/>
          <w:szCs w:val="22"/>
        </w:rPr>
        <w:t xml:space="preserve">, 344, e1717. Available at: </w:t>
      </w:r>
      <w:hyperlink r:id="rId27" w:history="1">
        <w:r w:rsidRPr="0072229E">
          <w:rPr>
            <w:rStyle w:val="Hyperlink"/>
            <w:color w:val="467886"/>
            <w:sz w:val="22"/>
            <w:szCs w:val="22"/>
          </w:rPr>
          <w:t>https://www.bmj.com/content/344/bmj.e1717</w:t>
        </w:r>
      </w:hyperlink>
      <w:r w:rsidRPr="0072229E">
        <w:rPr>
          <w:sz w:val="22"/>
          <w:szCs w:val="22"/>
        </w:rPr>
        <w:t xml:space="preserve"> [Accessed 17 April 2026].</w:t>
      </w:r>
    </w:p>
    <w:p w14:paraId="5DF77D10" w14:textId="77777777" w:rsidR="0072229E" w:rsidRPr="0072229E" w:rsidRDefault="0072229E" w:rsidP="0072229E">
      <w:pPr>
        <w:rPr>
          <w:sz w:val="22"/>
          <w:szCs w:val="22"/>
        </w:rPr>
      </w:pPr>
      <w:proofErr w:type="spellStart"/>
      <w:r w:rsidRPr="0072229E">
        <w:rPr>
          <w:sz w:val="22"/>
          <w:szCs w:val="22"/>
        </w:rPr>
        <w:t>Bogaert</w:t>
      </w:r>
      <w:proofErr w:type="spellEnd"/>
      <w:r w:rsidRPr="0072229E">
        <w:rPr>
          <w:sz w:val="22"/>
          <w:szCs w:val="22"/>
        </w:rPr>
        <w:t xml:space="preserve">, P.V. et al. (2014) 'Impact of nurse practice environment, nurse work characteristics, and burnout on nurse reported job outcomes, quality of care, and patient adverse events', </w:t>
      </w:r>
      <w:r w:rsidRPr="0072229E">
        <w:rPr>
          <w:i/>
          <w:iCs/>
          <w:sz w:val="22"/>
          <w:szCs w:val="22"/>
        </w:rPr>
        <w:t>International Journal of Nursing Studies</w:t>
      </w:r>
      <w:r w:rsidRPr="0072229E">
        <w:rPr>
          <w:sz w:val="22"/>
          <w:szCs w:val="22"/>
        </w:rPr>
        <w:t xml:space="preserve">, 51(9), pp. 1127-1138. Available at: </w:t>
      </w:r>
      <w:hyperlink r:id="rId28" w:history="1">
        <w:r w:rsidRPr="0072229E">
          <w:rPr>
            <w:rStyle w:val="Hyperlink"/>
            <w:color w:val="467886"/>
            <w:sz w:val="22"/>
            <w:szCs w:val="22"/>
          </w:rPr>
          <w:t>https://www.sciencedirect.com/science/article/pii/S002074891400056X</w:t>
        </w:r>
      </w:hyperlink>
      <w:r w:rsidRPr="0072229E">
        <w:rPr>
          <w:sz w:val="22"/>
          <w:szCs w:val="22"/>
        </w:rPr>
        <w:t xml:space="preserve"> [Accessed 17 April 2026].</w:t>
      </w:r>
    </w:p>
    <w:p w14:paraId="7A85C0B3" w14:textId="77777777" w:rsidR="0072229E" w:rsidRPr="0072229E" w:rsidRDefault="0072229E" w:rsidP="0072229E">
      <w:pPr>
        <w:rPr>
          <w:sz w:val="22"/>
          <w:szCs w:val="22"/>
        </w:rPr>
      </w:pPr>
      <w:r w:rsidRPr="0072229E">
        <w:rPr>
          <w:sz w:val="22"/>
          <w:szCs w:val="22"/>
        </w:rPr>
        <w:t xml:space="preserve">General Medical Council (2023) </w:t>
      </w:r>
      <w:proofErr w:type="gramStart"/>
      <w:r w:rsidRPr="0072229E">
        <w:rPr>
          <w:i/>
          <w:iCs/>
          <w:sz w:val="22"/>
          <w:szCs w:val="22"/>
        </w:rPr>
        <w:t>The</w:t>
      </w:r>
      <w:proofErr w:type="gramEnd"/>
      <w:r w:rsidRPr="0072229E">
        <w:rPr>
          <w:i/>
          <w:iCs/>
          <w:sz w:val="22"/>
          <w:szCs w:val="22"/>
        </w:rPr>
        <w:t xml:space="preserve"> state of medical education and practice in the UK: Workplace experiences 2023</w:t>
      </w:r>
      <w:r w:rsidRPr="0072229E">
        <w:rPr>
          <w:sz w:val="22"/>
          <w:szCs w:val="22"/>
        </w:rPr>
        <w:t xml:space="preserve">. London: GMC. Available at: </w:t>
      </w:r>
      <w:hyperlink r:id="rId29" w:history="1">
        <w:r w:rsidRPr="0072229E">
          <w:rPr>
            <w:rStyle w:val="Hyperlink"/>
            <w:color w:val="467886"/>
            <w:sz w:val="22"/>
            <w:szCs w:val="22"/>
          </w:rPr>
          <w:t>https://www.gmc-uk.org/-/media/documents/somep-workplace-experiences-2023-executive-summary_pdf-101653258.pdf</w:t>
        </w:r>
      </w:hyperlink>
      <w:r w:rsidRPr="0072229E">
        <w:rPr>
          <w:sz w:val="22"/>
          <w:szCs w:val="22"/>
        </w:rPr>
        <w:t xml:space="preserve"> [Accessed 17 April 2026].</w:t>
      </w:r>
    </w:p>
    <w:p w14:paraId="783E96D3" w14:textId="77777777" w:rsidR="0072229E" w:rsidRPr="0072229E" w:rsidRDefault="0072229E" w:rsidP="0072229E">
      <w:pPr>
        <w:rPr>
          <w:sz w:val="22"/>
          <w:szCs w:val="22"/>
        </w:rPr>
      </w:pPr>
      <w:r w:rsidRPr="0072229E">
        <w:rPr>
          <w:sz w:val="22"/>
          <w:szCs w:val="22"/>
        </w:rPr>
        <w:t xml:space="preserve">Hall, L.H. et al. (2016) 'Healthcare staff wellbeing, burnout, and patient safety: A systematic review', </w:t>
      </w:r>
      <w:r w:rsidRPr="0072229E">
        <w:rPr>
          <w:i/>
          <w:iCs/>
          <w:sz w:val="22"/>
          <w:szCs w:val="22"/>
        </w:rPr>
        <w:t>PLOS ONE</w:t>
      </w:r>
      <w:r w:rsidRPr="0072229E">
        <w:rPr>
          <w:sz w:val="22"/>
          <w:szCs w:val="22"/>
        </w:rPr>
        <w:t xml:space="preserve">, 11(7), e0159015. Available at: </w:t>
      </w:r>
      <w:hyperlink r:id="rId30" w:history="1">
        <w:r w:rsidRPr="0072229E">
          <w:rPr>
            <w:rStyle w:val="Hyperlink"/>
            <w:color w:val="467886"/>
            <w:sz w:val="22"/>
            <w:szCs w:val="22"/>
          </w:rPr>
          <w:t>https://journals.plos.org/plosone/article?id=10.1371/journal.pone.0159015</w:t>
        </w:r>
      </w:hyperlink>
      <w:r w:rsidRPr="0072229E">
        <w:rPr>
          <w:sz w:val="22"/>
          <w:szCs w:val="22"/>
        </w:rPr>
        <w:t xml:space="preserve"> [Accessed 17 April 2026].</w:t>
      </w:r>
    </w:p>
    <w:p w14:paraId="142D09FA" w14:textId="77777777" w:rsidR="0072229E" w:rsidRPr="0072229E" w:rsidRDefault="0072229E" w:rsidP="0072229E">
      <w:pPr>
        <w:rPr>
          <w:sz w:val="22"/>
          <w:szCs w:val="22"/>
        </w:rPr>
      </w:pPr>
      <w:r w:rsidRPr="0072229E">
        <w:rPr>
          <w:sz w:val="22"/>
          <w:szCs w:val="22"/>
        </w:rPr>
        <w:t xml:space="preserve">Johnston, M.P. (2017) 'Secondary data analysis: A method of which the time has come', </w:t>
      </w:r>
      <w:r w:rsidRPr="0072229E">
        <w:rPr>
          <w:i/>
          <w:iCs/>
          <w:sz w:val="22"/>
          <w:szCs w:val="22"/>
        </w:rPr>
        <w:t>Qualitative and Quantitative Methods in Libraries</w:t>
      </w:r>
      <w:r w:rsidRPr="0072229E">
        <w:rPr>
          <w:sz w:val="22"/>
          <w:szCs w:val="22"/>
        </w:rPr>
        <w:t xml:space="preserve">, 3(3), pp. 619-626. Available at: </w:t>
      </w:r>
      <w:hyperlink r:id="rId31" w:history="1">
        <w:r w:rsidRPr="0072229E">
          <w:rPr>
            <w:rStyle w:val="Hyperlink"/>
            <w:color w:val="467886"/>
            <w:sz w:val="22"/>
            <w:szCs w:val="22"/>
          </w:rPr>
          <w:t>https://www.qqml.net/papers/QQML3_619-626.pdf</w:t>
        </w:r>
      </w:hyperlink>
      <w:r w:rsidRPr="0072229E">
        <w:rPr>
          <w:sz w:val="22"/>
          <w:szCs w:val="22"/>
        </w:rPr>
        <w:t xml:space="preserve"> [Accessed 17 April 2026].</w:t>
      </w:r>
    </w:p>
    <w:p w14:paraId="1EE46FE6" w14:textId="77777777" w:rsidR="0072229E" w:rsidRPr="0072229E" w:rsidRDefault="0072229E" w:rsidP="0072229E">
      <w:pPr>
        <w:rPr>
          <w:sz w:val="22"/>
          <w:szCs w:val="22"/>
        </w:rPr>
      </w:pPr>
      <w:r w:rsidRPr="0072229E">
        <w:rPr>
          <w:sz w:val="22"/>
          <w:szCs w:val="22"/>
        </w:rPr>
        <w:t xml:space="preserve">Li, L.Z. et al. (2024) 'Nurse </w:t>
      </w:r>
      <w:proofErr w:type="gramStart"/>
      <w:r w:rsidRPr="0072229E">
        <w:rPr>
          <w:sz w:val="22"/>
          <w:szCs w:val="22"/>
        </w:rPr>
        <w:t>burnout</w:t>
      </w:r>
      <w:proofErr w:type="gramEnd"/>
      <w:r w:rsidRPr="0072229E">
        <w:rPr>
          <w:sz w:val="22"/>
          <w:szCs w:val="22"/>
        </w:rPr>
        <w:t xml:space="preserve"> and patient safety, satisfaction, and quality of care: A systematic review and meta-analysis', </w:t>
      </w:r>
      <w:r w:rsidRPr="0072229E">
        <w:rPr>
          <w:i/>
          <w:iCs/>
          <w:sz w:val="22"/>
          <w:szCs w:val="22"/>
        </w:rPr>
        <w:t>JAMA Network Open</w:t>
      </w:r>
      <w:r w:rsidRPr="0072229E">
        <w:rPr>
          <w:sz w:val="22"/>
          <w:szCs w:val="22"/>
        </w:rPr>
        <w:t xml:space="preserve">, 7(11), e2443059. Available at: </w:t>
      </w:r>
      <w:hyperlink r:id="rId32" w:history="1">
        <w:r w:rsidRPr="0072229E">
          <w:rPr>
            <w:rStyle w:val="Hyperlink"/>
            <w:color w:val="467886"/>
            <w:sz w:val="22"/>
            <w:szCs w:val="22"/>
          </w:rPr>
          <w:t>https://jamanetwork.com/journals/jamanetworkopen/fullarticle/2825639</w:t>
        </w:r>
      </w:hyperlink>
      <w:r w:rsidRPr="0072229E">
        <w:rPr>
          <w:sz w:val="22"/>
          <w:szCs w:val="22"/>
        </w:rPr>
        <w:t xml:space="preserve"> [Accessed 17 April 2026].</w:t>
      </w:r>
    </w:p>
    <w:p w14:paraId="3CA5873F" w14:textId="77777777" w:rsidR="0072229E" w:rsidRPr="0072229E" w:rsidRDefault="0072229E" w:rsidP="0072229E">
      <w:pPr>
        <w:rPr>
          <w:sz w:val="22"/>
          <w:szCs w:val="22"/>
        </w:rPr>
      </w:pPr>
      <w:r w:rsidRPr="0072229E">
        <w:rPr>
          <w:sz w:val="22"/>
          <w:szCs w:val="22"/>
        </w:rPr>
        <w:t xml:space="preserve">National Institute for Health Research (2023) </w:t>
      </w:r>
      <w:r w:rsidRPr="0072229E">
        <w:rPr>
          <w:i/>
          <w:iCs/>
          <w:sz w:val="22"/>
          <w:szCs w:val="22"/>
        </w:rPr>
        <w:t>School for Primary Care Research: Workforce wellbeing and patient safety</w:t>
      </w:r>
      <w:r w:rsidRPr="0072229E">
        <w:rPr>
          <w:sz w:val="22"/>
          <w:szCs w:val="22"/>
        </w:rPr>
        <w:t xml:space="preserve">. London: NIHR. Available at: </w:t>
      </w:r>
      <w:hyperlink r:id="rId33" w:history="1">
        <w:r w:rsidRPr="0072229E">
          <w:rPr>
            <w:rStyle w:val="Hyperlink"/>
            <w:color w:val="467886"/>
            <w:sz w:val="22"/>
            <w:szCs w:val="22"/>
          </w:rPr>
          <w:t>https://www.nihr.ac.uk/blog/addressing-staff-burnout-is-essential-for-patient-safety/35232</w:t>
        </w:r>
      </w:hyperlink>
      <w:r w:rsidRPr="0072229E">
        <w:rPr>
          <w:sz w:val="22"/>
          <w:szCs w:val="22"/>
        </w:rPr>
        <w:t xml:space="preserve"> [Accessed 17 April 2026].</w:t>
      </w:r>
    </w:p>
    <w:p w14:paraId="35425AAC" w14:textId="77777777" w:rsidR="0072229E" w:rsidRPr="0072229E" w:rsidRDefault="0072229E" w:rsidP="0072229E">
      <w:pPr>
        <w:rPr>
          <w:sz w:val="22"/>
          <w:szCs w:val="22"/>
        </w:rPr>
      </w:pPr>
      <w:r w:rsidRPr="0072229E">
        <w:rPr>
          <w:sz w:val="22"/>
          <w:szCs w:val="22"/>
        </w:rPr>
        <w:lastRenderedPageBreak/>
        <w:t xml:space="preserve">NHS England (2018) </w:t>
      </w:r>
      <w:r w:rsidRPr="0072229E">
        <w:rPr>
          <w:i/>
          <w:iCs/>
          <w:sz w:val="22"/>
          <w:szCs w:val="22"/>
        </w:rPr>
        <w:t>Links between NHS staff experience and patient satisfaction</w:t>
      </w:r>
      <w:r w:rsidRPr="0072229E">
        <w:rPr>
          <w:sz w:val="22"/>
          <w:szCs w:val="22"/>
        </w:rPr>
        <w:t xml:space="preserve">. London: NHS England. Available at: </w:t>
      </w:r>
      <w:hyperlink r:id="rId34" w:history="1">
        <w:r w:rsidRPr="0072229E">
          <w:rPr>
            <w:rStyle w:val="Hyperlink"/>
            <w:color w:val="467886"/>
            <w:sz w:val="22"/>
            <w:szCs w:val="22"/>
          </w:rPr>
          <w:t>https://www.england.nhs.uk/publication/links-between-nhs-staff-experience-and-patient-satisfaction/</w:t>
        </w:r>
      </w:hyperlink>
      <w:r w:rsidRPr="0072229E">
        <w:rPr>
          <w:sz w:val="22"/>
          <w:szCs w:val="22"/>
        </w:rPr>
        <w:t xml:space="preserve"> [Accessed 17 April 2026].</w:t>
      </w:r>
    </w:p>
    <w:p w14:paraId="4D9D49B5" w14:textId="77777777" w:rsidR="0072229E" w:rsidRPr="0072229E" w:rsidRDefault="0072229E" w:rsidP="0072229E">
      <w:pPr>
        <w:rPr>
          <w:sz w:val="22"/>
          <w:szCs w:val="22"/>
        </w:rPr>
      </w:pPr>
      <w:r w:rsidRPr="0072229E">
        <w:rPr>
          <w:sz w:val="22"/>
          <w:szCs w:val="22"/>
        </w:rPr>
        <w:t xml:space="preserve">NHS England (2023) </w:t>
      </w:r>
      <w:r w:rsidRPr="0072229E">
        <w:rPr>
          <w:i/>
          <w:iCs/>
          <w:sz w:val="22"/>
          <w:szCs w:val="22"/>
        </w:rPr>
        <w:t>National NHS Staff Survey 2023: Summary of results</w:t>
      </w:r>
      <w:r w:rsidRPr="0072229E">
        <w:rPr>
          <w:sz w:val="22"/>
          <w:szCs w:val="22"/>
        </w:rPr>
        <w:t xml:space="preserve">. London: NHS England. Available at: </w:t>
      </w:r>
      <w:hyperlink r:id="rId35" w:history="1">
        <w:r w:rsidRPr="0072229E">
          <w:rPr>
            <w:rStyle w:val="Hyperlink"/>
            <w:color w:val="467886"/>
            <w:sz w:val="22"/>
            <w:szCs w:val="22"/>
          </w:rPr>
          <w:t>https://www.nhsstaffsurveys.com/results/national-results/</w:t>
        </w:r>
      </w:hyperlink>
      <w:r w:rsidRPr="0072229E">
        <w:rPr>
          <w:sz w:val="22"/>
          <w:szCs w:val="22"/>
        </w:rPr>
        <w:t xml:space="preserve"> [Accessed 17 April 2026].</w:t>
      </w:r>
    </w:p>
    <w:p w14:paraId="26217AB3" w14:textId="77777777" w:rsidR="0072229E" w:rsidRPr="0072229E" w:rsidRDefault="0072229E" w:rsidP="0072229E">
      <w:pPr>
        <w:rPr>
          <w:sz w:val="22"/>
          <w:szCs w:val="22"/>
        </w:rPr>
      </w:pPr>
      <w:proofErr w:type="spellStart"/>
      <w:proofErr w:type="gramStart"/>
      <w:r w:rsidRPr="0072229E">
        <w:rPr>
          <w:sz w:val="22"/>
          <w:szCs w:val="22"/>
        </w:rPr>
        <w:t>O'Cathain</w:t>
      </w:r>
      <w:proofErr w:type="spellEnd"/>
      <w:r w:rsidRPr="0072229E">
        <w:rPr>
          <w:sz w:val="22"/>
          <w:szCs w:val="22"/>
        </w:rPr>
        <w:t xml:space="preserve">, A., Murphy, E. and </w:t>
      </w:r>
      <w:proofErr w:type="spellStart"/>
      <w:r w:rsidRPr="0072229E">
        <w:rPr>
          <w:sz w:val="22"/>
          <w:szCs w:val="22"/>
        </w:rPr>
        <w:t>Nicholl</w:t>
      </w:r>
      <w:proofErr w:type="spellEnd"/>
      <w:r w:rsidRPr="0072229E">
        <w:rPr>
          <w:sz w:val="22"/>
          <w:szCs w:val="22"/>
        </w:rPr>
        <w:t xml:space="preserve">, J. (2008) 'The quality of mixed methods studies in health services research', </w:t>
      </w:r>
      <w:r w:rsidRPr="0072229E">
        <w:rPr>
          <w:i/>
          <w:iCs/>
          <w:sz w:val="22"/>
          <w:szCs w:val="22"/>
        </w:rPr>
        <w:t>Journal of Health Services Research &amp; Policy</w:t>
      </w:r>
      <w:r w:rsidRPr="0072229E">
        <w:rPr>
          <w:sz w:val="22"/>
          <w:szCs w:val="22"/>
        </w:rPr>
        <w:t>, 13(2), pp. 92-98.</w:t>
      </w:r>
      <w:proofErr w:type="gramEnd"/>
      <w:r w:rsidRPr="0072229E">
        <w:rPr>
          <w:sz w:val="22"/>
          <w:szCs w:val="22"/>
        </w:rPr>
        <w:t xml:space="preserve"> Available at: </w:t>
      </w:r>
      <w:hyperlink r:id="rId36" w:history="1">
        <w:r w:rsidRPr="0072229E">
          <w:rPr>
            <w:rStyle w:val="Hyperlink"/>
            <w:color w:val="467886"/>
            <w:sz w:val="22"/>
            <w:szCs w:val="22"/>
          </w:rPr>
          <w:t>https://bmchealthservres.biomedcentral.com/articles/10.1186/s12913-020-4997-8</w:t>
        </w:r>
      </w:hyperlink>
      <w:r w:rsidRPr="0072229E">
        <w:rPr>
          <w:sz w:val="22"/>
          <w:szCs w:val="22"/>
        </w:rPr>
        <w:t xml:space="preserve"> [Accessed 17 April 2026].</w:t>
      </w:r>
    </w:p>
    <w:p w14:paraId="6D6CE59D" w14:textId="77777777" w:rsidR="0072229E" w:rsidRPr="0072229E" w:rsidRDefault="0072229E" w:rsidP="0072229E">
      <w:pPr>
        <w:rPr>
          <w:sz w:val="22"/>
          <w:szCs w:val="22"/>
        </w:rPr>
      </w:pPr>
      <w:r w:rsidRPr="0072229E">
        <w:rPr>
          <w:sz w:val="22"/>
          <w:szCs w:val="22"/>
        </w:rPr>
        <w:t xml:space="preserve">Oliver, D. (2024) 'The NHS staff survey 2023 has depressing findings and worrying implications', </w:t>
      </w:r>
      <w:r w:rsidRPr="0072229E">
        <w:rPr>
          <w:i/>
          <w:iCs/>
          <w:sz w:val="22"/>
          <w:szCs w:val="22"/>
        </w:rPr>
        <w:t>BMJ</w:t>
      </w:r>
      <w:r w:rsidRPr="0072229E">
        <w:rPr>
          <w:sz w:val="22"/>
          <w:szCs w:val="22"/>
        </w:rPr>
        <w:t xml:space="preserve">, 384, q588. Available at: </w:t>
      </w:r>
      <w:hyperlink r:id="rId37" w:history="1">
        <w:r w:rsidRPr="0072229E">
          <w:rPr>
            <w:rStyle w:val="Hyperlink"/>
            <w:color w:val="467886"/>
            <w:sz w:val="22"/>
            <w:szCs w:val="22"/>
          </w:rPr>
          <w:t>https://www.bmj.com/content/384/bmj.q588</w:t>
        </w:r>
      </w:hyperlink>
      <w:r w:rsidRPr="0072229E">
        <w:rPr>
          <w:sz w:val="22"/>
          <w:szCs w:val="22"/>
        </w:rPr>
        <w:t xml:space="preserve"> [Accessed 17 April 2026].</w:t>
      </w:r>
    </w:p>
    <w:p w14:paraId="05B1A7E8" w14:textId="77777777" w:rsidR="0072229E" w:rsidRPr="0072229E" w:rsidRDefault="0072229E" w:rsidP="0072229E">
      <w:pPr>
        <w:rPr>
          <w:sz w:val="22"/>
          <w:szCs w:val="22"/>
        </w:rPr>
      </w:pPr>
      <w:proofErr w:type="spellStart"/>
      <w:proofErr w:type="gramStart"/>
      <w:r w:rsidRPr="0072229E">
        <w:rPr>
          <w:sz w:val="22"/>
          <w:szCs w:val="22"/>
        </w:rPr>
        <w:t>Panagioti</w:t>
      </w:r>
      <w:proofErr w:type="spellEnd"/>
      <w:r w:rsidRPr="0072229E">
        <w:rPr>
          <w:sz w:val="22"/>
          <w:szCs w:val="22"/>
        </w:rPr>
        <w:t xml:space="preserve">, M. et al. (2018) 'Association between physician burnout and patient safety, professionalism, and patient satisfaction', </w:t>
      </w:r>
      <w:r w:rsidRPr="0072229E">
        <w:rPr>
          <w:i/>
          <w:iCs/>
          <w:sz w:val="22"/>
          <w:szCs w:val="22"/>
        </w:rPr>
        <w:t>JAMA Internal Medicine</w:t>
      </w:r>
      <w:r w:rsidRPr="0072229E">
        <w:rPr>
          <w:sz w:val="22"/>
          <w:szCs w:val="22"/>
        </w:rPr>
        <w:t>, 178(10), pp. 1317-1330.</w:t>
      </w:r>
      <w:proofErr w:type="gramEnd"/>
      <w:r w:rsidRPr="0072229E">
        <w:rPr>
          <w:sz w:val="22"/>
          <w:szCs w:val="22"/>
        </w:rPr>
        <w:t xml:space="preserve"> Available at: </w:t>
      </w:r>
      <w:hyperlink r:id="rId38" w:history="1">
        <w:r w:rsidRPr="0072229E">
          <w:rPr>
            <w:rStyle w:val="Hyperlink"/>
            <w:color w:val="467886"/>
            <w:sz w:val="22"/>
            <w:szCs w:val="22"/>
          </w:rPr>
          <w:t>https://jamanetwork.com/journals/jamainternalmedicine/articlepdf/2702989/jamainternal_2018_ii_180010.pdf</w:t>
        </w:r>
      </w:hyperlink>
      <w:r w:rsidRPr="0072229E">
        <w:rPr>
          <w:sz w:val="22"/>
          <w:szCs w:val="22"/>
        </w:rPr>
        <w:t xml:space="preserve"> [Accessed 17 April 2026].</w:t>
      </w:r>
    </w:p>
    <w:p w14:paraId="0B832A1A" w14:textId="77777777" w:rsidR="0072229E" w:rsidRPr="0072229E" w:rsidRDefault="0072229E" w:rsidP="0072229E">
      <w:pPr>
        <w:rPr>
          <w:sz w:val="22"/>
          <w:szCs w:val="22"/>
        </w:rPr>
      </w:pPr>
      <w:proofErr w:type="gramStart"/>
      <w:r w:rsidRPr="0072229E">
        <w:rPr>
          <w:sz w:val="22"/>
          <w:szCs w:val="22"/>
        </w:rPr>
        <w:t xml:space="preserve">Profit, J. et al. (2014) 'Burnout in the NICU setting and its relation to safety culture', </w:t>
      </w:r>
      <w:r w:rsidRPr="0072229E">
        <w:rPr>
          <w:i/>
          <w:iCs/>
          <w:sz w:val="22"/>
          <w:szCs w:val="22"/>
        </w:rPr>
        <w:t>BMJ Quality &amp; Safety</w:t>
      </w:r>
      <w:r w:rsidRPr="0072229E">
        <w:rPr>
          <w:sz w:val="22"/>
          <w:szCs w:val="22"/>
        </w:rPr>
        <w:t>, 23(10), pp. 806-813.</w:t>
      </w:r>
      <w:proofErr w:type="gramEnd"/>
      <w:r w:rsidRPr="0072229E">
        <w:rPr>
          <w:sz w:val="22"/>
          <w:szCs w:val="22"/>
        </w:rPr>
        <w:t xml:space="preserve"> Available at: </w:t>
      </w:r>
      <w:hyperlink r:id="rId39" w:history="1">
        <w:r w:rsidRPr="0072229E">
          <w:rPr>
            <w:rStyle w:val="Hyperlink"/>
            <w:color w:val="467886"/>
            <w:sz w:val="22"/>
            <w:szCs w:val="22"/>
          </w:rPr>
          <w:t>https://qualitysafety.bmj.com/content/23/10/806</w:t>
        </w:r>
      </w:hyperlink>
      <w:r w:rsidRPr="0072229E">
        <w:rPr>
          <w:sz w:val="22"/>
          <w:szCs w:val="22"/>
        </w:rPr>
        <w:t xml:space="preserve"> [Accessed 17 April 2026].</w:t>
      </w:r>
    </w:p>
    <w:p w14:paraId="41F2F17A" w14:textId="77777777" w:rsidR="0072229E" w:rsidRPr="0072229E" w:rsidRDefault="0072229E" w:rsidP="0072229E">
      <w:pPr>
        <w:rPr>
          <w:sz w:val="22"/>
          <w:szCs w:val="22"/>
        </w:rPr>
      </w:pPr>
      <w:proofErr w:type="spellStart"/>
      <w:r w:rsidRPr="0072229E">
        <w:rPr>
          <w:sz w:val="22"/>
          <w:szCs w:val="22"/>
        </w:rPr>
        <w:t>Salyers</w:t>
      </w:r>
      <w:proofErr w:type="spellEnd"/>
      <w:r w:rsidRPr="0072229E">
        <w:rPr>
          <w:sz w:val="22"/>
          <w:szCs w:val="22"/>
        </w:rPr>
        <w:t>, M.P. et al. (2017) '</w:t>
      </w:r>
      <w:proofErr w:type="gramStart"/>
      <w:r w:rsidRPr="0072229E">
        <w:rPr>
          <w:sz w:val="22"/>
          <w:szCs w:val="22"/>
        </w:rPr>
        <w:t>The</w:t>
      </w:r>
      <w:proofErr w:type="gramEnd"/>
      <w:r w:rsidRPr="0072229E">
        <w:rPr>
          <w:sz w:val="22"/>
          <w:szCs w:val="22"/>
        </w:rPr>
        <w:t xml:space="preserve"> relationship between professional burnout and quality and safety in healthcare: A meta-analysis', </w:t>
      </w:r>
      <w:r w:rsidRPr="0072229E">
        <w:rPr>
          <w:i/>
          <w:iCs/>
          <w:sz w:val="22"/>
          <w:szCs w:val="22"/>
        </w:rPr>
        <w:t>Journal of General Internal Medicine</w:t>
      </w:r>
      <w:r w:rsidRPr="0072229E">
        <w:rPr>
          <w:sz w:val="22"/>
          <w:szCs w:val="22"/>
        </w:rPr>
        <w:t xml:space="preserve">, 32(4), pp. 475-482. Available at: </w:t>
      </w:r>
      <w:hyperlink r:id="rId40" w:history="1">
        <w:r w:rsidRPr="0072229E">
          <w:rPr>
            <w:rStyle w:val="Hyperlink"/>
            <w:color w:val="467886"/>
            <w:sz w:val="22"/>
            <w:szCs w:val="22"/>
          </w:rPr>
          <w:t>https://link.springer.com/article/10.1007/s11606-016-3886-9</w:t>
        </w:r>
      </w:hyperlink>
      <w:r w:rsidRPr="0072229E">
        <w:rPr>
          <w:sz w:val="22"/>
          <w:szCs w:val="22"/>
        </w:rPr>
        <w:t xml:space="preserve"> [Accessed 17 April 2026].</w:t>
      </w:r>
    </w:p>
    <w:p w14:paraId="20269A7B" w14:textId="77777777" w:rsidR="0072229E" w:rsidRPr="0072229E" w:rsidRDefault="0072229E" w:rsidP="0072229E">
      <w:pPr>
        <w:rPr>
          <w:sz w:val="22"/>
          <w:szCs w:val="22"/>
        </w:rPr>
      </w:pPr>
      <w:proofErr w:type="spellStart"/>
      <w:r w:rsidRPr="0072229E">
        <w:rPr>
          <w:sz w:val="22"/>
          <w:szCs w:val="22"/>
        </w:rPr>
        <w:t>Tawfik</w:t>
      </w:r>
      <w:proofErr w:type="spellEnd"/>
      <w:r w:rsidRPr="0072229E">
        <w:rPr>
          <w:sz w:val="22"/>
          <w:szCs w:val="22"/>
        </w:rPr>
        <w:t xml:space="preserve">, D.S. et al. (2017) 'Physician burnout, well-being, and work unit safety grades in relationship to reported medical errors', </w:t>
      </w:r>
      <w:r w:rsidRPr="0072229E">
        <w:rPr>
          <w:i/>
          <w:iCs/>
          <w:sz w:val="22"/>
          <w:szCs w:val="22"/>
        </w:rPr>
        <w:t>Mayo Clinic Proceedings</w:t>
      </w:r>
      <w:r w:rsidRPr="0072229E">
        <w:rPr>
          <w:sz w:val="22"/>
          <w:szCs w:val="22"/>
        </w:rPr>
        <w:t xml:space="preserve">, 93(11), pp. 1571-1583. Available at: </w:t>
      </w:r>
      <w:hyperlink r:id="rId41" w:history="1">
        <w:r w:rsidRPr="0072229E">
          <w:rPr>
            <w:rStyle w:val="Hyperlink"/>
            <w:color w:val="467886"/>
            <w:sz w:val="22"/>
            <w:szCs w:val="22"/>
          </w:rPr>
          <w:t>https://www.mayoclinicproceedings.org/article/S0025-6196(17)30587-0/fulltext</w:t>
        </w:r>
      </w:hyperlink>
      <w:r w:rsidRPr="0072229E">
        <w:rPr>
          <w:sz w:val="22"/>
          <w:szCs w:val="22"/>
        </w:rPr>
        <w:t xml:space="preserve"> [Accessed 17 April 2026].</w:t>
      </w:r>
    </w:p>
    <w:p w14:paraId="00000048" w14:textId="6C4B376F" w:rsidR="00653C03" w:rsidRDefault="0072229E" w:rsidP="0072229E">
      <w:pPr>
        <w:rPr>
          <w:sz w:val="22"/>
          <w:szCs w:val="22"/>
        </w:rPr>
      </w:pPr>
      <w:r w:rsidRPr="0072229E">
        <w:rPr>
          <w:sz w:val="22"/>
          <w:szCs w:val="22"/>
        </w:rPr>
        <w:lastRenderedPageBreak/>
        <w:t xml:space="preserve">West, C.P., </w:t>
      </w:r>
      <w:proofErr w:type="spellStart"/>
      <w:r w:rsidRPr="0072229E">
        <w:rPr>
          <w:sz w:val="22"/>
          <w:szCs w:val="22"/>
        </w:rPr>
        <w:t>Dyrbye</w:t>
      </w:r>
      <w:proofErr w:type="spellEnd"/>
      <w:r w:rsidRPr="0072229E">
        <w:rPr>
          <w:sz w:val="22"/>
          <w:szCs w:val="22"/>
        </w:rPr>
        <w:t xml:space="preserve">, L.N. and </w:t>
      </w:r>
      <w:proofErr w:type="spellStart"/>
      <w:r w:rsidRPr="0072229E">
        <w:rPr>
          <w:sz w:val="22"/>
          <w:szCs w:val="22"/>
        </w:rPr>
        <w:t>Shanafelt</w:t>
      </w:r>
      <w:proofErr w:type="spellEnd"/>
      <w:r w:rsidRPr="0072229E">
        <w:rPr>
          <w:sz w:val="22"/>
          <w:szCs w:val="22"/>
        </w:rPr>
        <w:t xml:space="preserve">, T.D. (2018) 'Physician burnout: contributors, consequences and solutions', </w:t>
      </w:r>
      <w:r w:rsidRPr="0072229E">
        <w:rPr>
          <w:i/>
          <w:iCs/>
          <w:sz w:val="22"/>
          <w:szCs w:val="22"/>
        </w:rPr>
        <w:t>Journal of Internal Medicine</w:t>
      </w:r>
      <w:r w:rsidRPr="0072229E">
        <w:rPr>
          <w:sz w:val="22"/>
          <w:szCs w:val="22"/>
        </w:rPr>
        <w:t xml:space="preserve">, 283(6), pp. 516-529. Available at: </w:t>
      </w:r>
      <w:hyperlink r:id="rId42" w:history="1">
        <w:r w:rsidRPr="0072229E">
          <w:rPr>
            <w:rStyle w:val="Hyperlink"/>
            <w:color w:val="467886"/>
            <w:sz w:val="22"/>
            <w:szCs w:val="22"/>
          </w:rPr>
          <w:t>https://onlinelibrary.wiley.com/doi/full/10.1111/joim.12754</w:t>
        </w:r>
      </w:hyperlink>
      <w:r w:rsidRPr="0072229E">
        <w:rPr>
          <w:sz w:val="22"/>
          <w:szCs w:val="22"/>
        </w:rPr>
        <w:t xml:space="preserve"> [Accessed 17 April 2026].</w:t>
      </w:r>
    </w:p>
    <w:p w14:paraId="331B406C" w14:textId="77777777" w:rsidR="006014F8" w:rsidRDefault="006014F8" w:rsidP="0072229E">
      <w:pPr>
        <w:rPr>
          <w:sz w:val="22"/>
          <w:szCs w:val="22"/>
        </w:rPr>
      </w:pPr>
    </w:p>
    <w:p w14:paraId="37834973" w14:textId="77777777" w:rsidR="006014F8" w:rsidRPr="0072229E" w:rsidRDefault="006014F8" w:rsidP="0072229E">
      <w:pPr>
        <w:rPr>
          <w:sz w:val="22"/>
          <w:szCs w:val="22"/>
        </w:rPr>
      </w:pPr>
    </w:p>
    <w:sectPr w:rsidR="006014F8" w:rsidRPr="0072229E">
      <w:footerReference w:type="default" r:id="rId4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0C9E7C2" w14:textId="77777777" w:rsidR="008F4B16" w:rsidRDefault="008F4B16">
      <w:pPr>
        <w:spacing w:after="0" w:line="240" w:lineRule="auto"/>
      </w:pPr>
      <w:r>
        <w:separator/>
      </w:r>
    </w:p>
  </w:endnote>
  <w:endnote w:type="continuationSeparator" w:id="0">
    <w:p w14:paraId="0C38CFE6" w14:textId="77777777" w:rsidR="008F4B16" w:rsidRDefault="008F4B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embedRegular r:id="rId1" w:fontKey="{CE882A05-01EB-4020-AFB2-03C415E96F0E}"/>
  </w:font>
  <w:font w:name="Aptos">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embedRegular r:id="rId2" w:fontKey="{B24EDEA6-CF3D-4F83-9F60-3143A79EB30C}"/>
  </w:font>
  <w:font w:name="Calibri">
    <w:panose1 w:val="020F0502020204030204"/>
    <w:charset w:val="00"/>
    <w:family w:val="swiss"/>
    <w:pitch w:val="variable"/>
    <w:sig w:usb0="E4002EFF" w:usb1="C000247B" w:usb2="00000009" w:usb3="00000000" w:csb0="000001FF" w:csb1="00000000"/>
    <w:embedRegular r:id="rId3" w:fontKey="{625EE2AF-7FFA-4533-A864-613DBF64B6D6}"/>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49" w14:textId="77777777" w:rsidR="00653C03" w:rsidRDefault="00844EA6">
    <w:pPr>
      <w:pBdr>
        <w:top w:val="single" w:sz="4" w:space="1" w:color="D9D9D9"/>
        <w:left w:val="nil"/>
        <w:bottom w:val="nil"/>
        <w:right w:val="nil"/>
        <w:between w:val="nil"/>
      </w:pBdr>
      <w:tabs>
        <w:tab w:val="center" w:pos="4680"/>
        <w:tab w:val="right" w:pos="9360"/>
      </w:tabs>
      <w:spacing w:after="0" w:line="240" w:lineRule="auto"/>
      <w:rPr>
        <w:b/>
        <w:bCs/>
        <w:color w:val="000000"/>
      </w:rPr>
    </w:pPr>
    <w:r>
      <w:rPr>
        <w:color w:val="000000"/>
      </w:rPr>
      <w:fldChar w:fldCharType="begin"/>
    </w:r>
    <w:r>
      <w:rPr>
        <w:color w:val="000000"/>
      </w:rPr>
      <w:instrText>PAGE</w:instrText>
    </w:r>
    <w:r>
      <w:rPr>
        <w:color w:val="000000"/>
      </w:rPr>
      <w:fldChar w:fldCharType="separate"/>
    </w:r>
    <w:r w:rsidR="00D4120C">
      <w:rPr>
        <w:noProof/>
        <w:color w:val="000000"/>
      </w:rPr>
      <w:t>2</w:t>
    </w:r>
    <w:r>
      <w:rPr>
        <w:color w:val="000000"/>
      </w:rPr>
      <w:fldChar w:fldCharType="end"/>
    </w:r>
    <w:r>
      <w:rPr>
        <w:b/>
        <w:bCs/>
        <w:color w:val="000000"/>
      </w:rPr>
      <w:t xml:space="preserve"> | </w:t>
    </w:r>
    <w:r>
      <w:rPr>
        <w:color w:val="7F7F7F"/>
      </w:rPr>
      <w:t>Page</w:t>
    </w:r>
  </w:p>
  <w:p w14:paraId="0000004A" w14:textId="77777777" w:rsidR="00653C03" w:rsidRDefault="00653C03">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7F8DAB1" w14:textId="77777777" w:rsidR="008F4B16" w:rsidRDefault="008F4B16">
      <w:pPr>
        <w:spacing w:after="0" w:line="240" w:lineRule="auto"/>
      </w:pPr>
      <w:r>
        <w:separator/>
      </w:r>
    </w:p>
  </w:footnote>
  <w:footnote w:type="continuationSeparator" w:id="0">
    <w:p w14:paraId="33CF8B6A" w14:textId="77777777" w:rsidR="008F4B16" w:rsidRDefault="008F4B1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306BB1"/>
    <w:multiLevelType w:val="multilevel"/>
    <w:tmpl w:val="8716BE90"/>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nsid w:val="39BD4EA2"/>
    <w:multiLevelType w:val="multilevel"/>
    <w:tmpl w:val="E346AAF2"/>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nsid w:val="439E4A86"/>
    <w:multiLevelType w:val="multilevel"/>
    <w:tmpl w:val="93824B7E"/>
    <w:lvl w:ilvl="0">
      <w:start w:val="1"/>
      <w:numFmt w:val="decimal"/>
      <w:lvlText w:val="%1"/>
      <w:lvlJc w:val="left"/>
      <w:pPr>
        <w:ind w:left="405" w:hanging="405"/>
      </w:pPr>
      <w:rPr>
        <w:rFonts w:hint="default"/>
      </w:rPr>
    </w:lvl>
    <w:lvl w:ilvl="1">
      <w:start w:val="1"/>
      <w:numFmt w:val="decimal"/>
      <w:lvlText w:val="%1.%2"/>
      <w:lvlJc w:val="left"/>
      <w:pPr>
        <w:ind w:left="960" w:hanging="72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800" w:hanging="1080"/>
      </w:pPr>
      <w:rPr>
        <w:rFonts w:hint="default"/>
      </w:rPr>
    </w:lvl>
    <w:lvl w:ilvl="4">
      <w:start w:val="1"/>
      <w:numFmt w:val="decimal"/>
      <w:lvlText w:val="%1.%2.%3.%4.%5"/>
      <w:lvlJc w:val="left"/>
      <w:pPr>
        <w:ind w:left="2400" w:hanging="1440"/>
      </w:pPr>
      <w:rPr>
        <w:rFonts w:hint="default"/>
      </w:rPr>
    </w:lvl>
    <w:lvl w:ilvl="5">
      <w:start w:val="1"/>
      <w:numFmt w:val="decimal"/>
      <w:lvlText w:val="%1.%2.%3.%4.%5.%6"/>
      <w:lvlJc w:val="left"/>
      <w:pPr>
        <w:ind w:left="2640" w:hanging="1440"/>
      </w:pPr>
      <w:rPr>
        <w:rFonts w:hint="default"/>
      </w:rPr>
    </w:lvl>
    <w:lvl w:ilvl="6">
      <w:start w:val="1"/>
      <w:numFmt w:val="decimal"/>
      <w:lvlText w:val="%1.%2.%3.%4.%5.%6.%7"/>
      <w:lvlJc w:val="left"/>
      <w:pPr>
        <w:ind w:left="3240" w:hanging="1800"/>
      </w:pPr>
      <w:rPr>
        <w:rFonts w:hint="default"/>
      </w:rPr>
    </w:lvl>
    <w:lvl w:ilvl="7">
      <w:start w:val="1"/>
      <w:numFmt w:val="decimal"/>
      <w:lvlText w:val="%1.%2.%3.%4.%5.%6.%7.%8"/>
      <w:lvlJc w:val="left"/>
      <w:pPr>
        <w:ind w:left="3480" w:hanging="1800"/>
      </w:pPr>
      <w:rPr>
        <w:rFonts w:hint="default"/>
      </w:rPr>
    </w:lvl>
    <w:lvl w:ilvl="8">
      <w:start w:val="1"/>
      <w:numFmt w:val="decimal"/>
      <w:lvlText w:val="%1.%2.%3.%4.%5.%6.%7.%8.%9"/>
      <w:lvlJc w:val="left"/>
      <w:pPr>
        <w:ind w:left="4080" w:hanging="2160"/>
      </w:pPr>
      <w:rPr>
        <w:rFonts w:hint="default"/>
      </w:rPr>
    </w:lvl>
  </w:abstractNum>
  <w:abstractNum w:abstractNumId="3">
    <w:nsid w:val="73A67DB4"/>
    <w:multiLevelType w:val="multilevel"/>
    <w:tmpl w:val="6100C14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nsid w:val="787B692D"/>
    <w:multiLevelType w:val="multilevel"/>
    <w:tmpl w:val="673CE142"/>
    <w:lvl w:ilvl="0">
      <w:start w:val="1"/>
      <w:numFmt w:val="decimal"/>
      <w:lvlText w:val="%1"/>
      <w:lvlJc w:val="left"/>
      <w:pPr>
        <w:ind w:left="405" w:hanging="405"/>
      </w:pPr>
      <w:rPr>
        <w:rFonts w:hint="default"/>
      </w:rPr>
    </w:lvl>
    <w:lvl w:ilvl="1">
      <w:start w:val="1"/>
      <w:numFmt w:val="decimal"/>
      <w:lvlText w:val="%1.%2"/>
      <w:lvlJc w:val="left"/>
      <w:pPr>
        <w:ind w:left="1035" w:hanging="720"/>
      </w:pPr>
      <w:rPr>
        <w:rFonts w:hint="default"/>
      </w:rPr>
    </w:lvl>
    <w:lvl w:ilvl="2">
      <w:start w:val="1"/>
      <w:numFmt w:val="decimal"/>
      <w:lvlText w:val="%1.%2.%3"/>
      <w:lvlJc w:val="left"/>
      <w:pPr>
        <w:ind w:left="1350" w:hanging="720"/>
      </w:pPr>
      <w:rPr>
        <w:rFonts w:hint="default"/>
      </w:rPr>
    </w:lvl>
    <w:lvl w:ilvl="3">
      <w:start w:val="1"/>
      <w:numFmt w:val="decimal"/>
      <w:lvlText w:val="%1.%2.%3.%4"/>
      <w:lvlJc w:val="left"/>
      <w:pPr>
        <w:ind w:left="2025" w:hanging="1080"/>
      </w:pPr>
      <w:rPr>
        <w:rFonts w:hint="default"/>
      </w:rPr>
    </w:lvl>
    <w:lvl w:ilvl="4">
      <w:start w:val="1"/>
      <w:numFmt w:val="decimal"/>
      <w:lvlText w:val="%1.%2.%3.%4.%5"/>
      <w:lvlJc w:val="left"/>
      <w:pPr>
        <w:ind w:left="2700" w:hanging="1440"/>
      </w:pPr>
      <w:rPr>
        <w:rFonts w:hint="default"/>
      </w:rPr>
    </w:lvl>
    <w:lvl w:ilvl="5">
      <w:start w:val="1"/>
      <w:numFmt w:val="decimal"/>
      <w:lvlText w:val="%1.%2.%3.%4.%5.%6"/>
      <w:lvlJc w:val="left"/>
      <w:pPr>
        <w:ind w:left="3015" w:hanging="1440"/>
      </w:pPr>
      <w:rPr>
        <w:rFonts w:hint="default"/>
      </w:rPr>
    </w:lvl>
    <w:lvl w:ilvl="6">
      <w:start w:val="1"/>
      <w:numFmt w:val="decimal"/>
      <w:lvlText w:val="%1.%2.%3.%4.%5.%6.%7"/>
      <w:lvlJc w:val="left"/>
      <w:pPr>
        <w:ind w:left="3690" w:hanging="1800"/>
      </w:pPr>
      <w:rPr>
        <w:rFonts w:hint="default"/>
      </w:rPr>
    </w:lvl>
    <w:lvl w:ilvl="7">
      <w:start w:val="1"/>
      <w:numFmt w:val="decimal"/>
      <w:lvlText w:val="%1.%2.%3.%4.%5.%6.%7.%8"/>
      <w:lvlJc w:val="left"/>
      <w:pPr>
        <w:ind w:left="4005" w:hanging="1800"/>
      </w:pPr>
      <w:rPr>
        <w:rFonts w:hint="default"/>
      </w:rPr>
    </w:lvl>
    <w:lvl w:ilvl="8">
      <w:start w:val="1"/>
      <w:numFmt w:val="decimal"/>
      <w:lvlText w:val="%1.%2.%3.%4.%5.%6.%7.%8.%9"/>
      <w:lvlJc w:val="left"/>
      <w:pPr>
        <w:ind w:left="4680" w:hanging="2160"/>
      </w:pPr>
      <w:rPr>
        <w:rFonts w:hint="default"/>
      </w:r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653C03"/>
    <w:rsid w:val="00031FBE"/>
    <w:rsid w:val="000C1B09"/>
    <w:rsid w:val="00130381"/>
    <w:rsid w:val="001A03D0"/>
    <w:rsid w:val="001A60B7"/>
    <w:rsid w:val="001A782C"/>
    <w:rsid w:val="001F2A37"/>
    <w:rsid w:val="00207C5A"/>
    <w:rsid w:val="002208D9"/>
    <w:rsid w:val="00260CA0"/>
    <w:rsid w:val="002D4996"/>
    <w:rsid w:val="002E015F"/>
    <w:rsid w:val="003717EB"/>
    <w:rsid w:val="003A40A2"/>
    <w:rsid w:val="00406697"/>
    <w:rsid w:val="00456C23"/>
    <w:rsid w:val="004858A3"/>
    <w:rsid w:val="00497CC0"/>
    <w:rsid w:val="004A3E56"/>
    <w:rsid w:val="004B1B10"/>
    <w:rsid w:val="004C1C95"/>
    <w:rsid w:val="004F2512"/>
    <w:rsid w:val="00502000"/>
    <w:rsid w:val="00535802"/>
    <w:rsid w:val="005C6490"/>
    <w:rsid w:val="005D6DCF"/>
    <w:rsid w:val="006014F8"/>
    <w:rsid w:val="0064687D"/>
    <w:rsid w:val="00653C03"/>
    <w:rsid w:val="006B628B"/>
    <w:rsid w:val="006D1A4A"/>
    <w:rsid w:val="0072229E"/>
    <w:rsid w:val="00790BD6"/>
    <w:rsid w:val="00797054"/>
    <w:rsid w:val="008127E6"/>
    <w:rsid w:val="00844EA6"/>
    <w:rsid w:val="008526C3"/>
    <w:rsid w:val="008618E6"/>
    <w:rsid w:val="008F4B16"/>
    <w:rsid w:val="009B5C15"/>
    <w:rsid w:val="00AC57CF"/>
    <w:rsid w:val="00AE176C"/>
    <w:rsid w:val="00B63605"/>
    <w:rsid w:val="00BD7EAF"/>
    <w:rsid w:val="00C407B4"/>
    <w:rsid w:val="00D4120C"/>
    <w:rsid w:val="00D45C49"/>
    <w:rsid w:val="00D6532C"/>
    <w:rsid w:val="00DE42EB"/>
    <w:rsid w:val="00E61B25"/>
    <w:rsid w:val="00EE1405"/>
    <w:rsid w:val="00F06C9C"/>
    <w:rsid w:val="00F22734"/>
    <w:rsid w:val="00FA2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4"/>
        <w:szCs w:val="24"/>
        <w:lang w:val="en-GB" w:eastAsia="en-GB"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360" w:after="80"/>
      <w:outlineLvl w:val="0"/>
    </w:pPr>
    <w:rPr>
      <w:b/>
      <w:bCs/>
      <w:color w:val="0F4761"/>
      <w:sz w:val="32"/>
      <w:szCs w:val="32"/>
    </w:rPr>
  </w:style>
  <w:style w:type="paragraph" w:styleId="Heading2">
    <w:name w:val="heading 2"/>
    <w:basedOn w:val="Normal"/>
    <w:next w:val="Normal"/>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pPr>
      <w:keepNext/>
      <w:keepLines/>
      <w:spacing w:before="160" w:after="80"/>
      <w:outlineLvl w:val="2"/>
    </w:pPr>
    <w:rPr>
      <w:color w:val="0F4761"/>
      <w:sz w:val="28"/>
      <w:szCs w:val="28"/>
    </w:rPr>
  </w:style>
  <w:style w:type="paragraph" w:styleId="Heading4">
    <w:name w:val="heading 4"/>
    <w:basedOn w:val="Normal"/>
    <w:next w:val="Normal"/>
    <w:pPr>
      <w:keepNext/>
      <w:keepLines/>
      <w:spacing w:before="80" w:after="40"/>
      <w:outlineLvl w:val="3"/>
    </w:pPr>
    <w:rPr>
      <w:i/>
      <w:iCs/>
      <w:color w:val="0F4761"/>
    </w:rPr>
  </w:style>
  <w:style w:type="paragraph" w:styleId="Heading5">
    <w:name w:val="heading 5"/>
    <w:basedOn w:val="Normal"/>
    <w:next w:val="Normal"/>
    <w:pPr>
      <w:keepNext/>
      <w:keepLines/>
      <w:spacing w:before="80" w:after="40"/>
      <w:outlineLvl w:val="4"/>
    </w:pPr>
    <w:rPr>
      <w:color w:val="0F4761"/>
    </w:rPr>
  </w:style>
  <w:style w:type="paragraph" w:styleId="Heading6">
    <w:name w:val="heading 6"/>
    <w:basedOn w:val="Normal"/>
    <w:next w:val="Normal"/>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after="80" w:line="240" w:lineRule="auto"/>
    </w:pPr>
    <w:rPr>
      <w:rFonts w:ascii="Play" w:eastAsia="Play" w:hAnsi="Play" w:cs="Play"/>
      <w:sz w:val="56"/>
      <w:szCs w:val="56"/>
    </w:rPr>
  </w:style>
  <w:style w:type="paragraph" w:styleId="Subtitle">
    <w:name w:val="Subtitle"/>
    <w:basedOn w:val="Normal"/>
    <w:next w:val="Normal"/>
    <w:rPr>
      <w:color w:val="595959"/>
      <w:sz w:val="28"/>
      <w:szCs w:val="28"/>
    </w:rPr>
  </w:style>
  <w:style w:type="paragraph" w:styleId="BalloonText">
    <w:name w:val="Balloon Text"/>
    <w:basedOn w:val="Normal"/>
    <w:link w:val="BalloonTextChar"/>
    <w:uiPriority w:val="99"/>
    <w:semiHidden/>
    <w:unhideWhenUsed/>
    <w:rsid w:val="000C1B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1B09"/>
    <w:rPr>
      <w:rFonts w:ascii="Tahoma" w:hAnsi="Tahoma" w:cs="Tahoma"/>
      <w:sz w:val="16"/>
      <w:szCs w:val="16"/>
    </w:rPr>
  </w:style>
  <w:style w:type="table" w:styleId="TableGrid">
    <w:name w:val="Table Grid"/>
    <w:basedOn w:val="TableNormal"/>
    <w:uiPriority w:val="59"/>
    <w:rsid w:val="004858A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AE17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76C"/>
  </w:style>
  <w:style w:type="paragraph" w:styleId="Footer">
    <w:name w:val="footer"/>
    <w:basedOn w:val="Normal"/>
    <w:link w:val="FooterChar"/>
    <w:uiPriority w:val="99"/>
    <w:unhideWhenUsed/>
    <w:rsid w:val="00AE17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76C"/>
  </w:style>
  <w:style w:type="character" w:styleId="Hyperlink">
    <w:name w:val="Hyperlink"/>
    <w:basedOn w:val="DefaultParagraphFont"/>
    <w:uiPriority w:val="99"/>
    <w:semiHidden/>
    <w:unhideWhenUsed/>
    <w:rsid w:val="00AE176C"/>
    <w:rPr>
      <w:color w:val="0000FF" w:themeColor="hyperlink"/>
      <w:u w:val="single"/>
    </w:rPr>
  </w:style>
  <w:style w:type="paragraph" w:styleId="TOC1">
    <w:name w:val="toc 1"/>
    <w:basedOn w:val="Normal"/>
    <w:next w:val="Normal"/>
    <w:autoRedefine/>
    <w:uiPriority w:val="39"/>
    <w:unhideWhenUsed/>
    <w:rsid w:val="00AE176C"/>
    <w:pPr>
      <w:spacing w:after="100" w:line="276" w:lineRule="auto"/>
      <w:jc w:val="left"/>
    </w:pPr>
    <w:rPr>
      <w:rFonts w:ascii="Aptos" w:eastAsia="Aptos" w:hAnsi="Aptos" w:cs="Aptos"/>
    </w:rPr>
  </w:style>
  <w:style w:type="paragraph" w:styleId="TOC2">
    <w:name w:val="toc 2"/>
    <w:basedOn w:val="Normal"/>
    <w:next w:val="Normal"/>
    <w:autoRedefine/>
    <w:uiPriority w:val="39"/>
    <w:semiHidden/>
    <w:unhideWhenUsed/>
    <w:rsid w:val="00AE176C"/>
    <w:pPr>
      <w:spacing w:after="100" w:line="276" w:lineRule="auto"/>
      <w:ind w:left="240"/>
      <w:jc w:val="left"/>
    </w:pPr>
    <w:rPr>
      <w:rFonts w:ascii="Aptos" w:eastAsia="Aptos" w:hAnsi="Aptos" w:cs="Aptos"/>
    </w:rPr>
  </w:style>
  <w:style w:type="paragraph" w:styleId="ListParagraph">
    <w:name w:val="List Paragraph"/>
    <w:basedOn w:val="Normal"/>
    <w:uiPriority w:val="34"/>
    <w:qFormat/>
    <w:rsid w:val="00EE1405"/>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4"/>
        <w:szCs w:val="24"/>
        <w:lang w:val="en-GB" w:eastAsia="en-GB"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360" w:after="80"/>
      <w:outlineLvl w:val="0"/>
    </w:pPr>
    <w:rPr>
      <w:b/>
      <w:bCs/>
      <w:color w:val="0F4761"/>
      <w:sz w:val="32"/>
      <w:szCs w:val="32"/>
    </w:rPr>
  </w:style>
  <w:style w:type="paragraph" w:styleId="Heading2">
    <w:name w:val="heading 2"/>
    <w:basedOn w:val="Normal"/>
    <w:next w:val="Normal"/>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pPr>
      <w:keepNext/>
      <w:keepLines/>
      <w:spacing w:before="160" w:after="80"/>
      <w:outlineLvl w:val="2"/>
    </w:pPr>
    <w:rPr>
      <w:color w:val="0F4761"/>
      <w:sz w:val="28"/>
      <w:szCs w:val="28"/>
    </w:rPr>
  </w:style>
  <w:style w:type="paragraph" w:styleId="Heading4">
    <w:name w:val="heading 4"/>
    <w:basedOn w:val="Normal"/>
    <w:next w:val="Normal"/>
    <w:pPr>
      <w:keepNext/>
      <w:keepLines/>
      <w:spacing w:before="80" w:after="40"/>
      <w:outlineLvl w:val="3"/>
    </w:pPr>
    <w:rPr>
      <w:i/>
      <w:iCs/>
      <w:color w:val="0F4761"/>
    </w:rPr>
  </w:style>
  <w:style w:type="paragraph" w:styleId="Heading5">
    <w:name w:val="heading 5"/>
    <w:basedOn w:val="Normal"/>
    <w:next w:val="Normal"/>
    <w:pPr>
      <w:keepNext/>
      <w:keepLines/>
      <w:spacing w:before="80" w:after="40"/>
      <w:outlineLvl w:val="4"/>
    </w:pPr>
    <w:rPr>
      <w:color w:val="0F4761"/>
    </w:rPr>
  </w:style>
  <w:style w:type="paragraph" w:styleId="Heading6">
    <w:name w:val="heading 6"/>
    <w:basedOn w:val="Normal"/>
    <w:next w:val="Normal"/>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after="80" w:line="240" w:lineRule="auto"/>
    </w:pPr>
    <w:rPr>
      <w:rFonts w:ascii="Play" w:eastAsia="Play" w:hAnsi="Play" w:cs="Play"/>
      <w:sz w:val="56"/>
      <w:szCs w:val="56"/>
    </w:rPr>
  </w:style>
  <w:style w:type="paragraph" w:styleId="Subtitle">
    <w:name w:val="Subtitle"/>
    <w:basedOn w:val="Normal"/>
    <w:next w:val="Normal"/>
    <w:rPr>
      <w:color w:val="595959"/>
      <w:sz w:val="28"/>
      <w:szCs w:val="28"/>
    </w:rPr>
  </w:style>
  <w:style w:type="paragraph" w:styleId="BalloonText">
    <w:name w:val="Balloon Text"/>
    <w:basedOn w:val="Normal"/>
    <w:link w:val="BalloonTextChar"/>
    <w:uiPriority w:val="99"/>
    <w:semiHidden/>
    <w:unhideWhenUsed/>
    <w:rsid w:val="000C1B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1B09"/>
    <w:rPr>
      <w:rFonts w:ascii="Tahoma" w:hAnsi="Tahoma" w:cs="Tahoma"/>
      <w:sz w:val="16"/>
      <w:szCs w:val="16"/>
    </w:rPr>
  </w:style>
  <w:style w:type="table" w:styleId="TableGrid">
    <w:name w:val="Table Grid"/>
    <w:basedOn w:val="TableNormal"/>
    <w:uiPriority w:val="59"/>
    <w:rsid w:val="004858A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AE17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76C"/>
  </w:style>
  <w:style w:type="paragraph" w:styleId="Footer">
    <w:name w:val="footer"/>
    <w:basedOn w:val="Normal"/>
    <w:link w:val="FooterChar"/>
    <w:uiPriority w:val="99"/>
    <w:unhideWhenUsed/>
    <w:rsid w:val="00AE17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76C"/>
  </w:style>
  <w:style w:type="character" w:styleId="Hyperlink">
    <w:name w:val="Hyperlink"/>
    <w:basedOn w:val="DefaultParagraphFont"/>
    <w:uiPriority w:val="99"/>
    <w:semiHidden/>
    <w:unhideWhenUsed/>
    <w:rsid w:val="00AE176C"/>
    <w:rPr>
      <w:color w:val="0000FF" w:themeColor="hyperlink"/>
      <w:u w:val="single"/>
    </w:rPr>
  </w:style>
  <w:style w:type="paragraph" w:styleId="TOC1">
    <w:name w:val="toc 1"/>
    <w:basedOn w:val="Normal"/>
    <w:next w:val="Normal"/>
    <w:autoRedefine/>
    <w:uiPriority w:val="39"/>
    <w:unhideWhenUsed/>
    <w:rsid w:val="00AE176C"/>
    <w:pPr>
      <w:spacing w:after="100" w:line="276" w:lineRule="auto"/>
      <w:jc w:val="left"/>
    </w:pPr>
    <w:rPr>
      <w:rFonts w:ascii="Aptos" w:eastAsia="Aptos" w:hAnsi="Aptos" w:cs="Aptos"/>
    </w:rPr>
  </w:style>
  <w:style w:type="paragraph" w:styleId="TOC2">
    <w:name w:val="toc 2"/>
    <w:basedOn w:val="Normal"/>
    <w:next w:val="Normal"/>
    <w:autoRedefine/>
    <w:uiPriority w:val="39"/>
    <w:semiHidden/>
    <w:unhideWhenUsed/>
    <w:rsid w:val="00AE176C"/>
    <w:pPr>
      <w:spacing w:after="100" w:line="276" w:lineRule="auto"/>
      <w:ind w:left="240"/>
      <w:jc w:val="left"/>
    </w:pPr>
    <w:rPr>
      <w:rFonts w:ascii="Aptos" w:eastAsia="Aptos" w:hAnsi="Aptos" w:cs="Aptos"/>
    </w:rPr>
  </w:style>
  <w:style w:type="paragraph" w:styleId="ListParagraph">
    <w:name w:val="List Paragraph"/>
    <w:basedOn w:val="Normal"/>
    <w:uiPriority w:val="34"/>
    <w:qFormat/>
    <w:rsid w:val="00EE14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30592196">
      <w:bodyDiv w:val="1"/>
      <w:marLeft w:val="0"/>
      <w:marRight w:val="0"/>
      <w:marTop w:val="0"/>
      <w:marBottom w:val="0"/>
      <w:divBdr>
        <w:top w:val="none" w:sz="0" w:space="0" w:color="auto"/>
        <w:left w:val="none" w:sz="0" w:space="0" w:color="auto"/>
        <w:bottom w:val="none" w:sz="0" w:space="0" w:color="auto"/>
        <w:right w:val="none" w:sz="0" w:space="0" w:color="auto"/>
      </w:divBdr>
    </w:div>
    <w:div w:id="1234924607">
      <w:bodyDiv w:val="1"/>
      <w:marLeft w:val="0"/>
      <w:marRight w:val="0"/>
      <w:marTop w:val="0"/>
      <w:marBottom w:val="0"/>
      <w:divBdr>
        <w:top w:val="none" w:sz="0" w:space="0" w:color="auto"/>
        <w:left w:val="none" w:sz="0" w:space="0" w:color="auto"/>
        <w:bottom w:val="none" w:sz="0" w:space="0" w:color="auto"/>
        <w:right w:val="none" w:sz="0" w:space="0" w:color="auto"/>
      </w:divBdr>
    </w:div>
    <w:div w:id="20652518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mosto\Desktop\DSR%20Assessment%202%20Template-Feb%202026%20-%20RESIT.docx" TargetMode="External"/><Relationship Id="rId18" Type="http://schemas.openxmlformats.org/officeDocument/2006/relationships/hyperlink" Target="file:///C:\Users\mosto\Desktop\DSR%20Assessment%202%20Template-Feb%202026%20-%20RESIT.docx" TargetMode="External"/><Relationship Id="rId26" Type="http://schemas.openxmlformats.org/officeDocument/2006/relationships/hyperlink" Target="file:///C:\Users\mosto\Desktop\DSR%20Assessment%202%20Template-Feb%202026%20-%20RESIT.docx" TargetMode="External"/><Relationship Id="rId39" Type="http://schemas.openxmlformats.org/officeDocument/2006/relationships/hyperlink" Target="https://qualitysafety.bmj.com/content/23/10/806" TargetMode="External"/><Relationship Id="rId3" Type="http://schemas.microsoft.com/office/2007/relationships/stylesWithEffects" Target="stylesWithEffects.xml"/><Relationship Id="rId21" Type="http://schemas.openxmlformats.org/officeDocument/2006/relationships/hyperlink" Target="file:///C:\Users\mosto\Desktop\DSR%20Assessment%202%20Template-Feb%202026%20-%20RESIT.docx" TargetMode="External"/><Relationship Id="rId34" Type="http://schemas.openxmlformats.org/officeDocument/2006/relationships/hyperlink" Target="https://www.england.nhs.uk/publication/links-between-nhs-staff-experience-and-patient-satisfaction/" TargetMode="External"/><Relationship Id="rId42" Type="http://schemas.openxmlformats.org/officeDocument/2006/relationships/hyperlink" Target="https://onlinelibrary.wiley.com/doi/full/10.1111/joim.12754" TargetMode="External"/><Relationship Id="rId7" Type="http://schemas.openxmlformats.org/officeDocument/2006/relationships/endnotes" Target="endnotes.xml"/><Relationship Id="rId12" Type="http://schemas.openxmlformats.org/officeDocument/2006/relationships/hyperlink" Target="file:///C:\Users\mosto\Desktop\DSR%20Assessment%202%20Template-Feb%202026%20-%20RESIT.docx" TargetMode="External"/><Relationship Id="rId17" Type="http://schemas.openxmlformats.org/officeDocument/2006/relationships/hyperlink" Target="file:///C:\Users\mosto\Desktop\DSR%20Assessment%202%20Template-Feb%202026%20-%20RESIT.docx" TargetMode="External"/><Relationship Id="rId25" Type="http://schemas.openxmlformats.org/officeDocument/2006/relationships/hyperlink" Target="file:///C:\Users\mosto\Desktop\DSR%20Assessment%202%20Template-Feb%202026%20-%20RESIT.docx" TargetMode="External"/><Relationship Id="rId33" Type="http://schemas.openxmlformats.org/officeDocument/2006/relationships/hyperlink" Target="https://www.nihr.ac.uk/blog/addressing-staff-burnout-is-essential-for-patient-safety/35232" TargetMode="External"/><Relationship Id="rId38" Type="http://schemas.openxmlformats.org/officeDocument/2006/relationships/hyperlink" Target="https://jamanetwork.com/journals/jamainternalmedicine/articlepdf/2702989/jamainternal_2018_ii_180010.pdf" TargetMode="External"/><Relationship Id="rId2" Type="http://schemas.openxmlformats.org/officeDocument/2006/relationships/styles" Target="styles.xml"/><Relationship Id="rId16" Type="http://schemas.openxmlformats.org/officeDocument/2006/relationships/hyperlink" Target="file:///C:\Users\mosto\Desktop\DSR%20Assessment%202%20Template-Feb%202026%20-%20RESIT.docx" TargetMode="External"/><Relationship Id="rId20" Type="http://schemas.openxmlformats.org/officeDocument/2006/relationships/hyperlink" Target="file:///C:\Users\mosto\Desktop\DSR%20Assessment%202%20Template-Feb%202026%20-%20RESIT.docx" TargetMode="External"/><Relationship Id="rId29" Type="http://schemas.openxmlformats.org/officeDocument/2006/relationships/hyperlink" Target="https://www.gmc-uk.org/-/media/documents/somep-workplace-experiences-2023-executive-summary_pdf-101653258.pdf" TargetMode="External"/><Relationship Id="rId41" Type="http://schemas.openxmlformats.org/officeDocument/2006/relationships/hyperlink" Target="https://www.mayoclinicproceedings.org/article/S0025-6196(17)30587-0/fulltext"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file:///C:\Users\mosto\Desktop\DSR%20Assessment%202%20Template-Feb%202026%20-%20RESIT.docx" TargetMode="External"/><Relationship Id="rId24" Type="http://schemas.openxmlformats.org/officeDocument/2006/relationships/hyperlink" Target="file:///C:\Users\mosto\Desktop\DSR%20Assessment%202%20Template-Feb%202026%20-%20RESIT.docx" TargetMode="External"/><Relationship Id="rId32" Type="http://schemas.openxmlformats.org/officeDocument/2006/relationships/hyperlink" Target="https://jamanetwork.com/journals/jamanetworkopen/fullarticle/2825639" TargetMode="External"/><Relationship Id="rId37" Type="http://schemas.openxmlformats.org/officeDocument/2006/relationships/hyperlink" Target="https://www.bmj.com/content/384/bmj.q588" TargetMode="External"/><Relationship Id="rId40" Type="http://schemas.openxmlformats.org/officeDocument/2006/relationships/hyperlink" Target="https://link.springer.com/article/10.1007/s11606-016-3886-9"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mosto\Desktop\DSR%20Assessment%202%20Template-Feb%202026%20-%20RESIT.docx" TargetMode="External"/><Relationship Id="rId23" Type="http://schemas.openxmlformats.org/officeDocument/2006/relationships/hyperlink" Target="file:///C:\Users\mosto\Desktop\DSR%20Assessment%202%20Template-Feb%202026%20-%20RESIT.docx" TargetMode="External"/><Relationship Id="rId28" Type="http://schemas.openxmlformats.org/officeDocument/2006/relationships/hyperlink" Target="https://www.sciencedirect.com/science/article/pii/S002074891400056X" TargetMode="External"/><Relationship Id="rId36" Type="http://schemas.openxmlformats.org/officeDocument/2006/relationships/hyperlink" Target="https://bmchealthservres.biomedcentral.com/articles/10.1186/s12913-020-4997-8" TargetMode="External"/><Relationship Id="rId10" Type="http://schemas.openxmlformats.org/officeDocument/2006/relationships/hyperlink" Target="file:///C:\Users\mosto\Desktop\DSR%20Assessment%202%20Template-Feb%202026%20-%20RESIT.docx" TargetMode="External"/><Relationship Id="rId19" Type="http://schemas.openxmlformats.org/officeDocument/2006/relationships/hyperlink" Target="file:///C:\Users\mosto\Desktop\DSR%20Assessment%202%20Template-Feb%202026%20-%20RESIT.docx" TargetMode="External"/><Relationship Id="rId31" Type="http://schemas.openxmlformats.org/officeDocument/2006/relationships/hyperlink" Target="https://www.qqml.net/papers/QQML3_619-626.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mosto\Desktop\DSR%20Assessment%202%20Template-Feb%202026%20-%20RESIT.docx" TargetMode="External"/><Relationship Id="rId14" Type="http://schemas.openxmlformats.org/officeDocument/2006/relationships/hyperlink" Target="file:///C:\Users\mosto\Desktop\DSR%20Assessment%202%20Template-Feb%202026%20-%20RESIT.docx" TargetMode="External"/><Relationship Id="rId22" Type="http://schemas.openxmlformats.org/officeDocument/2006/relationships/hyperlink" Target="file:///C:\Users\mosto\Desktop\DSR%20Assessment%202%20Template-Feb%202026%20-%20RESIT.docx" TargetMode="External"/><Relationship Id="rId27" Type="http://schemas.openxmlformats.org/officeDocument/2006/relationships/hyperlink" Target="https://www.bmj.com/content/344/bmj.e1717" TargetMode="External"/><Relationship Id="rId30" Type="http://schemas.openxmlformats.org/officeDocument/2006/relationships/hyperlink" Target="https://journals.plos.org/plosone/article?id=10.1371/journal.pone.0159015" TargetMode="External"/><Relationship Id="rId35" Type="http://schemas.openxmlformats.org/officeDocument/2006/relationships/hyperlink" Target="https://www.nhsstaffsurveys.com/results/national-results/" TargetMode="External"/><Relationship Id="rId43"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206</TotalTime>
  <Pages>11</Pages>
  <Words>3285</Words>
  <Characters>18729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mostofa_sorwar@yahoo.co.uk</cp:lastModifiedBy>
  <cp:revision>36</cp:revision>
  <dcterms:created xsi:type="dcterms:W3CDTF">2026-04-19T21:18:00Z</dcterms:created>
  <dcterms:modified xsi:type="dcterms:W3CDTF">2026-04-21T01:54:00Z</dcterms:modified>
</cp:coreProperties>
</file>