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jc w:val="center"/>
        <w:rPr>
          <w:u w:val="single"/>
        </w:rPr>
      </w:pPr>
      <w:bookmarkStart w:colFirst="0" w:colLast="0" w:name="_1z3ukihlvxp9" w:id="0"/>
      <w:bookmarkEnd w:id="0"/>
      <w:r w:rsidDel="00000000" w:rsidR="00000000" w:rsidRPr="00000000">
        <w:rPr>
          <w:u w:val="single"/>
          <w:rtl w:val="0"/>
        </w:rPr>
        <w:t xml:space="preserve">How does the epistolary form depict the desires and restriction of the Humanist movement in the Renaissance?</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ind w:firstLine="720"/>
        <w:rPr/>
      </w:pPr>
      <w:r w:rsidDel="00000000" w:rsidR="00000000" w:rsidRPr="00000000">
        <w:rPr>
          <w:rtl w:val="0"/>
        </w:rPr>
        <w:t xml:space="preserve">The Renaissance humanist movement tasked itself to recover a closer relationship to antiquity. This was a seemingly unobtained proximity to the wealth of knowledge and artistry from the classical era. But that proximity required a deep commitment to texts that were originally written in classic Latin, and sometimes Greek, to then masterfully understand, imitate and interact with between the 14th century, and the 17th century.</w:t>
      </w:r>
      <w:r w:rsidDel="00000000" w:rsidR="00000000" w:rsidRPr="00000000">
        <w:rPr>
          <w:vertAlign w:val="superscript"/>
        </w:rPr>
        <w:footnoteReference w:customMarkFollows="0" w:id="0"/>
      </w:r>
      <w:r w:rsidDel="00000000" w:rsidR="00000000" w:rsidRPr="00000000">
        <w:rPr>
          <w:rtl w:val="0"/>
        </w:rPr>
        <w:t xml:space="preserve"> Some of these interactions came in the form of epistolary texts, referred to by some as the familiar letter. </w:t>
      </w:r>
    </w:p>
    <w:p w:rsidR="00000000" w:rsidDel="00000000" w:rsidP="00000000" w:rsidRDefault="00000000" w:rsidRPr="00000000" w14:paraId="00000004">
      <w:pPr>
        <w:ind w:firstLine="720"/>
        <w:rPr/>
      </w:pPr>
      <w:r w:rsidDel="00000000" w:rsidR="00000000" w:rsidRPr="00000000">
        <w:rPr>
          <w:rtl w:val="0"/>
        </w:rPr>
        <w:t xml:space="preserve">The form’s origins itself can be dated back to the days of Marcus Tullius Cicero, 106-43BCE, who wrote over nine hundred letters to Titus Pomponius Atticus, his brother Quintus, his son Marcus, and various political figures like Brutus, Caesar, and Pompey. In Cicero’s letters, he had written in detail about his personal life and relationships, political analysis of current events, even civil war strategy. Although, in Cicero’s life, these letters were meant to be delivered and read solely by the addressee, the epistolary texts that came out of the humanist’s interactions with these classical texts were publicly published in order to open up the analysis and the access to antiquity to the general public in the hopes to bring a heightened sense of intellect and morality to the Renaissance period. </w:t>
      </w:r>
    </w:p>
    <w:p w:rsidR="00000000" w:rsidDel="00000000" w:rsidP="00000000" w:rsidRDefault="00000000" w:rsidRPr="00000000" w14:paraId="00000005">
      <w:pPr>
        <w:ind w:firstLine="720"/>
        <w:rPr/>
      </w:pPr>
      <w:r w:rsidDel="00000000" w:rsidR="00000000" w:rsidRPr="00000000">
        <w:rPr>
          <w:rtl w:val="0"/>
        </w:rPr>
        <w:t xml:space="preserve">In many of the humanist’s own interpretations of the form, they show the desires of the movement to bring antiquity back to relevancy and popularity. But they also offer an understanding into the trials and tribulations that humanists experienced in their efforts, barriers presented by difference in language, culture, religion and time.And in the following text, I will analyse how several humanist letters act as a depiction of the movement’s desires, and the troubles they faced.</w:t>
      </w:r>
    </w:p>
    <w:p w:rsidR="00000000" w:rsidDel="00000000" w:rsidP="00000000" w:rsidRDefault="00000000" w:rsidRPr="00000000" w14:paraId="00000006">
      <w:pPr>
        <w:ind w:firstLine="720"/>
        <w:rPr/>
      </w:pPr>
      <w:r w:rsidDel="00000000" w:rsidR="00000000" w:rsidRPr="00000000">
        <w:rPr>
          <w:rtl w:val="0"/>
        </w:rPr>
        <w:t xml:space="preserve">Some of the most famous texts to come out of these into actions were from Petrarch. Francesco Petrarch was a scholar and poet from Italy, and is widely regarded as one of the earliest humanists, and possibly the grandfather of the entire movement for his contribute to both the recovery of ancient text and his own personal writing.</w:t>
      </w:r>
      <w:r w:rsidDel="00000000" w:rsidR="00000000" w:rsidRPr="00000000">
        <w:rPr>
          <w:vertAlign w:val="superscript"/>
        </w:rPr>
        <w:footnoteReference w:customMarkFollows="0" w:id="1"/>
      </w:r>
      <w:r w:rsidDel="00000000" w:rsidR="00000000" w:rsidRPr="00000000">
        <w:rPr>
          <w:rtl w:val="0"/>
        </w:rPr>
        <w:t xml:space="preserve"> He was also imperative to the recovery of the epistolary literary form of the familiar letter. In 1345, whilst he was exploring the Verona Cathedral, Petrarch discovered a never-before-seen manuscript written by Cicero. Petrarch personally saw to the recovery of the letters that Cicero had written to his closest friend Titus Pomponius Atticus, the most famous of Caesar’s assassins Marcus Junius Brutus, and the Roman general Quintus Sertorius.</w:t>
      </w:r>
    </w:p>
    <w:p w:rsidR="00000000" w:rsidDel="00000000" w:rsidP="00000000" w:rsidRDefault="00000000" w:rsidRPr="00000000" w14:paraId="00000007">
      <w:pPr>
        <w:rPr/>
      </w:pPr>
      <w:r w:rsidDel="00000000" w:rsidR="00000000" w:rsidRPr="00000000">
        <w:rPr>
          <w:rtl w:val="0"/>
        </w:rPr>
        <w:tab/>
        <w:t xml:space="preserve">And even before the discovery and recovery of Cicero’s work, Petrarch had started a collection of his own letters, addressed to friends and acquaintances, as well as confidants and several long dead men. These were written in Italian and published as a collection that he named “Il Canzoniere”. One of the most famous of this is a response letter, to one he had supposed to have received from the ancient poet, Homer, currently residing in the Underworld.</w:t>
      </w:r>
    </w:p>
    <w:p w:rsidR="00000000" w:rsidDel="00000000" w:rsidP="00000000" w:rsidRDefault="00000000" w:rsidRPr="00000000" w14:paraId="00000008">
      <w:pPr>
        <w:rPr/>
      </w:pPr>
      <w:r w:rsidDel="00000000" w:rsidR="00000000" w:rsidRPr="00000000">
        <w:rPr>
          <w:rtl w:val="0"/>
        </w:rPr>
        <w:tab/>
        <w:t xml:space="preserve">Although there is no evidence that survived till contemporary of the Homer’s original letter, Petrarch’s response is one of the most famous examples of humanist’s examples of their continued interaction with the ancient texts. </w:t>
      </w:r>
    </w:p>
    <w:p w:rsidR="00000000" w:rsidDel="00000000" w:rsidP="00000000" w:rsidRDefault="00000000" w:rsidRPr="00000000" w14:paraId="00000009">
      <w:pPr>
        <w:rPr/>
      </w:pPr>
      <w:r w:rsidDel="00000000" w:rsidR="00000000" w:rsidRPr="00000000">
        <w:rPr>
          <w:rtl w:val="0"/>
        </w:rPr>
        <w:tab/>
        <w:t xml:space="preserve">The beginning of the letter starts with an apology from Petrarch, as some time appears to have missed between Homer’s letter and the response. He writes “I would have done so except that we have no common language”</w:t>
      </w:r>
      <w:r w:rsidDel="00000000" w:rsidR="00000000" w:rsidRPr="00000000">
        <w:rPr>
          <w:vertAlign w:val="superscript"/>
        </w:rPr>
        <w:footnoteReference w:customMarkFollows="0" w:id="2"/>
      </w:r>
      <w:r w:rsidDel="00000000" w:rsidR="00000000" w:rsidRPr="00000000">
        <w:rPr>
          <w:rtl w:val="0"/>
        </w:rPr>
        <w:t xml:space="preserve">, and this statement refers to the lack of ready availability to translation between Greek and Latin scholarship in the fourteenth century. Petrarch himself had a very limited knowledge of Greek, a problem that prevent most of the early humanists from ever being able to directly interact with the works of authors such as Homer. </w:t>
      </w:r>
    </w:p>
    <w:p w:rsidR="00000000" w:rsidDel="00000000" w:rsidP="00000000" w:rsidRDefault="00000000" w:rsidRPr="00000000" w14:paraId="0000000A">
      <w:pPr>
        <w:ind w:firstLine="720"/>
        <w:rPr/>
      </w:pPr>
      <w:r w:rsidDel="00000000" w:rsidR="00000000" w:rsidRPr="00000000">
        <w:rPr>
          <w:rtl w:val="0"/>
        </w:rPr>
        <w:t xml:space="preserve">Yet Petrarch’s letter also reflects the optimism of humanists and the entire movement. Although he acknowledges the lack of a shared language, he expresses hope that the gap can eventually be closed, writing that “there is now one man, inhabiting this age in which I live, who will restore you to us in Latin.”</w:t>
      </w:r>
      <w:r w:rsidDel="00000000" w:rsidR="00000000" w:rsidRPr="00000000">
        <w:rPr>
          <w:vertAlign w:val="superscript"/>
        </w:rPr>
        <w:footnoteReference w:customMarkFollows="0" w:id="3"/>
      </w:r>
      <w:r w:rsidDel="00000000" w:rsidR="00000000" w:rsidRPr="00000000">
        <w:rPr>
          <w:rtl w:val="0"/>
        </w:rPr>
        <w:t xml:space="preserve"> Here Petrarch refers to the contemporary effort to translate Greek texts into Latin, which would allow western scholars to engage more fully with ancient works. This passage demonstrates the active role humanists played in reconstructing antiquity for their own age. Rather than simply admiring the classical past, they sought to recover it through philological labour and translation, transforming ancient texts into forms accessible to their fellow humanists and the greater general public. Petrarch’s expectation that Homer would soon be “restored” to his age reflects the broader ambition of the humanist movement: to revive classical knowledge and integrate it once more into the intellectual life of Europe.</w:t>
      </w:r>
    </w:p>
    <w:p w:rsidR="00000000" w:rsidDel="00000000" w:rsidP="00000000" w:rsidRDefault="00000000" w:rsidRPr="00000000" w14:paraId="0000000B">
      <w:pPr>
        <w:ind w:firstLine="720"/>
        <w:rPr/>
      </w:pPr>
      <w:r w:rsidDel="00000000" w:rsidR="00000000" w:rsidRPr="00000000">
        <w:rPr>
          <w:rtl w:val="0"/>
        </w:rPr>
        <w:t xml:space="preserve">At the same time, Petrarch’s letter reveals how humanists attempted to unite their own classical admiration with the Christian worldview that dominated their own era. While still addressing Homer with deep devotion, Petrarch also reminds the poet that he lived before the revelation of Christianity, implementing God with the words “as Christ is my witness, that God unknown to you.”</w:t>
      </w:r>
      <w:r w:rsidDel="00000000" w:rsidR="00000000" w:rsidRPr="00000000">
        <w:rPr>
          <w:vertAlign w:val="superscript"/>
        </w:rPr>
        <w:footnoteReference w:customMarkFollows="0" w:id="4"/>
      </w:r>
      <w:r w:rsidDel="00000000" w:rsidR="00000000" w:rsidRPr="00000000">
        <w:rPr>
          <w:rtl w:val="0"/>
        </w:rPr>
        <w:t xml:space="preserve"> This moment highlights another significant barrier separating the humanists from antiquity: religion. The classical authors they admired, belonged to a pagan world fundamentally different from the Christian society of Renaissance Europe. Humanists therefore had to negotiate a complex intellectual position, simultaneously praising ancient writers for their literary and philosophical achievements while acknowledging their distance from the current and increasingly-expansive Christian truth. Petrarch’s statement underscores the delicate balance within humanist scholarship, where classical authority was celebrated but ultimately framed, and potentially limited, within the religious assumptions of Petrarch’s present time.</w:t>
      </w:r>
    </w:p>
    <w:p w:rsidR="00000000" w:rsidDel="00000000" w:rsidP="00000000" w:rsidRDefault="00000000" w:rsidRPr="00000000" w14:paraId="0000000C">
      <w:pPr>
        <w:ind w:firstLine="720"/>
        <w:rPr/>
      </w:pPr>
      <w:r w:rsidDel="00000000" w:rsidR="00000000" w:rsidRPr="00000000">
        <w:rPr>
          <w:rtl w:val="0"/>
        </w:rPr>
        <w:t xml:space="preserve">Despite these barriers, Petrarch’s tone throughout the letter conveys a deep emotional attachment to antiquity. He declares to Homer that “my love for you is brighter and hotter than the sun, my esteem for you so great that it could not be greater.”</w:t>
      </w:r>
      <w:r w:rsidDel="00000000" w:rsidR="00000000" w:rsidRPr="00000000">
        <w:rPr>
          <w:vertAlign w:val="superscript"/>
        </w:rPr>
        <w:footnoteReference w:customMarkFollows="0" w:id="5"/>
      </w:r>
      <w:r w:rsidDel="00000000" w:rsidR="00000000" w:rsidRPr="00000000">
        <w:rPr>
          <w:rtl w:val="0"/>
        </w:rPr>
        <w:t xml:space="preserve"> Such language demonstrates the profound admiration humanists held for classical authors, whom they regarded not merely as historical figures but as intellectual supremes and mentors. By addressing Homer in the form of a personal letter, Petrarch symbolically collapses the centuries separating them, making an ancient poet into a participant in a contemporary, scholarly discourse. This imaginative dialogue reflects the central desire of humanism: to establish a living relationship with the classical past, treating ancient writers as active advisors rather than just relics of a distant past.</w:t>
      </w:r>
    </w:p>
    <w:p w:rsidR="00000000" w:rsidDel="00000000" w:rsidP="00000000" w:rsidRDefault="00000000" w:rsidRPr="00000000" w14:paraId="0000000D">
      <w:pPr>
        <w:rPr/>
      </w:pPr>
      <w:r w:rsidDel="00000000" w:rsidR="00000000" w:rsidRPr="00000000">
        <w:rPr>
          <w:rtl w:val="0"/>
        </w:rPr>
        <w:tab/>
        <w:t xml:space="preserve">However, Petrarch remains conscious that he will never be able to stand as a equal with Homer. Towards the end of the letter, he positions himself within human history, as “the child of this last age of the world.”</w:t>
      </w:r>
      <w:r w:rsidDel="00000000" w:rsidR="00000000" w:rsidRPr="00000000">
        <w:rPr>
          <w:vertAlign w:val="superscript"/>
        </w:rPr>
        <w:footnoteReference w:customMarkFollows="0" w:id="6"/>
      </w:r>
      <w:r w:rsidDel="00000000" w:rsidR="00000000" w:rsidRPr="00000000">
        <w:rPr>
          <w:rtl w:val="0"/>
        </w:rPr>
        <w:t xml:space="preserve"> In this sentence, he shows a sense of temporal decline that was commonly felt by the early humanists and expressed in their texts, often believing that their own contemporary age was inferior intellectually to that of the classical era and their antiquity. Positioning himself in the “last age”, Petrarch emphasises the vast chronological distance that separates himself from Homer’s era, reinforcing the idea that the classical world represented a loss of cultural, intellectual and moral achievement that may no longer be accessible. </w:t>
      </w:r>
    </w:p>
    <w:p w:rsidR="00000000" w:rsidDel="00000000" w:rsidP="00000000" w:rsidRDefault="00000000" w:rsidRPr="00000000" w14:paraId="0000000E">
      <w:pPr>
        <w:rPr/>
      </w:pPr>
      <w:r w:rsidDel="00000000" w:rsidR="00000000" w:rsidRPr="00000000">
        <w:rPr>
          <w:rtl w:val="0"/>
        </w:rPr>
        <w:tab/>
        <w:t xml:space="preserve">Petrarch’s letter is a perfect example of humanist admiration for antiquity, whilst constantly showing a sense of awareness to the vast portion of the ancient world that could never be fully recovered.</w:t>
      </w:r>
    </w:p>
    <w:p w:rsidR="00000000" w:rsidDel="00000000" w:rsidP="00000000" w:rsidRDefault="00000000" w:rsidRPr="00000000" w14:paraId="0000000F">
      <w:pPr>
        <w:rPr/>
      </w:pPr>
      <w:r w:rsidDel="00000000" w:rsidR="00000000" w:rsidRPr="00000000">
        <w:rPr>
          <w:rtl w:val="0"/>
        </w:rPr>
        <w:tab/>
        <w:t xml:space="preserve">Whilst Petrarch’s letter to Homer depicts the emotional and intellectual longing for antiquity, letters written by later humanists reveal the physical labour that was required to recover classical texts, before translation and comprehension of the text can even begin.</w:t>
      </w:r>
    </w:p>
    <w:p w:rsidR="00000000" w:rsidDel="00000000" w:rsidP="00000000" w:rsidRDefault="00000000" w:rsidRPr="00000000" w14:paraId="00000010">
      <w:pPr>
        <w:rPr/>
      </w:pPr>
      <w:r w:rsidDel="00000000" w:rsidR="00000000" w:rsidRPr="00000000">
        <w:rPr>
          <w:rtl w:val="0"/>
        </w:rPr>
        <w:tab/>
        <w:t xml:space="preserve">Gian Francesco Poggio Bracciolini was another Italian scholar and an early humanist, who is credited with the rediscovering and recovering of many classical texts.</w:t>
      </w:r>
    </w:p>
    <w:p w:rsidR="00000000" w:rsidDel="00000000" w:rsidP="00000000" w:rsidRDefault="00000000" w:rsidRPr="00000000" w14:paraId="00000011">
      <w:pPr>
        <w:rPr/>
      </w:pPr>
      <w:r w:rsidDel="00000000" w:rsidR="00000000" w:rsidRPr="00000000">
        <w:rPr>
          <w:rtl w:val="0"/>
        </w:rPr>
        <w:tab/>
        <w:t xml:space="preserve">On December 15th, 1416, Bracciolini wrote a letter addressed to a pivotal Italian Renaissance humanist, classical scholar, and educator, Guarino Veronese. In the letter, Bracciolini describes the discovery of manuscripts during his searches through monastic libraries in France, Germany and Switzerland between 1415 and 1417. His description of the discovery presents the recovery of the ancient language and texts as a form of rescuing them from neglect and decay. He states that the texts were “so mutilated, so mangled, ravaged… in the toils of time, that it was impossible to recognise in him his form, or his nature.”</w:t>
      </w:r>
      <w:r w:rsidDel="00000000" w:rsidR="00000000" w:rsidRPr="00000000">
        <w:rPr>
          <w:vertAlign w:val="superscript"/>
        </w:rPr>
        <w:footnoteReference w:customMarkFollows="0" w:id="7"/>
      </w:r>
      <w:r w:rsidDel="00000000" w:rsidR="00000000" w:rsidRPr="00000000">
        <w:rPr>
          <w:rtl w:val="0"/>
        </w:rPr>
        <w:t xml:space="preserve"> The use of such vivid imagery as mutilation emphasises the waning fragility of the classical knowledge across hundreds of years. Manuscripts can suffer intellectual and physical damage through copying errors, environmental deterioration, as well as simple neglect. This left humanists with the difficult task of attempting to reconstruct texts that had corrupted over time.</w:t>
      </w:r>
    </w:p>
    <w:p w:rsidR="00000000" w:rsidDel="00000000" w:rsidP="00000000" w:rsidRDefault="00000000" w:rsidRPr="00000000" w14:paraId="00000012">
      <w:pPr>
        <w:rPr/>
      </w:pPr>
      <w:r w:rsidDel="00000000" w:rsidR="00000000" w:rsidRPr="00000000">
        <w:rPr>
          <w:rtl w:val="0"/>
        </w:rPr>
        <w:tab/>
        <w:t xml:space="preserve">Bracciolini’s explanation of the discovery of a manuscript of Marcus Fabius Quintilianus’, impactfully portrays the recovery process. He states that “amid a huge pile of books… we found Quintilian still safe and sound but full of mod and mixed with filth.”</w:t>
      </w:r>
      <w:r w:rsidDel="00000000" w:rsidR="00000000" w:rsidRPr="00000000">
        <w:rPr>
          <w:vertAlign w:val="superscript"/>
        </w:rPr>
        <w:footnoteReference w:customMarkFollows="0" w:id="8"/>
      </w:r>
      <w:r w:rsidDel="00000000" w:rsidR="00000000" w:rsidRPr="00000000">
        <w:rPr>
          <w:rtl w:val="0"/>
        </w:rPr>
        <w:t xml:space="preserve"> The sheer survival of the work is depicted as almost miracle-like, yet the condition of it reveals the extent to which the classical literature had been marginalised in the hundreds of years following the fall of the Roman Empire in 476CE. The humanists regarded themselves as rescuers of a completely neglected intellectual heritage, as they worked to recover texts that had been forgotten and/or poorly preserved. In this way, their task was not strictly academic, but also cultural. By restoring the works, and translating them into Latin, they believed that they were not only reviving the intellectual brilliance of the ancient world but also attempting to circulate them into their contemporary era.</w:t>
      </w:r>
    </w:p>
    <w:p w:rsidR="00000000" w:rsidDel="00000000" w:rsidP="00000000" w:rsidRDefault="00000000" w:rsidRPr="00000000" w14:paraId="00000013">
      <w:pPr>
        <w:rPr/>
      </w:pPr>
      <w:r w:rsidDel="00000000" w:rsidR="00000000" w:rsidRPr="00000000">
        <w:rPr>
          <w:rtl w:val="0"/>
        </w:rPr>
        <w:tab/>
        <w:t xml:space="preserve">Bracciolini then complains about the setting in which this manuscript was being kept. He says that it was kept “not in the library, as their worth required, but in a kind of dark and loathsome prison”.</w:t>
      </w:r>
      <w:r w:rsidDel="00000000" w:rsidR="00000000" w:rsidRPr="00000000">
        <w:rPr>
          <w:vertAlign w:val="superscript"/>
        </w:rPr>
        <w:footnoteReference w:customMarkFollows="0" w:id="9"/>
      </w:r>
      <w:r w:rsidDel="00000000" w:rsidR="00000000" w:rsidRPr="00000000">
        <w:rPr>
          <w:rtl w:val="0"/>
        </w:rPr>
        <w:t xml:space="preserve"> His use of the metaphor of imprisonment suggests that the classical knowledge had been not only been confined, but unjustly, whilst they await a kind of liberation that could only be offered by someone that could recognise its value. Humanists frequently depicted their mission and attempts to accomplish it in similar terms, depicting themselves as champions of the ancient language and literature, that struggled against the ignorance and/or indifference of the time that had past between their writing and their later rediscovery. His language also reveals the tension between Renaissance humanists and the medieval scholarly traditions, ones that were often criticised for neglecting the stylistic and literary excellence of classical Latin.</w:t>
      </w:r>
    </w:p>
    <w:p w:rsidR="00000000" w:rsidDel="00000000" w:rsidP="00000000" w:rsidRDefault="00000000" w:rsidRPr="00000000" w14:paraId="00000014">
      <w:pPr>
        <w:rPr/>
      </w:pPr>
      <w:r w:rsidDel="00000000" w:rsidR="00000000" w:rsidRPr="00000000">
        <w:rPr>
          <w:rtl w:val="0"/>
        </w:rPr>
        <w:tab/>
        <w:t xml:space="preserve">Similar sentiments are expressed in other letters written by humanists of that time. More specifically, Cencio Romano’s letter to Francesco da Fiano, which was written in the summer of the same year as Guarino’s.</w:t>
      </w:r>
    </w:p>
    <w:p w:rsidR="00000000" w:rsidDel="00000000" w:rsidP="00000000" w:rsidRDefault="00000000" w:rsidRPr="00000000" w14:paraId="00000015">
      <w:pPr>
        <w:rPr/>
      </w:pPr>
      <w:r w:rsidDel="00000000" w:rsidR="00000000" w:rsidRPr="00000000">
        <w:rPr>
          <w:rtl w:val="0"/>
        </w:rPr>
        <w:tab/>
        <w:t xml:space="preserve">In the letter to Fiano, Romano recalls the events leading up to, and including, the discovery of “a nearly infinite number of books” connected to the classical world and their knowledge. He states that they were found “imprisoned as captives”, covered in “dust, worms, dirt, and all other thing pertaining to the destruction of books”.</w:t>
      </w:r>
      <w:r w:rsidDel="00000000" w:rsidR="00000000" w:rsidRPr="00000000">
        <w:rPr>
          <w:vertAlign w:val="superscript"/>
        </w:rPr>
        <w:footnoteReference w:customMarkFollows="0" w:id="10"/>
      </w:r>
      <w:r w:rsidDel="00000000" w:rsidR="00000000" w:rsidRPr="00000000">
        <w:rPr>
          <w:rtl w:val="0"/>
        </w:rPr>
        <w:t xml:space="preserve"> Again, the vivid imagery created by his use of words clearly states that the classical texts were not being shown the precaution and care that they require for survival. Every manuscript that was rediscovered represented a small fragment of the antiquity that humanists managed to rescue from destruction. Romano even reveals his own emotional reaction, stating that “we broke out in tears”</w:t>
      </w:r>
      <w:r w:rsidDel="00000000" w:rsidR="00000000" w:rsidRPr="00000000">
        <w:rPr>
          <w:vertAlign w:val="superscript"/>
        </w:rPr>
        <w:footnoteReference w:customMarkFollows="0" w:id="11"/>
      </w:r>
      <w:r w:rsidDel="00000000" w:rsidR="00000000" w:rsidRPr="00000000">
        <w:rPr>
          <w:rtl w:val="0"/>
        </w:rPr>
        <w:t xml:space="preserve">, realising that the “glory and honor of the Latin language”</w:t>
      </w:r>
      <w:r w:rsidDel="00000000" w:rsidR="00000000" w:rsidRPr="00000000">
        <w:rPr>
          <w:vertAlign w:val="superscript"/>
        </w:rPr>
        <w:footnoteReference w:customMarkFollows="0" w:id="12"/>
      </w:r>
      <w:r w:rsidDel="00000000" w:rsidR="00000000" w:rsidRPr="00000000">
        <w:rPr>
          <w:rtl w:val="0"/>
        </w:rPr>
        <w:t xml:space="preserve"> had almost been completely erased because of centuries of neglect. This response emphasises how deeply humanists associated the classical literature with a previously-unknown height of intellect.</w:t>
      </w:r>
    </w:p>
    <w:p w:rsidR="00000000" w:rsidDel="00000000" w:rsidP="00000000" w:rsidRDefault="00000000" w:rsidRPr="00000000" w14:paraId="00000016">
      <w:pPr>
        <w:rPr/>
      </w:pPr>
      <w:r w:rsidDel="00000000" w:rsidR="00000000" w:rsidRPr="00000000">
        <w:rPr>
          <w:rtl w:val="0"/>
        </w:rPr>
        <w:tab/>
        <w:t xml:space="preserve">Romano’s retelling also shows the cultural tensions that would have made the humanist revival of the classical learning even more difficult than solely translation and recirculation. He insults “the abbot and monks who dwelled in that monastery”</w:t>
      </w:r>
      <w:r w:rsidDel="00000000" w:rsidR="00000000" w:rsidRPr="00000000">
        <w:rPr>
          <w:vertAlign w:val="superscript"/>
        </w:rPr>
        <w:footnoteReference w:customMarkFollows="0" w:id="13"/>
      </w:r>
      <w:r w:rsidDel="00000000" w:rsidR="00000000" w:rsidRPr="00000000">
        <w:rPr>
          <w:rtl w:val="0"/>
        </w:rPr>
        <w:t xml:space="preserve">, claiming that they were “completely illiterate”</w:t>
      </w:r>
      <w:r w:rsidDel="00000000" w:rsidR="00000000" w:rsidRPr="00000000">
        <w:rPr>
          <w:vertAlign w:val="superscript"/>
        </w:rPr>
        <w:footnoteReference w:customMarkFollows="0" w:id="14"/>
      </w:r>
      <w:r w:rsidDel="00000000" w:rsidR="00000000" w:rsidRPr="00000000">
        <w:rPr>
          <w:rtl w:val="0"/>
        </w:rPr>
        <w:t xml:space="preserve"> and describes them as “barbarous foes of the Latin language.”</w:t>
      </w:r>
      <w:r w:rsidDel="00000000" w:rsidR="00000000" w:rsidRPr="00000000">
        <w:rPr>
          <w:vertAlign w:val="superscript"/>
        </w:rPr>
        <w:footnoteReference w:customMarkFollows="0" w:id="15"/>
      </w:r>
      <w:r w:rsidDel="00000000" w:rsidR="00000000" w:rsidRPr="00000000">
        <w:rPr>
          <w:rtl w:val="0"/>
        </w:rPr>
        <w:t xml:space="preserve"> This reflects the wider humanist critique of the current scholarship of the times. </w:t>
      </w:r>
    </w:p>
    <w:p w:rsidR="00000000" w:rsidDel="00000000" w:rsidP="00000000" w:rsidRDefault="00000000" w:rsidRPr="00000000" w14:paraId="00000017">
      <w:pPr>
        <w:ind w:firstLine="720"/>
        <w:rPr/>
      </w:pPr>
      <w:r w:rsidDel="00000000" w:rsidR="00000000" w:rsidRPr="00000000">
        <w:rPr>
          <w:rtl w:val="0"/>
        </w:rPr>
        <w:t xml:space="preserve">But, Romano also recognises that the problem was bigger than the monastery itself. He asks why he should “assail this mob of barbarians”</w:t>
      </w:r>
      <w:r w:rsidDel="00000000" w:rsidR="00000000" w:rsidRPr="00000000">
        <w:rPr>
          <w:vertAlign w:val="superscript"/>
        </w:rPr>
        <w:footnoteReference w:customMarkFollows="0" w:id="16"/>
      </w:r>
      <w:r w:rsidDel="00000000" w:rsidR="00000000" w:rsidRPr="00000000">
        <w:rPr>
          <w:rtl w:val="0"/>
        </w:rPr>
        <w:t xml:space="preserve">, when “the Romans themselves… have more gravely wounded and more harshly abused the language… that we have inherited from them.”</w:t>
      </w:r>
      <w:r w:rsidDel="00000000" w:rsidR="00000000" w:rsidRPr="00000000">
        <w:rPr>
          <w:vertAlign w:val="superscript"/>
        </w:rPr>
        <w:footnoteReference w:customMarkFollows="0" w:id="17"/>
      </w:r>
      <w:r w:rsidDel="00000000" w:rsidR="00000000" w:rsidRPr="00000000">
        <w:rPr>
          <w:rtl w:val="0"/>
        </w:rPr>
        <w:t xml:space="preserve"> In his words, Romano is revealing a deep anxiousness within the humanist movement, an understanding of the linguistic decline that occurred gradually over centuries, including within Roman times and culture themselves. Humanists were tasking themselves with reconstructing a linguistic style and set standard that had changed between the periods of relevancy, not simply discovering and translating old texts.</w:t>
      </w:r>
    </w:p>
    <w:p w:rsidR="00000000" w:rsidDel="00000000" w:rsidP="00000000" w:rsidRDefault="00000000" w:rsidRPr="00000000" w14:paraId="00000018">
      <w:pPr>
        <w:ind w:firstLine="720"/>
        <w:rPr/>
      </w:pPr>
      <w:r w:rsidDel="00000000" w:rsidR="00000000" w:rsidRPr="00000000">
        <w:rPr>
          <w:rtl w:val="0"/>
        </w:rPr>
        <w:t xml:space="preserve">When analysed together, these letters show how the epistolary form of writing functioned as both a presentation of humanist scholarship, as well as a direct depiction of the ideals and restraints of the movement.Through their writing, humanist scholars have expressed their adoration of those that came before them, described the challenges of recovering manuscripts, and reflected on how cultural, temporal, religious, and linguistic barriers have separated them from the classic era. These letters also demonstrate how humanists created a narrative for the revival of the previous lost and forgotten language and literature, and portraying themselves as participants in a collective effort to restore the lost heights of antiquity.</w:t>
      </w:r>
    </w:p>
    <w:p w:rsidR="00000000" w:rsidDel="00000000" w:rsidP="00000000" w:rsidRDefault="00000000" w:rsidRPr="00000000" w14:paraId="00000019">
      <w:pPr>
        <w:ind w:firstLine="720"/>
        <w:rPr/>
      </w:pPr>
      <w:r w:rsidDel="00000000" w:rsidR="00000000" w:rsidRPr="00000000">
        <w:rPr>
          <w:rtl w:val="0"/>
        </w:rPr>
        <w:t xml:space="preserve">Petrarch’s imagined conversation with Homer captures the longing for intellectual equality across centuries, while the letters of Bracciolini and Romano reveal the arduous process of rediscovering and preserving the ancient manuscripts. Together these writings demonstrate that the Renaissance revival of antiquity was not merely an abstract love for the past but an active and often difficult pursuit, shaped by linguistic limitations, cultural change, religious difference, and the relentless passage of time.</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Bibliography:</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numPr>
          <w:ilvl w:val="0"/>
          <w:numId w:val="1"/>
        </w:numPr>
        <w:ind w:left="720" w:hanging="360"/>
        <w:rPr>
          <w:i w:val="1"/>
          <w:iCs w:val="1"/>
        </w:rPr>
      </w:pPr>
      <w:r w:rsidDel="00000000" w:rsidR="00000000" w:rsidRPr="00000000">
        <w:rPr>
          <w:i w:val="1"/>
          <w:iCs w:val="1"/>
          <w:rtl w:val="0"/>
        </w:rPr>
        <w:t xml:space="preserve">Renaissance Humanism: An Anthology of Sources, </w:t>
      </w:r>
      <w:r w:rsidDel="00000000" w:rsidR="00000000" w:rsidRPr="00000000">
        <w:rPr>
          <w:rtl w:val="0"/>
        </w:rPr>
        <w:t xml:space="preserve">ed. and trans., with an Introduction, by Margaret L. King (Indianapolis, Indiana.: Hackett Publishing Company, Inc., 2014).</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numPr>
          <w:ilvl w:val="0"/>
          <w:numId w:val="1"/>
        </w:numPr>
        <w:ind w:left="720" w:hanging="360"/>
      </w:pPr>
      <w:r w:rsidDel="00000000" w:rsidR="00000000" w:rsidRPr="00000000">
        <w:rPr>
          <w:rtl w:val="0"/>
        </w:rPr>
        <w:t xml:space="preserve">Petrarch, F. </w:t>
      </w:r>
      <w:r w:rsidDel="00000000" w:rsidR="00000000" w:rsidRPr="00000000">
        <w:rPr>
          <w:i w:val="1"/>
          <w:iCs w:val="1"/>
          <w:rtl w:val="0"/>
        </w:rPr>
        <w:t xml:space="preserve">Selections from the the Canzoniere and other works</w:t>
      </w:r>
      <w:r w:rsidDel="00000000" w:rsidR="00000000" w:rsidRPr="00000000">
        <w:rPr>
          <w:rtl w:val="0"/>
        </w:rPr>
        <w:t xml:space="preserve">, ed. and trans., with an Introduction by Mark Musa (Oxford, New York.:Oxford University Press, 1985).</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22">
      <w:pPr>
        <w:spacing w:line="240" w:lineRule="auto"/>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King, M. L. </w:t>
      </w:r>
      <w:r w:rsidDel="00000000" w:rsidR="00000000" w:rsidRPr="00000000">
        <w:rPr>
          <w:i w:val="1"/>
          <w:iCs w:val="1"/>
          <w:sz w:val="20"/>
          <w:szCs w:val="20"/>
          <w:rtl w:val="0"/>
        </w:rPr>
        <w:t xml:space="preserve">Renaissance Humanism: An Anthology of Sources</w:t>
      </w:r>
      <w:r w:rsidDel="00000000" w:rsidR="00000000" w:rsidRPr="00000000">
        <w:rPr>
          <w:sz w:val="20"/>
          <w:szCs w:val="20"/>
          <w:rtl w:val="0"/>
        </w:rPr>
        <w:t xml:space="preserve"> (Hackett Publishing Company, Inc., 2014), p. ix.</w:t>
      </w:r>
      <w:r w:rsidDel="00000000" w:rsidR="00000000" w:rsidRPr="00000000">
        <w:rPr>
          <w:rtl w:val="0"/>
        </w:rPr>
      </w:r>
    </w:p>
  </w:footnote>
  <w:footnote w:id="1">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Musa, M. </w:t>
      </w:r>
      <w:r w:rsidDel="00000000" w:rsidR="00000000" w:rsidRPr="00000000">
        <w:rPr>
          <w:i w:val="1"/>
          <w:iCs w:val="1"/>
          <w:sz w:val="20"/>
          <w:szCs w:val="20"/>
          <w:rtl w:val="0"/>
        </w:rPr>
        <w:t xml:space="preserve">Selections from the the Canzoniere and other works</w:t>
      </w:r>
      <w:r w:rsidDel="00000000" w:rsidR="00000000" w:rsidRPr="00000000">
        <w:rPr>
          <w:sz w:val="20"/>
          <w:szCs w:val="20"/>
          <w:rtl w:val="0"/>
        </w:rPr>
        <w:t xml:space="preserve"> (Oxford University Press, 1985), Pp. x.</w:t>
      </w:r>
    </w:p>
  </w:footnote>
  <w:footnote w:id="2">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King, M. L. </w:t>
      </w:r>
      <w:r w:rsidDel="00000000" w:rsidR="00000000" w:rsidRPr="00000000">
        <w:rPr>
          <w:i w:val="1"/>
          <w:iCs w:val="1"/>
          <w:sz w:val="20"/>
          <w:szCs w:val="20"/>
          <w:rtl w:val="0"/>
        </w:rPr>
        <w:t xml:space="preserve">Renaissance Humanism: An Anthology of Sources</w:t>
      </w:r>
      <w:r w:rsidDel="00000000" w:rsidR="00000000" w:rsidRPr="00000000">
        <w:rPr>
          <w:sz w:val="20"/>
          <w:szCs w:val="20"/>
          <w:rtl w:val="0"/>
        </w:rPr>
        <w:t xml:space="preserve"> (Hackett Publishing Company, Inc., 2014), Pp. 8.</w:t>
      </w:r>
    </w:p>
  </w:footnote>
  <w:footnote w:id="3">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Pp. 8.</w:t>
      </w:r>
    </w:p>
  </w:footnote>
  <w:footnote w:id="4">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Pp.10.</w:t>
      </w:r>
    </w:p>
  </w:footnote>
  <w:footnote w:id="5">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King, M. L. </w:t>
      </w:r>
      <w:r w:rsidDel="00000000" w:rsidR="00000000" w:rsidRPr="00000000">
        <w:rPr>
          <w:i w:val="1"/>
          <w:iCs w:val="1"/>
          <w:sz w:val="20"/>
          <w:szCs w:val="20"/>
          <w:rtl w:val="0"/>
        </w:rPr>
        <w:t xml:space="preserve">Renaissance Humanism: An Anthology of Sources</w:t>
      </w:r>
      <w:r w:rsidDel="00000000" w:rsidR="00000000" w:rsidRPr="00000000">
        <w:rPr>
          <w:sz w:val="20"/>
          <w:szCs w:val="20"/>
          <w:rtl w:val="0"/>
        </w:rPr>
        <w:t xml:space="preserve"> (Hackett Publishing Company, Inc., 2014), Pp. 10.</w:t>
      </w:r>
    </w:p>
  </w:footnote>
  <w:footnote w:id="6">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King, M. L. </w:t>
      </w:r>
      <w:r w:rsidDel="00000000" w:rsidR="00000000" w:rsidRPr="00000000">
        <w:rPr>
          <w:i w:val="1"/>
          <w:iCs w:val="1"/>
          <w:sz w:val="20"/>
          <w:szCs w:val="20"/>
          <w:rtl w:val="0"/>
        </w:rPr>
        <w:t xml:space="preserve">Renaissance Humanism: An Anthology of Sources</w:t>
      </w:r>
      <w:r w:rsidDel="00000000" w:rsidR="00000000" w:rsidRPr="00000000">
        <w:rPr>
          <w:sz w:val="20"/>
          <w:szCs w:val="20"/>
          <w:rtl w:val="0"/>
        </w:rPr>
        <w:t xml:space="preserve"> (Hackett Publishing Company, Inc., 2014), Pp. 10.</w:t>
      </w:r>
    </w:p>
  </w:footnote>
  <w:footnote w:id="7">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Pp. 31.</w:t>
      </w:r>
    </w:p>
  </w:footnote>
  <w:footnote w:id="8">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Pp. 32.</w:t>
      </w:r>
    </w:p>
  </w:footnote>
  <w:footnote w:id="9">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King, M. L. </w:t>
      </w:r>
      <w:r w:rsidDel="00000000" w:rsidR="00000000" w:rsidRPr="00000000">
        <w:rPr>
          <w:i w:val="1"/>
          <w:iCs w:val="1"/>
          <w:sz w:val="20"/>
          <w:szCs w:val="20"/>
          <w:rtl w:val="0"/>
        </w:rPr>
        <w:t xml:space="preserve">Renaissance Humanism: An Anthology of Sources</w:t>
      </w:r>
      <w:r w:rsidDel="00000000" w:rsidR="00000000" w:rsidRPr="00000000">
        <w:rPr>
          <w:sz w:val="20"/>
          <w:szCs w:val="20"/>
          <w:rtl w:val="0"/>
        </w:rPr>
        <w:t xml:space="preserve"> (Hackett Publishing Company, Inc., 2014), Pp. 34.</w:t>
      </w:r>
    </w:p>
  </w:footnote>
  <w:footnote w:id="10">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11">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12">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13">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14">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15">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16">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17">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King, M. L. </w:t>
      </w:r>
      <w:r w:rsidDel="00000000" w:rsidR="00000000" w:rsidRPr="00000000">
        <w:rPr>
          <w:i w:val="1"/>
          <w:iCs w:val="1"/>
          <w:sz w:val="20"/>
          <w:szCs w:val="20"/>
          <w:rtl w:val="0"/>
        </w:rPr>
        <w:t xml:space="preserve">Renaissance Humanism: An Anthology of Sources</w:t>
      </w:r>
      <w:r w:rsidDel="00000000" w:rsidR="00000000" w:rsidRPr="00000000">
        <w:rPr>
          <w:sz w:val="20"/>
          <w:szCs w:val="20"/>
          <w:rtl w:val="0"/>
        </w:rPr>
        <w:t xml:space="preserve"> (Hackett Publishing Company, Inc., 2014), Pp. 34.</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