
<file path=[Content_Types].xml><?xml version="1.0" encoding="utf-8"?>
<Types xmlns="http://schemas.openxmlformats.org/package/2006/content-types">
  <Default Extension="bin" ContentType="application/vnd.openxmlformats-officedocument.oleObject"/>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B5422" w:rsidRDefault="00AD1B03" w:rsidP="00841730">
      <w:proofErr w:type="gramStart"/>
      <w:r w:rsidRPr="00EB5422">
        <w:rPr>
          <w:b/>
        </w:rPr>
        <w:t>Overview of a Physics Game Engine</w:t>
      </w:r>
      <w:r>
        <w:t>.</w:t>
      </w:r>
      <w:proofErr w:type="gramEnd"/>
    </w:p>
    <w:p w:rsidR="001F45DF" w:rsidRDefault="00AD1B03" w:rsidP="00841730">
      <w:pPr>
        <w:rPr>
          <w:lang w:val="en-US"/>
        </w:rPr>
      </w:pPr>
      <w:r>
        <w:t>If we want to make a game</w:t>
      </w:r>
      <w:r w:rsidR="002A0372" w:rsidRPr="00AD1B03">
        <w:rPr>
          <w:lang w:val="en-US"/>
        </w:rPr>
        <w:t xml:space="preserve"> </w:t>
      </w:r>
      <w:r>
        <w:rPr>
          <w:lang w:val="en-US"/>
        </w:rPr>
        <w:t xml:space="preserve">that </w:t>
      </w:r>
      <w:r w:rsidR="002A0372" w:rsidRPr="00AD1B03">
        <w:rPr>
          <w:lang w:val="en-US"/>
        </w:rPr>
        <w:t>has basic movement and animation</w:t>
      </w:r>
      <w:r>
        <w:rPr>
          <w:lang w:val="en-US"/>
        </w:rPr>
        <w:t xml:space="preserve"> look </w:t>
      </w:r>
      <w:r w:rsidR="002A0372" w:rsidRPr="00AD1B03">
        <w:rPr>
          <w:lang w:val="en-US"/>
        </w:rPr>
        <w:t>more realistic</w:t>
      </w:r>
      <w:r>
        <w:rPr>
          <w:lang w:val="en-US"/>
        </w:rPr>
        <w:t xml:space="preserve"> then we n</w:t>
      </w:r>
      <w:r w:rsidR="002A0372" w:rsidRPr="00AD1B03">
        <w:rPr>
          <w:lang w:val="en-US"/>
        </w:rPr>
        <w:t xml:space="preserve">eed to </w:t>
      </w:r>
      <w:r w:rsidR="00EB34A2">
        <w:rPr>
          <w:lang w:val="en-US"/>
        </w:rPr>
        <w:t xml:space="preserve">accurately </w:t>
      </w:r>
      <w:r w:rsidR="002A0372" w:rsidRPr="00AD1B03">
        <w:rPr>
          <w:lang w:val="en-US"/>
        </w:rPr>
        <w:t xml:space="preserve">simulate </w:t>
      </w:r>
      <w:r>
        <w:rPr>
          <w:lang w:val="en-US"/>
        </w:rPr>
        <w:t>all object interactions.  We use ideas</w:t>
      </w:r>
      <w:r w:rsidR="00EB34A2">
        <w:rPr>
          <w:lang w:val="en-US"/>
        </w:rPr>
        <w:t xml:space="preserve"> taken from </w:t>
      </w:r>
      <w:r w:rsidR="002A0372" w:rsidRPr="00AD1B03">
        <w:rPr>
          <w:lang w:val="en-US"/>
        </w:rPr>
        <w:t>rigid body dynamics</w:t>
      </w:r>
      <w:r>
        <w:rPr>
          <w:lang w:val="en-US"/>
        </w:rPr>
        <w:t xml:space="preserve"> to do this.</w:t>
      </w:r>
    </w:p>
    <w:p w:rsidR="002534F4" w:rsidRDefault="00AD1B03" w:rsidP="00AD1B03">
      <w:pPr>
        <w:tabs>
          <w:tab w:val="num" w:pos="720"/>
        </w:tabs>
      </w:pPr>
      <w:r>
        <w:t xml:space="preserve">In </w:t>
      </w:r>
      <w:r w:rsidRPr="00AD1B03">
        <w:t>physics</w:t>
      </w:r>
      <w:r>
        <w:t xml:space="preserve">, </w:t>
      </w:r>
      <w:r w:rsidRPr="002534F4">
        <w:rPr>
          <w:bCs/>
        </w:rPr>
        <w:t>rigid body dynamics</w:t>
      </w:r>
      <w:r>
        <w:t xml:space="preserve"> is the study of the </w:t>
      </w:r>
      <w:r w:rsidRPr="00AD1B03">
        <w:t>motion</w:t>
      </w:r>
      <w:r>
        <w:t xml:space="preserve"> of </w:t>
      </w:r>
      <w:r w:rsidRPr="00AD1B03">
        <w:t>rigid bodies</w:t>
      </w:r>
      <w:r>
        <w:t xml:space="preserve">. </w:t>
      </w:r>
      <w:r w:rsidR="002534F4">
        <w:t>Here we assume a</w:t>
      </w:r>
      <w:r>
        <w:t xml:space="preserve">n object can move in 3 dimensions and </w:t>
      </w:r>
      <w:r w:rsidR="00EB34A2">
        <w:t xml:space="preserve">can </w:t>
      </w:r>
      <w:r>
        <w:t xml:space="preserve">also rotate. </w:t>
      </w:r>
      <w:r w:rsidR="002534F4">
        <w:t xml:space="preserve">For the time being we will focus on </w:t>
      </w:r>
      <w:r w:rsidR="00EB34A2">
        <w:t xml:space="preserve">linear </w:t>
      </w:r>
      <w:r w:rsidR="002534F4">
        <w:t>movement in three dimensions and we’l</w:t>
      </w:r>
      <w:r>
        <w:t>l consider rotations later on.  The motion</w:t>
      </w:r>
      <w:r w:rsidR="002534F4">
        <w:t xml:space="preserve"> we model</w:t>
      </w:r>
      <w:r>
        <w:t xml:space="preserve"> is not simply </w:t>
      </w:r>
      <w:r w:rsidR="002534F4">
        <w:t>velocity (change of position with respect to time) but also changes in velocity over time, i.e. acceleration.</w:t>
      </w:r>
    </w:p>
    <w:p w:rsidR="00AD1B03" w:rsidRDefault="002534F4" w:rsidP="00AD1B03">
      <w:pPr>
        <w:tabs>
          <w:tab w:val="num" w:pos="720"/>
        </w:tabs>
      </w:pPr>
      <w:r>
        <w:t xml:space="preserve">Also, when objects collide they change their velocity and we will need to consider this too.  We look at one approach to dealing with this problem later on when we discuss collision detection and collision response. </w:t>
      </w:r>
    </w:p>
    <w:p w:rsidR="00D903B6" w:rsidRPr="00EB5422" w:rsidRDefault="002534F4" w:rsidP="00841730">
      <w:pPr>
        <w:tabs>
          <w:tab w:val="num" w:pos="720"/>
        </w:tabs>
        <w:rPr>
          <w:b/>
        </w:rPr>
      </w:pPr>
      <w:r w:rsidRPr="00EB5422">
        <w:rPr>
          <w:b/>
        </w:rPr>
        <w:t>Basic Newtonian Physics</w:t>
      </w:r>
    </w:p>
    <w:p w:rsidR="001F45DF" w:rsidRPr="00292888" w:rsidRDefault="002A0372" w:rsidP="00841730">
      <w:pPr>
        <w:tabs>
          <w:tab w:val="num" w:pos="720"/>
        </w:tabs>
      </w:pPr>
      <w:r w:rsidRPr="00292888">
        <w:rPr>
          <w:lang w:val="en-US"/>
        </w:rPr>
        <w:t xml:space="preserve">All objects </w:t>
      </w:r>
      <w:r w:rsidR="002534F4" w:rsidRPr="00292888">
        <w:rPr>
          <w:lang w:val="en-US"/>
        </w:rPr>
        <w:t xml:space="preserve">are </w:t>
      </w:r>
      <w:r w:rsidRPr="00292888">
        <w:rPr>
          <w:lang w:val="en-US"/>
        </w:rPr>
        <w:t>affected by forces</w:t>
      </w:r>
      <w:r w:rsidR="002534F4" w:rsidRPr="00292888">
        <w:rPr>
          <w:lang w:val="en-US"/>
        </w:rPr>
        <w:t>, for example g</w:t>
      </w:r>
      <w:r w:rsidRPr="00292888">
        <w:rPr>
          <w:lang w:val="en-US"/>
        </w:rPr>
        <w:t>ravity</w:t>
      </w:r>
      <w:r w:rsidR="00430384">
        <w:rPr>
          <w:lang w:val="en-US"/>
        </w:rPr>
        <w:t>;</w:t>
      </w:r>
      <w:r w:rsidR="002534F4" w:rsidRPr="00292888">
        <w:rPr>
          <w:lang w:val="en-US"/>
        </w:rPr>
        <w:t xml:space="preserve"> the g</w:t>
      </w:r>
      <w:r w:rsidRPr="00292888">
        <w:rPr>
          <w:lang w:val="en-US"/>
        </w:rPr>
        <w:t>round (pushing up</w:t>
      </w:r>
      <w:proofErr w:type="gramStart"/>
      <w:r w:rsidRPr="00292888">
        <w:rPr>
          <w:lang w:val="en-US"/>
        </w:rPr>
        <w:t>)</w:t>
      </w:r>
      <w:r w:rsidR="002534F4" w:rsidRPr="00292888">
        <w:rPr>
          <w:lang w:val="en-US"/>
        </w:rPr>
        <w:t xml:space="preserve"> ;</w:t>
      </w:r>
      <w:proofErr w:type="gramEnd"/>
      <w:r w:rsidR="002534F4" w:rsidRPr="00292888">
        <w:rPr>
          <w:lang w:val="en-US"/>
        </w:rPr>
        <w:t xml:space="preserve"> a roc</w:t>
      </w:r>
      <w:r w:rsidR="00430384">
        <w:rPr>
          <w:lang w:val="en-US"/>
        </w:rPr>
        <w:t>ket engine pushing a projectile; one object pushing another;</w:t>
      </w:r>
      <w:r w:rsidR="002534F4" w:rsidRPr="00292888">
        <w:rPr>
          <w:lang w:val="en-US"/>
        </w:rPr>
        <w:t xml:space="preserve"> etc. </w:t>
      </w:r>
    </w:p>
    <w:p w:rsidR="00292888" w:rsidRPr="00292888" w:rsidRDefault="00292888" w:rsidP="002534F4">
      <w:pPr>
        <w:pStyle w:val="ListParagraph"/>
        <w:numPr>
          <w:ilvl w:val="0"/>
          <w:numId w:val="2"/>
        </w:numPr>
      </w:pPr>
      <w:r w:rsidRPr="00292888">
        <w:rPr>
          <w:lang w:val="en-US"/>
        </w:rPr>
        <w:t>Forces come in pairs (recall actio</w:t>
      </w:r>
      <w:r>
        <w:rPr>
          <w:lang w:val="en-US"/>
        </w:rPr>
        <w:t>n and reaction</w:t>
      </w:r>
      <w:r w:rsidR="007A2DB1">
        <w:rPr>
          <w:lang w:val="en-US"/>
        </w:rPr>
        <w:t>)</w:t>
      </w:r>
    </w:p>
    <w:p w:rsidR="007A2DB1" w:rsidRPr="007A2DB1" w:rsidRDefault="007A2DB1" w:rsidP="002534F4">
      <w:pPr>
        <w:pStyle w:val="ListParagraph"/>
        <w:numPr>
          <w:ilvl w:val="0"/>
          <w:numId w:val="2"/>
        </w:numPr>
      </w:pPr>
      <w:r>
        <w:rPr>
          <w:lang w:val="en-US"/>
        </w:rPr>
        <w:t>Force determines acceleration</w:t>
      </w:r>
    </w:p>
    <w:p w:rsidR="007A2DB1" w:rsidRPr="007A2DB1" w:rsidRDefault="007A2DB1" w:rsidP="007A2DB1">
      <w:pPr>
        <w:pStyle w:val="ListParagraph"/>
        <w:ind w:firstLine="720"/>
        <w:rPr>
          <w:rFonts w:ascii="Times New Roman" w:hAnsi="Times New Roman" w:cs="Times New Roman"/>
          <w:bCs/>
          <w:i/>
          <w:lang w:val="en-US"/>
        </w:rPr>
      </w:pPr>
      <w:r w:rsidRPr="007A2DB1">
        <w:rPr>
          <w:lang w:val="en-US"/>
        </w:rPr>
        <w:t xml:space="preserve"> </w:t>
      </w:r>
      <w:r>
        <w:rPr>
          <w:lang w:val="en-US"/>
        </w:rPr>
        <w:tab/>
      </w:r>
      <w:r>
        <w:rPr>
          <w:lang w:val="en-US"/>
        </w:rPr>
        <w:tab/>
      </w:r>
      <w:r>
        <w:rPr>
          <w:lang w:val="en-US"/>
        </w:rPr>
        <w:tab/>
      </w:r>
      <w:r w:rsidR="002A0372" w:rsidRPr="007A2DB1">
        <w:rPr>
          <w:rFonts w:ascii="Times New Roman" w:hAnsi="Times New Roman" w:cs="Times New Roman"/>
          <w:bCs/>
          <w:i/>
          <w:lang w:val="en-US"/>
        </w:rPr>
        <w:t>F</w:t>
      </w:r>
      <w:r w:rsidR="002A0372" w:rsidRPr="007A2DB1">
        <w:rPr>
          <w:rFonts w:ascii="Times New Roman" w:hAnsi="Times New Roman" w:cs="Times New Roman"/>
          <w:i/>
          <w:lang w:val="en-US"/>
        </w:rPr>
        <w:t xml:space="preserve"> = </w:t>
      </w:r>
      <w:r w:rsidR="002A0372" w:rsidRPr="007A2DB1">
        <w:rPr>
          <w:rFonts w:ascii="Times New Roman" w:hAnsi="Times New Roman" w:cs="Times New Roman"/>
          <w:i/>
          <w:iCs/>
          <w:lang w:val="en-US"/>
        </w:rPr>
        <w:t>m</w:t>
      </w:r>
      <w:r w:rsidR="002A0372" w:rsidRPr="007A2DB1">
        <w:rPr>
          <w:rFonts w:ascii="Times New Roman" w:hAnsi="Times New Roman" w:cs="Times New Roman"/>
          <w:bCs/>
          <w:i/>
          <w:lang w:val="en-US"/>
        </w:rPr>
        <w:t>a</w:t>
      </w:r>
      <w:r w:rsidR="00292888" w:rsidRPr="007A2DB1">
        <w:rPr>
          <w:rFonts w:ascii="Times New Roman" w:hAnsi="Times New Roman" w:cs="Times New Roman"/>
          <w:bCs/>
          <w:i/>
          <w:lang w:val="en-US"/>
        </w:rPr>
        <w:t xml:space="preserve"> </w:t>
      </w:r>
      <w:r w:rsidRPr="007A2DB1">
        <w:rPr>
          <w:rFonts w:ascii="Times New Roman" w:hAnsi="Times New Roman" w:cs="Times New Roman"/>
          <w:bCs/>
          <w:i/>
          <w:lang w:val="en-US"/>
        </w:rPr>
        <w:tab/>
      </w:r>
      <w:r w:rsidRPr="007A2DB1">
        <w:rPr>
          <w:rFonts w:ascii="Times New Roman" w:hAnsi="Times New Roman" w:cs="Times New Roman"/>
          <w:bCs/>
          <w:i/>
          <w:lang w:val="en-US"/>
        </w:rPr>
        <w:tab/>
      </w:r>
      <w:r w:rsidRPr="007A2DB1">
        <w:rPr>
          <w:rFonts w:cstheme="minorHAnsi"/>
          <w:bCs/>
          <w:i/>
          <w:lang w:val="en-US"/>
        </w:rPr>
        <w:t>eqn. 1</w:t>
      </w:r>
    </w:p>
    <w:p w:rsidR="007A2DB1" w:rsidRPr="007A2DB1" w:rsidRDefault="00292888" w:rsidP="007A2DB1">
      <w:pPr>
        <w:pStyle w:val="ListParagraph"/>
        <w:ind w:left="1418"/>
      </w:pPr>
      <w:proofErr w:type="gramStart"/>
      <w:r w:rsidRPr="007A2DB1">
        <w:rPr>
          <w:bCs/>
          <w:lang w:val="en-US"/>
        </w:rPr>
        <w:t>where</w:t>
      </w:r>
      <w:proofErr w:type="gramEnd"/>
      <w:r w:rsidRPr="007A2DB1">
        <w:rPr>
          <w:bCs/>
          <w:lang w:val="en-US"/>
        </w:rPr>
        <w:t xml:space="preserve"> m is </w:t>
      </w:r>
      <w:r w:rsidR="007A2DB1">
        <w:rPr>
          <w:bCs/>
          <w:lang w:val="en-US"/>
        </w:rPr>
        <w:t xml:space="preserve">the </w:t>
      </w:r>
      <w:r w:rsidRPr="007A2DB1">
        <w:rPr>
          <w:bCs/>
          <w:lang w:val="en-US"/>
        </w:rPr>
        <w:t>mass</w:t>
      </w:r>
      <w:r w:rsidR="007A2DB1">
        <w:rPr>
          <w:bCs/>
          <w:lang w:val="en-US"/>
        </w:rPr>
        <w:t xml:space="preserve"> of an object, a is acceleration and F is the sum of all forces acting on a object</w:t>
      </w:r>
      <w:r w:rsidR="007A2DB1" w:rsidRPr="007A2DB1">
        <w:rPr>
          <w:lang w:val="en-US"/>
        </w:rPr>
        <w:t xml:space="preserve">.    </w:t>
      </w:r>
    </w:p>
    <w:p w:rsidR="00292888" w:rsidRPr="008A62C2" w:rsidRDefault="002A0372" w:rsidP="002534F4">
      <w:pPr>
        <w:pStyle w:val="ListParagraph"/>
        <w:numPr>
          <w:ilvl w:val="0"/>
          <w:numId w:val="2"/>
        </w:numPr>
        <w:rPr>
          <w:rFonts w:ascii="Times New Roman" w:hAnsi="Times New Roman" w:cs="Times New Roman"/>
        </w:rPr>
      </w:pPr>
      <w:r w:rsidRPr="007A2DB1">
        <w:rPr>
          <w:lang w:val="en-US"/>
        </w:rPr>
        <w:t>Ac</w:t>
      </w:r>
      <w:r w:rsidR="00292888" w:rsidRPr="007A2DB1">
        <w:rPr>
          <w:lang w:val="en-US"/>
        </w:rPr>
        <w:t>celeration changes velocity (</w:t>
      </w:r>
      <w:r w:rsidR="00292888" w:rsidRPr="007A2DB1">
        <w:rPr>
          <w:rFonts w:eastAsiaTheme="minorEastAsia"/>
          <w:lang w:val="en-US"/>
        </w:rPr>
        <w:t xml:space="preserve">acceleration, </w:t>
      </w:r>
      <m:oMath>
        <m:r>
          <w:rPr>
            <w:rFonts w:ascii="Cambria Math" w:eastAsiaTheme="minorEastAsia" w:hAnsi="Cambria Math"/>
            <w:lang w:val="en-US"/>
          </w:rPr>
          <m:t>a=</m:t>
        </m:r>
        <m:f>
          <m:fPr>
            <m:ctrlPr>
              <w:rPr>
                <w:rFonts w:ascii="Cambria Math" w:hAnsi="Cambria Math"/>
                <w:i/>
                <w:lang w:val="en-US"/>
              </w:rPr>
            </m:ctrlPr>
          </m:fPr>
          <m:num>
            <m:r>
              <w:rPr>
                <w:rFonts w:ascii="Cambria Math" w:hAnsi="Cambria Math"/>
                <w:lang w:val="en-US"/>
              </w:rPr>
              <m:t>dv</m:t>
            </m:r>
          </m:num>
          <m:den>
            <m:r>
              <w:rPr>
                <w:rFonts w:ascii="Cambria Math" w:hAnsi="Cambria Math"/>
                <w:lang w:val="en-US"/>
              </w:rPr>
              <m:t>dt</m:t>
            </m:r>
          </m:den>
        </m:f>
      </m:oMath>
      <w:r w:rsidR="00D903B6">
        <w:rPr>
          <w:lang w:val="en-US"/>
        </w:rPr>
        <w:t xml:space="preserve">  </w:t>
      </w:r>
      <w:r w:rsidR="008A62C2">
        <w:rPr>
          <w:lang w:val="en-US"/>
        </w:rPr>
        <w:t xml:space="preserve">, </w:t>
      </w:r>
      <m:oMath>
        <m:f>
          <m:fPr>
            <m:ctrlPr>
              <w:rPr>
                <w:rFonts w:ascii="Cambria Math" w:hAnsi="Cambria Math"/>
                <w:i/>
                <w:lang w:val="en-US"/>
              </w:rPr>
            </m:ctrlPr>
          </m:fPr>
          <m:num>
            <m:r>
              <w:rPr>
                <w:rFonts w:ascii="Cambria Math" w:hAnsi="Cambria Math"/>
                <w:lang w:val="en-US"/>
              </w:rPr>
              <m:t>dv</m:t>
            </m:r>
          </m:num>
          <m:den>
            <m:r>
              <w:rPr>
                <w:rFonts w:ascii="Cambria Math" w:hAnsi="Cambria Math"/>
                <w:lang w:val="en-US"/>
              </w:rPr>
              <m:t>dt</m:t>
            </m:r>
          </m:den>
        </m:f>
      </m:oMath>
      <w:r w:rsidR="008A62C2">
        <w:rPr>
          <w:lang w:val="en-US"/>
        </w:rPr>
        <w:t xml:space="preserve">  is often written </w:t>
      </w:r>
      <w:r w:rsidR="008A62C2" w:rsidRPr="008A62C2">
        <w:rPr>
          <w:rFonts w:ascii="Times New Roman" w:hAnsi="Times New Roman" w:cs="Times New Roman"/>
          <w:i/>
          <w:lang w:val="en-US"/>
        </w:rPr>
        <w:t>v’</w:t>
      </w:r>
      <w:r w:rsidR="00EB34A2">
        <w:rPr>
          <w:rFonts w:ascii="Times New Roman" w:hAnsi="Times New Roman" w:cs="Times New Roman"/>
          <w:i/>
          <w:lang w:val="en-US"/>
        </w:rPr>
        <w:t xml:space="preserve"> </w:t>
      </w:r>
      <w:r w:rsidR="008A62C2" w:rsidRPr="008A62C2">
        <w:rPr>
          <w:rFonts w:ascii="Times New Roman" w:hAnsi="Times New Roman" w:cs="Times New Roman"/>
          <w:lang w:val="en-US"/>
        </w:rPr>
        <w:t>)</w:t>
      </w:r>
    </w:p>
    <w:p w:rsidR="007A2DB1" w:rsidRDefault="00292888" w:rsidP="00292888">
      <w:pPr>
        <w:pStyle w:val="ListParagraph"/>
        <w:numPr>
          <w:ilvl w:val="0"/>
          <w:numId w:val="2"/>
        </w:numPr>
      </w:pPr>
      <w:r>
        <w:rPr>
          <w:lang w:val="en-US"/>
        </w:rPr>
        <w:t>Velocity changes position ( velocity,</w:t>
      </w:r>
      <w:r w:rsidR="002A0372" w:rsidRPr="00292888">
        <w:rPr>
          <w:lang w:val="en-US"/>
        </w:rPr>
        <w:t xml:space="preserve"> </w:t>
      </w:r>
      <m:oMath>
        <m:r>
          <w:rPr>
            <w:rFonts w:ascii="Cambria Math" w:eastAsiaTheme="minorEastAsia" w:hAnsi="Cambria Math"/>
            <w:lang w:val="en-US"/>
          </w:rPr>
          <m:t>v=</m:t>
        </m:r>
        <m:f>
          <m:fPr>
            <m:ctrlPr>
              <w:rPr>
                <w:rFonts w:ascii="Cambria Math" w:hAnsi="Cambria Math"/>
                <w:i/>
                <w:lang w:val="en-US"/>
              </w:rPr>
            </m:ctrlPr>
          </m:fPr>
          <m:num>
            <m:r>
              <w:rPr>
                <w:rFonts w:ascii="Cambria Math" w:hAnsi="Cambria Math"/>
                <w:lang w:val="en-US"/>
              </w:rPr>
              <m:t>dx</m:t>
            </m:r>
          </m:num>
          <m:den>
            <m:r>
              <w:rPr>
                <w:rFonts w:ascii="Cambria Math" w:hAnsi="Cambria Math"/>
                <w:lang w:val="en-US"/>
              </w:rPr>
              <m:t>dt</m:t>
            </m:r>
          </m:den>
        </m:f>
        <m:r>
          <m:rPr>
            <m:sty m:val="p"/>
          </m:rPr>
          <w:rPr>
            <w:rFonts w:ascii="Cambria Math" w:hAnsi="Cambria Math"/>
            <w:lang w:val="en-US"/>
          </w:rPr>
          <m:t xml:space="preserve">; </m:t>
        </m:r>
        <m:f>
          <m:fPr>
            <m:ctrlPr>
              <w:rPr>
                <w:rFonts w:ascii="Cambria Math" w:hAnsi="Cambria Math"/>
                <w:i/>
                <w:lang w:val="en-US"/>
              </w:rPr>
            </m:ctrlPr>
          </m:fPr>
          <m:num>
            <m:r>
              <w:rPr>
                <w:rFonts w:ascii="Cambria Math" w:hAnsi="Cambria Math"/>
                <w:lang w:val="en-US"/>
              </w:rPr>
              <m:t>dx</m:t>
            </m:r>
          </m:num>
          <m:den>
            <m:r>
              <w:rPr>
                <w:rFonts w:ascii="Cambria Math" w:hAnsi="Cambria Math"/>
                <w:lang w:val="en-US"/>
              </w:rPr>
              <m:t>dt</m:t>
            </m:r>
          </m:den>
        </m:f>
        <m:r>
          <m:rPr>
            <m:sty m:val="p"/>
          </m:rPr>
          <w:rPr>
            <w:rFonts w:ascii="Cambria Math" w:hAnsi="Cambria Math"/>
            <w:lang w:val="en-US"/>
          </w:rPr>
          <m:t xml:space="preserve">    is often written </m:t>
        </m:r>
        <m:r>
          <w:rPr>
            <w:rFonts w:ascii="Cambria Math" w:hAnsi="Cambria Math" w:cs="Times New Roman"/>
            <w:lang w:val="en-US"/>
          </w:rPr>
          <m:t>x’</m:t>
        </m:r>
      </m:oMath>
      <w:r>
        <w:rPr>
          <w:lang w:val="en-US"/>
        </w:rPr>
        <w:t xml:space="preserve"> </w:t>
      </w:r>
      <w:r w:rsidR="002A0372" w:rsidRPr="00292888">
        <w:rPr>
          <w:lang w:val="en-US"/>
        </w:rPr>
        <w:t>)</w:t>
      </w:r>
    </w:p>
    <w:p w:rsidR="00292888" w:rsidRPr="00841730" w:rsidRDefault="00292888" w:rsidP="00292888">
      <w:r>
        <w:t>If we assume acceleration is constant, then</w:t>
      </w:r>
      <w:r w:rsidR="00841730">
        <w:t xml:space="preserve"> </w:t>
      </w:r>
      <m:oMath>
        <m:nary>
          <m:naryPr>
            <m:limLoc m:val="undOvr"/>
            <m:subHide m:val="on"/>
            <m:supHide m:val="on"/>
            <m:ctrlPr>
              <w:rPr>
                <w:rFonts w:ascii="Cambria Math" w:hAnsi="Cambria Math"/>
                <w:i/>
              </w:rPr>
            </m:ctrlPr>
          </m:naryPr>
          <m:sub/>
          <m:sup/>
          <m:e>
            <m:r>
              <w:rPr>
                <w:rFonts w:ascii="Cambria Math" w:hAnsi="Cambria Math"/>
              </w:rPr>
              <m:t>dv=</m:t>
            </m:r>
            <m:nary>
              <m:naryPr>
                <m:limLoc m:val="undOvr"/>
                <m:subHide m:val="on"/>
                <m:supHide m:val="on"/>
                <m:ctrlPr>
                  <w:rPr>
                    <w:rFonts w:ascii="Cambria Math" w:hAnsi="Cambria Math"/>
                    <w:i/>
                  </w:rPr>
                </m:ctrlPr>
              </m:naryPr>
              <m:sub/>
              <m:sup/>
              <m:e>
                <m:r>
                  <w:rPr>
                    <w:rFonts w:ascii="Cambria Math" w:hAnsi="Cambria Math"/>
                  </w:rPr>
                  <m:t>adt</m:t>
                </m:r>
              </m:e>
            </m:nary>
          </m:e>
        </m:nary>
      </m:oMath>
    </w:p>
    <w:p w:rsidR="00841730" w:rsidRDefault="00292888" w:rsidP="00292888">
      <w:pPr>
        <w:rPr>
          <w:rFonts w:eastAsiaTheme="minorEastAsia"/>
        </w:rPr>
      </w:pPr>
      <w:r>
        <w:rPr>
          <w:rFonts w:eastAsiaTheme="minorEastAsia"/>
        </w:rPr>
        <w:t>And so</w:t>
      </w:r>
    </w:p>
    <w:p w:rsidR="00292888" w:rsidRPr="00292888" w:rsidRDefault="00292888" w:rsidP="00292888">
      <w:pPr>
        <w:rPr>
          <w:rFonts w:eastAsiaTheme="minorEastAsia"/>
        </w:rPr>
      </w:pPr>
      <m:oMathPara>
        <m:oMath>
          <m:r>
            <w:rPr>
              <w:rFonts w:ascii="Cambria Math" w:hAnsi="Cambria Math"/>
            </w:rPr>
            <m:t>v=at+c</m:t>
          </m:r>
        </m:oMath>
      </m:oMathPara>
    </w:p>
    <w:p w:rsidR="00292888" w:rsidRPr="00292888" w:rsidRDefault="00290AE4" w:rsidP="00292888">
      <w:pPr>
        <w:rPr>
          <w:rFonts w:eastAsiaTheme="minorEastAsia"/>
        </w:rPr>
      </w:pPr>
      <w:proofErr w:type="gramStart"/>
      <w:r>
        <w:rPr>
          <w:rFonts w:eastAsiaTheme="minorEastAsia"/>
        </w:rPr>
        <w:t>w</w:t>
      </w:r>
      <w:r w:rsidR="00292888">
        <w:rPr>
          <w:rFonts w:eastAsiaTheme="minorEastAsia"/>
        </w:rPr>
        <w:t>here</w:t>
      </w:r>
      <w:proofErr w:type="gramEnd"/>
      <w:r w:rsidR="00292888">
        <w:rPr>
          <w:rFonts w:eastAsiaTheme="minorEastAsia"/>
        </w:rPr>
        <w:t xml:space="preserve"> c is the constant of integration.  If we know the velocity is </w:t>
      </w:r>
      <w:r w:rsidR="00292888" w:rsidRPr="00292888">
        <w:rPr>
          <w:rFonts w:eastAsiaTheme="minorEastAsia"/>
          <w:i/>
        </w:rPr>
        <w:t>v</w:t>
      </w:r>
      <w:r w:rsidR="00292888" w:rsidRPr="00292888">
        <w:rPr>
          <w:rFonts w:eastAsiaTheme="minorEastAsia"/>
          <w:i/>
          <w:vertAlign w:val="subscript"/>
        </w:rPr>
        <w:t>0</w:t>
      </w:r>
      <w:r w:rsidR="00292888">
        <w:rPr>
          <w:rFonts w:eastAsiaTheme="minorEastAsia"/>
          <w:i/>
        </w:rPr>
        <w:t xml:space="preserve"> </w:t>
      </w:r>
      <w:r w:rsidR="00292888" w:rsidRPr="00292888">
        <w:rPr>
          <w:rFonts w:eastAsiaTheme="minorEastAsia"/>
        </w:rPr>
        <w:t>at time t=0 then we can substitute into the equation above to get:</w:t>
      </w:r>
    </w:p>
    <w:p w:rsidR="00292888" w:rsidRPr="00292888" w:rsidRDefault="00841730" w:rsidP="00292888">
      <w:pPr>
        <w:rPr>
          <w:rFonts w:eastAsiaTheme="minorEastAsia"/>
        </w:rPr>
      </w:pPr>
      <w:r>
        <w:rPr>
          <w:rFonts w:eastAsiaTheme="minorEastAsia"/>
        </w:rPr>
        <w:tab/>
      </w:r>
      <w:r>
        <w:rPr>
          <w:rFonts w:eastAsiaTheme="minorEastAsia"/>
        </w:rPr>
        <w:tab/>
      </w:r>
      <w:r w:rsidR="008B67BD">
        <w:rPr>
          <w:rFonts w:eastAsiaTheme="minorEastAsia"/>
        </w:rPr>
        <w:tab/>
      </w:r>
      <w:r w:rsidR="008B67BD">
        <w:rPr>
          <w:rFonts w:eastAsiaTheme="minorEastAsia"/>
        </w:rPr>
        <w:tab/>
      </w:r>
      <w:r>
        <w:rPr>
          <w:rFonts w:eastAsiaTheme="minorEastAsia"/>
        </w:rPr>
        <w:tab/>
      </w:r>
      <m:oMath>
        <m:r>
          <w:rPr>
            <w:rFonts w:ascii="Cambria Math" w:eastAsiaTheme="minorEastAsia" w:hAnsi="Cambria Math"/>
          </w:rPr>
          <m:t>v=</m:t>
        </m:r>
        <m:sSub>
          <m:sSubPr>
            <m:ctrlPr>
              <w:rPr>
                <w:rFonts w:ascii="Cambria Math" w:hAnsi="Cambria Math"/>
                <w:i/>
              </w:rPr>
            </m:ctrlPr>
          </m:sSubPr>
          <m:e>
            <m:r>
              <w:rPr>
                <w:rFonts w:ascii="Cambria Math" w:hAnsi="Cambria Math"/>
              </w:rPr>
              <m:t>v</m:t>
            </m:r>
          </m:e>
          <m:sub>
            <m:r>
              <w:rPr>
                <w:rFonts w:ascii="Cambria Math" w:hAnsi="Cambria Math"/>
              </w:rPr>
              <m:t>0</m:t>
            </m:r>
          </m:sub>
        </m:sSub>
        <m:r>
          <w:rPr>
            <w:rFonts w:ascii="Cambria Math" w:hAnsi="Cambria Math"/>
          </w:rPr>
          <m:t xml:space="preserve">+at                </m:t>
        </m:r>
      </m:oMath>
      <w:r w:rsidRPr="00841730">
        <w:rPr>
          <w:rFonts w:eastAsiaTheme="minorEastAsia"/>
          <w:i/>
        </w:rPr>
        <w:t>eqn</w:t>
      </w:r>
      <w:r>
        <w:rPr>
          <w:rFonts w:eastAsiaTheme="minorEastAsia"/>
          <w:i/>
        </w:rPr>
        <w:t xml:space="preserve">. </w:t>
      </w:r>
      <w:r w:rsidR="007A2DB1">
        <w:rPr>
          <w:rFonts w:eastAsiaTheme="minorEastAsia"/>
          <w:i/>
        </w:rPr>
        <w:t>2</w:t>
      </w:r>
    </w:p>
    <w:p w:rsidR="00292888" w:rsidRDefault="00292888" w:rsidP="00292888">
      <w:pPr>
        <w:rPr>
          <w:rFonts w:eastAsiaTheme="minorEastAsia"/>
        </w:rPr>
      </w:pPr>
      <w:r>
        <w:rPr>
          <w:rFonts w:eastAsiaTheme="minorEastAsia"/>
        </w:rPr>
        <w:t xml:space="preserve">Similarly </w:t>
      </w:r>
      <m:oMath>
        <m:nary>
          <m:naryPr>
            <m:limLoc m:val="undOvr"/>
            <m:subHide m:val="on"/>
            <m:supHide m:val="on"/>
            <m:ctrlPr>
              <w:rPr>
                <w:rFonts w:ascii="Cambria Math" w:hAnsi="Cambria Math"/>
                <w:i/>
              </w:rPr>
            </m:ctrlPr>
          </m:naryPr>
          <m:sub/>
          <m:sup/>
          <m:e>
            <m:r>
              <w:rPr>
                <w:rFonts w:ascii="Cambria Math" w:hAnsi="Cambria Math"/>
              </w:rPr>
              <m:t>dx=</m:t>
            </m:r>
            <m:nary>
              <m:naryPr>
                <m:limLoc m:val="undOvr"/>
                <m:subHide m:val="on"/>
                <m:supHide m:val="on"/>
                <m:ctrlPr>
                  <w:rPr>
                    <w:rFonts w:ascii="Cambria Math" w:hAnsi="Cambria Math"/>
                    <w:i/>
                  </w:rPr>
                </m:ctrlPr>
              </m:naryPr>
              <m:sub/>
              <m:sup/>
              <m:e>
                <m:r>
                  <w:rPr>
                    <w:rFonts w:ascii="Cambria Math" w:hAnsi="Cambria Math"/>
                  </w:rPr>
                  <m:t>vdt</m:t>
                </m:r>
              </m:e>
            </m:nary>
          </m:e>
        </m:nary>
      </m:oMath>
    </w:p>
    <w:p w:rsidR="00292888" w:rsidRDefault="00292888" w:rsidP="00292888">
      <w:pPr>
        <w:rPr>
          <w:rFonts w:eastAsiaTheme="minorEastAsia"/>
        </w:rPr>
      </w:pPr>
      <w:r>
        <w:rPr>
          <w:rFonts w:eastAsiaTheme="minorEastAsia"/>
        </w:rPr>
        <w:t xml:space="preserve">And substituting </w:t>
      </w:r>
      <w:r w:rsidR="00841730">
        <w:rPr>
          <w:rFonts w:eastAsiaTheme="minorEastAsia"/>
        </w:rPr>
        <w:t>for</w:t>
      </w:r>
      <w:r>
        <w:rPr>
          <w:rFonts w:eastAsiaTheme="minorEastAsia"/>
        </w:rPr>
        <w:t xml:space="preserve"> equation 1</w:t>
      </w:r>
      <w:r w:rsidR="00841730">
        <w:rPr>
          <w:rFonts w:eastAsiaTheme="minorEastAsia"/>
        </w:rPr>
        <w:t xml:space="preserve"> </w:t>
      </w:r>
    </w:p>
    <w:p w:rsidR="00292888" w:rsidRDefault="00F669BB" w:rsidP="00292888">
      <w:pPr>
        <w:rPr>
          <w:rFonts w:eastAsiaTheme="minorEastAsia"/>
        </w:rPr>
      </w:pPr>
      <m:oMathPara>
        <m:oMath>
          <m:nary>
            <m:naryPr>
              <m:limLoc m:val="undOvr"/>
              <m:subHide m:val="on"/>
              <m:supHide m:val="on"/>
              <m:ctrlPr>
                <w:rPr>
                  <w:rFonts w:ascii="Cambria Math" w:hAnsi="Cambria Math"/>
                  <w:i/>
                </w:rPr>
              </m:ctrlPr>
            </m:naryPr>
            <m:sub/>
            <m:sup/>
            <m:e>
              <m:r>
                <w:rPr>
                  <w:rFonts w:ascii="Cambria Math" w:hAnsi="Cambria Math"/>
                </w:rPr>
                <m:t>dx=</m:t>
              </m:r>
              <m:nary>
                <m:naryPr>
                  <m:limLoc m:val="undOvr"/>
                  <m:subHide m:val="on"/>
                  <m:supHide m:val="on"/>
                  <m:ctrlPr>
                    <w:rPr>
                      <w:rFonts w:ascii="Cambria Math" w:hAnsi="Cambria Math"/>
                      <w:i/>
                    </w:rPr>
                  </m:ctrlPr>
                </m:naryPr>
                <m:sub/>
                <m:sup/>
                <m:e>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0</m:t>
                      </m:r>
                    </m:sub>
                  </m:sSub>
                  <m:r>
                    <w:rPr>
                      <w:rFonts w:ascii="Cambria Math" w:hAnsi="Cambria Math"/>
                    </w:rPr>
                    <m:t>+at)dt</m:t>
                  </m:r>
                </m:e>
              </m:nary>
            </m:e>
          </m:nary>
        </m:oMath>
      </m:oMathPara>
    </w:p>
    <w:p w:rsidR="00AD1B03" w:rsidRDefault="00841730" w:rsidP="002534F4">
      <w:pPr>
        <w:tabs>
          <w:tab w:val="num" w:pos="720"/>
        </w:tabs>
        <w:rPr>
          <w:rFonts w:eastAsiaTheme="minorEastAsia"/>
        </w:rPr>
      </w:pPr>
      <w:r>
        <w:rPr>
          <w:rFonts w:eastAsiaTheme="minorEastAsia"/>
        </w:rPr>
        <w:t>Integrating we get</w:t>
      </w:r>
    </w:p>
    <w:p w:rsidR="00EB5422" w:rsidRDefault="00841730" w:rsidP="002534F4">
      <w:pPr>
        <w:tabs>
          <w:tab w:val="num" w:pos="720"/>
        </w:tabs>
        <w:rPr>
          <w:rFonts w:eastAsiaTheme="minorEastAsia"/>
          <w:i/>
        </w:rPr>
      </w:pPr>
      <w:r>
        <w:rPr>
          <w:rFonts w:eastAsiaTheme="minorEastAsia"/>
        </w:rPr>
        <w:tab/>
      </w:r>
      <w:r>
        <w:rPr>
          <w:rFonts w:eastAsiaTheme="minorEastAsia"/>
        </w:rPr>
        <w:tab/>
      </w:r>
      <w:r>
        <w:rPr>
          <w:rFonts w:eastAsiaTheme="minorEastAsia"/>
        </w:rPr>
        <w:tab/>
      </w:r>
      <m:oMath>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m:t>
        </m:r>
        <m:sSub>
          <m:sSubPr>
            <m:ctrlPr>
              <w:rPr>
                <w:rFonts w:ascii="Cambria Math" w:hAnsi="Cambria Math"/>
                <w:i/>
              </w:rPr>
            </m:ctrlPr>
          </m:sSubPr>
          <m:e>
            <m:r>
              <w:rPr>
                <w:rFonts w:ascii="Cambria Math" w:hAnsi="Cambria Math"/>
              </w:rPr>
              <m:t xml:space="preserve"> v</m:t>
            </m:r>
          </m:e>
          <m:sub>
            <m:r>
              <w:rPr>
                <w:rFonts w:ascii="Cambria Math" w:hAnsi="Cambria Math"/>
              </w:rPr>
              <m:t>0</m:t>
            </m:r>
          </m:sub>
        </m:sSub>
        <m:r>
          <w:rPr>
            <w:rFonts w:ascii="Cambria Math" w:hAnsi="Cambria Math"/>
          </w:rPr>
          <m:t>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a</m:t>
        </m:r>
        <m:sSup>
          <m:sSupPr>
            <m:ctrlPr>
              <w:rPr>
                <w:rFonts w:ascii="Cambria Math" w:hAnsi="Cambria Math"/>
                <w:i/>
              </w:rPr>
            </m:ctrlPr>
          </m:sSupPr>
          <m:e>
            <m:r>
              <w:rPr>
                <w:rFonts w:ascii="Cambria Math" w:hAnsi="Cambria Math"/>
              </w:rPr>
              <m:t>t</m:t>
            </m:r>
          </m:e>
          <m:sup>
            <m:r>
              <w:rPr>
                <w:rFonts w:ascii="Cambria Math" w:hAnsi="Cambria Math"/>
              </w:rPr>
              <m:t>2</m:t>
            </m:r>
          </m:sup>
        </m:sSup>
        <m:r>
          <w:rPr>
            <w:rFonts w:ascii="Cambria Math" w:hAnsi="Cambria Math"/>
          </w:rPr>
          <m:t xml:space="preserve">                         </m:t>
        </m:r>
      </m:oMath>
      <w:r w:rsidRPr="00841730">
        <w:rPr>
          <w:rFonts w:eastAsiaTheme="minorEastAsia"/>
          <w:i/>
        </w:rPr>
        <w:t>eqn</w:t>
      </w:r>
      <w:r w:rsidR="007A2DB1">
        <w:rPr>
          <w:rFonts w:eastAsiaTheme="minorEastAsia"/>
          <w:i/>
        </w:rPr>
        <w:t>. 3</w:t>
      </w:r>
    </w:p>
    <w:p w:rsidR="00841730" w:rsidRPr="00EB5422" w:rsidRDefault="00841730" w:rsidP="002534F4">
      <w:pPr>
        <w:tabs>
          <w:tab w:val="num" w:pos="720"/>
        </w:tabs>
        <w:rPr>
          <w:rFonts w:eastAsiaTheme="minorEastAsia"/>
          <w:i/>
        </w:rPr>
      </w:pPr>
      <w:r w:rsidRPr="00841730">
        <w:rPr>
          <w:rFonts w:eastAsiaTheme="minorEastAsia"/>
          <w:b/>
        </w:rPr>
        <w:lastRenderedPageBreak/>
        <w:t>Key Equations are:-</w:t>
      </w:r>
    </w:p>
    <w:p w:rsidR="00841730" w:rsidRPr="00841730" w:rsidRDefault="00841730" w:rsidP="008B67BD">
      <w:pPr>
        <w:pStyle w:val="ListParagraph"/>
        <w:numPr>
          <w:ilvl w:val="0"/>
          <w:numId w:val="6"/>
        </w:numPr>
        <w:tabs>
          <w:tab w:val="num" w:pos="720"/>
        </w:tabs>
        <w:rPr>
          <w:rFonts w:ascii="Times New Roman" w:hAnsi="Times New Roman" w:cs="Times New Roman"/>
          <w:i/>
        </w:rPr>
      </w:pPr>
      <w:r w:rsidRPr="00841730">
        <w:rPr>
          <w:rFonts w:ascii="Times New Roman" w:hAnsi="Times New Roman" w:cs="Times New Roman"/>
          <w:i/>
        </w:rPr>
        <w:t>F=ma</w:t>
      </w:r>
    </w:p>
    <w:p w:rsidR="00841730" w:rsidRPr="00841730" w:rsidRDefault="008B67BD" w:rsidP="008B67BD">
      <w:pPr>
        <w:pStyle w:val="ListParagraph"/>
        <w:numPr>
          <w:ilvl w:val="0"/>
          <w:numId w:val="6"/>
        </w:numPr>
        <w:tabs>
          <w:tab w:val="num" w:pos="720"/>
        </w:tabs>
        <w:rPr>
          <w:i/>
        </w:rPr>
      </w:pPr>
      <m:oMath>
        <m:r>
          <w:rPr>
            <w:rFonts w:ascii="Cambria Math" w:eastAsiaTheme="minorEastAsia" w:hAnsi="Cambria Math"/>
          </w:rPr>
          <m:t>v=</m:t>
        </m:r>
        <m:sSub>
          <m:sSubPr>
            <m:ctrlPr>
              <w:rPr>
                <w:rFonts w:ascii="Cambria Math" w:hAnsi="Cambria Math"/>
                <w:i/>
              </w:rPr>
            </m:ctrlPr>
          </m:sSubPr>
          <m:e>
            <m:r>
              <w:rPr>
                <w:rFonts w:ascii="Cambria Math" w:hAnsi="Cambria Math"/>
              </w:rPr>
              <m:t>v</m:t>
            </m:r>
          </m:e>
          <m:sub>
            <m:r>
              <w:rPr>
                <w:rFonts w:ascii="Cambria Math" w:hAnsi="Cambria Math"/>
              </w:rPr>
              <m:t>0</m:t>
            </m:r>
          </m:sub>
        </m:sSub>
        <m:r>
          <w:rPr>
            <w:rFonts w:ascii="Cambria Math" w:hAnsi="Cambria Math"/>
          </w:rPr>
          <m:t xml:space="preserve">+at                                        </m:t>
        </m:r>
      </m:oMath>
    </w:p>
    <w:p w:rsidR="00841730" w:rsidRPr="00841730" w:rsidRDefault="00841730" w:rsidP="008B67BD">
      <w:pPr>
        <w:pStyle w:val="ListParagraph"/>
        <w:numPr>
          <w:ilvl w:val="0"/>
          <w:numId w:val="6"/>
        </w:numPr>
        <w:rPr>
          <w:i/>
        </w:rPr>
      </w:pPr>
      <m:oMath>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m:t>
        </m:r>
        <m:sSub>
          <m:sSubPr>
            <m:ctrlPr>
              <w:rPr>
                <w:rFonts w:ascii="Cambria Math" w:hAnsi="Cambria Math"/>
                <w:i/>
              </w:rPr>
            </m:ctrlPr>
          </m:sSubPr>
          <m:e>
            <m:r>
              <w:rPr>
                <w:rFonts w:ascii="Cambria Math" w:hAnsi="Cambria Math"/>
              </w:rPr>
              <m:t xml:space="preserve"> v</m:t>
            </m:r>
          </m:e>
          <m:sub>
            <m:r>
              <w:rPr>
                <w:rFonts w:ascii="Cambria Math" w:hAnsi="Cambria Math"/>
              </w:rPr>
              <m:t>0</m:t>
            </m:r>
          </m:sub>
        </m:sSub>
        <m:r>
          <w:rPr>
            <w:rFonts w:ascii="Cambria Math" w:hAnsi="Cambria Math"/>
          </w:rPr>
          <m:t>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a</m:t>
        </m:r>
        <m:sSup>
          <m:sSupPr>
            <m:ctrlPr>
              <w:rPr>
                <w:rFonts w:ascii="Cambria Math" w:hAnsi="Cambria Math"/>
                <w:i/>
              </w:rPr>
            </m:ctrlPr>
          </m:sSupPr>
          <m:e>
            <m:r>
              <w:rPr>
                <w:rFonts w:ascii="Cambria Math" w:hAnsi="Cambria Math"/>
              </w:rPr>
              <m:t>t</m:t>
            </m:r>
          </m:e>
          <m:sup>
            <m:r>
              <w:rPr>
                <w:rFonts w:ascii="Cambria Math" w:hAnsi="Cambria Math"/>
              </w:rPr>
              <m:t>2</m:t>
            </m:r>
          </m:sup>
        </m:sSup>
        <m:r>
          <w:rPr>
            <w:rFonts w:ascii="Cambria Math" w:hAnsi="Cambria Math"/>
          </w:rPr>
          <m:t xml:space="preserve">                         </m:t>
        </m:r>
      </m:oMath>
    </w:p>
    <w:p w:rsidR="007A2DB1" w:rsidRDefault="00290AE4" w:rsidP="007A2DB1">
      <w:pPr>
        <w:tabs>
          <w:tab w:val="num" w:pos="720"/>
        </w:tabs>
        <w:spacing w:after="0" w:line="240" w:lineRule="auto"/>
      </w:pPr>
      <w:r>
        <w:t xml:space="preserve">This gives us an approach to modelling systems where the acceleration is </w:t>
      </w:r>
      <w:proofErr w:type="gramStart"/>
      <w:r>
        <w:t>constant, that</w:t>
      </w:r>
      <w:proofErr w:type="gramEnd"/>
      <w:r>
        <w:t xml:space="preserve"> is </w:t>
      </w:r>
      <w:r w:rsidRPr="00290AE4">
        <w:rPr>
          <w:b/>
        </w:rPr>
        <w:t>at each time step</w:t>
      </w:r>
      <w:r>
        <w:t xml:space="preserve"> we:-</w:t>
      </w:r>
    </w:p>
    <w:p w:rsidR="00290AE4" w:rsidRDefault="00290AE4" w:rsidP="007A2DB1">
      <w:pPr>
        <w:tabs>
          <w:tab w:val="num" w:pos="720"/>
        </w:tabs>
        <w:spacing w:after="0" w:line="240" w:lineRule="auto"/>
      </w:pPr>
    </w:p>
    <w:p w:rsidR="001F45DF" w:rsidRDefault="007A2DB1" w:rsidP="007A2DB1">
      <w:pPr>
        <w:pStyle w:val="ListParagraph"/>
        <w:numPr>
          <w:ilvl w:val="0"/>
          <w:numId w:val="5"/>
        </w:numPr>
        <w:tabs>
          <w:tab w:val="num" w:pos="720"/>
        </w:tabs>
        <w:spacing w:after="0" w:line="240" w:lineRule="auto"/>
        <w:rPr>
          <w:lang w:val="en-US"/>
        </w:rPr>
      </w:pPr>
      <w:r w:rsidRPr="007A2DB1">
        <w:rPr>
          <w:lang w:val="en-US"/>
        </w:rPr>
        <w:t xml:space="preserve">Compute all forces on object by </w:t>
      </w:r>
      <w:r w:rsidR="002A0372" w:rsidRPr="007A2DB1">
        <w:rPr>
          <w:lang w:val="en-US"/>
        </w:rPr>
        <w:t>add</w:t>
      </w:r>
      <w:r w:rsidRPr="007A2DB1">
        <w:rPr>
          <w:lang w:val="en-US"/>
        </w:rPr>
        <w:t>ing them up.  Forces are vectors since they have a</w:t>
      </w:r>
      <w:r>
        <w:rPr>
          <w:lang w:val="en-US"/>
        </w:rPr>
        <w:t xml:space="preserve"> magnitude and direction so make</w:t>
      </w:r>
      <w:r w:rsidRPr="007A2DB1">
        <w:rPr>
          <w:lang w:val="en-US"/>
        </w:rPr>
        <w:t xml:space="preserve"> sure you use vector </w:t>
      </w:r>
      <w:proofErr w:type="spellStart"/>
      <w:r w:rsidRPr="007A2DB1">
        <w:rPr>
          <w:lang w:val="en-US"/>
        </w:rPr>
        <w:t>maths</w:t>
      </w:r>
      <w:proofErr w:type="spellEnd"/>
      <w:r w:rsidRPr="007A2DB1">
        <w:rPr>
          <w:lang w:val="en-US"/>
        </w:rPr>
        <w:t>.</w:t>
      </w:r>
    </w:p>
    <w:p w:rsidR="007A2DB1" w:rsidRPr="007A2DB1" w:rsidRDefault="007A2DB1" w:rsidP="007A2DB1">
      <w:pPr>
        <w:tabs>
          <w:tab w:val="num" w:pos="720"/>
        </w:tabs>
        <w:spacing w:after="0" w:line="240" w:lineRule="auto"/>
      </w:pPr>
    </w:p>
    <w:p w:rsidR="001F45DF" w:rsidRPr="007A2DB1" w:rsidRDefault="002A0372" w:rsidP="007A2DB1">
      <w:pPr>
        <w:pStyle w:val="ListParagraph"/>
        <w:numPr>
          <w:ilvl w:val="0"/>
          <w:numId w:val="5"/>
        </w:numPr>
        <w:spacing w:line="240" w:lineRule="auto"/>
      </w:pPr>
      <w:r w:rsidRPr="007A2DB1">
        <w:rPr>
          <w:lang w:val="en-US"/>
        </w:rPr>
        <w:t xml:space="preserve">Compute acceleration </w:t>
      </w:r>
      <w:r w:rsidR="007A2DB1" w:rsidRPr="007A2DB1">
        <w:rPr>
          <w:lang w:val="en-US"/>
        </w:rPr>
        <w:t>by dividing the total force</w:t>
      </w:r>
      <w:r w:rsidR="00290AE4">
        <w:rPr>
          <w:lang w:val="en-US"/>
        </w:rPr>
        <w:t>s</w:t>
      </w:r>
      <w:r w:rsidR="007A2DB1" w:rsidRPr="007A2DB1">
        <w:rPr>
          <w:lang w:val="en-US"/>
        </w:rPr>
        <w:t xml:space="preserve"> on an object by the mass of the object</w:t>
      </w:r>
      <w:r w:rsidR="007A2DB1">
        <w:rPr>
          <w:lang w:val="en-US"/>
        </w:rPr>
        <w:t xml:space="preserve">, </w:t>
      </w:r>
      <w:r w:rsidR="007A2DB1" w:rsidRPr="007A2DB1">
        <w:rPr>
          <w:rFonts w:ascii="Times New Roman" w:hAnsi="Times New Roman" w:cs="Times New Roman"/>
          <w:i/>
          <w:lang w:val="en-US"/>
        </w:rPr>
        <w:t>a=F/m</w:t>
      </w:r>
      <w:r w:rsidR="007A2DB1" w:rsidRPr="007A2DB1">
        <w:rPr>
          <w:lang w:val="en-US"/>
        </w:rPr>
        <w:t xml:space="preserve"> – see </w:t>
      </w:r>
      <w:r w:rsidR="007A2DB1">
        <w:rPr>
          <w:lang w:val="en-US"/>
        </w:rPr>
        <w:t xml:space="preserve">equation </w:t>
      </w:r>
      <w:r w:rsidR="007A2DB1" w:rsidRPr="007A2DB1">
        <w:rPr>
          <w:lang w:val="en-US"/>
        </w:rPr>
        <w:t>1</w:t>
      </w:r>
      <w:r w:rsidR="008B67BD">
        <w:rPr>
          <w:lang w:val="en-US"/>
        </w:rPr>
        <w:t>.</w:t>
      </w:r>
    </w:p>
    <w:p w:rsidR="007A2DB1" w:rsidRDefault="007A2DB1" w:rsidP="007A2DB1">
      <w:pPr>
        <w:pStyle w:val="ListParagraph"/>
      </w:pPr>
    </w:p>
    <w:p w:rsidR="00290AE4" w:rsidRPr="00EB34A2" w:rsidRDefault="007A2DB1" w:rsidP="00290AE4">
      <w:pPr>
        <w:pStyle w:val="ListParagraph"/>
        <w:numPr>
          <w:ilvl w:val="0"/>
          <w:numId w:val="5"/>
        </w:numPr>
        <w:spacing w:line="240" w:lineRule="auto"/>
      </w:pPr>
      <w:r w:rsidRPr="00EB34A2">
        <w:rPr>
          <w:lang w:val="en-US"/>
        </w:rPr>
        <w:t>Compute new position based on old position, velocity, acceleration</w:t>
      </w:r>
      <w:r w:rsidR="008B67BD" w:rsidRPr="00EB34A2">
        <w:rPr>
          <w:lang w:val="en-US"/>
        </w:rPr>
        <w:t xml:space="preserve"> using equatio</w:t>
      </w:r>
      <w:r w:rsidR="00EB34A2">
        <w:rPr>
          <w:lang w:val="en-US"/>
        </w:rPr>
        <w:t>n 3.</w:t>
      </w:r>
    </w:p>
    <w:p w:rsidR="00EB34A2" w:rsidRDefault="00EB34A2" w:rsidP="00EB34A2">
      <w:pPr>
        <w:pStyle w:val="ListParagraph"/>
      </w:pPr>
    </w:p>
    <w:p w:rsidR="00EB34A2" w:rsidRDefault="00EB34A2" w:rsidP="00EB34A2">
      <w:pPr>
        <w:pStyle w:val="ListParagraph"/>
        <w:spacing w:line="240" w:lineRule="auto"/>
      </w:pPr>
    </w:p>
    <w:p w:rsidR="001F45DF" w:rsidRPr="00456BD6" w:rsidRDefault="002A0372" w:rsidP="007A2DB1">
      <w:pPr>
        <w:pStyle w:val="ListParagraph"/>
        <w:numPr>
          <w:ilvl w:val="0"/>
          <w:numId w:val="5"/>
        </w:numPr>
        <w:spacing w:line="240" w:lineRule="auto"/>
      </w:pPr>
      <w:r w:rsidRPr="007A2DB1">
        <w:rPr>
          <w:lang w:val="en-US"/>
        </w:rPr>
        <w:t>Compute new</w:t>
      </w:r>
      <w:r w:rsidR="00290AE4">
        <w:rPr>
          <w:lang w:val="en-US"/>
        </w:rPr>
        <w:t xml:space="preserve"> velocity based on old velocity and</w:t>
      </w:r>
      <w:r w:rsidRPr="007A2DB1">
        <w:rPr>
          <w:lang w:val="en-US"/>
        </w:rPr>
        <w:t xml:space="preserve"> acceleration</w:t>
      </w:r>
      <w:r w:rsidR="008B67BD">
        <w:rPr>
          <w:lang w:val="en-US"/>
        </w:rPr>
        <w:t xml:space="preserve"> using e</w:t>
      </w:r>
      <w:r w:rsidR="00290AE4">
        <w:rPr>
          <w:lang w:val="en-US"/>
        </w:rPr>
        <w:t>quation 2</w:t>
      </w:r>
      <w:r w:rsidR="008B67BD">
        <w:rPr>
          <w:lang w:val="en-US"/>
        </w:rPr>
        <w:t>.</w:t>
      </w:r>
    </w:p>
    <w:p w:rsidR="00456BD6" w:rsidRPr="00CC5213" w:rsidRDefault="00A16634" w:rsidP="00A16634">
      <w:pPr>
        <w:spacing w:line="240" w:lineRule="auto"/>
        <w:ind w:left="360"/>
      </w:pPr>
      <w:r>
        <w:t>These equations provide</w:t>
      </w:r>
      <w:r w:rsidR="00290AE4">
        <w:t>d</w:t>
      </w:r>
      <w:r>
        <w:t xml:space="preserve"> work only if acceleration is constant over the simulation period</w:t>
      </w:r>
      <w:r w:rsidR="00456BD6">
        <w:rPr>
          <w:lang w:val="en-US"/>
        </w:rPr>
        <w:t xml:space="preserve"> but </w:t>
      </w:r>
      <w:r w:rsidR="00EB34A2">
        <w:rPr>
          <w:lang w:val="en-US"/>
        </w:rPr>
        <w:t xml:space="preserve">they will </w:t>
      </w:r>
      <w:r w:rsidR="00290AE4">
        <w:rPr>
          <w:lang w:val="en-US"/>
        </w:rPr>
        <w:t>produce errors</w:t>
      </w:r>
      <w:r w:rsidR="002A0372" w:rsidRPr="00456BD6">
        <w:rPr>
          <w:lang w:val="en-US"/>
        </w:rPr>
        <w:t xml:space="preserve"> if acceleration</w:t>
      </w:r>
      <w:r w:rsidR="00EB34A2">
        <w:rPr>
          <w:lang w:val="en-US"/>
        </w:rPr>
        <w:t xml:space="preserve"> changes</w:t>
      </w:r>
      <w:r w:rsidR="00CC5213">
        <w:rPr>
          <w:lang w:val="en-US"/>
        </w:rPr>
        <w:t xml:space="preserve">. </w:t>
      </w:r>
      <w:r w:rsidR="00A1401C">
        <w:rPr>
          <w:lang w:val="en-US"/>
        </w:rPr>
        <w:t xml:space="preserve">In </w:t>
      </w:r>
      <w:r w:rsidR="00CC5213">
        <w:rPr>
          <w:lang w:val="en-US"/>
        </w:rPr>
        <w:t>the real world acceleration</w:t>
      </w:r>
      <w:r w:rsidR="00A1401C">
        <w:rPr>
          <w:lang w:val="en-US"/>
        </w:rPr>
        <w:t xml:space="preserve"> </w:t>
      </w:r>
      <w:r w:rsidR="00CC5213">
        <w:rPr>
          <w:lang w:val="en-US"/>
        </w:rPr>
        <w:t xml:space="preserve">can </w:t>
      </w:r>
      <w:r w:rsidR="00A1401C">
        <w:rPr>
          <w:lang w:val="en-US"/>
        </w:rPr>
        <w:t>change</w:t>
      </w:r>
      <w:r w:rsidR="00CC5213">
        <w:rPr>
          <w:lang w:val="en-US"/>
        </w:rPr>
        <w:t xml:space="preserve"> continuously f</w:t>
      </w:r>
      <w:proofErr w:type="spellStart"/>
      <w:r w:rsidR="0032425F">
        <w:t>or</w:t>
      </w:r>
      <w:proofErr w:type="spellEnd"/>
      <w:r w:rsidR="0032425F">
        <w:t xml:space="preserve"> </w:t>
      </w:r>
      <w:proofErr w:type="gramStart"/>
      <w:r w:rsidR="0032425F">
        <w:t>example</w:t>
      </w:r>
      <w:r w:rsidR="002A0372" w:rsidRPr="00456BD6">
        <w:rPr>
          <w:lang w:val="en-US"/>
        </w:rPr>
        <w:t xml:space="preserve"> </w:t>
      </w:r>
      <w:r w:rsidR="00CC5213">
        <w:rPr>
          <w:lang w:val="en-US"/>
        </w:rPr>
        <w:t xml:space="preserve"> the</w:t>
      </w:r>
      <w:proofErr w:type="gramEnd"/>
      <w:r w:rsidR="00CC5213">
        <w:rPr>
          <w:lang w:val="en-US"/>
        </w:rPr>
        <w:t xml:space="preserve"> </w:t>
      </w:r>
      <w:r w:rsidR="002A0372" w:rsidRPr="00456BD6">
        <w:rPr>
          <w:lang w:val="en-US"/>
        </w:rPr>
        <w:t xml:space="preserve">spring force:  </w:t>
      </w:r>
      <w:proofErr w:type="spellStart"/>
      <w:r w:rsidR="002A0372" w:rsidRPr="00456BD6">
        <w:rPr>
          <w:b/>
          <w:bCs/>
          <w:lang w:val="en-US"/>
        </w:rPr>
        <w:t>F</w:t>
      </w:r>
      <w:r w:rsidR="002A0372" w:rsidRPr="00456BD6">
        <w:rPr>
          <w:vertAlign w:val="subscript"/>
          <w:lang w:val="en-US"/>
        </w:rPr>
        <w:t>spring</w:t>
      </w:r>
      <w:proofErr w:type="spellEnd"/>
      <w:r w:rsidR="002A0372" w:rsidRPr="00456BD6">
        <w:rPr>
          <w:lang w:val="en-US"/>
        </w:rPr>
        <w:t xml:space="preserve"> = –</w:t>
      </w:r>
      <w:proofErr w:type="spellStart"/>
      <w:r w:rsidR="002A0372" w:rsidRPr="00456BD6">
        <w:rPr>
          <w:i/>
          <w:iCs/>
          <w:lang w:val="en-US"/>
        </w:rPr>
        <w:t>kX</w:t>
      </w:r>
      <w:proofErr w:type="spellEnd"/>
      <w:r w:rsidR="0032425F">
        <w:rPr>
          <w:lang w:val="en-US"/>
        </w:rPr>
        <w:t xml:space="preserve">; and </w:t>
      </w:r>
      <w:r w:rsidR="002A0372" w:rsidRPr="00456BD6">
        <w:rPr>
          <w:lang w:val="en-US"/>
        </w:rPr>
        <w:t xml:space="preserve"> drag force:   </w:t>
      </w:r>
      <w:proofErr w:type="spellStart"/>
      <w:r w:rsidR="002A0372" w:rsidRPr="00456BD6">
        <w:rPr>
          <w:b/>
          <w:bCs/>
          <w:lang w:val="en-US"/>
        </w:rPr>
        <w:t>F</w:t>
      </w:r>
      <w:r w:rsidR="002A0372" w:rsidRPr="00456BD6">
        <w:rPr>
          <w:vertAlign w:val="subscript"/>
          <w:lang w:val="en-US"/>
        </w:rPr>
        <w:t>drag</w:t>
      </w:r>
      <w:proofErr w:type="spellEnd"/>
      <w:r w:rsidR="002A0372" w:rsidRPr="00456BD6">
        <w:rPr>
          <w:lang w:val="en-US"/>
        </w:rPr>
        <w:t xml:space="preserve"> = –</w:t>
      </w:r>
      <w:r w:rsidR="002A0372" w:rsidRPr="00456BD6">
        <w:rPr>
          <w:i/>
          <w:iCs/>
          <w:lang w:val="en-US"/>
        </w:rPr>
        <w:t>m</w:t>
      </w:r>
      <w:r w:rsidR="002A0372" w:rsidRPr="00456BD6">
        <w:rPr>
          <w:lang w:val="en-US"/>
        </w:rPr>
        <w:sym w:font="Symbol" w:char="0072"/>
      </w:r>
      <w:r w:rsidR="002A0372" w:rsidRPr="00456BD6">
        <w:rPr>
          <w:b/>
          <w:bCs/>
          <w:lang w:val="en-US"/>
        </w:rPr>
        <w:t>v</w:t>
      </w:r>
      <w:r w:rsidR="00CC5213">
        <w:rPr>
          <w:b/>
          <w:bCs/>
          <w:lang w:val="en-US"/>
        </w:rPr>
        <w:t xml:space="preserve"> </w:t>
      </w:r>
      <w:r w:rsidR="00CC5213" w:rsidRPr="00CC5213">
        <w:rPr>
          <w:bCs/>
          <w:lang w:val="en-US"/>
        </w:rPr>
        <w:t>equations both cause acceleration to change as velocity or position change.</w:t>
      </w:r>
    </w:p>
    <w:p w:rsidR="00A16634" w:rsidRDefault="00A16634" w:rsidP="00A16634">
      <w:pPr>
        <w:rPr>
          <w:rFonts w:eastAsiaTheme="minorEastAsia"/>
        </w:rPr>
      </w:pPr>
      <w:r>
        <w:t>In order to cope with such problems we adopt an iterative method</w:t>
      </w:r>
      <w:r w:rsidR="00290AE4">
        <w:t xml:space="preserve"> (known as numerical integration)</w:t>
      </w:r>
      <w:r>
        <w:t xml:space="preserve"> that allows us to perform the integration of</w:t>
      </w:r>
      <w:r w:rsidR="00290AE4">
        <w:t xml:space="preserve"> (i.</w:t>
      </w:r>
      <w:r w:rsidR="00CC5213">
        <w:t>e. solve the differential equat</w:t>
      </w:r>
      <w:r w:rsidR="00290AE4">
        <w:t>ions)</w:t>
      </w:r>
      <w:r>
        <w:t xml:space="preserve">  </w:t>
      </w:r>
      <m:oMath>
        <m:nary>
          <m:naryPr>
            <m:limLoc m:val="undOvr"/>
            <m:subHide m:val="on"/>
            <m:supHide m:val="on"/>
            <m:ctrlPr>
              <w:rPr>
                <w:rFonts w:ascii="Cambria Math" w:hAnsi="Cambria Math"/>
                <w:i/>
              </w:rPr>
            </m:ctrlPr>
          </m:naryPr>
          <m:sub/>
          <m:sup/>
          <m:e>
            <m:r>
              <w:rPr>
                <w:rFonts w:ascii="Cambria Math" w:hAnsi="Cambria Math"/>
              </w:rPr>
              <m:t>dv=</m:t>
            </m:r>
            <m:nary>
              <m:naryPr>
                <m:limLoc m:val="undOvr"/>
                <m:subHide m:val="on"/>
                <m:supHide m:val="on"/>
                <m:ctrlPr>
                  <w:rPr>
                    <w:rFonts w:ascii="Cambria Math" w:hAnsi="Cambria Math"/>
                    <w:i/>
                  </w:rPr>
                </m:ctrlPr>
              </m:naryPr>
              <m:sub/>
              <m:sup/>
              <m:e>
                <m:r>
                  <w:rPr>
                    <w:rFonts w:ascii="Cambria Math" w:hAnsi="Cambria Math"/>
                  </w:rPr>
                  <m:t>adt</m:t>
                </m:r>
              </m:e>
            </m:nary>
          </m:e>
        </m:nary>
      </m:oMath>
      <w:r>
        <w:rPr>
          <w:rFonts w:eastAsiaTheme="minorEastAsia"/>
        </w:rPr>
        <w:t xml:space="preserve">   and   </w:t>
      </w:r>
      <m:oMath>
        <m:nary>
          <m:naryPr>
            <m:limLoc m:val="undOvr"/>
            <m:subHide m:val="on"/>
            <m:supHide m:val="on"/>
            <m:ctrlPr>
              <w:rPr>
                <w:rFonts w:ascii="Cambria Math" w:hAnsi="Cambria Math"/>
                <w:i/>
              </w:rPr>
            </m:ctrlPr>
          </m:naryPr>
          <m:sub/>
          <m:sup/>
          <m:e>
            <m:r>
              <w:rPr>
                <w:rFonts w:ascii="Cambria Math" w:hAnsi="Cambria Math"/>
              </w:rPr>
              <m:t>dx=</m:t>
            </m:r>
            <m:nary>
              <m:naryPr>
                <m:limLoc m:val="undOvr"/>
                <m:subHide m:val="on"/>
                <m:supHide m:val="on"/>
                <m:ctrlPr>
                  <w:rPr>
                    <w:rFonts w:ascii="Cambria Math" w:hAnsi="Cambria Math"/>
                    <w:i/>
                  </w:rPr>
                </m:ctrlPr>
              </m:naryPr>
              <m:sub/>
              <m:sup/>
              <m:e>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0</m:t>
                    </m:r>
                  </m:sub>
                </m:sSub>
                <m:r>
                  <w:rPr>
                    <w:rFonts w:ascii="Cambria Math" w:hAnsi="Cambria Math"/>
                  </w:rPr>
                  <m:t>+at)dt</m:t>
                </m:r>
              </m:e>
            </m:nary>
          </m:e>
        </m:nary>
      </m:oMath>
      <w:r>
        <w:rPr>
          <w:rFonts w:eastAsiaTheme="minorEastAsia"/>
        </w:rPr>
        <w:t xml:space="preserve">  in a numerical way that does not assume that a</w:t>
      </w:r>
      <w:r w:rsidR="00290AE4">
        <w:rPr>
          <w:rFonts w:eastAsiaTheme="minorEastAsia"/>
        </w:rPr>
        <w:t xml:space="preserve">cceleration, </w:t>
      </w:r>
      <w:proofErr w:type="gramStart"/>
      <w:r w:rsidR="00290AE4">
        <w:rPr>
          <w:rFonts w:eastAsiaTheme="minorEastAsia"/>
        </w:rPr>
        <w:t xml:space="preserve">a </w:t>
      </w:r>
      <w:r>
        <w:rPr>
          <w:rFonts w:eastAsiaTheme="minorEastAsia"/>
        </w:rPr>
        <w:t xml:space="preserve"> is</w:t>
      </w:r>
      <w:proofErr w:type="gramEnd"/>
      <w:r>
        <w:rPr>
          <w:rFonts w:eastAsiaTheme="minorEastAsia"/>
        </w:rPr>
        <w:t xml:space="preserve"> constant.  It deals well with any integration and copes with discontinuities.  There are several numerical integration </w:t>
      </w:r>
      <w:proofErr w:type="gramStart"/>
      <w:r>
        <w:rPr>
          <w:rFonts w:eastAsiaTheme="minorEastAsia"/>
        </w:rPr>
        <w:t>methods</w:t>
      </w:r>
      <w:r w:rsidR="00290AE4">
        <w:rPr>
          <w:rFonts w:eastAsiaTheme="minorEastAsia"/>
        </w:rPr>
        <w:t>,</w:t>
      </w:r>
      <w:proofErr w:type="gramEnd"/>
      <w:r>
        <w:rPr>
          <w:rFonts w:eastAsiaTheme="minorEastAsia"/>
        </w:rPr>
        <w:t xml:space="preserve"> the simplest is called Euler’s Method after the 18</w:t>
      </w:r>
      <w:r w:rsidRPr="00A16634">
        <w:rPr>
          <w:rFonts w:eastAsiaTheme="minorEastAsia"/>
          <w:vertAlign w:val="superscript"/>
        </w:rPr>
        <w:t>th</w:t>
      </w:r>
      <w:r>
        <w:rPr>
          <w:rFonts w:eastAsiaTheme="minorEastAsia"/>
        </w:rPr>
        <w:t xml:space="preserve"> century mathematician.  </w:t>
      </w:r>
    </w:p>
    <w:p w:rsidR="00A16634" w:rsidRPr="00A16634" w:rsidRDefault="00A16634" w:rsidP="00A16634">
      <w:pPr>
        <w:rPr>
          <w:rFonts w:eastAsiaTheme="minorEastAsia"/>
          <w:b/>
        </w:rPr>
      </w:pPr>
      <w:r w:rsidRPr="00A16634">
        <w:rPr>
          <w:rFonts w:eastAsiaTheme="minorEastAsia"/>
          <w:b/>
        </w:rPr>
        <w:t>Euler’s Method</w:t>
      </w:r>
    </w:p>
    <w:p w:rsidR="00A16634" w:rsidRDefault="00F669BB" w:rsidP="00A16634">
      <w:pPr>
        <w:rPr>
          <w:rFonts w:eastAsiaTheme="minorEastAsia"/>
        </w:rPr>
      </w:pPr>
      <w:r>
        <w:rPr>
          <w:rFonts w:eastAsiaTheme="minorEastAsia"/>
          <w:noProof/>
          <w:lang w:eastAsia="en-GB"/>
        </w:rPr>
        <w:pict>
          <v:shapetype id="_x0000_t32" coordsize="21600,21600" o:spt="32" o:oned="t" path="m,l21600,21600e" filled="f">
            <v:path arrowok="t" fillok="f" o:connecttype="none"/>
            <o:lock v:ext="edit" shapetype="t"/>
          </v:shapetype>
          <v:shape id="_x0000_s1027" type="#_x0000_t32" style="position:absolute;margin-left:-2.05pt;margin-top:40.75pt;width:0;height:153.9pt;flip:y;z-index:251659264" o:connectortype="straight">
            <v:stroke endarrow="block"/>
          </v:shape>
        </w:pict>
      </w:r>
      <w:r w:rsidR="00A16634">
        <w:rPr>
          <w:rFonts w:eastAsiaTheme="minorEastAsia"/>
        </w:rPr>
        <w:t>First we start with an initial value and follow a step-by-step (stepwise) approximation of the function we want to integrate (in our case the function</w:t>
      </w:r>
      <w:r w:rsidR="00CC5213">
        <w:rPr>
          <w:rFonts w:eastAsiaTheme="minorEastAsia"/>
        </w:rPr>
        <w:t>s are</w:t>
      </w:r>
      <w:r w:rsidR="00A16634">
        <w:rPr>
          <w:rFonts w:eastAsiaTheme="minorEastAsia"/>
        </w:rPr>
        <w:t xml:space="preserve"> the relationship between acceleration and velocity, and velocity and position)</w:t>
      </w:r>
      <w:r w:rsidR="008A62C2">
        <w:rPr>
          <w:rFonts w:eastAsiaTheme="minorEastAsia"/>
        </w:rPr>
        <w:t xml:space="preserve"> – see the diagram below.</w:t>
      </w:r>
    </w:p>
    <w:p w:rsidR="00A16634" w:rsidRDefault="00A16634" w:rsidP="00A16634">
      <w:pPr>
        <w:rPr>
          <w:rFonts w:eastAsiaTheme="minorEastAsia"/>
        </w:rPr>
      </w:pPr>
    </w:p>
    <w:p w:rsidR="00A16634" w:rsidRDefault="00F669BB" w:rsidP="00A16634">
      <w:pPr>
        <w:rPr>
          <w:rFonts w:eastAsiaTheme="minorEastAsia"/>
        </w:rPr>
      </w:pPr>
      <w:r>
        <w:rPr>
          <w:rFonts w:eastAsiaTheme="minorEastAsia"/>
          <w:noProof/>
          <w:lang w:eastAsia="en-GB"/>
        </w:rPr>
        <w:pict>
          <v:shape id="_x0000_s1026" type="#_x0000_t32" style="position:absolute;margin-left:-2.05pt;margin-top:112.85pt;width:260.85pt;height:0;z-index:251658240" o:connectortype="straight">
            <v:stroke endarrow="block"/>
          </v:shape>
        </w:pict>
      </w:r>
      <w:r w:rsidR="00A16634" w:rsidRPr="00A16634">
        <w:rPr>
          <w:rFonts w:eastAsiaTheme="minorEastAsia"/>
          <w:noProof/>
          <w:lang w:eastAsia="en-GB"/>
        </w:rPr>
        <w:drawing>
          <wp:inline distT="0" distB="0" distL="0" distR="0">
            <wp:extent cx="3192462" cy="1485900"/>
            <wp:effectExtent l="19050" t="0" r="7938" b="0"/>
            <wp:docPr id="1" name="Object 1"/>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3192462" cy="1485900"/>
                      <a:chOff x="2655888" y="4224338"/>
                      <a:chExt cx="3192462" cy="1485900"/>
                    </a:xfrm>
                  </a:grpSpPr>
                  <a:sp>
                    <a:nvSpPr>
                      <a:cNvPr id="370693" name="Freeform 4"/>
                      <a:cNvSpPr>
                        <a:spLocks/>
                      </a:cNvSpPr>
                    </a:nvSpPr>
                    <a:spPr bwMode="auto">
                      <a:xfrm>
                        <a:off x="2655888" y="4224338"/>
                        <a:ext cx="3192462" cy="1485900"/>
                      </a:xfrm>
                      <a:custGeom>
                        <a:avLst/>
                        <a:gdLst>
                          <a:gd name="T0" fmla="*/ 0 w 3703"/>
                          <a:gd name="T1" fmla="*/ 0 h 1649"/>
                          <a:gd name="T2" fmla="*/ 46 w 3703"/>
                          <a:gd name="T3" fmla="*/ 311 h 1649"/>
                          <a:gd name="T4" fmla="*/ 210 w 3703"/>
                          <a:gd name="T5" fmla="*/ 686 h 1649"/>
                          <a:gd name="T6" fmla="*/ 622 w 3703"/>
                          <a:gd name="T7" fmla="*/ 1125 h 1649"/>
                          <a:gd name="T8" fmla="*/ 1490 w 3703"/>
                          <a:gd name="T9" fmla="*/ 1564 h 1649"/>
                          <a:gd name="T10" fmla="*/ 3703 w 3703"/>
                          <a:gd name="T11" fmla="*/ 1637 h 1649"/>
                          <a:gd name="T12" fmla="*/ 0 60000 65536"/>
                          <a:gd name="T13" fmla="*/ 0 60000 65536"/>
                          <a:gd name="T14" fmla="*/ 0 60000 65536"/>
                          <a:gd name="T15" fmla="*/ 0 60000 65536"/>
                          <a:gd name="T16" fmla="*/ 0 60000 65536"/>
                          <a:gd name="T17" fmla="*/ 0 60000 65536"/>
                          <a:gd name="T18" fmla="*/ 0 w 3703"/>
                          <a:gd name="T19" fmla="*/ 0 h 1649"/>
                          <a:gd name="T20" fmla="*/ 3703 w 3703"/>
                          <a:gd name="T21" fmla="*/ 1649 h 1649"/>
                        </a:gdLst>
                        <a:ahLst/>
                        <a:cxnLst>
                          <a:cxn ang="T12">
                            <a:pos x="T0" y="T1"/>
                          </a:cxn>
                          <a:cxn ang="T13">
                            <a:pos x="T2" y="T3"/>
                          </a:cxn>
                          <a:cxn ang="T14">
                            <a:pos x="T4" y="T5"/>
                          </a:cxn>
                          <a:cxn ang="T15">
                            <a:pos x="T6" y="T7"/>
                          </a:cxn>
                          <a:cxn ang="T16">
                            <a:pos x="T8" y="T9"/>
                          </a:cxn>
                          <a:cxn ang="T17">
                            <a:pos x="T10" y="T11"/>
                          </a:cxn>
                        </a:cxnLst>
                        <a:rect l="T18" t="T19" r="T20" b="T21"/>
                        <a:pathLst>
                          <a:path w="3703" h="1649">
                            <a:moveTo>
                              <a:pt x="0" y="0"/>
                            </a:moveTo>
                            <a:cubicBezTo>
                              <a:pt x="5" y="98"/>
                              <a:pt x="11" y="197"/>
                              <a:pt x="46" y="311"/>
                            </a:cubicBezTo>
                            <a:cubicBezTo>
                              <a:pt x="81" y="425"/>
                              <a:pt x="114" y="550"/>
                              <a:pt x="210" y="686"/>
                            </a:cubicBezTo>
                            <a:cubicBezTo>
                              <a:pt x="306" y="822"/>
                              <a:pt x="409" y="979"/>
                              <a:pt x="622" y="1125"/>
                            </a:cubicBezTo>
                            <a:cubicBezTo>
                              <a:pt x="835" y="1271"/>
                              <a:pt x="976" y="1479"/>
                              <a:pt x="1490" y="1564"/>
                            </a:cubicBezTo>
                            <a:cubicBezTo>
                              <a:pt x="2004" y="1649"/>
                              <a:pt x="2853" y="1643"/>
                              <a:pt x="3703" y="1637"/>
                            </a:cubicBezTo>
                          </a:path>
                        </a:pathLst>
                      </a:custGeom>
                      <a:noFill/>
                      <a:ln w="19050" cap="sq">
                        <a:solidFill>
                          <a:srgbClr val="FF0000"/>
                        </a:solidFill>
                        <a:round/>
                        <a:headEnd/>
                        <a:tailEnd/>
                      </a:ln>
                    </a:spPr>
                    <a:txSp>
                      <a:txBody>
                        <a:bodyPr/>
                        <a:lstStyle>
                          <a:defPPr>
                            <a:defRPr lang="en-US"/>
                          </a:defPPr>
                          <a:lvl1pPr algn="l" rtl="0" eaLnBrk="0" fontAlgn="base" hangingPunct="0">
                            <a:spcBef>
                              <a:spcPct val="50000"/>
                            </a:spcBef>
                            <a:spcAft>
                              <a:spcPct val="0"/>
                            </a:spcAft>
                            <a:defRPr sz="1400" b="1" kern="1200">
                              <a:solidFill>
                                <a:schemeClr val="tx1"/>
                              </a:solidFill>
                              <a:latin typeface="Arial" charset="0"/>
                              <a:ea typeface="+mn-ea"/>
                              <a:cs typeface="+mn-cs"/>
                            </a:defRPr>
                          </a:lvl1pPr>
                          <a:lvl2pPr marL="457200" algn="l" rtl="0" eaLnBrk="0" fontAlgn="base" hangingPunct="0">
                            <a:spcBef>
                              <a:spcPct val="50000"/>
                            </a:spcBef>
                            <a:spcAft>
                              <a:spcPct val="0"/>
                            </a:spcAft>
                            <a:defRPr sz="1400" b="1" kern="1200">
                              <a:solidFill>
                                <a:schemeClr val="tx1"/>
                              </a:solidFill>
                              <a:latin typeface="Arial" charset="0"/>
                              <a:ea typeface="+mn-ea"/>
                              <a:cs typeface="+mn-cs"/>
                            </a:defRPr>
                          </a:lvl2pPr>
                          <a:lvl3pPr marL="914400" algn="l" rtl="0" eaLnBrk="0" fontAlgn="base" hangingPunct="0">
                            <a:spcBef>
                              <a:spcPct val="50000"/>
                            </a:spcBef>
                            <a:spcAft>
                              <a:spcPct val="0"/>
                            </a:spcAft>
                            <a:defRPr sz="1400" b="1" kern="1200">
                              <a:solidFill>
                                <a:schemeClr val="tx1"/>
                              </a:solidFill>
                              <a:latin typeface="Arial" charset="0"/>
                              <a:ea typeface="+mn-ea"/>
                              <a:cs typeface="+mn-cs"/>
                            </a:defRPr>
                          </a:lvl3pPr>
                          <a:lvl4pPr marL="1371600" algn="l" rtl="0" eaLnBrk="0" fontAlgn="base" hangingPunct="0">
                            <a:spcBef>
                              <a:spcPct val="50000"/>
                            </a:spcBef>
                            <a:spcAft>
                              <a:spcPct val="0"/>
                            </a:spcAft>
                            <a:defRPr sz="1400" b="1" kern="1200">
                              <a:solidFill>
                                <a:schemeClr val="tx1"/>
                              </a:solidFill>
                              <a:latin typeface="Arial" charset="0"/>
                              <a:ea typeface="+mn-ea"/>
                              <a:cs typeface="+mn-cs"/>
                            </a:defRPr>
                          </a:lvl4pPr>
                          <a:lvl5pPr marL="1828800" algn="l" rtl="0" eaLnBrk="0" fontAlgn="base" hangingPunct="0">
                            <a:spcBef>
                              <a:spcPct val="50000"/>
                            </a:spcBef>
                            <a:spcAft>
                              <a:spcPct val="0"/>
                            </a:spcAft>
                            <a:defRPr sz="1400" b="1" kern="1200">
                              <a:solidFill>
                                <a:schemeClr val="tx1"/>
                              </a:solidFill>
                              <a:latin typeface="Arial" charset="0"/>
                              <a:ea typeface="+mn-ea"/>
                              <a:cs typeface="+mn-cs"/>
                            </a:defRPr>
                          </a:lvl5pPr>
                          <a:lvl6pPr marL="2286000" algn="l" defTabSz="914400" rtl="0" eaLnBrk="1" latinLnBrk="0" hangingPunct="1">
                            <a:defRPr sz="1400" b="1" kern="1200">
                              <a:solidFill>
                                <a:schemeClr val="tx1"/>
                              </a:solidFill>
                              <a:latin typeface="Arial" charset="0"/>
                              <a:ea typeface="+mn-ea"/>
                              <a:cs typeface="+mn-cs"/>
                            </a:defRPr>
                          </a:lvl6pPr>
                          <a:lvl7pPr marL="2743200" algn="l" defTabSz="914400" rtl="0" eaLnBrk="1" latinLnBrk="0" hangingPunct="1">
                            <a:defRPr sz="1400" b="1" kern="1200">
                              <a:solidFill>
                                <a:schemeClr val="tx1"/>
                              </a:solidFill>
                              <a:latin typeface="Arial" charset="0"/>
                              <a:ea typeface="+mn-ea"/>
                              <a:cs typeface="+mn-cs"/>
                            </a:defRPr>
                          </a:lvl7pPr>
                          <a:lvl8pPr marL="3200400" algn="l" defTabSz="914400" rtl="0" eaLnBrk="1" latinLnBrk="0" hangingPunct="1">
                            <a:defRPr sz="1400" b="1" kern="1200">
                              <a:solidFill>
                                <a:schemeClr val="tx1"/>
                              </a:solidFill>
                              <a:latin typeface="Arial" charset="0"/>
                              <a:ea typeface="+mn-ea"/>
                              <a:cs typeface="+mn-cs"/>
                            </a:defRPr>
                          </a:lvl8pPr>
                          <a:lvl9pPr marL="3657600" algn="l" defTabSz="914400" rtl="0" eaLnBrk="1" latinLnBrk="0" hangingPunct="1">
                            <a:defRPr sz="1400" b="1" kern="1200">
                              <a:solidFill>
                                <a:schemeClr val="tx1"/>
                              </a:solidFill>
                              <a:latin typeface="Arial" charset="0"/>
                              <a:ea typeface="+mn-ea"/>
                              <a:cs typeface="+mn-cs"/>
                            </a:defRPr>
                          </a:lvl9pPr>
                        </a:lstStyle>
                        <a:p>
                          <a:endParaRPr lang="en-US"/>
                        </a:p>
                      </a:txBody>
                      <a:useSpRect/>
                    </a:txSp>
                  </a:sp>
                  <a:sp>
                    <a:nvSpPr>
                      <a:cNvPr id="370694" name="Line 5"/>
                      <a:cNvSpPr>
                        <a:spLocks noChangeShapeType="1"/>
                      </a:cNvSpPr>
                    </a:nvSpPr>
                    <a:spPr bwMode="auto">
                      <a:xfrm>
                        <a:off x="2830513" y="4848225"/>
                        <a:ext cx="434975" cy="449263"/>
                      </a:xfrm>
                      <a:prstGeom prst="line">
                        <a:avLst/>
                      </a:prstGeom>
                      <a:noFill/>
                      <a:ln w="19050" cap="sq">
                        <a:solidFill>
                          <a:schemeClr val="tx2"/>
                        </a:solidFill>
                        <a:round/>
                        <a:headEnd/>
                        <a:tailEnd type="triangle" w="med" len="med"/>
                      </a:ln>
                    </a:spPr>
                    <a:txSp>
                      <a:txBody>
                        <a:bodyPr/>
                        <a:lstStyle>
                          <a:defPPr>
                            <a:defRPr lang="en-US"/>
                          </a:defPPr>
                          <a:lvl1pPr algn="l" rtl="0" eaLnBrk="0" fontAlgn="base" hangingPunct="0">
                            <a:spcBef>
                              <a:spcPct val="50000"/>
                            </a:spcBef>
                            <a:spcAft>
                              <a:spcPct val="0"/>
                            </a:spcAft>
                            <a:defRPr sz="1400" b="1" kern="1200">
                              <a:solidFill>
                                <a:schemeClr val="tx1"/>
                              </a:solidFill>
                              <a:latin typeface="Arial" charset="0"/>
                              <a:ea typeface="+mn-ea"/>
                              <a:cs typeface="+mn-cs"/>
                            </a:defRPr>
                          </a:lvl1pPr>
                          <a:lvl2pPr marL="457200" algn="l" rtl="0" eaLnBrk="0" fontAlgn="base" hangingPunct="0">
                            <a:spcBef>
                              <a:spcPct val="50000"/>
                            </a:spcBef>
                            <a:spcAft>
                              <a:spcPct val="0"/>
                            </a:spcAft>
                            <a:defRPr sz="1400" b="1" kern="1200">
                              <a:solidFill>
                                <a:schemeClr val="tx1"/>
                              </a:solidFill>
                              <a:latin typeface="Arial" charset="0"/>
                              <a:ea typeface="+mn-ea"/>
                              <a:cs typeface="+mn-cs"/>
                            </a:defRPr>
                          </a:lvl2pPr>
                          <a:lvl3pPr marL="914400" algn="l" rtl="0" eaLnBrk="0" fontAlgn="base" hangingPunct="0">
                            <a:spcBef>
                              <a:spcPct val="50000"/>
                            </a:spcBef>
                            <a:spcAft>
                              <a:spcPct val="0"/>
                            </a:spcAft>
                            <a:defRPr sz="1400" b="1" kern="1200">
                              <a:solidFill>
                                <a:schemeClr val="tx1"/>
                              </a:solidFill>
                              <a:latin typeface="Arial" charset="0"/>
                              <a:ea typeface="+mn-ea"/>
                              <a:cs typeface="+mn-cs"/>
                            </a:defRPr>
                          </a:lvl3pPr>
                          <a:lvl4pPr marL="1371600" algn="l" rtl="0" eaLnBrk="0" fontAlgn="base" hangingPunct="0">
                            <a:spcBef>
                              <a:spcPct val="50000"/>
                            </a:spcBef>
                            <a:spcAft>
                              <a:spcPct val="0"/>
                            </a:spcAft>
                            <a:defRPr sz="1400" b="1" kern="1200">
                              <a:solidFill>
                                <a:schemeClr val="tx1"/>
                              </a:solidFill>
                              <a:latin typeface="Arial" charset="0"/>
                              <a:ea typeface="+mn-ea"/>
                              <a:cs typeface="+mn-cs"/>
                            </a:defRPr>
                          </a:lvl4pPr>
                          <a:lvl5pPr marL="1828800" algn="l" rtl="0" eaLnBrk="0" fontAlgn="base" hangingPunct="0">
                            <a:spcBef>
                              <a:spcPct val="50000"/>
                            </a:spcBef>
                            <a:spcAft>
                              <a:spcPct val="0"/>
                            </a:spcAft>
                            <a:defRPr sz="1400" b="1" kern="1200">
                              <a:solidFill>
                                <a:schemeClr val="tx1"/>
                              </a:solidFill>
                              <a:latin typeface="Arial" charset="0"/>
                              <a:ea typeface="+mn-ea"/>
                              <a:cs typeface="+mn-cs"/>
                            </a:defRPr>
                          </a:lvl5pPr>
                          <a:lvl6pPr marL="2286000" algn="l" defTabSz="914400" rtl="0" eaLnBrk="1" latinLnBrk="0" hangingPunct="1">
                            <a:defRPr sz="1400" b="1" kern="1200">
                              <a:solidFill>
                                <a:schemeClr val="tx1"/>
                              </a:solidFill>
                              <a:latin typeface="Arial" charset="0"/>
                              <a:ea typeface="+mn-ea"/>
                              <a:cs typeface="+mn-cs"/>
                            </a:defRPr>
                          </a:lvl6pPr>
                          <a:lvl7pPr marL="2743200" algn="l" defTabSz="914400" rtl="0" eaLnBrk="1" latinLnBrk="0" hangingPunct="1">
                            <a:defRPr sz="1400" b="1" kern="1200">
                              <a:solidFill>
                                <a:schemeClr val="tx1"/>
                              </a:solidFill>
                              <a:latin typeface="Arial" charset="0"/>
                              <a:ea typeface="+mn-ea"/>
                              <a:cs typeface="+mn-cs"/>
                            </a:defRPr>
                          </a:lvl7pPr>
                          <a:lvl8pPr marL="3200400" algn="l" defTabSz="914400" rtl="0" eaLnBrk="1" latinLnBrk="0" hangingPunct="1">
                            <a:defRPr sz="1400" b="1" kern="1200">
                              <a:solidFill>
                                <a:schemeClr val="tx1"/>
                              </a:solidFill>
                              <a:latin typeface="Arial" charset="0"/>
                              <a:ea typeface="+mn-ea"/>
                              <a:cs typeface="+mn-cs"/>
                            </a:defRPr>
                          </a:lvl8pPr>
                          <a:lvl9pPr marL="3657600" algn="l" defTabSz="914400" rtl="0" eaLnBrk="1" latinLnBrk="0" hangingPunct="1">
                            <a:defRPr sz="1400" b="1" kern="1200">
                              <a:solidFill>
                                <a:schemeClr val="tx1"/>
                              </a:solidFill>
                              <a:latin typeface="Arial" charset="0"/>
                              <a:ea typeface="+mn-ea"/>
                              <a:cs typeface="+mn-cs"/>
                            </a:defRPr>
                          </a:lvl9pPr>
                        </a:lstStyle>
                        <a:p>
                          <a:endParaRPr lang="en-GB"/>
                        </a:p>
                      </a:txBody>
                      <a:useSpRect/>
                    </a:txSp>
                  </a:sp>
                  <a:sp>
                    <a:nvSpPr>
                      <a:cNvPr id="370695" name="Line 6"/>
                      <a:cNvSpPr>
                        <a:spLocks noChangeShapeType="1"/>
                      </a:cNvSpPr>
                    </a:nvSpPr>
                    <a:spPr bwMode="auto">
                      <a:xfrm>
                        <a:off x="3294063" y="5297488"/>
                        <a:ext cx="668337" cy="349250"/>
                      </a:xfrm>
                      <a:prstGeom prst="line">
                        <a:avLst/>
                      </a:prstGeom>
                      <a:noFill/>
                      <a:ln w="19050" cap="sq">
                        <a:solidFill>
                          <a:schemeClr val="tx2"/>
                        </a:solidFill>
                        <a:round/>
                        <a:headEnd/>
                        <a:tailEnd type="triangle" w="med" len="med"/>
                      </a:ln>
                    </a:spPr>
                    <a:txSp>
                      <a:txBody>
                        <a:bodyPr/>
                        <a:lstStyle>
                          <a:defPPr>
                            <a:defRPr lang="en-US"/>
                          </a:defPPr>
                          <a:lvl1pPr algn="l" rtl="0" eaLnBrk="0" fontAlgn="base" hangingPunct="0">
                            <a:spcBef>
                              <a:spcPct val="50000"/>
                            </a:spcBef>
                            <a:spcAft>
                              <a:spcPct val="0"/>
                            </a:spcAft>
                            <a:defRPr sz="1400" b="1" kern="1200">
                              <a:solidFill>
                                <a:schemeClr val="tx1"/>
                              </a:solidFill>
                              <a:latin typeface="Arial" charset="0"/>
                              <a:ea typeface="+mn-ea"/>
                              <a:cs typeface="+mn-cs"/>
                            </a:defRPr>
                          </a:lvl1pPr>
                          <a:lvl2pPr marL="457200" algn="l" rtl="0" eaLnBrk="0" fontAlgn="base" hangingPunct="0">
                            <a:spcBef>
                              <a:spcPct val="50000"/>
                            </a:spcBef>
                            <a:spcAft>
                              <a:spcPct val="0"/>
                            </a:spcAft>
                            <a:defRPr sz="1400" b="1" kern="1200">
                              <a:solidFill>
                                <a:schemeClr val="tx1"/>
                              </a:solidFill>
                              <a:latin typeface="Arial" charset="0"/>
                              <a:ea typeface="+mn-ea"/>
                              <a:cs typeface="+mn-cs"/>
                            </a:defRPr>
                          </a:lvl2pPr>
                          <a:lvl3pPr marL="914400" algn="l" rtl="0" eaLnBrk="0" fontAlgn="base" hangingPunct="0">
                            <a:spcBef>
                              <a:spcPct val="50000"/>
                            </a:spcBef>
                            <a:spcAft>
                              <a:spcPct val="0"/>
                            </a:spcAft>
                            <a:defRPr sz="1400" b="1" kern="1200">
                              <a:solidFill>
                                <a:schemeClr val="tx1"/>
                              </a:solidFill>
                              <a:latin typeface="Arial" charset="0"/>
                              <a:ea typeface="+mn-ea"/>
                              <a:cs typeface="+mn-cs"/>
                            </a:defRPr>
                          </a:lvl3pPr>
                          <a:lvl4pPr marL="1371600" algn="l" rtl="0" eaLnBrk="0" fontAlgn="base" hangingPunct="0">
                            <a:spcBef>
                              <a:spcPct val="50000"/>
                            </a:spcBef>
                            <a:spcAft>
                              <a:spcPct val="0"/>
                            </a:spcAft>
                            <a:defRPr sz="1400" b="1" kern="1200">
                              <a:solidFill>
                                <a:schemeClr val="tx1"/>
                              </a:solidFill>
                              <a:latin typeface="Arial" charset="0"/>
                              <a:ea typeface="+mn-ea"/>
                              <a:cs typeface="+mn-cs"/>
                            </a:defRPr>
                          </a:lvl4pPr>
                          <a:lvl5pPr marL="1828800" algn="l" rtl="0" eaLnBrk="0" fontAlgn="base" hangingPunct="0">
                            <a:spcBef>
                              <a:spcPct val="50000"/>
                            </a:spcBef>
                            <a:spcAft>
                              <a:spcPct val="0"/>
                            </a:spcAft>
                            <a:defRPr sz="1400" b="1" kern="1200">
                              <a:solidFill>
                                <a:schemeClr val="tx1"/>
                              </a:solidFill>
                              <a:latin typeface="Arial" charset="0"/>
                              <a:ea typeface="+mn-ea"/>
                              <a:cs typeface="+mn-cs"/>
                            </a:defRPr>
                          </a:lvl5pPr>
                          <a:lvl6pPr marL="2286000" algn="l" defTabSz="914400" rtl="0" eaLnBrk="1" latinLnBrk="0" hangingPunct="1">
                            <a:defRPr sz="1400" b="1" kern="1200">
                              <a:solidFill>
                                <a:schemeClr val="tx1"/>
                              </a:solidFill>
                              <a:latin typeface="Arial" charset="0"/>
                              <a:ea typeface="+mn-ea"/>
                              <a:cs typeface="+mn-cs"/>
                            </a:defRPr>
                          </a:lvl6pPr>
                          <a:lvl7pPr marL="2743200" algn="l" defTabSz="914400" rtl="0" eaLnBrk="1" latinLnBrk="0" hangingPunct="1">
                            <a:defRPr sz="1400" b="1" kern="1200">
                              <a:solidFill>
                                <a:schemeClr val="tx1"/>
                              </a:solidFill>
                              <a:latin typeface="Arial" charset="0"/>
                              <a:ea typeface="+mn-ea"/>
                              <a:cs typeface="+mn-cs"/>
                            </a:defRPr>
                          </a:lvl7pPr>
                          <a:lvl8pPr marL="3200400" algn="l" defTabSz="914400" rtl="0" eaLnBrk="1" latinLnBrk="0" hangingPunct="1">
                            <a:defRPr sz="1400" b="1" kern="1200">
                              <a:solidFill>
                                <a:schemeClr val="tx1"/>
                              </a:solidFill>
                              <a:latin typeface="Arial" charset="0"/>
                              <a:ea typeface="+mn-ea"/>
                              <a:cs typeface="+mn-cs"/>
                            </a:defRPr>
                          </a:lvl8pPr>
                          <a:lvl9pPr marL="3657600" algn="l" defTabSz="914400" rtl="0" eaLnBrk="1" latinLnBrk="0" hangingPunct="1">
                            <a:defRPr sz="1400" b="1" kern="1200">
                              <a:solidFill>
                                <a:schemeClr val="tx1"/>
                              </a:solidFill>
                              <a:latin typeface="Arial" charset="0"/>
                              <a:ea typeface="+mn-ea"/>
                              <a:cs typeface="+mn-cs"/>
                            </a:defRPr>
                          </a:lvl9pPr>
                        </a:lstStyle>
                        <a:p>
                          <a:endParaRPr lang="en-GB"/>
                        </a:p>
                      </a:txBody>
                      <a:useSpRect/>
                    </a:txSp>
                  </a:sp>
                  <a:sp>
                    <a:nvSpPr>
                      <a:cNvPr id="370696" name="Line 7"/>
                      <a:cNvSpPr>
                        <a:spLocks noChangeShapeType="1"/>
                      </a:cNvSpPr>
                    </a:nvSpPr>
                    <a:spPr bwMode="auto">
                      <a:xfrm>
                        <a:off x="3990975" y="5630863"/>
                        <a:ext cx="812800" cy="73025"/>
                      </a:xfrm>
                      <a:prstGeom prst="line">
                        <a:avLst/>
                      </a:prstGeom>
                      <a:noFill/>
                      <a:ln w="19050" cap="sq">
                        <a:solidFill>
                          <a:schemeClr val="tx2"/>
                        </a:solidFill>
                        <a:round/>
                        <a:headEnd/>
                        <a:tailEnd type="triangle" w="med" len="med"/>
                      </a:ln>
                    </a:spPr>
                    <a:txSp>
                      <a:txBody>
                        <a:bodyPr/>
                        <a:lstStyle>
                          <a:defPPr>
                            <a:defRPr lang="en-US"/>
                          </a:defPPr>
                          <a:lvl1pPr algn="l" rtl="0" eaLnBrk="0" fontAlgn="base" hangingPunct="0">
                            <a:spcBef>
                              <a:spcPct val="50000"/>
                            </a:spcBef>
                            <a:spcAft>
                              <a:spcPct val="0"/>
                            </a:spcAft>
                            <a:defRPr sz="1400" b="1" kern="1200">
                              <a:solidFill>
                                <a:schemeClr val="tx1"/>
                              </a:solidFill>
                              <a:latin typeface="Arial" charset="0"/>
                              <a:ea typeface="+mn-ea"/>
                              <a:cs typeface="+mn-cs"/>
                            </a:defRPr>
                          </a:lvl1pPr>
                          <a:lvl2pPr marL="457200" algn="l" rtl="0" eaLnBrk="0" fontAlgn="base" hangingPunct="0">
                            <a:spcBef>
                              <a:spcPct val="50000"/>
                            </a:spcBef>
                            <a:spcAft>
                              <a:spcPct val="0"/>
                            </a:spcAft>
                            <a:defRPr sz="1400" b="1" kern="1200">
                              <a:solidFill>
                                <a:schemeClr val="tx1"/>
                              </a:solidFill>
                              <a:latin typeface="Arial" charset="0"/>
                              <a:ea typeface="+mn-ea"/>
                              <a:cs typeface="+mn-cs"/>
                            </a:defRPr>
                          </a:lvl2pPr>
                          <a:lvl3pPr marL="914400" algn="l" rtl="0" eaLnBrk="0" fontAlgn="base" hangingPunct="0">
                            <a:spcBef>
                              <a:spcPct val="50000"/>
                            </a:spcBef>
                            <a:spcAft>
                              <a:spcPct val="0"/>
                            </a:spcAft>
                            <a:defRPr sz="1400" b="1" kern="1200">
                              <a:solidFill>
                                <a:schemeClr val="tx1"/>
                              </a:solidFill>
                              <a:latin typeface="Arial" charset="0"/>
                              <a:ea typeface="+mn-ea"/>
                              <a:cs typeface="+mn-cs"/>
                            </a:defRPr>
                          </a:lvl3pPr>
                          <a:lvl4pPr marL="1371600" algn="l" rtl="0" eaLnBrk="0" fontAlgn="base" hangingPunct="0">
                            <a:spcBef>
                              <a:spcPct val="50000"/>
                            </a:spcBef>
                            <a:spcAft>
                              <a:spcPct val="0"/>
                            </a:spcAft>
                            <a:defRPr sz="1400" b="1" kern="1200">
                              <a:solidFill>
                                <a:schemeClr val="tx1"/>
                              </a:solidFill>
                              <a:latin typeface="Arial" charset="0"/>
                              <a:ea typeface="+mn-ea"/>
                              <a:cs typeface="+mn-cs"/>
                            </a:defRPr>
                          </a:lvl4pPr>
                          <a:lvl5pPr marL="1828800" algn="l" rtl="0" eaLnBrk="0" fontAlgn="base" hangingPunct="0">
                            <a:spcBef>
                              <a:spcPct val="50000"/>
                            </a:spcBef>
                            <a:spcAft>
                              <a:spcPct val="0"/>
                            </a:spcAft>
                            <a:defRPr sz="1400" b="1" kern="1200">
                              <a:solidFill>
                                <a:schemeClr val="tx1"/>
                              </a:solidFill>
                              <a:latin typeface="Arial" charset="0"/>
                              <a:ea typeface="+mn-ea"/>
                              <a:cs typeface="+mn-cs"/>
                            </a:defRPr>
                          </a:lvl5pPr>
                          <a:lvl6pPr marL="2286000" algn="l" defTabSz="914400" rtl="0" eaLnBrk="1" latinLnBrk="0" hangingPunct="1">
                            <a:defRPr sz="1400" b="1" kern="1200">
                              <a:solidFill>
                                <a:schemeClr val="tx1"/>
                              </a:solidFill>
                              <a:latin typeface="Arial" charset="0"/>
                              <a:ea typeface="+mn-ea"/>
                              <a:cs typeface="+mn-cs"/>
                            </a:defRPr>
                          </a:lvl6pPr>
                          <a:lvl7pPr marL="2743200" algn="l" defTabSz="914400" rtl="0" eaLnBrk="1" latinLnBrk="0" hangingPunct="1">
                            <a:defRPr sz="1400" b="1" kern="1200">
                              <a:solidFill>
                                <a:schemeClr val="tx1"/>
                              </a:solidFill>
                              <a:latin typeface="Arial" charset="0"/>
                              <a:ea typeface="+mn-ea"/>
                              <a:cs typeface="+mn-cs"/>
                            </a:defRPr>
                          </a:lvl7pPr>
                          <a:lvl8pPr marL="3200400" algn="l" defTabSz="914400" rtl="0" eaLnBrk="1" latinLnBrk="0" hangingPunct="1">
                            <a:defRPr sz="1400" b="1" kern="1200">
                              <a:solidFill>
                                <a:schemeClr val="tx1"/>
                              </a:solidFill>
                              <a:latin typeface="Arial" charset="0"/>
                              <a:ea typeface="+mn-ea"/>
                              <a:cs typeface="+mn-cs"/>
                            </a:defRPr>
                          </a:lvl8pPr>
                          <a:lvl9pPr marL="3657600" algn="l" defTabSz="914400" rtl="0" eaLnBrk="1" latinLnBrk="0" hangingPunct="1">
                            <a:defRPr sz="1400" b="1" kern="1200">
                              <a:solidFill>
                                <a:schemeClr val="tx1"/>
                              </a:solidFill>
                              <a:latin typeface="Arial" charset="0"/>
                              <a:ea typeface="+mn-ea"/>
                              <a:cs typeface="+mn-cs"/>
                            </a:defRPr>
                          </a:lvl9pPr>
                        </a:lstStyle>
                        <a:p>
                          <a:endParaRPr lang="en-GB"/>
                        </a:p>
                      </a:txBody>
                      <a:useSpRect/>
                    </a:txSp>
                  </a:sp>
                  <a:sp>
                    <a:nvSpPr>
                      <a:cNvPr id="370697" name="Line 8"/>
                      <a:cNvSpPr>
                        <a:spLocks noChangeShapeType="1"/>
                      </a:cNvSpPr>
                    </a:nvSpPr>
                    <a:spPr bwMode="auto">
                      <a:xfrm>
                        <a:off x="4833938" y="5703888"/>
                        <a:ext cx="652462" cy="0"/>
                      </a:xfrm>
                      <a:prstGeom prst="line">
                        <a:avLst/>
                      </a:prstGeom>
                      <a:noFill/>
                      <a:ln w="19050" cap="sq">
                        <a:solidFill>
                          <a:schemeClr val="tx2"/>
                        </a:solidFill>
                        <a:round/>
                        <a:headEnd/>
                        <a:tailEnd type="triangle" w="med" len="med"/>
                      </a:ln>
                    </a:spPr>
                    <a:txSp>
                      <a:txBody>
                        <a:bodyPr/>
                        <a:lstStyle>
                          <a:defPPr>
                            <a:defRPr lang="en-US"/>
                          </a:defPPr>
                          <a:lvl1pPr algn="l" rtl="0" eaLnBrk="0" fontAlgn="base" hangingPunct="0">
                            <a:spcBef>
                              <a:spcPct val="50000"/>
                            </a:spcBef>
                            <a:spcAft>
                              <a:spcPct val="0"/>
                            </a:spcAft>
                            <a:defRPr sz="1400" b="1" kern="1200">
                              <a:solidFill>
                                <a:schemeClr val="tx1"/>
                              </a:solidFill>
                              <a:latin typeface="Arial" charset="0"/>
                              <a:ea typeface="+mn-ea"/>
                              <a:cs typeface="+mn-cs"/>
                            </a:defRPr>
                          </a:lvl1pPr>
                          <a:lvl2pPr marL="457200" algn="l" rtl="0" eaLnBrk="0" fontAlgn="base" hangingPunct="0">
                            <a:spcBef>
                              <a:spcPct val="50000"/>
                            </a:spcBef>
                            <a:spcAft>
                              <a:spcPct val="0"/>
                            </a:spcAft>
                            <a:defRPr sz="1400" b="1" kern="1200">
                              <a:solidFill>
                                <a:schemeClr val="tx1"/>
                              </a:solidFill>
                              <a:latin typeface="Arial" charset="0"/>
                              <a:ea typeface="+mn-ea"/>
                              <a:cs typeface="+mn-cs"/>
                            </a:defRPr>
                          </a:lvl2pPr>
                          <a:lvl3pPr marL="914400" algn="l" rtl="0" eaLnBrk="0" fontAlgn="base" hangingPunct="0">
                            <a:spcBef>
                              <a:spcPct val="50000"/>
                            </a:spcBef>
                            <a:spcAft>
                              <a:spcPct val="0"/>
                            </a:spcAft>
                            <a:defRPr sz="1400" b="1" kern="1200">
                              <a:solidFill>
                                <a:schemeClr val="tx1"/>
                              </a:solidFill>
                              <a:latin typeface="Arial" charset="0"/>
                              <a:ea typeface="+mn-ea"/>
                              <a:cs typeface="+mn-cs"/>
                            </a:defRPr>
                          </a:lvl3pPr>
                          <a:lvl4pPr marL="1371600" algn="l" rtl="0" eaLnBrk="0" fontAlgn="base" hangingPunct="0">
                            <a:spcBef>
                              <a:spcPct val="50000"/>
                            </a:spcBef>
                            <a:spcAft>
                              <a:spcPct val="0"/>
                            </a:spcAft>
                            <a:defRPr sz="1400" b="1" kern="1200">
                              <a:solidFill>
                                <a:schemeClr val="tx1"/>
                              </a:solidFill>
                              <a:latin typeface="Arial" charset="0"/>
                              <a:ea typeface="+mn-ea"/>
                              <a:cs typeface="+mn-cs"/>
                            </a:defRPr>
                          </a:lvl4pPr>
                          <a:lvl5pPr marL="1828800" algn="l" rtl="0" eaLnBrk="0" fontAlgn="base" hangingPunct="0">
                            <a:spcBef>
                              <a:spcPct val="50000"/>
                            </a:spcBef>
                            <a:spcAft>
                              <a:spcPct val="0"/>
                            </a:spcAft>
                            <a:defRPr sz="1400" b="1" kern="1200">
                              <a:solidFill>
                                <a:schemeClr val="tx1"/>
                              </a:solidFill>
                              <a:latin typeface="Arial" charset="0"/>
                              <a:ea typeface="+mn-ea"/>
                              <a:cs typeface="+mn-cs"/>
                            </a:defRPr>
                          </a:lvl5pPr>
                          <a:lvl6pPr marL="2286000" algn="l" defTabSz="914400" rtl="0" eaLnBrk="1" latinLnBrk="0" hangingPunct="1">
                            <a:defRPr sz="1400" b="1" kern="1200">
                              <a:solidFill>
                                <a:schemeClr val="tx1"/>
                              </a:solidFill>
                              <a:latin typeface="Arial" charset="0"/>
                              <a:ea typeface="+mn-ea"/>
                              <a:cs typeface="+mn-cs"/>
                            </a:defRPr>
                          </a:lvl6pPr>
                          <a:lvl7pPr marL="2743200" algn="l" defTabSz="914400" rtl="0" eaLnBrk="1" latinLnBrk="0" hangingPunct="1">
                            <a:defRPr sz="1400" b="1" kern="1200">
                              <a:solidFill>
                                <a:schemeClr val="tx1"/>
                              </a:solidFill>
                              <a:latin typeface="Arial" charset="0"/>
                              <a:ea typeface="+mn-ea"/>
                              <a:cs typeface="+mn-cs"/>
                            </a:defRPr>
                          </a:lvl7pPr>
                          <a:lvl8pPr marL="3200400" algn="l" defTabSz="914400" rtl="0" eaLnBrk="1" latinLnBrk="0" hangingPunct="1">
                            <a:defRPr sz="1400" b="1" kern="1200">
                              <a:solidFill>
                                <a:schemeClr val="tx1"/>
                              </a:solidFill>
                              <a:latin typeface="Arial" charset="0"/>
                              <a:ea typeface="+mn-ea"/>
                              <a:cs typeface="+mn-cs"/>
                            </a:defRPr>
                          </a:lvl8pPr>
                          <a:lvl9pPr marL="3657600" algn="l" defTabSz="914400" rtl="0" eaLnBrk="1" latinLnBrk="0" hangingPunct="1">
                            <a:defRPr sz="1400" b="1" kern="1200">
                              <a:solidFill>
                                <a:schemeClr val="tx1"/>
                              </a:solidFill>
                              <a:latin typeface="Arial" charset="0"/>
                              <a:ea typeface="+mn-ea"/>
                              <a:cs typeface="+mn-cs"/>
                            </a:defRPr>
                          </a:lvl9pPr>
                        </a:lstStyle>
                        <a:p>
                          <a:endParaRPr lang="en-GB"/>
                        </a:p>
                      </a:txBody>
                      <a:useSpRect/>
                    </a:txSp>
                  </a:sp>
                  <a:sp>
                    <a:nvSpPr>
                      <a:cNvPr id="370698" name="Line 9"/>
                      <a:cNvSpPr>
                        <a:spLocks noChangeShapeType="1"/>
                      </a:cNvSpPr>
                    </a:nvSpPr>
                    <a:spPr bwMode="auto">
                      <a:xfrm>
                        <a:off x="2655888" y="4252913"/>
                        <a:ext cx="174625" cy="581025"/>
                      </a:xfrm>
                      <a:prstGeom prst="line">
                        <a:avLst/>
                      </a:prstGeom>
                      <a:noFill/>
                      <a:ln w="19050" cap="sq">
                        <a:solidFill>
                          <a:schemeClr val="tx2"/>
                        </a:solidFill>
                        <a:round/>
                        <a:headEnd/>
                        <a:tailEnd type="triangle" w="med" len="med"/>
                      </a:ln>
                    </a:spPr>
                    <a:txSp>
                      <a:txBody>
                        <a:bodyPr/>
                        <a:lstStyle>
                          <a:defPPr>
                            <a:defRPr lang="en-US"/>
                          </a:defPPr>
                          <a:lvl1pPr algn="l" rtl="0" eaLnBrk="0" fontAlgn="base" hangingPunct="0">
                            <a:spcBef>
                              <a:spcPct val="50000"/>
                            </a:spcBef>
                            <a:spcAft>
                              <a:spcPct val="0"/>
                            </a:spcAft>
                            <a:defRPr sz="1400" b="1" kern="1200">
                              <a:solidFill>
                                <a:schemeClr val="tx1"/>
                              </a:solidFill>
                              <a:latin typeface="Arial" charset="0"/>
                              <a:ea typeface="+mn-ea"/>
                              <a:cs typeface="+mn-cs"/>
                            </a:defRPr>
                          </a:lvl1pPr>
                          <a:lvl2pPr marL="457200" algn="l" rtl="0" eaLnBrk="0" fontAlgn="base" hangingPunct="0">
                            <a:spcBef>
                              <a:spcPct val="50000"/>
                            </a:spcBef>
                            <a:spcAft>
                              <a:spcPct val="0"/>
                            </a:spcAft>
                            <a:defRPr sz="1400" b="1" kern="1200">
                              <a:solidFill>
                                <a:schemeClr val="tx1"/>
                              </a:solidFill>
                              <a:latin typeface="Arial" charset="0"/>
                              <a:ea typeface="+mn-ea"/>
                              <a:cs typeface="+mn-cs"/>
                            </a:defRPr>
                          </a:lvl2pPr>
                          <a:lvl3pPr marL="914400" algn="l" rtl="0" eaLnBrk="0" fontAlgn="base" hangingPunct="0">
                            <a:spcBef>
                              <a:spcPct val="50000"/>
                            </a:spcBef>
                            <a:spcAft>
                              <a:spcPct val="0"/>
                            </a:spcAft>
                            <a:defRPr sz="1400" b="1" kern="1200">
                              <a:solidFill>
                                <a:schemeClr val="tx1"/>
                              </a:solidFill>
                              <a:latin typeface="Arial" charset="0"/>
                              <a:ea typeface="+mn-ea"/>
                              <a:cs typeface="+mn-cs"/>
                            </a:defRPr>
                          </a:lvl3pPr>
                          <a:lvl4pPr marL="1371600" algn="l" rtl="0" eaLnBrk="0" fontAlgn="base" hangingPunct="0">
                            <a:spcBef>
                              <a:spcPct val="50000"/>
                            </a:spcBef>
                            <a:spcAft>
                              <a:spcPct val="0"/>
                            </a:spcAft>
                            <a:defRPr sz="1400" b="1" kern="1200">
                              <a:solidFill>
                                <a:schemeClr val="tx1"/>
                              </a:solidFill>
                              <a:latin typeface="Arial" charset="0"/>
                              <a:ea typeface="+mn-ea"/>
                              <a:cs typeface="+mn-cs"/>
                            </a:defRPr>
                          </a:lvl4pPr>
                          <a:lvl5pPr marL="1828800" algn="l" rtl="0" eaLnBrk="0" fontAlgn="base" hangingPunct="0">
                            <a:spcBef>
                              <a:spcPct val="50000"/>
                            </a:spcBef>
                            <a:spcAft>
                              <a:spcPct val="0"/>
                            </a:spcAft>
                            <a:defRPr sz="1400" b="1" kern="1200">
                              <a:solidFill>
                                <a:schemeClr val="tx1"/>
                              </a:solidFill>
                              <a:latin typeface="Arial" charset="0"/>
                              <a:ea typeface="+mn-ea"/>
                              <a:cs typeface="+mn-cs"/>
                            </a:defRPr>
                          </a:lvl5pPr>
                          <a:lvl6pPr marL="2286000" algn="l" defTabSz="914400" rtl="0" eaLnBrk="1" latinLnBrk="0" hangingPunct="1">
                            <a:defRPr sz="1400" b="1" kern="1200">
                              <a:solidFill>
                                <a:schemeClr val="tx1"/>
                              </a:solidFill>
                              <a:latin typeface="Arial" charset="0"/>
                              <a:ea typeface="+mn-ea"/>
                              <a:cs typeface="+mn-cs"/>
                            </a:defRPr>
                          </a:lvl6pPr>
                          <a:lvl7pPr marL="2743200" algn="l" defTabSz="914400" rtl="0" eaLnBrk="1" latinLnBrk="0" hangingPunct="1">
                            <a:defRPr sz="1400" b="1" kern="1200">
                              <a:solidFill>
                                <a:schemeClr val="tx1"/>
                              </a:solidFill>
                              <a:latin typeface="Arial" charset="0"/>
                              <a:ea typeface="+mn-ea"/>
                              <a:cs typeface="+mn-cs"/>
                            </a:defRPr>
                          </a:lvl7pPr>
                          <a:lvl8pPr marL="3200400" algn="l" defTabSz="914400" rtl="0" eaLnBrk="1" latinLnBrk="0" hangingPunct="1">
                            <a:defRPr sz="1400" b="1" kern="1200">
                              <a:solidFill>
                                <a:schemeClr val="tx1"/>
                              </a:solidFill>
                              <a:latin typeface="Arial" charset="0"/>
                              <a:ea typeface="+mn-ea"/>
                              <a:cs typeface="+mn-cs"/>
                            </a:defRPr>
                          </a:lvl8pPr>
                          <a:lvl9pPr marL="3657600" algn="l" defTabSz="914400" rtl="0" eaLnBrk="1" latinLnBrk="0" hangingPunct="1">
                            <a:defRPr sz="1400" b="1" kern="1200">
                              <a:solidFill>
                                <a:schemeClr val="tx1"/>
                              </a:solidFill>
                              <a:latin typeface="Arial" charset="0"/>
                              <a:ea typeface="+mn-ea"/>
                              <a:cs typeface="+mn-cs"/>
                            </a:defRPr>
                          </a:lvl9pPr>
                        </a:lstStyle>
                        <a:p>
                          <a:endParaRPr lang="en-GB"/>
                        </a:p>
                      </a:txBody>
                      <a:useSpRect/>
                    </a:txSp>
                  </a:sp>
                </lc:lockedCanvas>
              </a:graphicData>
            </a:graphic>
          </wp:inline>
        </w:drawing>
      </w:r>
    </w:p>
    <w:p w:rsidR="001F45DF" w:rsidRPr="008A62C2" w:rsidRDefault="00290AE4" w:rsidP="008A62C2">
      <w:pPr>
        <w:rPr>
          <w:rFonts w:eastAsiaTheme="minorEastAsia"/>
        </w:rPr>
      </w:pPr>
      <w:r>
        <w:rPr>
          <w:rFonts w:eastAsiaTheme="minorEastAsia"/>
          <w:lang w:val="en-US"/>
        </w:rPr>
        <w:t>The idea is,</w:t>
      </w:r>
      <w:r w:rsidR="002A0372" w:rsidRPr="008A62C2">
        <w:rPr>
          <w:rFonts w:eastAsiaTheme="minorEastAsia"/>
          <w:lang w:val="en-US"/>
        </w:rPr>
        <w:t xml:space="preserve"> we have the </w:t>
      </w:r>
      <w:proofErr w:type="gramStart"/>
      <w:r w:rsidR="002A0372" w:rsidRPr="008A62C2">
        <w:rPr>
          <w:rFonts w:eastAsiaTheme="minorEastAsia"/>
          <w:lang w:val="en-US"/>
        </w:rPr>
        <w:t>slope</w:t>
      </w:r>
      <w:r w:rsidR="008A62C2">
        <w:rPr>
          <w:rFonts w:eastAsiaTheme="minorEastAsia"/>
          <w:lang w:val="en-US"/>
        </w:rPr>
        <w:t xml:space="preserve"> </w:t>
      </w:r>
      <w:r w:rsidR="008A62C2">
        <w:rPr>
          <w:lang w:val="en-US"/>
        </w:rPr>
        <w:t xml:space="preserve"> </w:t>
      </w:r>
      <m:oMath>
        <w:proofErr w:type="gramEnd"/>
        <m:f>
          <m:fPr>
            <m:ctrlPr>
              <w:rPr>
                <w:rFonts w:ascii="Cambria Math" w:hAnsi="Cambria Math"/>
                <w:i/>
                <w:lang w:val="en-US"/>
              </w:rPr>
            </m:ctrlPr>
          </m:fPr>
          <m:num>
            <m:r>
              <w:rPr>
                <w:rFonts w:ascii="Cambria Math" w:hAnsi="Cambria Math"/>
                <w:lang w:val="en-US"/>
              </w:rPr>
              <m:t>dv</m:t>
            </m:r>
          </m:num>
          <m:den>
            <m:r>
              <w:rPr>
                <w:rFonts w:ascii="Cambria Math" w:hAnsi="Cambria Math"/>
                <w:lang w:val="en-US"/>
              </w:rPr>
              <m:t>dt</m:t>
            </m:r>
          </m:den>
        </m:f>
      </m:oMath>
      <w:r w:rsidR="008A62C2">
        <w:rPr>
          <w:rFonts w:eastAsiaTheme="minorEastAsia"/>
          <w:lang w:val="en-US"/>
        </w:rPr>
        <w:t>=</w:t>
      </w:r>
      <w:r w:rsidR="008A62C2">
        <w:rPr>
          <w:rFonts w:ascii="Times New Roman" w:hAnsi="Times New Roman" w:cs="Times New Roman"/>
          <w:i/>
          <w:lang w:val="en-US"/>
        </w:rPr>
        <w:t xml:space="preserve"> </w:t>
      </w:r>
      <w:r w:rsidR="008A62C2">
        <w:rPr>
          <w:rFonts w:eastAsiaTheme="minorEastAsia"/>
          <w:b/>
          <w:bCs/>
          <w:lang w:val="en-US"/>
        </w:rPr>
        <w:t>v</w:t>
      </w:r>
      <w:r w:rsidR="002A0372" w:rsidRPr="008A62C2">
        <w:rPr>
          <w:rFonts w:eastAsiaTheme="minorEastAsia"/>
          <w:lang w:val="en-US"/>
        </w:rPr>
        <w:sym w:font="Symbol" w:char="00A2"/>
      </w:r>
      <w:r w:rsidR="002A0372" w:rsidRPr="008A62C2">
        <w:rPr>
          <w:rFonts w:eastAsiaTheme="minorEastAsia"/>
          <w:lang w:val="en-US"/>
        </w:rPr>
        <w:t xml:space="preserve"> </w:t>
      </w:r>
      <w:r w:rsidR="008A62C2">
        <w:rPr>
          <w:rFonts w:eastAsiaTheme="minorEastAsia"/>
          <w:lang w:val="en-US"/>
        </w:rPr>
        <w:t xml:space="preserve"> or </w:t>
      </w:r>
      <w:r w:rsidR="008A62C2">
        <w:rPr>
          <w:lang w:val="en-US"/>
        </w:rPr>
        <w:t xml:space="preserve"> </w:t>
      </w:r>
      <m:oMath>
        <m:f>
          <m:fPr>
            <m:ctrlPr>
              <w:rPr>
                <w:rFonts w:ascii="Cambria Math" w:hAnsi="Cambria Math"/>
                <w:i/>
                <w:lang w:val="en-US"/>
              </w:rPr>
            </m:ctrlPr>
          </m:fPr>
          <m:num>
            <m:r>
              <w:rPr>
                <w:rFonts w:ascii="Cambria Math" w:hAnsi="Cambria Math"/>
                <w:lang w:val="en-US"/>
              </w:rPr>
              <m:t>dx</m:t>
            </m:r>
          </m:num>
          <m:den>
            <m:r>
              <w:rPr>
                <w:rFonts w:ascii="Cambria Math" w:hAnsi="Cambria Math"/>
                <w:lang w:val="en-US"/>
              </w:rPr>
              <m:t>dt</m:t>
            </m:r>
          </m:den>
        </m:f>
      </m:oMath>
      <w:r w:rsidR="008A62C2">
        <w:rPr>
          <w:lang w:val="en-US"/>
        </w:rPr>
        <w:t xml:space="preserve">  = </w:t>
      </w:r>
      <w:r w:rsidR="008A62C2">
        <w:rPr>
          <w:rFonts w:eastAsiaTheme="minorEastAsia"/>
          <w:b/>
          <w:bCs/>
          <w:lang w:val="en-US"/>
        </w:rPr>
        <w:t>x</w:t>
      </w:r>
      <w:r w:rsidR="002A0372" w:rsidRPr="008A62C2">
        <w:rPr>
          <w:rFonts w:eastAsiaTheme="minorEastAsia"/>
          <w:lang w:val="en-US"/>
        </w:rPr>
        <w:sym w:font="Symbol" w:char="00A2"/>
      </w:r>
      <w:r w:rsidR="002A0372" w:rsidRPr="008A62C2">
        <w:rPr>
          <w:rFonts w:eastAsiaTheme="minorEastAsia"/>
          <w:lang w:val="en-US"/>
        </w:rPr>
        <w:t xml:space="preserve"> </w:t>
      </w:r>
    </w:p>
    <w:p w:rsidR="001F45DF" w:rsidRPr="008A62C2" w:rsidRDefault="00290AE4" w:rsidP="008A62C2">
      <w:pPr>
        <w:numPr>
          <w:ilvl w:val="0"/>
          <w:numId w:val="8"/>
        </w:numPr>
        <w:rPr>
          <w:rFonts w:eastAsiaTheme="minorEastAsia"/>
        </w:rPr>
      </w:pPr>
      <w:r>
        <w:rPr>
          <w:rFonts w:eastAsiaTheme="minorEastAsia"/>
          <w:lang w:val="en-US"/>
        </w:rPr>
        <w:lastRenderedPageBreak/>
        <w:t>We f</w:t>
      </w:r>
      <w:r w:rsidR="002A0372" w:rsidRPr="008A62C2">
        <w:rPr>
          <w:rFonts w:eastAsiaTheme="minorEastAsia"/>
          <w:lang w:val="en-US"/>
        </w:rPr>
        <w:t xml:space="preserve">ollow slope to find next values of </w:t>
      </w:r>
      <w:r w:rsidR="002A0372" w:rsidRPr="008A62C2">
        <w:rPr>
          <w:rFonts w:eastAsiaTheme="minorEastAsia"/>
          <w:b/>
          <w:bCs/>
          <w:lang w:val="en-US"/>
        </w:rPr>
        <w:t>x</w:t>
      </w:r>
      <w:r w:rsidR="002A0372" w:rsidRPr="008A62C2">
        <w:rPr>
          <w:rFonts w:eastAsiaTheme="minorEastAsia"/>
          <w:lang w:val="en-US"/>
        </w:rPr>
        <w:t xml:space="preserve"> or </w:t>
      </w:r>
      <w:r w:rsidR="002A0372" w:rsidRPr="008A62C2">
        <w:rPr>
          <w:rFonts w:eastAsiaTheme="minorEastAsia"/>
          <w:b/>
          <w:bCs/>
          <w:lang w:val="en-US"/>
        </w:rPr>
        <w:t>v</w:t>
      </w:r>
      <w:r w:rsidR="002A0372" w:rsidRPr="008A62C2">
        <w:rPr>
          <w:rFonts w:eastAsiaTheme="minorEastAsia"/>
          <w:lang w:val="en-US"/>
        </w:rPr>
        <w:t xml:space="preserve"> </w:t>
      </w:r>
    </w:p>
    <w:p w:rsidR="001F45DF" w:rsidRPr="008A62C2" w:rsidRDefault="00290AE4" w:rsidP="008A62C2">
      <w:pPr>
        <w:numPr>
          <w:ilvl w:val="0"/>
          <w:numId w:val="8"/>
        </w:numPr>
        <w:rPr>
          <w:rFonts w:eastAsiaTheme="minorEastAsia"/>
        </w:rPr>
      </w:pPr>
      <w:r>
        <w:rPr>
          <w:rFonts w:eastAsiaTheme="minorEastAsia"/>
          <w:lang w:val="en-US"/>
        </w:rPr>
        <w:t>We s</w:t>
      </w:r>
      <w:r w:rsidR="002A0372" w:rsidRPr="008A62C2">
        <w:rPr>
          <w:rFonts w:eastAsiaTheme="minorEastAsia"/>
          <w:lang w:val="en-US"/>
        </w:rPr>
        <w:t xml:space="preserve">tart with </w:t>
      </w:r>
      <w:r w:rsidR="002A0372" w:rsidRPr="008A62C2">
        <w:rPr>
          <w:rFonts w:eastAsiaTheme="minorEastAsia"/>
          <w:b/>
          <w:bCs/>
          <w:lang w:val="en-US"/>
        </w:rPr>
        <w:t>x</w:t>
      </w:r>
      <w:r w:rsidR="002A0372" w:rsidRPr="008A62C2">
        <w:rPr>
          <w:rFonts w:eastAsiaTheme="minorEastAsia"/>
          <w:i/>
          <w:iCs/>
          <w:vertAlign w:val="subscript"/>
          <w:lang w:val="en-US"/>
        </w:rPr>
        <w:t>0</w:t>
      </w:r>
      <w:r w:rsidR="002A0372" w:rsidRPr="008A62C2">
        <w:rPr>
          <w:rFonts w:eastAsiaTheme="minorEastAsia"/>
          <w:lang w:val="en-US"/>
        </w:rPr>
        <w:t xml:space="preserve">, </w:t>
      </w:r>
      <w:proofErr w:type="gramStart"/>
      <w:r w:rsidR="002A0372" w:rsidRPr="008A62C2">
        <w:rPr>
          <w:rFonts w:eastAsiaTheme="minorEastAsia"/>
          <w:b/>
          <w:bCs/>
          <w:lang w:val="en-US"/>
        </w:rPr>
        <w:t>v</w:t>
      </w:r>
      <w:r w:rsidR="002A0372" w:rsidRPr="008A62C2">
        <w:rPr>
          <w:rFonts w:eastAsiaTheme="minorEastAsia"/>
          <w:i/>
          <w:iCs/>
          <w:vertAlign w:val="subscript"/>
          <w:lang w:val="en-US"/>
        </w:rPr>
        <w:t>0</w:t>
      </w:r>
      <w:r>
        <w:rPr>
          <w:rFonts w:eastAsiaTheme="minorEastAsia"/>
          <w:i/>
          <w:iCs/>
          <w:vertAlign w:val="subscript"/>
          <w:lang w:val="en-US"/>
        </w:rPr>
        <w:t xml:space="preserve"> </w:t>
      </w:r>
      <w:r w:rsidR="002A0372" w:rsidRPr="008A62C2">
        <w:rPr>
          <w:rFonts w:eastAsiaTheme="minorEastAsia"/>
          <w:i/>
          <w:iCs/>
          <w:vertAlign w:val="subscript"/>
          <w:lang w:val="en-US"/>
        </w:rPr>
        <w:t xml:space="preserve"> </w:t>
      </w:r>
      <w:r>
        <w:rPr>
          <w:rFonts w:eastAsiaTheme="minorEastAsia"/>
          <w:lang w:val="en-US"/>
        </w:rPr>
        <w:t>and</w:t>
      </w:r>
      <w:proofErr w:type="gramEnd"/>
      <w:r>
        <w:rPr>
          <w:rFonts w:eastAsiaTheme="minorEastAsia"/>
          <w:lang w:val="en-US"/>
        </w:rPr>
        <w:t xml:space="preserve"> assume a tim</w:t>
      </w:r>
      <w:r w:rsidR="002A0372" w:rsidRPr="008A62C2">
        <w:rPr>
          <w:rFonts w:eastAsiaTheme="minorEastAsia"/>
          <w:lang w:val="en-US"/>
        </w:rPr>
        <w:t>e step</w:t>
      </w:r>
      <w:r>
        <w:rPr>
          <w:rFonts w:eastAsiaTheme="minorEastAsia"/>
          <w:lang w:val="en-US"/>
        </w:rPr>
        <w:t xml:space="preserve"> of</w:t>
      </w:r>
      <w:r w:rsidR="002A0372" w:rsidRPr="008A62C2">
        <w:rPr>
          <w:rFonts w:eastAsiaTheme="minorEastAsia"/>
          <w:lang w:val="en-US"/>
        </w:rPr>
        <w:t xml:space="preserve"> </w:t>
      </w:r>
      <w:r w:rsidR="002A0372" w:rsidRPr="008A62C2">
        <w:rPr>
          <w:rFonts w:eastAsiaTheme="minorEastAsia"/>
          <w:i/>
          <w:iCs/>
          <w:lang w:val="en-US"/>
        </w:rPr>
        <w:t>h</w:t>
      </w:r>
      <w:r w:rsidR="002A0372" w:rsidRPr="008A62C2">
        <w:rPr>
          <w:rFonts w:eastAsiaTheme="minorEastAsia"/>
          <w:lang w:val="en-US"/>
        </w:rPr>
        <w:t xml:space="preserve"> </w:t>
      </w:r>
      <w:r>
        <w:rPr>
          <w:rFonts w:eastAsiaTheme="minorEastAsia"/>
          <w:lang w:val="en-US"/>
        </w:rPr>
        <w:t>seconds (typically 30ms or 60ms).</w:t>
      </w:r>
    </w:p>
    <w:p w:rsidR="008A62C2" w:rsidRDefault="008A62C2" w:rsidP="008A62C2">
      <w:r w:rsidRPr="00826DDD">
        <w:rPr>
          <w:position w:val="-66"/>
        </w:rPr>
        <w:object w:dxaOrig="250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87.45pt;height:80.85pt" o:ole="">
            <v:imagedata r:id="rId6" o:title=""/>
          </v:shape>
          <o:OLEObject Type="Embed" ProgID="Equation.3" ShapeID="_x0000_i1025" DrawAspect="Content" ObjectID="_1393416653" r:id="rId7"/>
        </w:object>
      </w:r>
    </w:p>
    <w:p w:rsidR="008A62C2" w:rsidRDefault="008A62C2" w:rsidP="008A62C2">
      <w:r>
        <w:t xml:space="preserve">Here </w:t>
      </w:r>
      <w:proofErr w:type="gramStart"/>
      <w:r>
        <w:t>F(</w:t>
      </w:r>
      <w:proofErr w:type="spellStart"/>
      <w:proofErr w:type="gramEnd"/>
      <w:r>
        <w:t>x</w:t>
      </w:r>
      <w:r>
        <w:rPr>
          <w:vertAlign w:val="subscript"/>
        </w:rPr>
        <w:t>i</w:t>
      </w:r>
      <w:r>
        <w:t>,v</w:t>
      </w:r>
      <w:r>
        <w:rPr>
          <w:vertAlign w:val="subscript"/>
        </w:rPr>
        <w:t>i</w:t>
      </w:r>
      <w:proofErr w:type="spellEnd"/>
      <w:r>
        <w:t>) is the applied force, F which may be proportional to either current position, x</w:t>
      </w:r>
      <w:r>
        <w:rPr>
          <w:vertAlign w:val="subscript"/>
        </w:rPr>
        <w:t>i</w:t>
      </w:r>
      <w:r>
        <w:t xml:space="preserve"> or current velocity, v</w:t>
      </w:r>
      <w:r>
        <w:rPr>
          <w:vertAlign w:val="subscript"/>
        </w:rPr>
        <w:t>i</w:t>
      </w:r>
      <w:r w:rsidR="00B43558">
        <w:t xml:space="preserve"> or neither.</w:t>
      </w:r>
    </w:p>
    <w:p w:rsidR="00EB5422" w:rsidRDefault="00B43558" w:rsidP="00B43558">
      <w:r>
        <w:t xml:space="preserve">We repeat this </w:t>
      </w:r>
      <w:r w:rsidR="00CC5213">
        <w:t>forever</w:t>
      </w:r>
      <w:r w:rsidR="00EB5422">
        <w:t xml:space="preserve">. </w:t>
      </w:r>
    </w:p>
    <w:p w:rsidR="008A62C2" w:rsidRDefault="008A62C2" w:rsidP="008A62C2">
      <w:r>
        <w:t>It has problems.</w:t>
      </w:r>
    </w:p>
    <w:p w:rsidR="001F45DF" w:rsidRPr="008A62C2" w:rsidRDefault="008A62C2" w:rsidP="008A62C2">
      <w:pPr>
        <w:numPr>
          <w:ilvl w:val="1"/>
          <w:numId w:val="9"/>
        </w:numPr>
      </w:pPr>
      <w:r>
        <w:rPr>
          <w:lang w:val="en-US"/>
        </w:rPr>
        <w:t>It e</w:t>
      </w:r>
      <w:r w:rsidR="002A0372" w:rsidRPr="008A62C2">
        <w:rPr>
          <w:lang w:val="en-US"/>
        </w:rPr>
        <w:t>xpects the slope at the current point is a good estimate of the slope on the interval</w:t>
      </w:r>
      <w:r>
        <w:rPr>
          <w:lang w:val="en-US"/>
        </w:rPr>
        <w:t xml:space="preserve"> (see previous diagram).</w:t>
      </w:r>
    </w:p>
    <w:p w:rsidR="001F45DF" w:rsidRPr="008A62C2" w:rsidRDefault="00ED00C9" w:rsidP="008A62C2">
      <w:pPr>
        <w:numPr>
          <w:ilvl w:val="1"/>
          <w:numId w:val="9"/>
        </w:numPr>
      </w:pPr>
      <w:r>
        <w:rPr>
          <w:lang w:val="en-US"/>
        </w:rPr>
        <w:t>The a</w:t>
      </w:r>
      <w:r w:rsidR="002A0372" w:rsidRPr="008A62C2">
        <w:rPr>
          <w:lang w:val="en-US"/>
        </w:rPr>
        <w:t xml:space="preserve">pproximation can drift off the actual function </w:t>
      </w:r>
      <w:r>
        <w:rPr>
          <w:lang w:val="en-US"/>
        </w:rPr>
        <w:t xml:space="preserve">(see diagram below for extreme example as well as the previous diagram) </w:t>
      </w:r>
      <w:r w:rsidR="002A0372" w:rsidRPr="008A62C2">
        <w:rPr>
          <w:lang w:val="en-US"/>
        </w:rPr>
        <w:t xml:space="preserve">– </w:t>
      </w:r>
      <w:r>
        <w:rPr>
          <w:lang w:val="en-US"/>
        </w:rPr>
        <w:t xml:space="preserve">it actually </w:t>
      </w:r>
      <w:r w:rsidR="002A0372" w:rsidRPr="008A62C2">
        <w:rPr>
          <w:lang w:val="en-US"/>
        </w:rPr>
        <w:t>adds energy to system!</w:t>
      </w:r>
    </w:p>
    <w:p w:rsidR="001F45DF" w:rsidRPr="008A62C2" w:rsidRDefault="00ED00C9" w:rsidP="008A62C2">
      <w:pPr>
        <w:numPr>
          <w:ilvl w:val="1"/>
          <w:numId w:val="9"/>
        </w:numPr>
      </w:pPr>
      <w:r>
        <w:rPr>
          <w:lang w:val="en-US"/>
        </w:rPr>
        <w:t>It g</w:t>
      </w:r>
      <w:r w:rsidR="002A0372" w:rsidRPr="008A62C2">
        <w:rPr>
          <w:lang w:val="en-US"/>
        </w:rPr>
        <w:t>ets worse the farther we get from known initial value</w:t>
      </w:r>
    </w:p>
    <w:p w:rsidR="001F45DF" w:rsidRPr="00ED00C9" w:rsidRDefault="00ED00C9" w:rsidP="008A62C2">
      <w:pPr>
        <w:numPr>
          <w:ilvl w:val="1"/>
          <w:numId w:val="9"/>
        </w:numPr>
      </w:pPr>
      <w:r>
        <w:rPr>
          <w:lang w:val="en-US"/>
        </w:rPr>
        <w:t>And it’s e</w:t>
      </w:r>
      <w:r w:rsidR="002A0372" w:rsidRPr="008A62C2">
        <w:rPr>
          <w:lang w:val="en-US"/>
        </w:rPr>
        <w:t>specially bad when time step gets larger</w:t>
      </w:r>
      <w:r>
        <w:rPr>
          <w:lang w:val="en-US"/>
        </w:rPr>
        <w:t>.</w:t>
      </w:r>
    </w:p>
    <w:p w:rsidR="00EB5422" w:rsidRDefault="00EB5422" w:rsidP="00ED00C9">
      <w:pPr>
        <w:rPr>
          <w:b/>
          <w:lang w:val="en-US"/>
        </w:rPr>
      </w:pPr>
    </w:p>
    <w:p w:rsidR="00ED00C9" w:rsidRPr="00EB5422" w:rsidRDefault="00ED00C9" w:rsidP="00ED00C9">
      <w:pPr>
        <w:rPr>
          <w:lang w:val="en-US"/>
        </w:rPr>
      </w:pPr>
      <w:proofErr w:type="gramStart"/>
      <w:r w:rsidRPr="00EB5422">
        <w:rPr>
          <w:lang w:val="en-US"/>
        </w:rPr>
        <w:t>Example of drift.</w:t>
      </w:r>
      <w:proofErr w:type="gramEnd"/>
    </w:p>
    <w:p w:rsidR="00ED00C9" w:rsidRDefault="00ED00C9" w:rsidP="00ED00C9">
      <w:pPr>
        <w:rPr>
          <w:lang w:val="en-US"/>
        </w:rPr>
      </w:pPr>
      <w:r w:rsidRPr="00ED00C9">
        <w:rPr>
          <w:noProof/>
          <w:lang w:eastAsia="en-GB"/>
        </w:rPr>
        <w:drawing>
          <wp:inline distT="0" distB="0" distL="0" distR="0">
            <wp:extent cx="4433977" cy="2018581"/>
            <wp:effectExtent l="0" t="0" r="0" b="0"/>
            <wp:docPr id="3" name="Object 2"/>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6951662" cy="3065463"/>
                      <a:chOff x="1452563" y="2673350"/>
                      <a:chExt cx="6951662" cy="3065463"/>
                    </a:xfrm>
                  </a:grpSpPr>
                  <a:sp>
                    <a:nvSpPr>
                      <a:cNvPr id="373765" name="Freeform 4"/>
                      <a:cNvSpPr>
                        <a:spLocks/>
                      </a:cNvSpPr>
                    </a:nvSpPr>
                    <a:spPr bwMode="auto">
                      <a:xfrm>
                        <a:off x="2017713" y="2800350"/>
                        <a:ext cx="4379912" cy="1471613"/>
                      </a:xfrm>
                      <a:custGeom>
                        <a:avLst/>
                        <a:gdLst>
                          <a:gd name="T0" fmla="*/ 0 w 2759"/>
                          <a:gd name="T1" fmla="*/ 0 h 1704"/>
                          <a:gd name="T2" fmla="*/ 101 w 2759"/>
                          <a:gd name="T3" fmla="*/ 476 h 1704"/>
                          <a:gd name="T4" fmla="*/ 201 w 2759"/>
                          <a:gd name="T5" fmla="*/ 732 h 1704"/>
                          <a:gd name="T6" fmla="*/ 357 w 2759"/>
                          <a:gd name="T7" fmla="*/ 997 h 1704"/>
                          <a:gd name="T8" fmla="*/ 613 w 2759"/>
                          <a:gd name="T9" fmla="*/ 1253 h 1704"/>
                          <a:gd name="T10" fmla="*/ 1052 w 2759"/>
                          <a:gd name="T11" fmla="*/ 1509 h 1704"/>
                          <a:gd name="T12" fmla="*/ 1454 w 2759"/>
                          <a:gd name="T13" fmla="*/ 1628 h 1704"/>
                          <a:gd name="T14" fmla="*/ 1966 w 2759"/>
                          <a:gd name="T15" fmla="*/ 1692 h 1704"/>
                          <a:gd name="T16" fmla="*/ 2633 w 2759"/>
                          <a:gd name="T17" fmla="*/ 1701 h 1704"/>
                          <a:gd name="T18" fmla="*/ 2725 w 2759"/>
                          <a:gd name="T19" fmla="*/ 1701 h 1704"/>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 name="T30" fmla="*/ 0 w 2759"/>
                          <a:gd name="T31" fmla="*/ 0 h 1704"/>
                          <a:gd name="T32" fmla="*/ 2759 w 2759"/>
                          <a:gd name="T33" fmla="*/ 1704 h 1704"/>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T30" t="T31" r="T32" b="T33"/>
                        <a:pathLst>
                          <a:path w="2759" h="1704">
                            <a:moveTo>
                              <a:pt x="0" y="0"/>
                            </a:moveTo>
                            <a:cubicBezTo>
                              <a:pt x="34" y="177"/>
                              <a:pt x="68" y="354"/>
                              <a:pt x="101" y="476"/>
                            </a:cubicBezTo>
                            <a:cubicBezTo>
                              <a:pt x="134" y="598"/>
                              <a:pt x="158" y="645"/>
                              <a:pt x="201" y="732"/>
                            </a:cubicBezTo>
                            <a:cubicBezTo>
                              <a:pt x="244" y="819"/>
                              <a:pt x="288" y="910"/>
                              <a:pt x="357" y="997"/>
                            </a:cubicBezTo>
                            <a:cubicBezTo>
                              <a:pt x="426" y="1084"/>
                              <a:pt x="497" y="1168"/>
                              <a:pt x="613" y="1253"/>
                            </a:cubicBezTo>
                            <a:cubicBezTo>
                              <a:pt x="729" y="1338"/>
                              <a:pt x="912" y="1447"/>
                              <a:pt x="1052" y="1509"/>
                            </a:cubicBezTo>
                            <a:cubicBezTo>
                              <a:pt x="1192" y="1571"/>
                              <a:pt x="1302" y="1597"/>
                              <a:pt x="1454" y="1628"/>
                            </a:cubicBezTo>
                            <a:cubicBezTo>
                              <a:pt x="1606" y="1659"/>
                              <a:pt x="1770" y="1680"/>
                              <a:pt x="1966" y="1692"/>
                            </a:cubicBezTo>
                            <a:cubicBezTo>
                              <a:pt x="2162" y="1704"/>
                              <a:pt x="2507" y="1700"/>
                              <a:pt x="2633" y="1701"/>
                            </a:cubicBezTo>
                            <a:cubicBezTo>
                              <a:pt x="2759" y="1702"/>
                              <a:pt x="2742" y="1701"/>
                              <a:pt x="2725" y="1701"/>
                            </a:cubicBezTo>
                          </a:path>
                        </a:pathLst>
                      </a:custGeom>
                      <a:noFill/>
                      <a:ln w="19050" cap="sq">
                        <a:solidFill>
                          <a:srgbClr val="FF0000"/>
                        </a:solidFill>
                        <a:round/>
                        <a:headEnd/>
                        <a:tailEnd/>
                      </a:ln>
                    </a:spPr>
                    <a:txSp>
                      <a:txBody>
                        <a:bodyPr/>
                        <a:lstStyle>
                          <a:defPPr>
                            <a:defRPr lang="en-US"/>
                          </a:defPPr>
                          <a:lvl1pPr algn="l" rtl="0" eaLnBrk="0" fontAlgn="base" hangingPunct="0">
                            <a:spcBef>
                              <a:spcPct val="50000"/>
                            </a:spcBef>
                            <a:spcAft>
                              <a:spcPct val="0"/>
                            </a:spcAft>
                            <a:defRPr sz="1400" b="1" kern="1200">
                              <a:solidFill>
                                <a:schemeClr val="tx1"/>
                              </a:solidFill>
                              <a:latin typeface="Arial" charset="0"/>
                              <a:ea typeface="+mn-ea"/>
                              <a:cs typeface="+mn-cs"/>
                            </a:defRPr>
                          </a:lvl1pPr>
                          <a:lvl2pPr marL="457200" algn="l" rtl="0" eaLnBrk="0" fontAlgn="base" hangingPunct="0">
                            <a:spcBef>
                              <a:spcPct val="50000"/>
                            </a:spcBef>
                            <a:spcAft>
                              <a:spcPct val="0"/>
                            </a:spcAft>
                            <a:defRPr sz="1400" b="1" kern="1200">
                              <a:solidFill>
                                <a:schemeClr val="tx1"/>
                              </a:solidFill>
                              <a:latin typeface="Arial" charset="0"/>
                              <a:ea typeface="+mn-ea"/>
                              <a:cs typeface="+mn-cs"/>
                            </a:defRPr>
                          </a:lvl2pPr>
                          <a:lvl3pPr marL="914400" algn="l" rtl="0" eaLnBrk="0" fontAlgn="base" hangingPunct="0">
                            <a:spcBef>
                              <a:spcPct val="50000"/>
                            </a:spcBef>
                            <a:spcAft>
                              <a:spcPct val="0"/>
                            </a:spcAft>
                            <a:defRPr sz="1400" b="1" kern="1200">
                              <a:solidFill>
                                <a:schemeClr val="tx1"/>
                              </a:solidFill>
                              <a:latin typeface="Arial" charset="0"/>
                              <a:ea typeface="+mn-ea"/>
                              <a:cs typeface="+mn-cs"/>
                            </a:defRPr>
                          </a:lvl3pPr>
                          <a:lvl4pPr marL="1371600" algn="l" rtl="0" eaLnBrk="0" fontAlgn="base" hangingPunct="0">
                            <a:spcBef>
                              <a:spcPct val="50000"/>
                            </a:spcBef>
                            <a:spcAft>
                              <a:spcPct val="0"/>
                            </a:spcAft>
                            <a:defRPr sz="1400" b="1" kern="1200">
                              <a:solidFill>
                                <a:schemeClr val="tx1"/>
                              </a:solidFill>
                              <a:latin typeface="Arial" charset="0"/>
                              <a:ea typeface="+mn-ea"/>
                              <a:cs typeface="+mn-cs"/>
                            </a:defRPr>
                          </a:lvl4pPr>
                          <a:lvl5pPr marL="1828800" algn="l" rtl="0" eaLnBrk="0" fontAlgn="base" hangingPunct="0">
                            <a:spcBef>
                              <a:spcPct val="50000"/>
                            </a:spcBef>
                            <a:spcAft>
                              <a:spcPct val="0"/>
                            </a:spcAft>
                            <a:defRPr sz="1400" b="1" kern="1200">
                              <a:solidFill>
                                <a:schemeClr val="tx1"/>
                              </a:solidFill>
                              <a:latin typeface="Arial" charset="0"/>
                              <a:ea typeface="+mn-ea"/>
                              <a:cs typeface="+mn-cs"/>
                            </a:defRPr>
                          </a:lvl5pPr>
                          <a:lvl6pPr marL="2286000" algn="l" defTabSz="914400" rtl="0" eaLnBrk="1" latinLnBrk="0" hangingPunct="1">
                            <a:defRPr sz="1400" b="1" kern="1200">
                              <a:solidFill>
                                <a:schemeClr val="tx1"/>
                              </a:solidFill>
                              <a:latin typeface="Arial" charset="0"/>
                              <a:ea typeface="+mn-ea"/>
                              <a:cs typeface="+mn-cs"/>
                            </a:defRPr>
                          </a:lvl6pPr>
                          <a:lvl7pPr marL="2743200" algn="l" defTabSz="914400" rtl="0" eaLnBrk="1" latinLnBrk="0" hangingPunct="1">
                            <a:defRPr sz="1400" b="1" kern="1200">
                              <a:solidFill>
                                <a:schemeClr val="tx1"/>
                              </a:solidFill>
                              <a:latin typeface="Arial" charset="0"/>
                              <a:ea typeface="+mn-ea"/>
                              <a:cs typeface="+mn-cs"/>
                            </a:defRPr>
                          </a:lvl7pPr>
                          <a:lvl8pPr marL="3200400" algn="l" defTabSz="914400" rtl="0" eaLnBrk="1" latinLnBrk="0" hangingPunct="1">
                            <a:defRPr sz="1400" b="1" kern="1200">
                              <a:solidFill>
                                <a:schemeClr val="tx1"/>
                              </a:solidFill>
                              <a:latin typeface="Arial" charset="0"/>
                              <a:ea typeface="+mn-ea"/>
                              <a:cs typeface="+mn-cs"/>
                            </a:defRPr>
                          </a:lvl8pPr>
                          <a:lvl9pPr marL="3657600" algn="l" defTabSz="914400" rtl="0" eaLnBrk="1" latinLnBrk="0" hangingPunct="1">
                            <a:defRPr sz="1400" b="1" kern="1200">
                              <a:solidFill>
                                <a:schemeClr val="tx1"/>
                              </a:solidFill>
                              <a:latin typeface="Arial" charset="0"/>
                              <a:ea typeface="+mn-ea"/>
                              <a:cs typeface="+mn-cs"/>
                            </a:defRPr>
                          </a:lvl9pPr>
                        </a:lstStyle>
                        <a:p>
                          <a:endParaRPr lang="en-US"/>
                        </a:p>
                      </a:txBody>
                      <a:useSpRect/>
                    </a:txSp>
                  </a:sp>
                  <a:sp>
                    <a:nvSpPr>
                      <a:cNvPr id="373766" name="Freeform 5"/>
                      <a:cNvSpPr>
                        <a:spLocks/>
                      </a:cNvSpPr>
                    </a:nvSpPr>
                    <a:spPr bwMode="auto">
                      <a:xfrm flipV="1">
                        <a:off x="2851150" y="4262438"/>
                        <a:ext cx="4379913" cy="1476375"/>
                      </a:xfrm>
                      <a:custGeom>
                        <a:avLst/>
                        <a:gdLst>
                          <a:gd name="T0" fmla="*/ 0 w 2759"/>
                          <a:gd name="T1" fmla="*/ 0 h 1704"/>
                          <a:gd name="T2" fmla="*/ 101 w 2759"/>
                          <a:gd name="T3" fmla="*/ 476 h 1704"/>
                          <a:gd name="T4" fmla="*/ 201 w 2759"/>
                          <a:gd name="T5" fmla="*/ 732 h 1704"/>
                          <a:gd name="T6" fmla="*/ 357 w 2759"/>
                          <a:gd name="T7" fmla="*/ 997 h 1704"/>
                          <a:gd name="T8" fmla="*/ 613 w 2759"/>
                          <a:gd name="T9" fmla="*/ 1253 h 1704"/>
                          <a:gd name="T10" fmla="*/ 1052 w 2759"/>
                          <a:gd name="T11" fmla="*/ 1509 h 1704"/>
                          <a:gd name="T12" fmla="*/ 1454 w 2759"/>
                          <a:gd name="T13" fmla="*/ 1628 h 1704"/>
                          <a:gd name="T14" fmla="*/ 1966 w 2759"/>
                          <a:gd name="T15" fmla="*/ 1692 h 1704"/>
                          <a:gd name="T16" fmla="*/ 2633 w 2759"/>
                          <a:gd name="T17" fmla="*/ 1701 h 1704"/>
                          <a:gd name="T18" fmla="*/ 2725 w 2759"/>
                          <a:gd name="T19" fmla="*/ 1701 h 1704"/>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 name="T30" fmla="*/ 0 w 2759"/>
                          <a:gd name="T31" fmla="*/ 0 h 1704"/>
                          <a:gd name="T32" fmla="*/ 2759 w 2759"/>
                          <a:gd name="T33" fmla="*/ 1704 h 1704"/>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T30" t="T31" r="T32" b="T33"/>
                        <a:pathLst>
                          <a:path w="2759" h="1704">
                            <a:moveTo>
                              <a:pt x="0" y="0"/>
                            </a:moveTo>
                            <a:cubicBezTo>
                              <a:pt x="34" y="177"/>
                              <a:pt x="68" y="354"/>
                              <a:pt x="101" y="476"/>
                            </a:cubicBezTo>
                            <a:cubicBezTo>
                              <a:pt x="134" y="598"/>
                              <a:pt x="158" y="645"/>
                              <a:pt x="201" y="732"/>
                            </a:cubicBezTo>
                            <a:cubicBezTo>
                              <a:pt x="244" y="819"/>
                              <a:pt x="288" y="910"/>
                              <a:pt x="357" y="997"/>
                            </a:cubicBezTo>
                            <a:cubicBezTo>
                              <a:pt x="426" y="1084"/>
                              <a:pt x="497" y="1168"/>
                              <a:pt x="613" y="1253"/>
                            </a:cubicBezTo>
                            <a:cubicBezTo>
                              <a:pt x="729" y="1338"/>
                              <a:pt x="912" y="1447"/>
                              <a:pt x="1052" y="1509"/>
                            </a:cubicBezTo>
                            <a:cubicBezTo>
                              <a:pt x="1192" y="1571"/>
                              <a:pt x="1302" y="1597"/>
                              <a:pt x="1454" y="1628"/>
                            </a:cubicBezTo>
                            <a:cubicBezTo>
                              <a:pt x="1606" y="1659"/>
                              <a:pt x="1770" y="1680"/>
                              <a:pt x="1966" y="1692"/>
                            </a:cubicBezTo>
                            <a:cubicBezTo>
                              <a:pt x="2162" y="1704"/>
                              <a:pt x="2507" y="1700"/>
                              <a:pt x="2633" y="1701"/>
                            </a:cubicBezTo>
                            <a:cubicBezTo>
                              <a:pt x="2759" y="1702"/>
                              <a:pt x="2742" y="1701"/>
                              <a:pt x="2725" y="1701"/>
                            </a:cubicBezTo>
                          </a:path>
                        </a:pathLst>
                      </a:custGeom>
                      <a:noFill/>
                      <a:ln w="19050" cap="sq">
                        <a:solidFill>
                          <a:srgbClr val="FF0000"/>
                        </a:solidFill>
                        <a:round/>
                        <a:headEnd/>
                        <a:tailEnd/>
                      </a:ln>
                    </a:spPr>
                    <a:txSp>
                      <a:txBody>
                        <a:bodyPr/>
                        <a:lstStyle>
                          <a:defPPr>
                            <a:defRPr lang="en-US"/>
                          </a:defPPr>
                          <a:lvl1pPr algn="l" rtl="0" eaLnBrk="0" fontAlgn="base" hangingPunct="0">
                            <a:spcBef>
                              <a:spcPct val="50000"/>
                            </a:spcBef>
                            <a:spcAft>
                              <a:spcPct val="0"/>
                            </a:spcAft>
                            <a:defRPr sz="1400" b="1" kern="1200">
                              <a:solidFill>
                                <a:schemeClr val="tx1"/>
                              </a:solidFill>
                              <a:latin typeface="Arial" charset="0"/>
                              <a:ea typeface="+mn-ea"/>
                              <a:cs typeface="+mn-cs"/>
                            </a:defRPr>
                          </a:lvl1pPr>
                          <a:lvl2pPr marL="457200" algn="l" rtl="0" eaLnBrk="0" fontAlgn="base" hangingPunct="0">
                            <a:spcBef>
                              <a:spcPct val="50000"/>
                            </a:spcBef>
                            <a:spcAft>
                              <a:spcPct val="0"/>
                            </a:spcAft>
                            <a:defRPr sz="1400" b="1" kern="1200">
                              <a:solidFill>
                                <a:schemeClr val="tx1"/>
                              </a:solidFill>
                              <a:latin typeface="Arial" charset="0"/>
                              <a:ea typeface="+mn-ea"/>
                              <a:cs typeface="+mn-cs"/>
                            </a:defRPr>
                          </a:lvl2pPr>
                          <a:lvl3pPr marL="914400" algn="l" rtl="0" eaLnBrk="0" fontAlgn="base" hangingPunct="0">
                            <a:spcBef>
                              <a:spcPct val="50000"/>
                            </a:spcBef>
                            <a:spcAft>
                              <a:spcPct val="0"/>
                            </a:spcAft>
                            <a:defRPr sz="1400" b="1" kern="1200">
                              <a:solidFill>
                                <a:schemeClr val="tx1"/>
                              </a:solidFill>
                              <a:latin typeface="Arial" charset="0"/>
                              <a:ea typeface="+mn-ea"/>
                              <a:cs typeface="+mn-cs"/>
                            </a:defRPr>
                          </a:lvl3pPr>
                          <a:lvl4pPr marL="1371600" algn="l" rtl="0" eaLnBrk="0" fontAlgn="base" hangingPunct="0">
                            <a:spcBef>
                              <a:spcPct val="50000"/>
                            </a:spcBef>
                            <a:spcAft>
                              <a:spcPct val="0"/>
                            </a:spcAft>
                            <a:defRPr sz="1400" b="1" kern="1200">
                              <a:solidFill>
                                <a:schemeClr val="tx1"/>
                              </a:solidFill>
                              <a:latin typeface="Arial" charset="0"/>
                              <a:ea typeface="+mn-ea"/>
                              <a:cs typeface="+mn-cs"/>
                            </a:defRPr>
                          </a:lvl4pPr>
                          <a:lvl5pPr marL="1828800" algn="l" rtl="0" eaLnBrk="0" fontAlgn="base" hangingPunct="0">
                            <a:spcBef>
                              <a:spcPct val="50000"/>
                            </a:spcBef>
                            <a:spcAft>
                              <a:spcPct val="0"/>
                            </a:spcAft>
                            <a:defRPr sz="1400" b="1" kern="1200">
                              <a:solidFill>
                                <a:schemeClr val="tx1"/>
                              </a:solidFill>
                              <a:latin typeface="Arial" charset="0"/>
                              <a:ea typeface="+mn-ea"/>
                              <a:cs typeface="+mn-cs"/>
                            </a:defRPr>
                          </a:lvl5pPr>
                          <a:lvl6pPr marL="2286000" algn="l" defTabSz="914400" rtl="0" eaLnBrk="1" latinLnBrk="0" hangingPunct="1">
                            <a:defRPr sz="1400" b="1" kern="1200">
                              <a:solidFill>
                                <a:schemeClr val="tx1"/>
                              </a:solidFill>
                              <a:latin typeface="Arial" charset="0"/>
                              <a:ea typeface="+mn-ea"/>
                              <a:cs typeface="+mn-cs"/>
                            </a:defRPr>
                          </a:lvl6pPr>
                          <a:lvl7pPr marL="2743200" algn="l" defTabSz="914400" rtl="0" eaLnBrk="1" latinLnBrk="0" hangingPunct="1">
                            <a:defRPr sz="1400" b="1" kern="1200">
                              <a:solidFill>
                                <a:schemeClr val="tx1"/>
                              </a:solidFill>
                              <a:latin typeface="Arial" charset="0"/>
                              <a:ea typeface="+mn-ea"/>
                              <a:cs typeface="+mn-cs"/>
                            </a:defRPr>
                          </a:lvl7pPr>
                          <a:lvl8pPr marL="3200400" algn="l" defTabSz="914400" rtl="0" eaLnBrk="1" latinLnBrk="0" hangingPunct="1">
                            <a:defRPr sz="1400" b="1" kern="1200">
                              <a:solidFill>
                                <a:schemeClr val="tx1"/>
                              </a:solidFill>
                              <a:latin typeface="Arial" charset="0"/>
                              <a:ea typeface="+mn-ea"/>
                              <a:cs typeface="+mn-cs"/>
                            </a:defRPr>
                          </a:lvl8pPr>
                          <a:lvl9pPr marL="3657600" algn="l" defTabSz="914400" rtl="0" eaLnBrk="1" latinLnBrk="0" hangingPunct="1">
                            <a:defRPr sz="1400" b="1" kern="1200">
                              <a:solidFill>
                                <a:schemeClr val="tx1"/>
                              </a:solidFill>
                              <a:latin typeface="Arial" charset="0"/>
                              <a:ea typeface="+mn-ea"/>
                              <a:cs typeface="+mn-cs"/>
                            </a:defRPr>
                          </a:lvl9pPr>
                        </a:lstStyle>
                        <a:p>
                          <a:endParaRPr lang="en-US"/>
                        </a:p>
                      </a:txBody>
                      <a:useSpRect/>
                    </a:txSp>
                  </a:sp>
                  <a:sp>
                    <a:nvSpPr>
                      <a:cNvPr id="373767" name="Line 6"/>
                      <a:cNvSpPr>
                        <a:spLocks noChangeShapeType="1"/>
                      </a:cNvSpPr>
                    </a:nvSpPr>
                    <a:spPr bwMode="auto">
                      <a:xfrm>
                        <a:off x="2206625" y="3265488"/>
                        <a:ext cx="884238" cy="1930400"/>
                      </a:xfrm>
                      <a:prstGeom prst="line">
                        <a:avLst/>
                      </a:prstGeom>
                      <a:noFill/>
                      <a:ln w="19050" cap="sq">
                        <a:solidFill>
                          <a:schemeClr val="tx2"/>
                        </a:solidFill>
                        <a:round/>
                        <a:headEnd/>
                        <a:tailEnd type="triangle" w="med" len="med"/>
                      </a:ln>
                    </a:spPr>
                    <a:txSp>
                      <a:txBody>
                        <a:bodyPr/>
                        <a:lstStyle>
                          <a:defPPr>
                            <a:defRPr lang="en-US"/>
                          </a:defPPr>
                          <a:lvl1pPr algn="l" rtl="0" eaLnBrk="0" fontAlgn="base" hangingPunct="0">
                            <a:spcBef>
                              <a:spcPct val="50000"/>
                            </a:spcBef>
                            <a:spcAft>
                              <a:spcPct val="0"/>
                            </a:spcAft>
                            <a:defRPr sz="1400" b="1" kern="1200">
                              <a:solidFill>
                                <a:schemeClr val="tx1"/>
                              </a:solidFill>
                              <a:latin typeface="Arial" charset="0"/>
                              <a:ea typeface="+mn-ea"/>
                              <a:cs typeface="+mn-cs"/>
                            </a:defRPr>
                          </a:lvl1pPr>
                          <a:lvl2pPr marL="457200" algn="l" rtl="0" eaLnBrk="0" fontAlgn="base" hangingPunct="0">
                            <a:spcBef>
                              <a:spcPct val="50000"/>
                            </a:spcBef>
                            <a:spcAft>
                              <a:spcPct val="0"/>
                            </a:spcAft>
                            <a:defRPr sz="1400" b="1" kern="1200">
                              <a:solidFill>
                                <a:schemeClr val="tx1"/>
                              </a:solidFill>
                              <a:latin typeface="Arial" charset="0"/>
                              <a:ea typeface="+mn-ea"/>
                              <a:cs typeface="+mn-cs"/>
                            </a:defRPr>
                          </a:lvl2pPr>
                          <a:lvl3pPr marL="914400" algn="l" rtl="0" eaLnBrk="0" fontAlgn="base" hangingPunct="0">
                            <a:spcBef>
                              <a:spcPct val="50000"/>
                            </a:spcBef>
                            <a:spcAft>
                              <a:spcPct val="0"/>
                            </a:spcAft>
                            <a:defRPr sz="1400" b="1" kern="1200">
                              <a:solidFill>
                                <a:schemeClr val="tx1"/>
                              </a:solidFill>
                              <a:latin typeface="Arial" charset="0"/>
                              <a:ea typeface="+mn-ea"/>
                              <a:cs typeface="+mn-cs"/>
                            </a:defRPr>
                          </a:lvl3pPr>
                          <a:lvl4pPr marL="1371600" algn="l" rtl="0" eaLnBrk="0" fontAlgn="base" hangingPunct="0">
                            <a:spcBef>
                              <a:spcPct val="50000"/>
                            </a:spcBef>
                            <a:spcAft>
                              <a:spcPct val="0"/>
                            </a:spcAft>
                            <a:defRPr sz="1400" b="1" kern="1200">
                              <a:solidFill>
                                <a:schemeClr val="tx1"/>
                              </a:solidFill>
                              <a:latin typeface="Arial" charset="0"/>
                              <a:ea typeface="+mn-ea"/>
                              <a:cs typeface="+mn-cs"/>
                            </a:defRPr>
                          </a:lvl4pPr>
                          <a:lvl5pPr marL="1828800" algn="l" rtl="0" eaLnBrk="0" fontAlgn="base" hangingPunct="0">
                            <a:spcBef>
                              <a:spcPct val="50000"/>
                            </a:spcBef>
                            <a:spcAft>
                              <a:spcPct val="0"/>
                            </a:spcAft>
                            <a:defRPr sz="1400" b="1" kern="1200">
                              <a:solidFill>
                                <a:schemeClr val="tx1"/>
                              </a:solidFill>
                              <a:latin typeface="Arial" charset="0"/>
                              <a:ea typeface="+mn-ea"/>
                              <a:cs typeface="+mn-cs"/>
                            </a:defRPr>
                          </a:lvl5pPr>
                          <a:lvl6pPr marL="2286000" algn="l" defTabSz="914400" rtl="0" eaLnBrk="1" latinLnBrk="0" hangingPunct="1">
                            <a:defRPr sz="1400" b="1" kern="1200">
                              <a:solidFill>
                                <a:schemeClr val="tx1"/>
                              </a:solidFill>
                              <a:latin typeface="Arial" charset="0"/>
                              <a:ea typeface="+mn-ea"/>
                              <a:cs typeface="+mn-cs"/>
                            </a:defRPr>
                          </a:lvl6pPr>
                          <a:lvl7pPr marL="2743200" algn="l" defTabSz="914400" rtl="0" eaLnBrk="1" latinLnBrk="0" hangingPunct="1">
                            <a:defRPr sz="1400" b="1" kern="1200">
                              <a:solidFill>
                                <a:schemeClr val="tx1"/>
                              </a:solidFill>
                              <a:latin typeface="Arial" charset="0"/>
                              <a:ea typeface="+mn-ea"/>
                              <a:cs typeface="+mn-cs"/>
                            </a:defRPr>
                          </a:lvl7pPr>
                          <a:lvl8pPr marL="3200400" algn="l" defTabSz="914400" rtl="0" eaLnBrk="1" latinLnBrk="0" hangingPunct="1">
                            <a:defRPr sz="1400" b="1" kern="1200">
                              <a:solidFill>
                                <a:schemeClr val="tx1"/>
                              </a:solidFill>
                              <a:latin typeface="Arial" charset="0"/>
                              <a:ea typeface="+mn-ea"/>
                              <a:cs typeface="+mn-cs"/>
                            </a:defRPr>
                          </a:lvl8pPr>
                          <a:lvl9pPr marL="3657600" algn="l" defTabSz="914400" rtl="0" eaLnBrk="1" latinLnBrk="0" hangingPunct="1">
                            <a:defRPr sz="1400" b="1" kern="1200">
                              <a:solidFill>
                                <a:schemeClr val="tx1"/>
                              </a:solidFill>
                              <a:latin typeface="Arial" charset="0"/>
                              <a:ea typeface="+mn-ea"/>
                              <a:cs typeface="+mn-cs"/>
                            </a:defRPr>
                          </a:lvl9pPr>
                        </a:lstStyle>
                        <a:p>
                          <a:endParaRPr lang="en-GB"/>
                        </a:p>
                      </a:txBody>
                      <a:useSpRect/>
                    </a:txSp>
                  </a:sp>
                  <a:sp>
                    <a:nvSpPr>
                      <a:cNvPr id="373768" name="Line 7"/>
                      <a:cNvSpPr>
                        <a:spLocks noChangeShapeType="1"/>
                      </a:cNvSpPr>
                    </a:nvSpPr>
                    <a:spPr bwMode="auto">
                      <a:xfrm flipV="1">
                        <a:off x="3106738" y="3817938"/>
                        <a:ext cx="1349375" cy="1363662"/>
                      </a:xfrm>
                      <a:prstGeom prst="line">
                        <a:avLst/>
                      </a:prstGeom>
                      <a:noFill/>
                      <a:ln w="19050" cap="sq">
                        <a:solidFill>
                          <a:schemeClr val="tx2"/>
                        </a:solidFill>
                        <a:round/>
                        <a:headEnd/>
                        <a:tailEnd type="triangle" w="med" len="med"/>
                      </a:ln>
                    </a:spPr>
                    <a:txSp>
                      <a:txBody>
                        <a:bodyPr/>
                        <a:lstStyle>
                          <a:defPPr>
                            <a:defRPr lang="en-US"/>
                          </a:defPPr>
                          <a:lvl1pPr algn="l" rtl="0" eaLnBrk="0" fontAlgn="base" hangingPunct="0">
                            <a:spcBef>
                              <a:spcPct val="50000"/>
                            </a:spcBef>
                            <a:spcAft>
                              <a:spcPct val="0"/>
                            </a:spcAft>
                            <a:defRPr sz="1400" b="1" kern="1200">
                              <a:solidFill>
                                <a:schemeClr val="tx1"/>
                              </a:solidFill>
                              <a:latin typeface="Arial" charset="0"/>
                              <a:ea typeface="+mn-ea"/>
                              <a:cs typeface="+mn-cs"/>
                            </a:defRPr>
                          </a:lvl1pPr>
                          <a:lvl2pPr marL="457200" algn="l" rtl="0" eaLnBrk="0" fontAlgn="base" hangingPunct="0">
                            <a:spcBef>
                              <a:spcPct val="50000"/>
                            </a:spcBef>
                            <a:spcAft>
                              <a:spcPct val="0"/>
                            </a:spcAft>
                            <a:defRPr sz="1400" b="1" kern="1200">
                              <a:solidFill>
                                <a:schemeClr val="tx1"/>
                              </a:solidFill>
                              <a:latin typeface="Arial" charset="0"/>
                              <a:ea typeface="+mn-ea"/>
                              <a:cs typeface="+mn-cs"/>
                            </a:defRPr>
                          </a:lvl2pPr>
                          <a:lvl3pPr marL="914400" algn="l" rtl="0" eaLnBrk="0" fontAlgn="base" hangingPunct="0">
                            <a:spcBef>
                              <a:spcPct val="50000"/>
                            </a:spcBef>
                            <a:spcAft>
                              <a:spcPct val="0"/>
                            </a:spcAft>
                            <a:defRPr sz="1400" b="1" kern="1200">
                              <a:solidFill>
                                <a:schemeClr val="tx1"/>
                              </a:solidFill>
                              <a:latin typeface="Arial" charset="0"/>
                              <a:ea typeface="+mn-ea"/>
                              <a:cs typeface="+mn-cs"/>
                            </a:defRPr>
                          </a:lvl3pPr>
                          <a:lvl4pPr marL="1371600" algn="l" rtl="0" eaLnBrk="0" fontAlgn="base" hangingPunct="0">
                            <a:spcBef>
                              <a:spcPct val="50000"/>
                            </a:spcBef>
                            <a:spcAft>
                              <a:spcPct val="0"/>
                            </a:spcAft>
                            <a:defRPr sz="1400" b="1" kern="1200">
                              <a:solidFill>
                                <a:schemeClr val="tx1"/>
                              </a:solidFill>
                              <a:latin typeface="Arial" charset="0"/>
                              <a:ea typeface="+mn-ea"/>
                              <a:cs typeface="+mn-cs"/>
                            </a:defRPr>
                          </a:lvl4pPr>
                          <a:lvl5pPr marL="1828800" algn="l" rtl="0" eaLnBrk="0" fontAlgn="base" hangingPunct="0">
                            <a:spcBef>
                              <a:spcPct val="50000"/>
                            </a:spcBef>
                            <a:spcAft>
                              <a:spcPct val="0"/>
                            </a:spcAft>
                            <a:defRPr sz="1400" b="1" kern="1200">
                              <a:solidFill>
                                <a:schemeClr val="tx1"/>
                              </a:solidFill>
                              <a:latin typeface="Arial" charset="0"/>
                              <a:ea typeface="+mn-ea"/>
                              <a:cs typeface="+mn-cs"/>
                            </a:defRPr>
                          </a:lvl5pPr>
                          <a:lvl6pPr marL="2286000" algn="l" defTabSz="914400" rtl="0" eaLnBrk="1" latinLnBrk="0" hangingPunct="1">
                            <a:defRPr sz="1400" b="1" kern="1200">
                              <a:solidFill>
                                <a:schemeClr val="tx1"/>
                              </a:solidFill>
                              <a:latin typeface="Arial" charset="0"/>
                              <a:ea typeface="+mn-ea"/>
                              <a:cs typeface="+mn-cs"/>
                            </a:defRPr>
                          </a:lvl6pPr>
                          <a:lvl7pPr marL="2743200" algn="l" defTabSz="914400" rtl="0" eaLnBrk="1" latinLnBrk="0" hangingPunct="1">
                            <a:defRPr sz="1400" b="1" kern="1200">
                              <a:solidFill>
                                <a:schemeClr val="tx1"/>
                              </a:solidFill>
                              <a:latin typeface="Arial" charset="0"/>
                              <a:ea typeface="+mn-ea"/>
                              <a:cs typeface="+mn-cs"/>
                            </a:defRPr>
                          </a:lvl7pPr>
                          <a:lvl8pPr marL="3200400" algn="l" defTabSz="914400" rtl="0" eaLnBrk="1" latinLnBrk="0" hangingPunct="1">
                            <a:defRPr sz="1400" b="1" kern="1200">
                              <a:solidFill>
                                <a:schemeClr val="tx1"/>
                              </a:solidFill>
                              <a:latin typeface="Arial" charset="0"/>
                              <a:ea typeface="+mn-ea"/>
                              <a:cs typeface="+mn-cs"/>
                            </a:defRPr>
                          </a:lvl8pPr>
                          <a:lvl9pPr marL="3657600" algn="l" defTabSz="914400" rtl="0" eaLnBrk="1" latinLnBrk="0" hangingPunct="1">
                            <a:defRPr sz="1400" b="1" kern="1200">
                              <a:solidFill>
                                <a:schemeClr val="tx1"/>
                              </a:solidFill>
                              <a:latin typeface="Arial" charset="0"/>
                              <a:ea typeface="+mn-ea"/>
                              <a:cs typeface="+mn-cs"/>
                            </a:defRPr>
                          </a:lvl9pPr>
                        </a:lstStyle>
                        <a:p>
                          <a:endParaRPr lang="en-GB"/>
                        </a:p>
                      </a:txBody>
                      <a:useSpRect/>
                    </a:txSp>
                  </a:sp>
                  <a:sp>
                    <a:nvSpPr>
                      <a:cNvPr id="373769" name="Freeform 8"/>
                      <a:cNvSpPr>
                        <a:spLocks/>
                      </a:cNvSpPr>
                    </a:nvSpPr>
                    <a:spPr bwMode="auto">
                      <a:xfrm>
                        <a:off x="3556000" y="2795588"/>
                        <a:ext cx="4379913" cy="1471612"/>
                      </a:xfrm>
                      <a:custGeom>
                        <a:avLst/>
                        <a:gdLst>
                          <a:gd name="T0" fmla="*/ 0 w 2759"/>
                          <a:gd name="T1" fmla="*/ 0 h 1704"/>
                          <a:gd name="T2" fmla="*/ 101 w 2759"/>
                          <a:gd name="T3" fmla="*/ 476 h 1704"/>
                          <a:gd name="T4" fmla="*/ 201 w 2759"/>
                          <a:gd name="T5" fmla="*/ 732 h 1704"/>
                          <a:gd name="T6" fmla="*/ 357 w 2759"/>
                          <a:gd name="T7" fmla="*/ 997 h 1704"/>
                          <a:gd name="T8" fmla="*/ 613 w 2759"/>
                          <a:gd name="T9" fmla="*/ 1253 h 1704"/>
                          <a:gd name="T10" fmla="*/ 1052 w 2759"/>
                          <a:gd name="T11" fmla="*/ 1509 h 1704"/>
                          <a:gd name="T12" fmla="*/ 1454 w 2759"/>
                          <a:gd name="T13" fmla="*/ 1628 h 1704"/>
                          <a:gd name="T14" fmla="*/ 1966 w 2759"/>
                          <a:gd name="T15" fmla="*/ 1692 h 1704"/>
                          <a:gd name="T16" fmla="*/ 2633 w 2759"/>
                          <a:gd name="T17" fmla="*/ 1701 h 1704"/>
                          <a:gd name="T18" fmla="*/ 2725 w 2759"/>
                          <a:gd name="T19" fmla="*/ 1701 h 1704"/>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 name="T30" fmla="*/ 0 w 2759"/>
                          <a:gd name="T31" fmla="*/ 0 h 1704"/>
                          <a:gd name="T32" fmla="*/ 2759 w 2759"/>
                          <a:gd name="T33" fmla="*/ 1704 h 1704"/>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T30" t="T31" r="T32" b="T33"/>
                        <a:pathLst>
                          <a:path w="2759" h="1704">
                            <a:moveTo>
                              <a:pt x="0" y="0"/>
                            </a:moveTo>
                            <a:cubicBezTo>
                              <a:pt x="34" y="177"/>
                              <a:pt x="68" y="354"/>
                              <a:pt x="101" y="476"/>
                            </a:cubicBezTo>
                            <a:cubicBezTo>
                              <a:pt x="134" y="598"/>
                              <a:pt x="158" y="645"/>
                              <a:pt x="201" y="732"/>
                            </a:cubicBezTo>
                            <a:cubicBezTo>
                              <a:pt x="244" y="819"/>
                              <a:pt x="288" y="910"/>
                              <a:pt x="357" y="997"/>
                            </a:cubicBezTo>
                            <a:cubicBezTo>
                              <a:pt x="426" y="1084"/>
                              <a:pt x="497" y="1168"/>
                              <a:pt x="613" y="1253"/>
                            </a:cubicBezTo>
                            <a:cubicBezTo>
                              <a:pt x="729" y="1338"/>
                              <a:pt x="912" y="1447"/>
                              <a:pt x="1052" y="1509"/>
                            </a:cubicBezTo>
                            <a:cubicBezTo>
                              <a:pt x="1192" y="1571"/>
                              <a:pt x="1302" y="1597"/>
                              <a:pt x="1454" y="1628"/>
                            </a:cubicBezTo>
                            <a:cubicBezTo>
                              <a:pt x="1606" y="1659"/>
                              <a:pt x="1770" y="1680"/>
                              <a:pt x="1966" y="1692"/>
                            </a:cubicBezTo>
                            <a:cubicBezTo>
                              <a:pt x="2162" y="1704"/>
                              <a:pt x="2507" y="1700"/>
                              <a:pt x="2633" y="1701"/>
                            </a:cubicBezTo>
                            <a:cubicBezTo>
                              <a:pt x="2759" y="1702"/>
                              <a:pt x="2742" y="1701"/>
                              <a:pt x="2725" y="1701"/>
                            </a:cubicBezTo>
                          </a:path>
                        </a:pathLst>
                      </a:custGeom>
                      <a:noFill/>
                      <a:ln w="19050" cap="sq">
                        <a:solidFill>
                          <a:srgbClr val="FF0000"/>
                        </a:solidFill>
                        <a:round/>
                        <a:headEnd/>
                        <a:tailEnd/>
                      </a:ln>
                    </a:spPr>
                    <a:txSp>
                      <a:txBody>
                        <a:bodyPr/>
                        <a:lstStyle>
                          <a:defPPr>
                            <a:defRPr lang="en-US"/>
                          </a:defPPr>
                          <a:lvl1pPr algn="l" rtl="0" eaLnBrk="0" fontAlgn="base" hangingPunct="0">
                            <a:spcBef>
                              <a:spcPct val="50000"/>
                            </a:spcBef>
                            <a:spcAft>
                              <a:spcPct val="0"/>
                            </a:spcAft>
                            <a:defRPr sz="1400" b="1" kern="1200">
                              <a:solidFill>
                                <a:schemeClr val="tx1"/>
                              </a:solidFill>
                              <a:latin typeface="Arial" charset="0"/>
                              <a:ea typeface="+mn-ea"/>
                              <a:cs typeface="+mn-cs"/>
                            </a:defRPr>
                          </a:lvl1pPr>
                          <a:lvl2pPr marL="457200" algn="l" rtl="0" eaLnBrk="0" fontAlgn="base" hangingPunct="0">
                            <a:spcBef>
                              <a:spcPct val="50000"/>
                            </a:spcBef>
                            <a:spcAft>
                              <a:spcPct val="0"/>
                            </a:spcAft>
                            <a:defRPr sz="1400" b="1" kern="1200">
                              <a:solidFill>
                                <a:schemeClr val="tx1"/>
                              </a:solidFill>
                              <a:latin typeface="Arial" charset="0"/>
                              <a:ea typeface="+mn-ea"/>
                              <a:cs typeface="+mn-cs"/>
                            </a:defRPr>
                          </a:lvl2pPr>
                          <a:lvl3pPr marL="914400" algn="l" rtl="0" eaLnBrk="0" fontAlgn="base" hangingPunct="0">
                            <a:spcBef>
                              <a:spcPct val="50000"/>
                            </a:spcBef>
                            <a:spcAft>
                              <a:spcPct val="0"/>
                            </a:spcAft>
                            <a:defRPr sz="1400" b="1" kern="1200">
                              <a:solidFill>
                                <a:schemeClr val="tx1"/>
                              </a:solidFill>
                              <a:latin typeface="Arial" charset="0"/>
                              <a:ea typeface="+mn-ea"/>
                              <a:cs typeface="+mn-cs"/>
                            </a:defRPr>
                          </a:lvl3pPr>
                          <a:lvl4pPr marL="1371600" algn="l" rtl="0" eaLnBrk="0" fontAlgn="base" hangingPunct="0">
                            <a:spcBef>
                              <a:spcPct val="50000"/>
                            </a:spcBef>
                            <a:spcAft>
                              <a:spcPct val="0"/>
                            </a:spcAft>
                            <a:defRPr sz="1400" b="1" kern="1200">
                              <a:solidFill>
                                <a:schemeClr val="tx1"/>
                              </a:solidFill>
                              <a:latin typeface="Arial" charset="0"/>
                              <a:ea typeface="+mn-ea"/>
                              <a:cs typeface="+mn-cs"/>
                            </a:defRPr>
                          </a:lvl4pPr>
                          <a:lvl5pPr marL="1828800" algn="l" rtl="0" eaLnBrk="0" fontAlgn="base" hangingPunct="0">
                            <a:spcBef>
                              <a:spcPct val="50000"/>
                            </a:spcBef>
                            <a:spcAft>
                              <a:spcPct val="0"/>
                            </a:spcAft>
                            <a:defRPr sz="1400" b="1" kern="1200">
                              <a:solidFill>
                                <a:schemeClr val="tx1"/>
                              </a:solidFill>
                              <a:latin typeface="Arial" charset="0"/>
                              <a:ea typeface="+mn-ea"/>
                              <a:cs typeface="+mn-cs"/>
                            </a:defRPr>
                          </a:lvl5pPr>
                          <a:lvl6pPr marL="2286000" algn="l" defTabSz="914400" rtl="0" eaLnBrk="1" latinLnBrk="0" hangingPunct="1">
                            <a:defRPr sz="1400" b="1" kern="1200">
                              <a:solidFill>
                                <a:schemeClr val="tx1"/>
                              </a:solidFill>
                              <a:latin typeface="Arial" charset="0"/>
                              <a:ea typeface="+mn-ea"/>
                              <a:cs typeface="+mn-cs"/>
                            </a:defRPr>
                          </a:lvl6pPr>
                          <a:lvl7pPr marL="2743200" algn="l" defTabSz="914400" rtl="0" eaLnBrk="1" latinLnBrk="0" hangingPunct="1">
                            <a:defRPr sz="1400" b="1" kern="1200">
                              <a:solidFill>
                                <a:schemeClr val="tx1"/>
                              </a:solidFill>
                              <a:latin typeface="Arial" charset="0"/>
                              <a:ea typeface="+mn-ea"/>
                              <a:cs typeface="+mn-cs"/>
                            </a:defRPr>
                          </a:lvl7pPr>
                          <a:lvl8pPr marL="3200400" algn="l" defTabSz="914400" rtl="0" eaLnBrk="1" latinLnBrk="0" hangingPunct="1">
                            <a:defRPr sz="1400" b="1" kern="1200">
                              <a:solidFill>
                                <a:schemeClr val="tx1"/>
                              </a:solidFill>
                              <a:latin typeface="Arial" charset="0"/>
                              <a:ea typeface="+mn-ea"/>
                              <a:cs typeface="+mn-cs"/>
                            </a:defRPr>
                          </a:lvl8pPr>
                          <a:lvl9pPr marL="3657600" algn="l" defTabSz="914400" rtl="0" eaLnBrk="1" latinLnBrk="0" hangingPunct="1">
                            <a:defRPr sz="1400" b="1" kern="1200">
                              <a:solidFill>
                                <a:schemeClr val="tx1"/>
                              </a:solidFill>
                              <a:latin typeface="Arial" charset="0"/>
                              <a:ea typeface="+mn-ea"/>
                              <a:cs typeface="+mn-cs"/>
                            </a:defRPr>
                          </a:lvl9pPr>
                        </a:lstStyle>
                        <a:p>
                          <a:endParaRPr lang="en-US"/>
                        </a:p>
                      </a:txBody>
                      <a:useSpRect/>
                    </a:txSp>
                  </a:sp>
                  <a:sp>
                    <a:nvSpPr>
                      <a:cNvPr id="373770" name="Line 9"/>
                      <a:cNvSpPr>
                        <a:spLocks noChangeShapeType="1"/>
                      </a:cNvSpPr>
                    </a:nvSpPr>
                    <a:spPr bwMode="auto">
                      <a:xfrm>
                        <a:off x="4456113" y="3860800"/>
                        <a:ext cx="1654175" cy="711200"/>
                      </a:xfrm>
                      <a:prstGeom prst="line">
                        <a:avLst/>
                      </a:prstGeom>
                      <a:noFill/>
                      <a:ln w="19050" cap="sq">
                        <a:solidFill>
                          <a:schemeClr val="tx2"/>
                        </a:solidFill>
                        <a:round/>
                        <a:headEnd/>
                        <a:tailEnd type="triangle" w="med" len="med"/>
                      </a:ln>
                    </a:spPr>
                    <a:txSp>
                      <a:txBody>
                        <a:bodyPr/>
                        <a:lstStyle>
                          <a:defPPr>
                            <a:defRPr lang="en-US"/>
                          </a:defPPr>
                          <a:lvl1pPr algn="l" rtl="0" eaLnBrk="0" fontAlgn="base" hangingPunct="0">
                            <a:spcBef>
                              <a:spcPct val="50000"/>
                            </a:spcBef>
                            <a:spcAft>
                              <a:spcPct val="0"/>
                            </a:spcAft>
                            <a:defRPr sz="1400" b="1" kern="1200">
                              <a:solidFill>
                                <a:schemeClr val="tx1"/>
                              </a:solidFill>
                              <a:latin typeface="Arial" charset="0"/>
                              <a:ea typeface="+mn-ea"/>
                              <a:cs typeface="+mn-cs"/>
                            </a:defRPr>
                          </a:lvl1pPr>
                          <a:lvl2pPr marL="457200" algn="l" rtl="0" eaLnBrk="0" fontAlgn="base" hangingPunct="0">
                            <a:spcBef>
                              <a:spcPct val="50000"/>
                            </a:spcBef>
                            <a:spcAft>
                              <a:spcPct val="0"/>
                            </a:spcAft>
                            <a:defRPr sz="1400" b="1" kern="1200">
                              <a:solidFill>
                                <a:schemeClr val="tx1"/>
                              </a:solidFill>
                              <a:latin typeface="Arial" charset="0"/>
                              <a:ea typeface="+mn-ea"/>
                              <a:cs typeface="+mn-cs"/>
                            </a:defRPr>
                          </a:lvl2pPr>
                          <a:lvl3pPr marL="914400" algn="l" rtl="0" eaLnBrk="0" fontAlgn="base" hangingPunct="0">
                            <a:spcBef>
                              <a:spcPct val="50000"/>
                            </a:spcBef>
                            <a:spcAft>
                              <a:spcPct val="0"/>
                            </a:spcAft>
                            <a:defRPr sz="1400" b="1" kern="1200">
                              <a:solidFill>
                                <a:schemeClr val="tx1"/>
                              </a:solidFill>
                              <a:latin typeface="Arial" charset="0"/>
                              <a:ea typeface="+mn-ea"/>
                              <a:cs typeface="+mn-cs"/>
                            </a:defRPr>
                          </a:lvl3pPr>
                          <a:lvl4pPr marL="1371600" algn="l" rtl="0" eaLnBrk="0" fontAlgn="base" hangingPunct="0">
                            <a:spcBef>
                              <a:spcPct val="50000"/>
                            </a:spcBef>
                            <a:spcAft>
                              <a:spcPct val="0"/>
                            </a:spcAft>
                            <a:defRPr sz="1400" b="1" kern="1200">
                              <a:solidFill>
                                <a:schemeClr val="tx1"/>
                              </a:solidFill>
                              <a:latin typeface="Arial" charset="0"/>
                              <a:ea typeface="+mn-ea"/>
                              <a:cs typeface="+mn-cs"/>
                            </a:defRPr>
                          </a:lvl4pPr>
                          <a:lvl5pPr marL="1828800" algn="l" rtl="0" eaLnBrk="0" fontAlgn="base" hangingPunct="0">
                            <a:spcBef>
                              <a:spcPct val="50000"/>
                            </a:spcBef>
                            <a:spcAft>
                              <a:spcPct val="0"/>
                            </a:spcAft>
                            <a:defRPr sz="1400" b="1" kern="1200">
                              <a:solidFill>
                                <a:schemeClr val="tx1"/>
                              </a:solidFill>
                              <a:latin typeface="Arial" charset="0"/>
                              <a:ea typeface="+mn-ea"/>
                              <a:cs typeface="+mn-cs"/>
                            </a:defRPr>
                          </a:lvl5pPr>
                          <a:lvl6pPr marL="2286000" algn="l" defTabSz="914400" rtl="0" eaLnBrk="1" latinLnBrk="0" hangingPunct="1">
                            <a:defRPr sz="1400" b="1" kern="1200">
                              <a:solidFill>
                                <a:schemeClr val="tx1"/>
                              </a:solidFill>
                              <a:latin typeface="Arial" charset="0"/>
                              <a:ea typeface="+mn-ea"/>
                              <a:cs typeface="+mn-cs"/>
                            </a:defRPr>
                          </a:lvl6pPr>
                          <a:lvl7pPr marL="2743200" algn="l" defTabSz="914400" rtl="0" eaLnBrk="1" latinLnBrk="0" hangingPunct="1">
                            <a:defRPr sz="1400" b="1" kern="1200">
                              <a:solidFill>
                                <a:schemeClr val="tx1"/>
                              </a:solidFill>
                              <a:latin typeface="Arial" charset="0"/>
                              <a:ea typeface="+mn-ea"/>
                              <a:cs typeface="+mn-cs"/>
                            </a:defRPr>
                          </a:lvl7pPr>
                          <a:lvl8pPr marL="3200400" algn="l" defTabSz="914400" rtl="0" eaLnBrk="1" latinLnBrk="0" hangingPunct="1">
                            <a:defRPr sz="1400" b="1" kern="1200">
                              <a:solidFill>
                                <a:schemeClr val="tx1"/>
                              </a:solidFill>
                              <a:latin typeface="Arial" charset="0"/>
                              <a:ea typeface="+mn-ea"/>
                              <a:cs typeface="+mn-cs"/>
                            </a:defRPr>
                          </a:lvl8pPr>
                          <a:lvl9pPr marL="3657600" algn="l" defTabSz="914400" rtl="0" eaLnBrk="1" latinLnBrk="0" hangingPunct="1">
                            <a:defRPr sz="1400" b="1" kern="1200">
                              <a:solidFill>
                                <a:schemeClr val="tx1"/>
                              </a:solidFill>
                              <a:latin typeface="Arial" charset="0"/>
                              <a:ea typeface="+mn-ea"/>
                              <a:cs typeface="+mn-cs"/>
                            </a:defRPr>
                          </a:lvl9pPr>
                        </a:lstStyle>
                        <a:p>
                          <a:endParaRPr lang="en-GB"/>
                        </a:p>
                      </a:txBody>
                      <a:useSpRect/>
                    </a:txSp>
                  </a:sp>
                  <a:sp>
                    <a:nvSpPr>
                      <a:cNvPr id="373771" name="Text Box 10"/>
                      <a:cNvSpPr txBox="1">
                        <a:spLocks noChangeArrowheads="1"/>
                      </a:cNvSpPr>
                    </a:nvSpPr>
                    <a:spPr bwMode="auto">
                      <a:xfrm>
                        <a:off x="1878013" y="3081338"/>
                        <a:ext cx="379412" cy="396875"/>
                      </a:xfrm>
                      <a:prstGeom prst="rect">
                        <a:avLst/>
                      </a:prstGeom>
                      <a:noFill/>
                      <a:ln w="19050" cap="sq">
                        <a:noFill/>
                        <a:miter lim="800000"/>
                        <a:headEnd/>
                        <a:tailEnd/>
                      </a:ln>
                    </a:spPr>
                    <a:txSp>
                      <a:txBody>
                        <a:bodyPr wrap="none">
                          <a:spAutoFit/>
                        </a:bodyPr>
                        <a:lstStyle>
                          <a:defPPr>
                            <a:defRPr lang="en-US"/>
                          </a:defPPr>
                          <a:lvl1pPr algn="l" rtl="0" eaLnBrk="0" fontAlgn="base" hangingPunct="0">
                            <a:spcBef>
                              <a:spcPct val="50000"/>
                            </a:spcBef>
                            <a:spcAft>
                              <a:spcPct val="0"/>
                            </a:spcAft>
                            <a:defRPr sz="1400" b="1" kern="1200">
                              <a:solidFill>
                                <a:schemeClr val="tx1"/>
                              </a:solidFill>
                              <a:latin typeface="Arial" charset="0"/>
                              <a:ea typeface="+mn-ea"/>
                              <a:cs typeface="+mn-cs"/>
                            </a:defRPr>
                          </a:lvl1pPr>
                          <a:lvl2pPr marL="457200" algn="l" rtl="0" eaLnBrk="0" fontAlgn="base" hangingPunct="0">
                            <a:spcBef>
                              <a:spcPct val="50000"/>
                            </a:spcBef>
                            <a:spcAft>
                              <a:spcPct val="0"/>
                            </a:spcAft>
                            <a:defRPr sz="1400" b="1" kern="1200">
                              <a:solidFill>
                                <a:schemeClr val="tx1"/>
                              </a:solidFill>
                              <a:latin typeface="Arial" charset="0"/>
                              <a:ea typeface="+mn-ea"/>
                              <a:cs typeface="+mn-cs"/>
                            </a:defRPr>
                          </a:lvl2pPr>
                          <a:lvl3pPr marL="914400" algn="l" rtl="0" eaLnBrk="0" fontAlgn="base" hangingPunct="0">
                            <a:spcBef>
                              <a:spcPct val="50000"/>
                            </a:spcBef>
                            <a:spcAft>
                              <a:spcPct val="0"/>
                            </a:spcAft>
                            <a:defRPr sz="1400" b="1" kern="1200">
                              <a:solidFill>
                                <a:schemeClr val="tx1"/>
                              </a:solidFill>
                              <a:latin typeface="Arial" charset="0"/>
                              <a:ea typeface="+mn-ea"/>
                              <a:cs typeface="+mn-cs"/>
                            </a:defRPr>
                          </a:lvl3pPr>
                          <a:lvl4pPr marL="1371600" algn="l" rtl="0" eaLnBrk="0" fontAlgn="base" hangingPunct="0">
                            <a:spcBef>
                              <a:spcPct val="50000"/>
                            </a:spcBef>
                            <a:spcAft>
                              <a:spcPct val="0"/>
                            </a:spcAft>
                            <a:defRPr sz="1400" b="1" kern="1200">
                              <a:solidFill>
                                <a:schemeClr val="tx1"/>
                              </a:solidFill>
                              <a:latin typeface="Arial" charset="0"/>
                              <a:ea typeface="+mn-ea"/>
                              <a:cs typeface="+mn-cs"/>
                            </a:defRPr>
                          </a:lvl4pPr>
                          <a:lvl5pPr marL="1828800" algn="l" rtl="0" eaLnBrk="0" fontAlgn="base" hangingPunct="0">
                            <a:spcBef>
                              <a:spcPct val="50000"/>
                            </a:spcBef>
                            <a:spcAft>
                              <a:spcPct val="0"/>
                            </a:spcAft>
                            <a:defRPr sz="1400" b="1" kern="1200">
                              <a:solidFill>
                                <a:schemeClr val="tx1"/>
                              </a:solidFill>
                              <a:latin typeface="Arial" charset="0"/>
                              <a:ea typeface="+mn-ea"/>
                              <a:cs typeface="+mn-cs"/>
                            </a:defRPr>
                          </a:lvl5pPr>
                          <a:lvl6pPr marL="2286000" algn="l" defTabSz="914400" rtl="0" eaLnBrk="1" latinLnBrk="0" hangingPunct="1">
                            <a:defRPr sz="1400" b="1" kern="1200">
                              <a:solidFill>
                                <a:schemeClr val="tx1"/>
                              </a:solidFill>
                              <a:latin typeface="Arial" charset="0"/>
                              <a:ea typeface="+mn-ea"/>
                              <a:cs typeface="+mn-cs"/>
                            </a:defRPr>
                          </a:lvl6pPr>
                          <a:lvl7pPr marL="2743200" algn="l" defTabSz="914400" rtl="0" eaLnBrk="1" latinLnBrk="0" hangingPunct="1">
                            <a:defRPr sz="1400" b="1" kern="1200">
                              <a:solidFill>
                                <a:schemeClr val="tx1"/>
                              </a:solidFill>
                              <a:latin typeface="Arial" charset="0"/>
                              <a:ea typeface="+mn-ea"/>
                              <a:cs typeface="+mn-cs"/>
                            </a:defRPr>
                          </a:lvl7pPr>
                          <a:lvl8pPr marL="3200400" algn="l" defTabSz="914400" rtl="0" eaLnBrk="1" latinLnBrk="0" hangingPunct="1">
                            <a:defRPr sz="1400" b="1" kern="1200">
                              <a:solidFill>
                                <a:schemeClr val="tx1"/>
                              </a:solidFill>
                              <a:latin typeface="Arial" charset="0"/>
                              <a:ea typeface="+mn-ea"/>
                              <a:cs typeface="+mn-cs"/>
                            </a:defRPr>
                          </a:lvl8pPr>
                          <a:lvl9pPr marL="3657600" algn="l" defTabSz="914400" rtl="0" eaLnBrk="1" latinLnBrk="0" hangingPunct="1">
                            <a:defRPr sz="1400" b="1" kern="1200">
                              <a:solidFill>
                                <a:schemeClr val="tx1"/>
                              </a:solidFill>
                              <a:latin typeface="Arial" charset="0"/>
                              <a:ea typeface="+mn-ea"/>
                              <a:cs typeface="+mn-cs"/>
                            </a:defRPr>
                          </a:lvl9pPr>
                        </a:lstStyle>
                        <a:p>
                          <a:r>
                            <a:rPr lang="en-US" sz="2000" b="0" i="1">
                              <a:latin typeface="Times New Roman" pitchFamily="18" charset="0"/>
                            </a:rPr>
                            <a:t>x</a:t>
                          </a:r>
                          <a:r>
                            <a:rPr lang="en-US" sz="2000" b="0" baseline="-25000">
                              <a:latin typeface="Times New Roman" pitchFamily="18" charset="0"/>
                            </a:rPr>
                            <a:t>0</a:t>
                          </a:r>
                          <a:endParaRPr lang="en-US" sz="2000" b="0">
                            <a:latin typeface="Times New Roman" pitchFamily="18" charset="0"/>
                          </a:endParaRPr>
                        </a:p>
                      </a:txBody>
                      <a:useSpRect/>
                    </a:txSp>
                  </a:sp>
                  <a:sp>
                    <a:nvSpPr>
                      <a:cNvPr id="373772" name="Text Box 11"/>
                      <a:cNvSpPr txBox="1">
                        <a:spLocks noChangeArrowheads="1"/>
                      </a:cNvSpPr>
                    </a:nvSpPr>
                    <a:spPr bwMode="auto">
                      <a:xfrm>
                        <a:off x="3048000" y="5105400"/>
                        <a:ext cx="379413" cy="396875"/>
                      </a:xfrm>
                      <a:prstGeom prst="rect">
                        <a:avLst/>
                      </a:prstGeom>
                      <a:noFill/>
                      <a:ln w="19050" cap="sq">
                        <a:noFill/>
                        <a:miter lim="800000"/>
                        <a:headEnd/>
                        <a:tailEnd/>
                      </a:ln>
                    </a:spPr>
                    <a:txSp>
                      <a:txBody>
                        <a:bodyPr wrap="none">
                          <a:spAutoFit/>
                        </a:bodyPr>
                        <a:lstStyle>
                          <a:defPPr>
                            <a:defRPr lang="en-US"/>
                          </a:defPPr>
                          <a:lvl1pPr algn="l" rtl="0" eaLnBrk="0" fontAlgn="base" hangingPunct="0">
                            <a:spcBef>
                              <a:spcPct val="50000"/>
                            </a:spcBef>
                            <a:spcAft>
                              <a:spcPct val="0"/>
                            </a:spcAft>
                            <a:defRPr sz="1400" b="1" kern="1200">
                              <a:solidFill>
                                <a:schemeClr val="tx1"/>
                              </a:solidFill>
                              <a:latin typeface="Arial" charset="0"/>
                              <a:ea typeface="+mn-ea"/>
                              <a:cs typeface="+mn-cs"/>
                            </a:defRPr>
                          </a:lvl1pPr>
                          <a:lvl2pPr marL="457200" algn="l" rtl="0" eaLnBrk="0" fontAlgn="base" hangingPunct="0">
                            <a:spcBef>
                              <a:spcPct val="50000"/>
                            </a:spcBef>
                            <a:spcAft>
                              <a:spcPct val="0"/>
                            </a:spcAft>
                            <a:defRPr sz="1400" b="1" kern="1200">
                              <a:solidFill>
                                <a:schemeClr val="tx1"/>
                              </a:solidFill>
                              <a:latin typeface="Arial" charset="0"/>
                              <a:ea typeface="+mn-ea"/>
                              <a:cs typeface="+mn-cs"/>
                            </a:defRPr>
                          </a:lvl2pPr>
                          <a:lvl3pPr marL="914400" algn="l" rtl="0" eaLnBrk="0" fontAlgn="base" hangingPunct="0">
                            <a:spcBef>
                              <a:spcPct val="50000"/>
                            </a:spcBef>
                            <a:spcAft>
                              <a:spcPct val="0"/>
                            </a:spcAft>
                            <a:defRPr sz="1400" b="1" kern="1200">
                              <a:solidFill>
                                <a:schemeClr val="tx1"/>
                              </a:solidFill>
                              <a:latin typeface="Arial" charset="0"/>
                              <a:ea typeface="+mn-ea"/>
                              <a:cs typeface="+mn-cs"/>
                            </a:defRPr>
                          </a:lvl3pPr>
                          <a:lvl4pPr marL="1371600" algn="l" rtl="0" eaLnBrk="0" fontAlgn="base" hangingPunct="0">
                            <a:spcBef>
                              <a:spcPct val="50000"/>
                            </a:spcBef>
                            <a:spcAft>
                              <a:spcPct val="0"/>
                            </a:spcAft>
                            <a:defRPr sz="1400" b="1" kern="1200">
                              <a:solidFill>
                                <a:schemeClr val="tx1"/>
                              </a:solidFill>
                              <a:latin typeface="Arial" charset="0"/>
                              <a:ea typeface="+mn-ea"/>
                              <a:cs typeface="+mn-cs"/>
                            </a:defRPr>
                          </a:lvl4pPr>
                          <a:lvl5pPr marL="1828800" algn="l" rtl="0" eaLnBrk="0" fontAlgn="base" hangingPunct="0">
                            <a:spcBef>
                              <a:spcPct val="50000"/>
                            </a:spcBef>
                            <a:spcAft>
                              <a:spcPct val="0"/>
                            </a:spcAft>
                            <a:defRPr sz="1400" b="1" kern="1200">
                              <a:solidFill>
                                <a:schemeClr val="tx1"/>
                              </a:solidFill>
                              <a:latin typeface="Arial" charset="0"/>
                              <a:ea typeface="+mn-ea"/>
                              <a:cs typeface="+mn-cs"/>
                            </a:defRPr>
                          </a:lvl5pPr>
                          <a:lvl6pPr marL="2286000" algn="l" defTabSz="914400" rtl="0" eaLnBrk="1" latinLnBrk="0" hangingPunct="1">
                            <a:defRPr sz="1400" b="1" kern="1200">
                              <a:solidFill>
                                <a:schemeClr val="tx1"/>
                              </a:solidFill>
                              <a:latin typeface="Arial" charset="0"/>
                              <a:ea typeface="+mn-ea"/>
                              <a:cs typeface="+mn-cs"/>
                            </a:defRPr>
                          </a:lvl6pPr>
                          <a:lvl7pPr marL="2743200" algn="l" defTabSz="914400" rtl="0" eaLnBrk="1" latinLnBrk="0" hangingPunct="1">
                            <a:defRPr sz="1400" b="1" kern="1200">
                              <a:solidFill>
                                <a:schemeClr val="tx1"/>
                              </a:solidFill>
                              <a:latin typeface="Arial" charset="0"/>
                              <a:ea typeface="+mn-ea"/>
                              <a:cs typeface="+mn-cs"/>
                            </a:defRPr>
                          </a:lvl7pPr>
                          <a:lvl8pPr marL="3200400" algn="l" defTabSz="914400" rtl="0" eaLnBrk="1" latinLnBrk="0" hangingPunct="1">
                            <a:defRPr sz="1400" b="1" kern="1200">
                              <a:solidFill>
                                <a:schemeClr val="tx1"/>
                              </a:solidFill>
                              <a:latin typeface="Arial" charset="0"/>
                              <a:ea typeface="+mn-ea"/>
                              <a:cs typeface="+mn-cs"/>
                            </a:defRPr>
                          </a:lvl8pPr>
                          <a:lvl9pPr marL="3657600" algn="l" defTabSz="914400" rtl="0" eaLnBrk="1" latinLnBrk="0" hangingPunct="1">
                            <a:defRPr sz="1400" b="1" kern="1200">
                              <a:solidFill>
                                <a:schemeClr val="tx1"/>
                              </a:solidFill>
                              <a:latin typeface="Arial" charset="0"/>
                              <a:ea typeface="+mn-ea"/>
                              <a:cs typeface="+mn-cs"/>
                            </a:defRPr>
                          </a:lvl9pPr>
                        </a:lstStyle>
                        <a:p>
                          <a:r>
                            <a:rPr lang="en-US" sz="2000" b="0" i="1">
                              <a:latin typeface="Times New Roman" pitchFamily="18" charset="0"/>
                            </a:rPr>
                            <a:t>x</a:t>
                          </a:r>
                          <a:r>
                            <a:rPr lang="en-US" sz="2000" b="0" baseline="-25000">
                              <a:latin typeface="Times New Roman" pitchFamily="18" charset="0"/>
                            </a:rPr>
                            <a:t>1</a:t>
                          </a:r>
                          <a:endParaRPr lang="en-US" sz="2000" b="0">
                            <a:latin typeface="Times New Roman" pitchFamily="18" charset="0"/>
                          </a:endParaRPr>
                        </a:p>
                      </a:txBody>
                      <a:useSpRect/>
                    </a:txSp>
                  </a:sp>
                  <a:sp>
                    <a:nvSpPr>
                      <a:cNvPr id="373773" name="Text Box 12"/>
                      <a:cNvSpPr txBox="1">
                        <a:spLocks noChangeArrowheads="1"/>
                      </a:cNvSpPr>
                    </a:nvSpPr>
                    <a:spPr bwMode="auto">
                      <a:xfrm>
                        <a:off x="4375150" y="3457575"/>
                        <a:ext cx="379413" cy="396875"/>
                      </a:xfrm>
                      <a:prstGeom prst="rect">
                        <a:avLst/>
                      </a:prstGeom>
                      <a:noFill/>
                      <a:ln w="19050" cap="sq">
                        <a:noFill/>
                        <a:miter lim="800000"/>
                        <a:headEnd/>
                        <a:tailEnd/>
                      </a:ln>
                    </a:spPr>
                    <a:txSp>
                      <a:txBody>
                        <a:bodyPr wrap="none">
                          <a:spAutoFit/>
                        </a:bodyPr>
                        <a:lstStyle>
                          <a:defPPr>
                            <a:defRPr lang="en-US"/>
                          </a:defPPr>
                          <a:lvl1pPr algn="l" rtl="0" eaLnBrk="0" fontAlgn="base" hangingPunct="0">
                            <a:spcBef>
                              <a:spcPct val="50000"/>
                            </a:spcBef>
                            <a:spcAft>
                              <a:spcPct val="0"/>
                            </a:spcAft>
                            <a:defRPr sz="1400" b="1" kern="1200">
                              <a:solidFill>
                                <a:schemeClr val="tx1"/>
                              </a:solidFill>
                              <a:latin typeface="Arial" charset="0"/>
                              <a:ea typeface="+mn-ea"/>
                              <a:cs typeface="+mn-cs"/>
                            </a:defRPr>
                          </a:lvl1pPr>
                          <a:lvl2pPr marL="457200" algn="l" rtl="0" eaLnBrk="0" fontAlgn="base" hangingPunct="0">
                            <a:spcBef>
                              <a:spcPct val="50000"/>
                            </a:spcBef>
                            <a:spcAft>
                              <a:spcPct val="0"/>
                            </a:spcAft>
                            <a:defRPr sz="1400" b="1" kern="1200">
                              <a:solidFill>
                                <a:schemeClr val="tx1"/>
                              </a:solidFill>
                              <a:latin typeface="Arial" charset="0"/>
                              <a:ea typeface="+mn-ea"/>
                              <a:cs typeface="+mn-cs"/>
                            </a:defRPr>
                          </a:lvl2pPr>
                          <a:lvl3pPr marL="914400" algn="l" rtl="0" eaLnBrk="0" fontAlgn="base" hangingPunct="0">
                            <a:spcBef>
                              <a:spcPct val="50000"/>
                            </a:spcBef>
                            <a:spcAft>
                              <a:spcPct val="0"/>
                            </a:spcAft>
                            <a:defRPr sz="1400" b="1" kern="1200">
                              <a:solidFill>
                                <a:schemeClr val="tx1"/>
                              </a:solidFill>
                              <a:latin typeface="Arial" charset="0"/>
                              <a:ea typeface="+mn-ea"/>
                              <a:cs typeface="+mn-cs"/>
                            </a:defRPr>
                          </a:lvl3pPr>
                          <a:lvl4pPr marL="1371600" algn="l" rtl="0" eaLnBrk="0" fontAlgn="base" hangingPunct="0">
                            <a:spcBef>
                              <a:spcPct val="50000"/>
                            </a:spcBef>
                            <a:spcAft>
                              <a:spcPct val="0"/>
                            </a:spcAft>
                            <a:defRPr sz="1400" b="1" kern="1200">
                              <a:solidFill>
                                <a:schemeClr val="tx1"/>
                              </a:solidFill>
                              <a:latin typeface="Arial" charset="0"/>
                              <a:ea typeface="+mn-ea"/>
                              <a:cs typeface="+mn-cs"/>
                            </a:defRPr>
                          </a:lvl4pPr>
                          <a:lvl5pPr marL="1828800" algn="l" rtl="0" eaLnBrk="0" fontAlgn="base" hangingPunct="0">
                            <a:spcBef>
                              <a:spcPct val="50000"/>
                            </a:spcBef>
                            <a:spcAft>
                              <a:spcPct val="0"/>
                            </a:spcAft>
                            <a:defRPr sz="1400" b="1" kern="1200">
                              <a:solidFill>
                                <a:schemeClr val="tx1"/>
                              </a:solidFill>
                              <a:latin typeface="Arial" charset="0"/>
                              <a:ea typeface="+mn-ea"/>
                              <a:cs typeface="+mn-cs"/>
                            </a:defRPr>
                          </a:lvl5pPr>
                          <a:lvl6pPr marL="2286000" algn="l" defTabSz="914400" rtl="0" eaLnBrk="1" latinLnBrk="0" hangingPunct="1">
                            <a:defRPr sz="1400" b="1" kern="1200">
                              <a:solidFill>
                                <a:schemeClr val="tx1"/>
                              </a:solidFill>
                              <a:latin typeface="Arial" charset="0"/>
                              <a:ea typeface="+mn-ea"/>
                              <a:cs typeface="+mn-cs"/>
                            </a:defRPr>
                          </a:lvl6pPr>
                          <a:lvl7pPr marL="2743200" algn="l" defTabSz="914400" rtl="0" eaLnBrk="1" latinLnBrk="0" hangingPunct="1">
                            <a:defRPr sz="1400" b="1" kern="1200">
                              <a:solidFill>
                                <a:schemeClr val="tx1"/>
                              </a:solidFill>
                              <a:latin typeface="Arial" charset="0"/>
                              <a:ea typeface="+mn-ea"/>
                              <a:cs typeface="+mn-cs"/>
                            </a:defRPr>
                          </a:lvl7pPr>
                          <a:lvl8pPr marL="3200400" algn="l" defTabSz="914400" rtl="0" eaLnBrk="1" latinLnBrk="0" hangingPunct="1">
                            <a:defRPr sz="1400" b="1" kern="1200">
                              <a:solidFill>
                                <a:schemeClr val="tx1"/>
                              </a:solidFill>
                              <a:latin typeface="Arial" charset="0"/>
                              <a:ea typeface="+mn-ea"/>
                              <a:cs typeface="+mn-cs"/>
                            </a:defRPr>
                          </a:lvl8pPr>
                          <a:lvl9pPr marL="3657600" algn="l" defTabSz="914400" rtl="0" eaLnBrk="1" latinLnBrk="0" hangingPunct="1">
                            <a:defRPr sz="1400" b="1" kern="1200">
                              <a:solidFill>
                                <a:schemeClr val="tx1"/>
                              </a:solidFill>
                              <a:latin typeface="Arial" charset="0"/>
                              <a:ea typeface="+mn-ea"/>
                              <a:cs typeface="+mn-cs"/>
                            </a:defRPr>
                          </a:lvl9pPr>
                        </a:lstStyle>
                        <a:p>
                          <a:r>
                            <a:rPr lang="en-US" sz="2000" b="0" i="1">
                              <a:latin typeface="Times New Roman" pitchFamily="18" charset="0"/>
                            </a:rPr>
                            <a:t>x</a:t>
                          </a:r>
                          <a:r>
                            <a:rPr lang="en-US" sz="2000" b="0" baseline="-25000">
                              <a:latin typeface="Times New Roman" pitchFamily="18" charset="0"/>
                            </a:rPr>
                            <a:t>2</a:t>
                          </a:r>
                          <a:endParaRPr lang="en-US" sz="2000" b="0">
                            <a:latin typeface="Times New Roman" pitchFamily="18" charset="0"/>
                          </a:endParaRPr>
                        </a:p>
                      </a:txBody>
                      <a:useSpRect/>
                    </a:txSp>
                  </a:sp>
                  <a:sp>
                    <a:nvSpPr>
                      <a:cNvPr id="373774" name="Line 13"/>
                      <a:cNvSpPr>
                        <a:spLocks noChangeShapeType="1"/>
                      </a:cNvSpPr>
                    </a:nvSpPr>
                    <a:spPr bwMode="auto">
                      <a:xfrm>
                        <a:off x="1698625" y="4264025"/>
                        <a:ext cx="6821488" cy="0"/>
                      </a:xfrm>
                      <a:prstGeom prst="line">
                        <a:avLst/>
                      </a:prstGeom>
                      <a:noFill/>
                      <a:ln w="19050" cap="sq">
                        <a:solidFill>
                          <a:schemeClr val="tx1"/>
                        </a:solidFill>
                        <a:round/>
                        <a:headEnd/>
                        <a:tailEnd type="triangle" w="med" len="med"/>
                      </a:ln>
                    </a:spPr>
                    <a:txSp>
                      <a:txBody>
                        <a:bodyPr/>
                        <a:lstStyle>
                          <a:defPPr>
                            <a:defRPr lang="en-US"/>
                          </a:defPPr>
                          <a:lvl1pPr algn="l" rtl="0" eaLnBrk="0" fontAlgn="base" hangingPunct="0">
                            <a:spcBef>
                              <a:spcPct val="50000"/>
                            </a:spcBef>
                            <a:spcAft>
                              <a:spcPct val="0"/>
                            </a:spcAft>
                            <a:defRPr sz="1400" b="1" kern="1200">
                              <a:solidFill>
                                <a:schemeClr val="tx1"/>
                              </a:solidFill>
                              <a:latin typeface="Arial" charset="0"/>
                              <a:ea typeface="+mn-ea"/>
                              <a:cs typeface="+mn-cs"/>
                            </a:defRPr>
                          </a:lvl1pPr>
                          <a:lvl2pPr marL="457200" algn="l" rtl="0" eaLnBrk="0" fontAlgn="base" hangingPunct="0">
                            <a:spcBef>
                              <a:spcPct val="50000"/>
                            </a:spcBef>
                            <a:spcAft>
                              <a:spcPct val="0"/>
                            </a:spcAft>
                            <a:defRPr sz="1400" b="1" kern="1200">
                              <a:solidFill>
                                <a:schemeClr val="tx1"/>
                              </a:solidFill>
                              <a:latin typeface="Arial" charset="0"/>
                              <a:ea typeface="+mn-ea"/>
                              <a:cs typeface="+mn-cs"/>
                            </a:defRPr>
                          </a:lvl2pPr>
                          <a:lvl3pPr marL="914400" algn="l" rtl="0" eaLnBrk="0" fontAlgn="base" hangingPunct="0">
                            <a:spcBef>
                              <a:spcPct val="50000"/>
                            </a:spcBef>
                            <a:spcAft>
                              <a:spcPct val="0"/>
                            </a:spcAft>
                            <a:defRPr sz="1400" b="1" kern="1200">
                              <a:solidFill>
                                <a:schemeClr val="tx1"/>
                              </a:solidFill>
                              <a:latin typeface="Arial" charset="0"/>
                              <a:ea typeface="+mn-ea"/>
                              <a:cs typeface="+mn-cs"/>
                            </a:defRPr>
                          </a:lvl3pPr>
                          <a:lvl4pPr marL="1371600" algn="l" rtl="0" eaLnBrk="0" fontAlgn="base" hangingPunct="0">
                            <a:spcBef>
                              <a:spcPct val="50000"/>
                            </a:spcBef>
                            <a:spcAft>
                              <a:spcPct val="0"/>
                            </a:spcAft>
                            <a:defRPr sz="1400" b="1" kern="1200">
                              <a:solidFill>
                                <a:schemeClr val="tx1"/>
                              </a:solidFill>
                              <a:latin typeface="Arial" charset="0"/>
                              <a:ea typeface="+mn-ea"/>
                              <a:cs typeface="+mn-cs"/>
                            </a:defRPr>
                          </a:lvl4pPr>
                          <a:lvl5pPr marL="1828800" algn="l" rtl="0" eaLnBrk="0" fontAlgn="base" hangingPunct="0">
                            <a:spcBef>
                              <a:spcPct val="50000"/>
                            </a:spcBef>
                            <a:spcAft>
                              <a:spcPct val="0"/>
                            </a:spcAft>
                            <a:defRPr sz="1400" b="1" kern="1200">
                              <a:solidFill>
                                <a:schemeClr val="tx1"/>
                              </a:solidFill>
                              <a:latin typeface="Arial" charset="0"/>
                              <a:ea typeface="+mn-ea"/>
                              <a:cs typeface="+mn-cs"/>
                            </a:defRPr>
                          </a:lvl5pPr>
                          <a:lvl6pPr marL="2286000" algn="l" defTabSz="914400" rtl="0" eaLnBrk="1" latinLnBrk="0" hangingPunct="1">
                            <a:defRPr sz="1400" b="1" kern="1200">
                              <a:solidFill>
                                <a:schemeClr val="tx1"/>
                              </a:solidFill>
                              <a:latin typeface="Arial" charset="0"/>
                              <a:ea typeface="+mn-ea"/>
                              <a:cs typeface="+mn-cs"/>
                            </a:defRPr>
                          </a:lvl6pPr>
                          <a:lvl7pPr marL="2743200" algn="l" defTabSz="914400" rtl="0" eaLnBrk="1" latinLnBrk="0" hangingPunct="1">
                            <a:defRPr sz="1400" b="1" kern="1200">
                              <a:solidFill>
                                <a:schemeClr val="tx1"/>
                              </a:solidFill>
                              <a:latin typeface="Arial" charset="0"/>
                              <a:ea typeface="+mn-ea"/>
                              <a:cs typeface="+mn-cs"/>
                            </a:defRPr>
                          </a:lvl7pPr>
                          <a:lvl8pPr marL="3200400" algn="l" defTabSz="914400" rtl="0" eaLnBrk="1" latinLnBrk="0" hangingPunct="1">
                            <a:defRPr sz="1400" b="1" kern="1200">
                              <a:solidFill>
                                <a:schemeClr val="tx1"/>
                              </a:solidFill>
                              <a:latin typeface="Arial" charset="0"/>
                              <a:ea typeface="+mn-ea"/>
                              <a:cs typeface="+mn-cs"/>
                            </a:defRPr>
                          </a:lvl8pPr>
                          <a:lvl9pPr marL="3657600" algn="l" defTabSz="914400" rtl="0" eaLnBrk="1" latinLnBrk="0" hangingPunct="1">
                            <a:defRPr sz="1400" b="1" kern="1200">
                              <a:solidFill>
                                <a:schemeClr val="tx1"/>
                              </a:solidFill>
                              <a:latin typeface="Arial" charset="0"/>
                              <a:ea typeface="+mn-ea"/>
                              <a:cs typeface="+mn-cs"/>
                            </a:defRPr>
                          </a:lvl9pPr>
                        </a:lstStyle>
                        <a:p>
                          <a:endParaRPr lang="en-GB"/>
                        </a:p>
                      </a:txBody>
                      <a:useSpRect/>
                    </a:txSp>
                  </a:sp>
                  <a:sp>
                    <a:nvSpPr>
                      <a:cNvPr id="373775" name="Text Box 14"/>
                      <a:cNvSpPr txBox="1">
                        <a:spLocks noChangeArrowheads="1"/>
                      </a:cNvSpPr>
                    </a:nvSpPr>
                    <a:spPr bwMode="auto">
                      <a:xfrm>
                        <a:off x="8150225" y="4195763"/>
                        <a:ext cx="254000" cy="396875"/>
                      </a:xfrm>
                      <a:prstGeom prst="rect">
                        <a:avLst/>
                      </a:prstGeom>
                      <a:noFill/>
                      <a:ln w="19050" cap="sq">
                        <a:noFill/>
                        <a:miter lim="800000"/>
                        <a:headEnd/>
                        <a:tailEnd/>
                      </a:ln>
                    </a:spPr>
                    <a:txSp>
                      <a:txBody>
                        <a:bodyPr wrap="none">
                          <a:spAutoFit/>
                        </a:bodyPr>
                        <a:lstStyle>
                          <a:defPPr>
                            <a:defRPr lang="en-US"/>
                          </a:defPPr>
                          <a:lvl1pPr algn="l" rtl="0" eaLnBrk="0" fontAlgn="base" hangingPunct="0">
                            <a:spcBef>
                              <a:spcPct val="50000"/>
                            </a:spcBef>
                            <a:spcAft>
                              <a:spcPct val="0"/>
                            </a:spcAft>
                            <a:defRPr sz="1400" b="1" kern="1200">
                              <a:solidFill>
                                <a:schemeClr val="tx1"/>
                              </a:solidFill>
                              <a:latin typeface="Arial" charset="0"/>
                              <a:ea typeface="+mn-ea"/>
                              <a:cs typeface="+mn-cs"/>
                            </a:defRPr>
                          </a:lvl1pPr>
                          <a:lvl2pPr marL="457200" algn="l" rtl="0" eaLnBrk="0" fontAlgn="base" hangingPunct="0">
                            <a:spcBef>
                              <a:spcPct val="50000"/>
                            </a:spcBef>
                            <a:spcAft>
                              <a:spcPct val="0"/>
                            </a:spcAft>
                            <a:defRPr sz="1400" b="1" kern="1200">
                              <a:solidFill>
                                <a:schemeClr val="tx1"/>
                              </a:solidFill>
                              <a:latin typeface="Arial" charset="0"/>
                              <a:ea typeface="+mn-ea"/>
                              <a:cs typeface="+mn-cs"/>
                            </a:defRPr>
                          </a:lvl2pPr>
                          <a:lvl3pPr marL="914400" algn="l" rtl="0" eaLnBrk="0" fontAlgn="base" hangingPunct="0">
                            <a:spcBef>
                              <a:spcPct val="50000"/>
                            </a:spcBef>
                            <a:spcAft>
                              <a:spcPct val="0"/>
                            </a:spcAft>
                            <a:defRPr sz="1400" b="1" kern="1200">
                              <a:solidFill>
                                <a:schemeClr val="tx1"/>
                              </a:solidFill>
                              <a:latin typeface="Arial" charset="0"/>
                              <a:ea typeface="+mn-ea"/>
                              <a:cs typeface="+mn-cs"/>
                            </a:defRPr>
                          </a:lvl3pPr>
                          <a:lvl4pPr marL="1371600" algn="l" rtl="0" eaLnBrk="0" fontAlgn="base" hangingPunct="0">
                            <a:spcBef>
                              <a:spcPct val="50000"/>
                            </a:spcBef>
                            <a:spcAft>
                              <a:spcPct val="0"/>
                            </a:spcAft>
                            <a:defRPr sz="1400" b="1" kern="1200">
                              <a:solidFill>
                                <a:schemeClr val="tx1"/>
                              </a:solidFill>
                              <a:latin typeface="Arial" charset="0"/>
                              <a:ea typeface="+mn-ea"/>
                              <a:cs typeface="+mn-cs"/>
                            </a:defRPr>
                          </a:lvl4pPr>
                          <a:lvl5pPr marL="1828800" algn="l" rtl="0" eaLnBrk="0" fontAlgn="base" hangingPunct="0">
                            <a:spcBef>
                              <a:spcPct val="50000"/>
                            </a:spcBef>
                            <a:spcAft>
                              <a:spcPct val="0"/>
                            </a:spcAft>
                            <a:defRPr sz="1400" b="1" kern="1200">
                              <a:solidFill>
                                <a:schemeClr val="tx1"/>
                              </a:solidFill>
                              <a:latin typeface="Arial" charset="0"/>
                              <a:ea typeface="+mn-ea"/>
                              <a:cs typeface="+mn-cs"/>
                            </a:defRPr>
                          </a:lvl5pPr>
                          <a:lvl6pPr marL="2286000" algn="l" defTabSz="914400" rtl="0" eaLnBrk="1" latinLnBrk="0" hangingPunct="1">
                            <a:defRPr sz="1400" b="1" kern="1200">
                              <a:solidFill>
                                <a:schemeClr val="tx1"/>
                              </a:solidFill>
                              <a:latin typeface="Arial" charset="0"/>
                              <a:ea typeface="+mn-ea"/>
                              <a:cs typeface="+mn-cs"/>
                            </a:defRPr>
                          </a:lvl6pPr>
                          <a:lvl7pPr marL="2743200" algn="l" defTabSz="914400" rtl="0" eaLnBrk="1" latinLnBrk="0" hangingPunct="1">
                            <a:defRPr sz="1400" b="1" kern="1200">
                              <a:solidFill>
                                <a:schemeClr val="tx1"/>
                              </a:solidFill>
                              <a:latin typeface="Arial" charset="0"/>
                              <a:ea typeface="+mn-ea"/>
                              <a:cs typeface="+mn-cs"/>
                            </a:defRPr>
                          </a:lvl7pPr>
                          <a:lvl8pPr marL="3200400" algn="l" defTabSz="914400" rtl="0" eaLnBrk="1" latinLnBrk="0" hangingPunct="1">
                            <a:defRPr sz="1400" b="1" kern="1200">
                              <a:solidFill>
                                <a:schemeClr val="tx1"/>
                              </a:solidFill>
                              <a:latin typeface="Arial" charset="0"/>
                              <a:ea typeface="+mn-ea"/>
                              <a:cs typeface="+mn-cs"/>
                            </a:defRPr>
                          </a:lvl8pPr>
                          <a:lvl9pPr marL="3657600" algn="l" defTabSz="914400" rtl="0" eaLnBrk="1" latinLnBrk="0" hangingPunct="1">
                            <a:defRPr sz="1400" b="1" kern="1200">
                              <a:solidFill>
                                <a:schemeClr val="tx1"/>
                              </a:solidFill>
                              <a:latin typeface="Arial" charset="0"/>
                              <a:ea typeface="+mn-ea"/>
                              <a:cs typeface="+mn-cs"/>
                            </a:defRPr>
                          </a:lvl9pPr>
                        </a:lstStyle>
                        <a:p>
                          <a:r>
                            <a:rPr lang="en-US" sz="2000" b="0" i="1">
                              <a:latin typeface="Times New Roman" pitchFamily="18" charset="0"/>
                            </a:rPr>
                            <a:t>t</a:t>
                          </a:r>
                          <a:endParaRPr lang="en-US" sz="2000" b="0">
                            <a:latin typeface="Times New Roman" pitchFamily="18" charset="0"/>
                          </a:endParaRPr>
                        </a:p>
                      </a:txBody>
                      <a:useSpRect/>
                    </a:txSp>
                  </a:sp>
                  <a:sp>
                    <a:nvSpPr>
                      <a:cNvPr id="373776" name="Line 15"/>
                      <a:cNvSpPr>
                        <a:spLocks noChangeShapeType="1"/>
                      </a:cNvSpPr>
                    </a:nvSpPr>
                    <a:spPr bwMode="auto">
                      <a:xfrm flipV="1">
                        <a:off x="1698625" y="2652713"/>
                        <a:ext cx="0" cy="1611312"/>
                      </a:xfrm>
                      <a:prstGeom prst="line">
                        <a:avLst/>
                      </a:prstGeom>
                      <a:noFill/>
                      <a:ln w="19050" cap="sq">
                        <a:solidFill>
                          <a:schemeClr val="tx1"/>
                        </a:solidFill>
                        <a:round/>
                        <a:headEnd/>
                        <a:tailEnd type="triangle" w="med" len="med"/>
                      </a:ln>
                    </a:spPr>
                    <a:txSp>
                      <a:txBody>
                        <a:bodyPr/>
                        <a:lstStyle>
                          <a:defPPr>
                            <a:defRPr lang="en-US"/>
                          </a:defPPr>
                          <a:lvl1pPr algn="l" rtl="0" eaLnBrk="0" fontAlgn="base" hangingPunct="0">
                            <a:spcBef>
                              <a:spcPct val="50000"/>
                            </a:spcBef>
                            <a:spcAft>
                              <a:spcPct val="0"/>
                            </a:spcAft>
                            <a:defRPr sz="1400" b="1" kern="1200">
                              <a:solidFill>
                                <a:schemeClr val="tx1"/>
                              </a:solidFill>
                              <a:latin typeface="Arial" charset="0"/>
                              <a:ea typeface="+mn-ea"/>
                              <a:cs typeface="+mn-cs"/>
                            </a:defRPr>
                          </a:lvl1pPr>
                          <a:lvl2pPr marL="457200" algn="l" rtl="0" eaLnBrk="0" fontAlgn="base" hangingPunct="0">
                            <a:spcBef>
                              <a:spcPct val="50000"/>
                            </a:spcBef>
                            <a:spcAft>
                              <a:spcPct val="0"/>
                            </a:spcAft>
                            <a:defRPr sz="1400" b="1" kern="1200">
                              <a:solidFill>
                                <a:schemeClr val="tx1"/>
                              </a:solidFill>
                              <a:latin typeface="Arial" charset="0"/>
                              <a:ea typeface="+mn-ea"/>
                              <a:cs typeface="+mn-cs"/>
                            </a:defRPr>
                          </a:lvl2pPr>
                          <a:lvl3pPr marL="914400" algn="l" rtl="0" eaLnBrk="0" fontAlgn="base" hangingPunct="0">
                            <a:spcBef>
                              <a:spcPct val="50000"/>
                            </a:spcBef>
                            <a:spcAft>
                              <a:spcPct val="0"/>
                            </a:spcAft>
                            <a:defRPr sz="1400" b="1" kern="1200">
                              <a:solidFill>
                                <a:schemeClr val="tx1"/>
                              </a:solidFill>
                              <a:latin typeface="Arial" charset="0"/>
                              <a:ea typeface="+mn-ea"/>
                              <a:cs typeface="+mn-cs"/>
                            </a:defRPr>
                          </a:lvl3pPr>
                          <a:lvl4pPr marL="1371600" algn="l" rtl="0" eaLnBrk="0" fontAlgn="base" hangingPunct="0">
                            <a:spcBef>
                              <a:spcPct val="50000"/>
                            </a:spcBef>
                            <a:spcAft>
                              <a:spcPct val="0"/>
                            </a:spcAft>
                            <a:defRPr sz="1400" b="1" kern="1200">
                              <a:solidFill>
                                <a:schemeClr val="tx1"/>
                              </a:solidFill>
                              <a:latin typeface="Arial" charset="0"/>
                              <a:ea typeface="+mn-ea"/>
                              <a:cs typeface="+mn-cs"/>
                            </a:defRPr>
                          </a:lvl4pPr>
                          <a:lvl5pPr marL="1828800" algn="l" rtl="0" eaLnBrk="0" fontAlgn="base" hangingPunct="0">
                            <a:spcBef>
                              <a:spcPct val="50000"/>
                            </a:spcBef>
                            <a:spcAft>
                              <a:spcPct val="0"/>
                            </a:spcAft>
                            <a:defRPr sz="1400" b="1" kern="1200">
                              <a:solidFill>
                                <a:schemeClr val="tx1"/>
                              </a:solidFill>
                              <a:latin typeface="Arial" charset="0"/>
                              <a:ea typeface="+mn-ea"/>
                              <a:cs typeface="+mn-cs"/>
                            </a:defRPr>
                          </a:lvl5pPr>
                          <a:lvl6pPr marL="2286000" algn="l" defTabSz="914400" rtl="0" eaLnBrk="1" latinLnBrk="0" hangingPunct="1">
                            <a:defRPr sz="1400" b="1" kern="1200">
                              <a:solidFill>
                                <a:schemeClr val="tx1"/>
                              </a:solidFill>
                              <a:latin typeface="Arial" charset="0"/>
                              <a:ea typeface="+mn-ea"/>
                              <a:cs typeface="+mn-cs"/>
                            </a:defRPr>
                          </a:lvl6pPr>
                          <a:lvl7pPr marL="2743200" algn="l" defTabSz="914400" rtl="0" eaLnBrk="1" latinLnBrk="0" hangingPunct="1">
                            <a:defRPr sz="1400" b="1" kern="1200">
                              <a:solidFill>
                                <a:schemeClr val="tx1"/>
                              </a:solidFill>
                              <a:latin typeface="Arial" charset="0"/>
                              <a:ea typeface="+mn-ea"/>
                              <a:cs typeface="+mn-cs"/>
                            </a:defRPr>
                          </a:lvl7pPr>
                          <a:lvl8pPr marL="3200400" algn="l" defTabSz="914400" rtl="0" eaLnBrk="1" latinLnBrk="0" hangingPunct="1">
                            <a:defRPr sz="1400" b="1" kern="1200">
                              <a:solidFill>
                                <a:schemeClr val="tx1"/>
                              </a:solidFill>
                              <a:latin typeface="Arial" charset="0"/>
                              <a:ea typeface="+mn-ea"/>
                              <a:cs typeface="+mn-cs"/>
                            </a:defRPr>
                          </a:lvl8pPr>
                          <a:lvl9pPr marL="3657600" algn="l" defTabSz="914400" rtl="0" eaLnBrk="1" latinLnBrk="0" hangingPunct="1">
                            <a:defRPr sz="1400" b="1" kern="1200">
                              <a:solidFill>
                                <a:schemeClr val="tx1"/>
                              </a:solidFill>
                              <a:latin typeface="Arial" charset="0"/>
                              <a:ea typeface="+mn-ea"/>
                              <a:cs typeface="+mn-cs"/>
                            </a:defRPr>
                          </a:lvl9pPr>
                        </a:lstStyle>
                        <a:p>
                          <a:endParaRPr lang="en-GB"/>
                        </a:p>
                      </a:txBody>
                      <a:useSpRect/>
                    </a:txSp>
                  </a:sp>
                  <a:sp>
                    <a:nvSpPr>
                      <a:cNvPr id="373777" name="Text Box 16"/>
                      <a:cNvSpPr txBox="1">
                        <a:spLocks noChangeArrowheads="1"/>
                      </a:cNvSpPr>
                    </a:nvSpPr>
                    <a:spPr bwMode="auto">
                      <a:xfrm>
                        <a:off x="1452563" y="2673350"/>
                        <a:ext cx="296862" cy="396875"/>
                      </a:xfrm>
                      <a:prstGeom prst="rect">
                        <a:avLst/>
                      </a:prstGeom>
                      <a:noFill/>
                      <a:ln w="19050" cap="sq">
                        <a:noFill/>
                        <a:miter lim="800000"/>
                        <a:headEnd/>
                        <a:tailEnd/>
                      </a:ln>
                    </a:spPr>
                    <a:txSp>
                      <a:txBody>
                        <a:bodyPr wrap="none">
                          <a:spAutoFit/>
                        </a:bodyPr>
                        <a:lstStyle>
                          <a:defPPr>
                            <a:defRPr lang="en-US"/>
                          </a:defPPr>
                          <a:lvl1pPr algn="l" rtl="0" eaLnBrk="0" fontAlgn="base" hangingPunct="0">
                            <a:spcBef>
                              <a:spcPct val="50000"/>
                            </a:spcBef>
                            <a:spcAft>
                              <a:spcPct val="0"/>
                            </a:spcAft>
                            <a:defRPr sz="1400" b="1" kern="1200">
                              <a:solidFill>
                                <a:schemeClr val="tx1"/>
                              </a:solidFill>
                              <a:latin typeface="Arial" charset="0"/>
                              <a:ea typeface="+mn-ea"/>
                              <a:cs typeface="+mn-cs"/>
                            </a:defRPr>
                          </a:lvl1pPr>
                          <a:lvl2pPr marL="457200" algn="l" rtl="0" eaLnBrk="0" fontAlgn="base" hangingPunct="0">
                            <a:spcBef>
                              <a:spcPct val="50000"/>
                            </a:spcBef>
                            <a:spcAft>
                              <a:spcPct val="0"/>
                            </a:spcAft>
                            <a:defRPr sz="1400" b="1" kern="1200">
                              <a:solidFill>
                                <a:schemeClr val="tx1"/>
                              </a:solidFill>
                              <a:latin typeface="Arial" charset="0"/>
                              <a:ea typeface="+mn-ea"/>
                              <a:cs typeface="+mn-cs"/>
                            </a:defRPr>
                          </a:lvl2pPr>
                          <a:lvl3pPr marL="914400" algn="l" rtl="0" eaLnBrk="0" fontAlgn="base" hangingPunct="0">
                            <a:spcBef>
                              <a:spcPct val="50000"/>
                            </a:spcBef>
                            <a:spcAft>
                              <a:spcPct val="0"/>
                            </a:spcAft>
                            <a:defRPr sz="1400" b="1" kern="1200">
                              <a:solidFill>
                                <a:schemeClr val="tx1"/>
                              </a:solidFill>
                              <a:latin typeface="Arial" charset="0"/>
                              <a:ea typeface="+mn-ea"/>
                              <a:cs typeface="+mn-cs"/>
                            </a:defRPr>
                          </a:lvl3pPr>
                          <a:lvl4pPr marL="1371600" algn="l" rtl="0" eaLnBrk="0" fontAlgn="base" hangingPunct="0">
                            <a:spcBef>
                              <a:spcPct val="50000"/>
                            </a:spcBef>
                            <a:spcAft>
                              <a:spcPct val="0"/>
                            </a:spcAft>
                            <a:defRPr sz="1400" b="1" kern="1200">
                              <a:solidFill>
                                <a:schemeClr val="tx1"/>
                              </a:solidFill>
                              <a:latin typeface="Arial" charset="0"/>
                              <a:ea typeface="+mn-ea"/>
                              <a:cs typeface="+mn-cs"/>
                            </a:defRPr>
                          </a:lvl4pPr>
                          <a:lvl5pPr marL="1828800" algn="l" rtl="0" eaLnBrk="0" fontAlgn="base" hangingPunct="0">
                            <a:spcBef>
                              <a:spcPct val="50000"/>
                            </a:spcBef>
                            <a:spcAft>
                              <a:spcPct val="0"/>
                            </a:spcAft>
                            <a:defRPr sz="1400" b="1" kern="1200">
                              <a:solidFill>
                                <a:schemeClr val="tx1"/>
                              </a:solidFill>
                              <a:latin typeface="Arial" charset="0"/>
                              <a:ea typeface="+mn-ea"/>
                              <a:cs typeface="+mn-cs"/>
                            </a:defRPr>
                          </a:lvl5pPr>
                          <a:lvl6pPr marL="2286000" algn="l" defTabSz="914400" rtl="0" eaLnBrk="1" latinLnBrk="0" hangingPunct="1">
                            <a:defRPr sz="1400" b="1" kern="1200">
                              <a:solidFill>
                                <a:schemeClr val="tx1"/>
                              </a:solidFill>
                              <a:latin typeface="Arial" charset="0"/>
                              <a:ea typeface="+mn-ea"/>
                              <a:cs typeface="+mn-cs"/>
                            </a:defRPr>
                          </a:lvl6pPr>
                          <a:lvl7pPr marL="2743200" algn="l" defTabSz="914400" rtl="0" eaLnBrk="1" latinLnBrk="0" hangingPunct="1">
                            <a:defRPr sz="1400" b="1" kern="1200">
                              <a:solidFill>
                                <a:schemeClr val="tx1"/>
                              </a:solidFill>
                              <a:latin typeface="Arial" charset="0"/>
                              <a:ea typeface="+mn-ea"/>
                              <a:cs typeface="+mn-cs"/>
                            </a:defRPr>
                          </a:lvl7pPr>
                          <a:lvl8pPr marL="3200400" algn="l" defTabSz="914400" rtl="0" eaLnBrk="1" latinLnBrk="0" hangingPunct="1">
                            <a:defRPr sz="1400" b="1" kern="1200">
                              <a:solidFill>
                                <a:schemeClr val="tx1"/>
                              </a:solidFill>
                              <a:latin typeface="Arial" charset="0"/>
                              <a:ea typeface="+mn-ea"/>
                              <a:cs typeface="+mn-cs"/>
                            </a:defRPr>
                          </a:lvl8pPr>
                          <a:lvl9pPr marL="3657600" algn="l" defTabSz="914400" rtl="0" eaLnBrk="1" latinLnBrk="0" hangingPunct="1">
                            <a:defRPr sz="1400" b="1" kern="1200">
                              <a:solidFill>
                                <a:schemeClr val="tx1"/>
                              </a:solidFill>
                              <a:latin typeface="Arial" charset="0"/>
                              <a:ea typeface="+mn-ea"/>
                              <a:cs typeface="+mn-cs"/>
                            </a:defRPr>
                          </a:lvl9pPr>
                        </a:lstStyle>
                        <a:p>
                          <a:r>
                            <a:rPr lang="en-US" sz="2000" b="0" i="1">
                              <a:latin typeface="Times New Roman" pitchFamily="18" charset="0"/>
                            </a:rPr>
                            <a:t>x</a:t>
                          </a:r>
                          <a:endParaRPr lang="en-US" sz="2000" b="0">
                            <a:latin typeface="Times New Roman" pitchFamily="18" charset="0"/>
                          </a:endParaRPr>
                        </a:p>
                      </a:txBody>
                      <a:useSpRect/>
                    </a:txSp>
                  </a:sp>
                </lc:lockedCanvas>
              </a:graphicData>
            </a:graphic>
          </wp:inline>
        </w:drawing>
      </w:r>
    </w:p>
    <w:p w:rsidR="00ED00C9" w:rsidRPr="008A62C2" w:rsidRDefault="00ED00C9" w:rsidP="00ED00C9"/>
    <w:sectPr w:rsidR="00ED00C9" w:rsidRPr="008A62C2" w:rsidSect="005F46F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2A6DAB"/>
    <w:multiLevelType w:val="hybridMultilevel"/>
    <w:tmpl w:val="5FE2B6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77F4545"/>
    <w:multiLevelType w:val="hybridMultilevel"/>
    <w:tmpl w:val="497218FA"/>
    <w:lvl w:ilvl="0" w:tplc="947CFD54">
      <w:start w:val="1"/>
      <w:numFmt w:val="bullet"/>
      <w:lvlText w:val="•"/>
      <w:lvlJc w:val="left"/>
      <w:pPr>
        <w:tabs>
          <w:tab w:val="num" w:pos="720"/>
        </w:tabs>
        <w:ind w:left="720" w:hanging="360"/>
      </w:pPr>
      <w:rPr>
        <w:rFonts w:ascii="Times New Roman" w:hAnsi="Times New Roman" w:hint="default"/>
      </w:rPr>
    </w:lvl>
    <w:lvl w:ilvl="1" w:tplc="21006B80" w:tentative="1">
      <w:start w:val="1"/>
      <w:numFmt w:val="bullet"/>
      <w:lvlText w:val="•"/>
      <w:lvlJc w:val="left"/>
      <w:pPr>
        <w:tabs>
          <w:tab w:val="num" w:pos="1440"/>
        </w:tabs>
        <w:ind w:left="1440" w:hanging="360"/>
      </w:pPr>
      <w:rPr>
        <w:rFonts w:ascii="Times New Roman" w:hAnsi="Times New Roman" w:hint="default"/>
      </w:rPr>
    </w:lvl>
    <w:lvl w:ilvl="2" w:tplc="B008B618" w:tentative="1">
      <w:start w:val="1"/>
      <w:numFmt w:val="bullet"/>
      <w:lvlText w:val="•"/>
      <w:lvlJc w:val="left"/>
      <w:pPr>
        <w:tabs>
          <w:tab w:val="num" w:pos="2160"/>
        </w:tabs>
        <w:ind w:left="2160" w:hanging="360"/>
      </w:pPr>
      <w:rPr>
        <w:rFonts w:ascii="Times New Roman" w:hAnsi="Times New Roman" w:hint="default"/>
      </w:rPr>
    </w:lvl>
    <w:lvl w:ilvl="3" w:tplc="3DBEEFC4" w:tentative="1">
      <w:start w:val="1"/>
      <w:numFmt w:val="bullet"/>
      <w:lvlText w:val="•"/>
      <w:lvlJc w:val="left"/>
      <w:pPr>
        <w:tabs>
          <w:tab w:val="num" w:pos="2880"/>
        </w:tabs>
        <w:ind w:left="2880" w:hanging="360"/>
      </w:pPr>
      <w:rPr>
        <w:rFonts w:ascii="Times New Roman" w:hAnsi="Times New Roman" w:hint="default"/>
      </w:rPr>
    </w:lvl>
    <w:lvl w:ilvl="4" w:tplc="E2C66ECC" w:tentative="1">
      <w:start w:val="1"/>
      <w:numFmt w:val="bullet"/>
      <w:lvlText w:val="•"/>
      <w:lvlJc w:val="left"/>
      <w:pPr>
        <w:tabs>
          <w:tab w:val="num" w:pos="3600"/>
        </w:tabs>
        <w:ind w:left="3600" w:hanging="360"/>
      </w:pPr>
      <w:rPr>
        <w:rFonts w:ascii="Times New Roman" w:hAnsi="Times New Roman" w:hint="default"/>
      </w:rPr>
    </w:lvl>
    <w:lvl w:ilvl="5" w:tplc="E10C08FA" w:tentative="1">
      <w:start w:val="1"/>
      <w:numFmt w:val="bullet"/>
      <w:lvlText w:val="•"/>
      <w:lvlJc w:val="left"/>
      <w:pPr>
        <w:tabs>
          <w:tab w:val="num" w:pos="4320"/>
        </w:tabs>
        <w:ind w:left="4320" w:hanging="360"/>
      </w:pPr>
      <w:rPr>
        <w:rFonts w:ascii="Times New Roman" w:hAnsi="Times New Roman" w:hint="default"/>
      </w:rPr>
    </w:lvl>
    <w:lvl w:ilvl="6" w:tplc="A7CA5C08" w:tentative="1">
      <w:start w:val="1"/>
      <w:numFmt w:val="bullet"/>
      <w:lvlText w:val="•"/>
      <w:lvlJc w:val="left"/>
      <w:pPr>
        <w:tabs>
          <w:tab w:val="num" w:pos="5040"/>
        </w:tabs>
        <w:ind w:left="5040" w:hanging="360"/>
      </w:pPr>
      <w:rPr>
        <w:rFonts w:ascii="Times New Roman" w:hAnsi="Times New Roman" w:hint="default"/>
      </w:rPr>
    </w:lvl>
    <w:lvl w:ilvl="7" w:tplc="2BAA6724" w:tentative="1">
      <w:start w:val="1"/>
      <w:numFmt w:val="bullet"/>
      <w:lvlText w:val="•"/>
      <w:lvlJc w:val="left"/>
      <w:pPr>
        <w:tabs>
          <w:tab w:val="num" w:pos="5760"/>
        </w:tabs>
        <w:ind w:left="5760" w:hanging="360"/>
      </w:pPr>
      <w:rPr>
        <w:rFonts w:ascii="Times New Roman" w:hAnsi="Times New Roman" w:hint="default"/>
      </w:rPr>
    </w:lvl>
    <w:lvl w:ilvl="8" w:tplc="58C4C5CE" w:tentative="1">
      <w:start w:val="1"/>
      <w:numFmt w:val="bullet"/>
      <w:lvlText w:val="•"/>
      <w:lvlJc w:val="left"/>
      <w:pPr>
        <w:tabs>
          <w:tab w:val="num" w:pos="6480"/>
        </w:tabs>
        <w:ind w:left="6480" w:hanging="360"/>
      </w:pPr>
      <w:rPr>
        <w:rFonts w:ascii="Times New Roman" w:hAnsi="Times New Roman" w:hint="default"/>
      </w:rPr>
    </w:lvl>
  </w:abstractNum>
  <w:abstractNum w:abstractNumId="2">
    <w:nsid w:val="0A1208B7"/>
    <w:multiLevelType w:val="hybridMultilevel"/>
    <w:tmpl w:val="F79A74F6"/>
    <w:lvl w:ilvl="0" w:tplc="A07C40E6">
      <w:start w:val="1"/>
      <w:numFmt w:val="bullet"/>
      <w:lvlText w:val="•"/>
      <w:lvlJc w:val="left"/>
      <w:pPr>
        <w:tabs>
          <w:tab w:val="num" w:pos="720"/>
        </w:tabs>
        <w:ind w:left="720" w:hanging="360"/>
      </w:pPr>
      <w:rPr>
        <w:rFonts w:ascii="Times New Roman" w:hAnsi="Times New Roman" w:hint="default"/>
      </w:rPr>
    </w:lvl>
    <w:lvl w:ilvl="1" w:tplc="426816F4" w:tentative="1">
      <w:start w:val="1"/>
      <w:numFmt w:val="bullet"/>
      <w:lvlText w:val="•"/>
      <w:lvlJc w:val="left"/>
      <w:pPr>
        <w:tabs>
          <w:tab w:val="num" w:pos="1440"/>
        </w:tabs>
        <w:ind w:left="1440" w:hanging="360"/>
      </w:pPr>
      <w:rPr>
        <w:rFonts w:ascii="Times New Roman" w:hAnsi="Times New Roman" w:hint="default"/>
      </w:rPr>
    </w:lvl>
    <w:lvl w:ilvl="2" w:tplc="D376EC1C" w:tentative="1">
      <w:start w:val="1"/>
      <w:numFmt w:val="bullet"/>
      <w:lvlText w:val="•"/>
      <w:lvlJc w:val="left"/>
      <w:pPr>
        <w:tabs>
          <w:tab w:val="num" w:pos="2160"/>
        </w:tabs>
        <w:ind w:left="2160" w:hanging="360"/>
      </w:pPr>
      <w:rPr>
        <w:rFonts w:ascii="Times New Roman" w:hAnsi="Times New Roman" w:hint="default"/>
      </w:rPr>
    </w:lvl>
    <w:lvl w:ilvl="3" w:tplc="91947E9C" w:tentative="1">
      <w:start w:val="1"/>
      <w:numFmt w:val="bullet"/>
      <w:lvlText w:val="•"/>
      <w:lvlJc w:val="left"/>
      <w:pPr>
        <w:tabs>
          <w:tab w:val="num" w:pos="2880"/>
        </w:tabs>
        <w:ind w:left="2880" w:hanging="360"/>
      </w:pPr>
      <w:rPr>
        <w:rFonts w:ascii="Times New Roman" w:hAnsi="Times New Roman" w:hint="default"/>
      </w:rPr>
    </w:lvl>
    <w:lvl w:ilvl="4" w:tplc="BC326C70" w:tentative="1">
      <w:start w:val="1"/>
      <w:numFmt w:val="bullet"/>
      <w:lvlText w:val="•"/>
      <w:lvlJc w:val="left"/>
      <w:pPr>
        <w:tabs>
          <w:tab w:val="num" w:pos="3600"/>
        </w:tabs>
        <w:ind w:left="3600" w:hanging="360"/>
      </w:pPr>
      <w:rPr>
        <w:rFonts w:ascii="Times New Roman" w:hAnsi="Times New Roman" w:hint="default"/>
      </w:rPr>
    </w:lvl>
    <w:lvl w:ilvl="5" w:tplc="60F65CCC" w:tentative="1">
      <w:start w:val="1"/>
      <w:numFmt w:val="bullet"/>
      <w:lvlText w:val="•"/>
      <w:lvlJc w:val="left"/>
      <w:pPr>
        <w:tabs>
          <w:tab w:val="num" w:pos="4320"/>
        </w:tabs>
        <w:ind w:left="4320" w:hanging="360"/>
      </w:pPr>
      <w:rPr>
        <w:rFonts w:ascii="Times New Roman" w:hAnsi="Times New Roman" w:hint="default"/>
      </w:rPr>
    </w:lvl>
    <w:lvl w:ilvl="6" w:tplc="534E3736" w:tentative="1">
      <w:start w:val="1"/>
      <w:numFmt w:val="bullet"/>
      <w:lvlText w:val="•"/>
      <w:lvlJc w:val="left"/>
      <w:pPr>
        <w:tabs>
          <w:tab w:val="num" w:pos="5040"/>
        </w:tabs>
        <w:ind w:left="5040" w:hanging="360"/>
      </w:pPr>
      <w:rPr>
        <w:rFonts w:ascii="Times New Roman" w:hAnsi="Times New Roman" w:hint="default"/>
      </w:rPr>
    </w:lvl>
    <w:lvl w:ilvl="7" w:tplc="628C3532" w:tentative="1">
      <w:start w:val="1"/>
      <w:numFmt w:val="bullet"/>
      <w:lvlText w:val="•"/>
      <w:lvlJc w:val="left"/>
      <w:pPr>
        <w:tabs>
          <w:tab w:val="num" w:pos="5760"/>
        </w:tabs>
        <w:ind w:left="5760" w:hanging="360"/>
      </w:pPr>
      <w:rPr>
        <w:rFonts w:ascii="Times New Roman" w:hAnsi="Times New Roman" w:hint="default"/>
      </w:rPr>
    </w:lvl>
    <w:lvl w:ilvl="8" w:tplc="3EB89228" w:tentative="1">
      <w:start w:val="1"/>
      <w:numFmt w:val="bullet"/>
      <w:lvlText w:val="•"/>
      <w:lvlJc w:val="left"/>
      <w:pPr>
        <w:tabs>
          <w:tab w:val="num" w:pos="6480"/>
        </w:tabs>
        <w:ind w:left="6480" w:hanging="360"/>
      </w:pPr>
      <w:rPr>
        <w:rFonts w:ascii="Times New Roman" w:hAnsi="Times New Roman" w:hint="default"/>
      </w:rPr>
    </w:lvl>
  </w:abstractNum>
  <w:abstractNum w:abstractNumId="3">
    <w:nsid w:val="0BBA1719"/>
    <w:multiLevelType w:val="hybridMultilevel"/>
    <w:tmpl w:val="69AA1292"/>
    <w:lvl w:ilvl="0" w:tplc="B5CE237E">
      <w:start w:val="1"/>
      <w:numFmt w:val="bullet"/>
      <w:lvlText w:val="•"/>
      <w:lvlJc w:val="left"/>
      <w:pPr>
        <w:tabs>
          <w:tab w:val="num" w:pos="720"/>
        </w:tabs>
        <w:ind w:left="720" w:hanging="360"/>
      </w:pPr>
      <w:rPr>
        <w:rFonts w:ascii="Times New Roman" w:hAnsi="Times New Roman" w:hint="default"/>
      </w:rPr>
    </w:lvl>
    <w:lvl w:ilvl="1" w:tplc="074EA25E" w:tentative="1">
      <w:start w:val="1"/>
      <w:numFmt w:val="bullet"/>
      <w:lvlText w:val="•"/>
      <w:lvlJc w:val="left"/>
      <w:pPr>
        <w:tabs>
          <w:tab w:val="num" w:pos="1440"/>
        </w:tabs>
        <w:ind w:left="1440" w:hanging="360"/>
      </w:pPr>
      <w:rPr>
        <w:rFonts w:ascii="Times New Roman" w:hAnsi="Times New Roman" w:hint="default"/>
      </w:rPr>
    </w:lvl>
    <w:lvl w:ilvl="2" w:tplc="9B14D6EA" w:tentative="1">
      <w:start w:val="1"/>
      <w:numFmt w:val="bullet"/>
      <w:lvlText w:val="•"/>
      <w:lvlJc w:val="left"/>
      <w:pPr>
        <w:tabs>
          <w:tab w:val="num" w:pos="2160"/>
        </w:tabs>
        <w:ind w:left="2160" w:hanging="360"/>
      </w:pPr>
      <w:rPr>
        <w:rFonts w:ascii="Times New Roman" w:hAnsi="Times New Roman" w:hint="default"/>
      </w:rPr>
    </w:lvl>
    <w:lvl w:ilvl="3" w:tplc="4614F2BE" w:tentative="1">
      <w:start w:val="1"/>
      <w:numFmt w:val="bullet"/>
      <w:lvlText w:val="•"/>
      <w:lvlJc w:val="left"/>
      <w:pPr>
        <w:tabs>
          <w:tab w:val="num" w:pos="2880"/>
        </w:tabs>
        <w:ind w:left="2880" w:hanging="360"/>
      </w:pPr>
      <w:rPr>
        <w:rFonts w:ascii="Times New Roman" w:hAnsi="Times New Roman" w:hint="default"/>
      </w:rPr>
    </w:lvl>
    <w:lvl w:ilvl="4" w:tplc="25244D70" w:tentative="1">
      <w:start w:val="1"/>
      <w:numFmt w:val="bullet"/>
      <w:lvlText w:val="•"/>
      <w:lvlJc w:val="left"/>
      <w:pPr>
        <w:tabs>
          <w:tab w:val="num" w:pos="3600"/>
        </w:tabs>
        <w:ind w:left="3600" w:hanging="360"/>
      </w:pPr>
      <w:rPr>
        <w:rFonts w:ascii="Times New Roman" w:hAnsi="Times New Roman" w:hint="default"/>
      </w:rPr>
    </w:lvl>
    <w:lvl w:ilvl="5" w:tplc="432672F8" w:tentative="1">
      <w:start w:val="1"/>
      <w:numFmt w:val="bullet"/>
      <w:lvlText w:val="•"/>
      <w:lvlJc w:val="left"/>
      <w:pPr>
        <w:tabs>
          <w:tab w:val="num" w:pos="4320"/>
        </w:tabs>
        <w:ind w:left="4320" w:hanging="360"/>
      </w:pPr>
      <w:rPr>
        <w:rFonts w:ascii="Times New Roman" w:hAnsi="Times New Roman" w:hint="default"/>
      </w:rPr>
    </w:lvl>
    <w:lvl w:ilvl="6" w:tplc="1FCC2A3C" w:tentative="1">
      <w:start w:val="1"/>
      <w:numFmt w:val="bullet"/>
      <w:lvlText w:val="•"/>
      <w:lvlJc w:val="left"/>
      <w:pPr>
        <w:tabs>
          <w:tab w:val="num" w:pos="5040"/>
        </w:tabs>
        <w:ind w:left="5040" w:hanging="360"/>
      </w:pPr>
      <w:rPr>
        <w:rFonts w:ascii="Times New Roman" w:hAnsi="Times New Roman" w:hint="default"/>
      </w:rPr>
    </w:lvl>
    <w:lvl w:ilvl="7" w:tplc="A0CC45D4" w:tentative="1">
      <w:start w:val="1"/>
      <w:numFmt w:val="bullet"/>
      <w:lvlText w:val="•"/>
      <w:lvlJc w:val="left"/>
      <w:pPr>
        <w:tabs>
          <w:tab w:val="num" w:pos="5760"/>
        </w:tabs>
        <w:ind w:left="5760" w:hanging="360"/>
      </w:pPr>
      <w:rPr>
        <w:rFonts w:ascii="Times New Roman" w:hAnsi="Times New Roman" w:hint="default"/>
      </w:rPr>
    </w:lvl>
    <w:lvl w:ilvl="8" w:tplc="67861234" w:tentative="1">
      <w:start w:val="1"/>
      <w:numFmt w:val="bullet"/>
      <w:lvlText w:val="•"/>
      <w:lvlJc w:val="left"/>
      <w:pPr>
        <w:tabs>
          <w:tab w:val="num" w:pos="6480"/>
        </w:tabs>
        <w:ind w:left="6480" w:hanging="360"/>
      </w:pPr>
      <w:rPr>
        <w:rFonts w:ascii="Times New Roman" w:hAnsi="Times New Roman" w:hint="default"/>
      </w:rPr>
    </w:lvl>
  </w:abstractNum>
  <w:abstractNum w:abstractNumId="4">
    <w:nsid w:val="112A2604"/>
    <w:multiLevelType w:val="hybridMultilevel"/>
    <w:tmpl w:val="600E741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F6930B2"/>
    <w:multiLevelType w:val="hybridMultilevel"/>
    <w:tmpl w:val="B0309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49F6D63"/>
    <w:multiLevelType w:val="hybridMultilevel"/>
    <w:tmpl w:val="70223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90C2FCA"/>
    <w:multiLevelType w:val="hybridMultilevel"/>
    <w:tmpl w:val="4EA467B2"/>
    <w:lvl w:ilvl="0" w:tplc="AB821F48">
      <w:start w:val="1"/>
      <w:numFmt w:val="bullet"/>
      <w:lvlText w:val="•"/>
      <w:lvlJc w:val="left"/>
      <w:pPr>
        <w:tabs>
          <w:tab w:val="num" w:pos="720"/>
        </w:tabs>
        <w:ind w:left="720" w:hanging="360"/>
      </w:pPr>
      <w:rPr>
        <w:rFonts w:ascii="Times New Roman" w:hAnsi="Times New Roman" w:hint="default"/>
      </w:rPr>
    </w:lvl>
    <w:lvl w:ilvl="1" w:tplc="8F80C9D4">
      <w:start w:val="1092"/>
      <w:numFmt w:val="bullet"/>
      <w:lvlText w:val=""/>
      <w:lvlJc w:val="left"/>
      <w:pPr>
        <w:tabs>
          <w:tab w:val="num" w:pos="1440"/>
        </w:tabs>
        <w:ind w:left="1440" w:hanging="360"/>
      </w:pPr>
      <w:rPr>
        <w:rFonts w:ascii="Wingdings" w:hAnsi="Wingdings" w:hint="default"/>
      </w:rPr>
    </w:lvl>
    <w:lvl w:ilvl="2" w:tplc="5AA27F6E" w:tentative="1">
      <w:start w:val="1"/>
      <w:numFmt w:val="bullet"/>
      <w:lvlText w:val="•"/>
      <w:lvlJc w:val="left"/>
      <w:pPr>
        <w:tabs>
          <w:tab w:val="num" w:pos="2160"/>
        </w:tabs>
        <w:ind w:left="2160" w:hanging="360"/>
      </w:pPr>
      <w:rPr>
        <w:rFonts w:ascii="Times New Roman" w:hAnsi="Times New Roman" w:hint="default"/>
      </w:rPr>
    </w:lvl>
    <w:lvl w:ilvl="3" w:tplc="387681F0" w:tentative="1">
      <w:start w:val="1"/>
      <w:numFmt w:val="bullet"/>
      <w:lvlText w:val="•"/>
      <w:lvlJc w:val="left"/>
      <w:pPr>
        <w:tabs>
          <w:tab w:val="num" w:pos="2880"/>
        </w:tabs>
        <w:ind w:left="2880" w:hanging="360"/>
      </w:pPr>
      <w:rPr>
        <w:rFonts w:ascii="Times New Roman" w:hAnsi="Times New Roman" w:hint="default"/>
      </w:rPr>
    </w:lvl>
    <w:lvl w:ilvl="4" w:tplc="4B5696B4" w:tentative="1">
      <w:start w:val="1"/>
      <w:numFmt w:val="bullet"/>
      <w:lvlText w:val="•"/>
      <w:lvlJc w:val="left"/>
      <w:pPr>
        <w:tabs>
          <w:tab w:val="num" w:pos="3600"/>
        </w:tabs>
        <w:ind w:left="3600" w:hanging="360"/>
      </w:pPr>
      <w:rPr>
        <w:rFonts w:ascii="Times New Roman" w:hAnsi="Times New Roman" w:hint="default"/>
      </w:rPr>
    </w:lvl>
    <w:lvl w:ilvl="5" w:tplc="F636251C" w:tentative="1">
      <w:start w:val="1"/>
      <w:numFmt w:val="bullet"/>
      <w:lvlText w:val="•"/>
      <w:lvlJc w:val="left"/>
      <w:pPr>
        <w:tabs>
          <w:tab w:val="num" w:pos="4320"/>
        </w:tabs>
        <w:ind w:left="4320" w:hanging="360"/>
      </w:pPr>
      <w:rPr>
        <w:rFonts w:ascii="Times New Roman" w:hAnsi="Times New Roman" w:hint="default"/>
      </w:rPr>
    </w:lvl>
    <w:lvl w:ilvl="6" w:tplc="FB3A8FB0" w:tentative="1">
      <w:start w:val="1"/>
      <w:numFmt w:val="bullet"/>
      <w:lvlText w:val="•"/>
      <w:lvlJc w:val="left"/>
      <w:pPr>
        <w:tabs>
          <w:tab w:val="num" w:pos="5040"/>
        </w:tabs>
        <w:ind w:left="5040" w:hanging="360"/>
      </w:pPr>
      <w:rPr>
        <w:rFonts w:ascii="Times New Roman" w:hAnsi="Times New Roman" w:hint="default"/>
      </w:rPr>
    </w:lvl>
    <w:lvl w:ilvl="7" w:tplc="F88CB062" w:tentative="1">
      <w:start w:val="1"/>
      <w:numFmt w:val="bullet"/>
      <w:lvlText w:val="•"/>
      <w:lvlJc w:val="left"/>
      <w:pPr>
        <w:tabs>
          <w:tab w:val="num" w:pos="5760"/>
        </w:tabs>
        <w:ind w:left="5760" w:hanging="360"/>
      </w:pPr>
      <w:rPr>
        <w:rFonts w:ascii="Times New Roman" w:hAnsi="Times New Roman" w:hint="default"/>
      </w:rPr>
    </w:lvl>
    <w:lvl w:ilvl="8" w:tplc="54ACD946" w:tentative="1">
      <w:start w:val="1"/>
      <w:numFmt w:val="bullet"/>
      <w:lvlText w:val="•"/>
      <w:lvlJc w:val="left"/>
      <w:pPr>
        <w:tabs>
          <w:tab w:val="num" w:pos="6480"/>
        </w:tabs>
        <w:ind w:left="6480" w:hanging="360"/>
      </w:pPr>
      <w:rPr>
        <w:rFonts w:ascii="Times New Roman" w:hAnsi="Times New Roman" w:hint="default"/>
      </w:rPr>
    </w:lvl>
  </w:abstractNum>
  <w:abstractNum w:abstractNumId="8">
    <w:nsid w:val="73A42DAD"/>
    <w:multiLevelType w:val="hybridMultilevel"/>
    <w:tmpl w:val="E7B00B86"/>
    <w:lvl w:ilvl="0" w:tplc="906041C4">
      <w:start w:val="1"/>
      <w:numFmt w:val="bullet"/>
      <w:lvlText w:val="•"/>
      <w:lvlJc w:val="left"/>
      <w:pPr>
        <w:tabs>
          <w:tab w:val="num" w:pos="720"/>
        </w:tabs>
        <w:ind w:left="720" w:hanging="360"/>
      </w:pPr>
      <w:rPr>
        <w:rFonts w:ascii="Times New Roman" w:hAnsi="Times New Roman" w:hint="default"/>
      </w:rPr>
    </w:lvl>
    <w:lvl w:ilvl="1" w:tplc="5A56EA10">
      <w:start w:val="1419"/>
      <w:numFmt w:val="bullet"/>
      <w:lvlText w:val=""/>
      <w:lvlJc w:val="left"/>
      <w:pPr>
        <w:tabs>
          <w:tab w:val="num" w:pos="1440"/>
        </w:tabs>
        <w:ind w:left="1440" w:hanging="360"/>
      </w:pPr>
      <w:rPr>
        <w:rFonts w:ascii="Wingdings" w:hAnsi="Wingdings" w:hint="default"/>
      </w:rPr>
    </w:lvl>
    <w:lvl w:ilvl="2" w:tplc="1E2A8CE2">
      <w:start w:val="1419"/>
      <w:numFmt w:val="bullet"/>
      <w:lvlText w:val="•"/>
      <w:lvlJc w:val="left"/>
      <w:pPr>
        <w:tabs>
          <w:tab w:val="num" w:pos="2160"/>
        </w:tabs>
        <w:ind w:left="2160" w:hanging="360"/>
      </w:pPr>
      <w:rPr>
        <w:rFonts w:ascii="Times New Roman" w:hAnsi="Times New Roman" w:hint="default"/>
      </w:rPr>
    </w:lvl>
    <w:lvl w:ilvl="3" w:tplc="563A40F6" w:tentative="1">
      <w:start w:val="1"/>
      <w:numFmt w:val="bullet"/>
      <w:lvlText w:val="•"/>
      <w:lvlJc w:val="left"/>
      <w:pPr>
        <w:tabs>
          <w:tab w:val="num" w:pos="2880"/>
        </w:tabs>
        <w:ind w:left="2880" w:hanging="360"/>
      </w:pPr>
      <w:rPr>
        <w:rFonts w:ascii="Times New Roman" w:hAnsi="Times New Roman" w:hint="default"/>
      </w:rPr>
    </w:lvl>
    <w:lvl w:ilvl="4" w:tplc="93E43EB4" w:tentative="1">
      <w:start w:val="1"/>
      <w:numFmt w:val="bullet"/>
      <w:lvlText w:val="•"/>
      <w:lvlJc w:val="left"/>
      <w:pPr>
        <w:tabs>
          <w:tab w:val="num" w:pos="3600"/>
        </w:tabs>
        <w:ind w:left="3600" w:hanging="360"/>
      </w:pPr>
      <w:rPr>
        <w:rFonts w:ascii="Times New Roman" w:hAnsi="Times New Roman" w:hint="default"/>
      </w:rPr>
    </w:lvl>
    <w:lvl w:ilvl="5" w:tplc="EFAE8F28" w:tentative="1">
      <w:start w:val="1"/>
      <w:numFmt w:val="bullet"/>
      <w:lvlText w:val="•"/>
      <w:lvlJc w:val="left"/>
      <w:pPr>
        <w:tabs>
          <w:tab w:val="num" w:pos="4320"/>
        </w:tabs>
        <w:ind w:left="4320" w:hanging="360"/>
      </w:pPr>
      <w:rPr>
        <w:rFonts w:ascii="Times New Roman" w:hAnsi="Times New Roman" w:hint="default"/>
      </w:rPr>
    </w:lvl>
    <w:lvl w:ilvl="6" w:tplc="6FD6EFD0" w:tentative="1">
      <w:start w:val="1"/>
      <w:numFmt w:val="bullet"/>
      <w:lvlText w:val="•"/>
      <w:lvlJc w:val="left"/>
      <w:pPr>
        <w:tabs>
          <w:tab w:val="num" w:pos="5040"/>
        </w:tabs>
        <w:ind w:left="5040" w:hanging="360"/>
      </w:pPr>
      <w:rPr>
        <w:rFonts w:ascii="Times New Roman" w:hAnsi="Times New Roman" w:hint="default"/>
      </w:rPr>
    </w:lvl>
    <w:lvl w:ilvl="7" w:tplc="BEF415C4" w:tentative="1">
      <w:start w:val="1"/>
      <w:numFmt w:val="bullet"/>
      <w:lvlText w:val="•"/>
      <w:lvlJc w:val="left"/>
      <w:pPr>
        <w:tabs>
          <w:tab w:val="num" w:pos="5760"/>
        </w:tabs>
        <w:ind w:left="5760" w:hanging="360"/>
      </w:pPr>
      <w:rPr>
        <w:rFonts w:ascii="Times New Roman" w:hAnsi="Times New Roman" w:hint="default"/>
      </w:rPr>
    </w:lvl>
    <w:lvl w:ilvl="8" w:tplc="666EF214" w:tentative="1">
      <w:start w:val="1"/>
      <w:numFmt w:val="bullet"/>
      <w:lvlText w:val="•"/>
      <w:lvlJc w:val="left"/>
      <w:pPr>
        <w:tabs>
          <w:tab w:val="num" w:pos="6480"/>
        </w:tabs>
        <w:ind w:left="6480" w:hanging="360"/>
      </w:pPr>
      <w:rPr>
        <w:rFonts w:ascii="Times New Roman" w:hAnsi="Times New Roman" w:hint="default"/>
      </w:rPr>
    </w:lvl>
  </w:abstractNum>
  <w:abstractNum w:abstractNumId="9">
    <w:nsid w:val="7E0E26C2"/>
    <w:multiLevelType w:val="hybridMultilevel"/>
    <w:tmpl w:val="17FECDB0"/>
    <w:lvl w:ilvl="0" w:tplc="611A95A2">
      <w:start w:val="1"/>
      <w:numFmt w:val="bullet"/>
      <w:lvlText w:val="•"/>
      <w:lvlJc w:val="left"/>
      <w:pPr>
        <w:tabs>
          <w:tab w:val="num" w:pos="720"/>
        </w:tabs>
        <w:ind w:left="720" w:hanging="360"/>
      </w:pPr>
      <w:rPr>
        <w:rFonts w:ascii="Times New Roman" w:hAnsi="Times New Roman" w:hint="default"/>
      </w:rPr>
    </w:lvl>
    <w:lvl w:ilvl="1" w:tplc="081EB36A">
      <w:start w:val="1307"/>
      <w:numFmt w:val="bullet"/>
      <w:lvlText w:val=""/>
      <w:lvlJc w:val="left"/>
      <w:pPr>
        <w:tabs>
          <w:tab w:val="num" w:pos="1440"/>
        </w:tabs>
        <w:ind w:left="1440" w:hanging="360"/>
      </w:pPr>
      <w:rPr>
        <w:rFonts w:ascii="Wingdings" w:hAnsi="Wingdings" w:hint="default"/>
      </w:rPr>
    </w:lvl>
    <w:lvl w:ilvl="2" w:tplc="83F83860" w:tentative="1">
      <w:start w:val="1"/>
      <w:numFmt w:val="bullet"/>
      <w:lvlText w:val="•"/>
      <w:lvlJc w:val="left"/>
      <w:pPr>
        <w:tabs>
          <w:tab w:val="num" w:pos="2160"/>
        </w:tabs>
        <w:ind w:left="2160" w:hanging="360"/>
      </w:pPr>
      <w:rPr>
        <w:rFonts w:ascii="Times New Roman" w:hAnsi="Times New Roman" w:hint="default"/>
      </w:rPr>
    </w:lvl>
    <w:lvl w:ilvl="3" w:tplc="18282FF4" w:tentative="1">
      <w:start w:val="1"/>
      <w:numFmt w:val="bullet"/>
      <w:lvlText w:val="•"/>
      <w:lvlJc w:val="left"/>
      <w:pPr>
        <w:tabs>
          <w:tab w:val="num" w:pos="2880"/>
        </w:tabs>
        <w:ind w:left="2880" w:hanging="360"/>
      </w:pPr>
      <w:rPr>
        <w:rFonts w:ascii="Times New Roman" w:hAnsi="Times New Roman" w:hint="default"/>
      </w:rPr>
    </w:lvl>
    <w:lvl w:ilvl="4" w:tplc="FEB4FC18" w:tentative="1">
      <w:start w:val="1"/>
      <w:numFmt w:val="bullet"/>
      <w:lvlText w:val="•"/>
      <w:lvlJc w:val="left"/>
      <w:pPr>
        <w:tabs>
          <w:tab w:val="num" w:pos="3600"/>
        </w:tabs>
        <w:ind w:left="3600" w:hanging="360"/>
      </w:pPr>
      <w:rPr>
        <w:rFonts w:ascii="Times New Roman" w:hAnsi="Times New Roman" w:hint="default"/>
      </w:rPr>
    </w:lvl>
    <w:lvl w:ilvl="5" w:tplc="ECA65B50" w:tentative="1">
      <w:start w:val="1"/>
      <w:numFmt w:val="bullet"/>
      <w:lvlText w:val="•"/>
      <w:lvlJc w:val="left"/>
      <w:pPr>
        <w:tabs>
          <w:tab w:val="num" w:pos="4320"/>
        </w:tabs>
        <w:ind w:left="4320" w:hanging="360"/>
      </w:pPr>
      <w:rPr>
        <w:rFonts w:ascii="Times New Roman" w:hAnsi="Times New Roman" w:hint="default"/>
      </w:rPr>
    </w:lvl>
    <w:lvl w:ilvl="6" w:tplc="708E8BDC" w:tentative="1">
      <w:start w:val="1"/>
      <w:numFmt w:val="bullet"/>
      <w:lvlText w:val="•"/>
      <w:lvlJc w:val="left"/>
      <w:pPr>
        <w:tabs>
          <w:tab w:val="num" w:pos="5040"/>
        </w:tabs>
        <w:ind w:left="5040" w:hanging="360"/>
      </w:pPr>
      <w:rPr>
        <w:rFonts w:ascii="Times New Roman" w:hAnsi="Times New Roman" w:hint="default"/>
      </w:rPr>
    </w:lvl>
    <w:lvl w:ilvl="7" w:tplc="FC5AC952" w:tentative="1">
      <w:start w:val="1"/>
      <w:numFmt w:val="bullet"/>
      <w:lvlText w:val="•"/>
      <w:lvlJc w:val="left"/>
      <w:pPr>
        <w:tabs>
          <w:tab w:val="num" w:pos="5760"/>
        </w:tabs>
        <w:ind w:left="5760" w:hanging="360"/>
      </w:pPr>
      <w:rPr>
        <w:rFonts w:ascii="Times New Roman" w:hAnsi="Times New Roman" w:hint="default"/>
      </w:rPr>
    </w:lvl>
    <w:lvl w:ilvl="8" w:tplc="D0DAC9FA" w:tentative="1">
      <w:start w:val="1"/>
      <w:numFmt w:val="bullet"/>
      <w:lvlText w:val="•"/>
      <w:lvlJc w:val="left"/>
      <w:pPr>
        <w:tabs>
          <w:tab w:val="num" w:pos="6480"/>
        </w:tabs>
        <w:ind w:left="6480" w:hanging="360"/>
      </w:pPr>
      <w:rPr>
        <w:rFonts w:ascii="Times New Roman" w:hAnsi="Times New Roman" w:hint="default"/>
      </w:rPr>
    </w:lvl>
  </w:abstractNum>
  <w:num w:numId="1">
    <w:abstractNumId w:val="3"/>
  </w:num>
  <w:num w:numId="2">
    <w:abstractNumId w:val="7"/>
  </w:num>
  <w:num w:numId="3">
    <w:abstractNumId w:val="5"/>
  </w:num>
  <w:num w:numId="4">
    <w:abstractNumId w:val="8"/>
  </w:num>
  <w:num w:numId="5">
    <w:abstractNumId w:val="0"/>
  </w:num>
  <w:num w:numId="6">
    <w:abstractNumId w:val="4"/>
  </w:num>
  <w:num w:numId="7">
    <w:abstractNumId w:val="1"/>
  </w:num>
  <w:num w:numId="8">
    <w:abstractNumId w:val="2"/>
  </w:num>
  <w:num w:numId="9">
    <w:abstractNumId w:val="9"/>
  </w:num>
  <w:num w:numId="10">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AD1B03"/>
    <w:rsid w:val="000A7D2E"/>
    <w:rsid w:val="001F45DF"/>
    <w:rsid w:val="002534F4"/>
    <w:rsid w:val="00290AE4"/>
    <w:rsid w:val="00292888"/>
    <w:rsid w:val="002A0372"/>
    <w:rsid w:val="0032425F"/>
    <w:rsid w:val="00430384"/>
    <w:rsid w:val="00456BD6"/>
    <w:rsid w:val="005F46F5"/>
    <w:rsid w:val="0066323E"/>
    <w:rsid w:val="007A2DB1"/>
    <w:rsid w:val="00841730"/>
    <w:rsid w:val="008A62C2"/>
    <w:rsid w:val="008B67BD"/>
    <w:rsid w:val="00A1401C"/>
    <w:rsid w:val="00A16634"/>
    <w:rsid w:val="00AD1B03"/>
    <w:rsid w:val="00AD3A77"/>
    <w:rsid w:val="00B43558"/>
    <w:rsid w:val="00CC5213"/>
    <w:rsid w:val="00D20CB0"/>
    <w:rsid w:val="00D903B6"/>
    <w:rsid w:val="00EB34A2"/>
    <w:rsid w:val="00EB5422"/>
    <w:rsid w:val="00ED00C9"/>
    <w:rsid w:val="00F669B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rules v:ext="edit">
        <o:r id="V:Rule3" type="connector" idref="#_x0000_s1027"/>
        <o:r id="V:Rule4" type="connector" idref="#_x0000_s1026"/>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46F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D1B03"/>
    <w:rPr>
      <w:color w:val="0000FF"/>
      <w:u w:val="single"/>
    </w:rPr>
  </w:style>
  <w:style w:type="paragraph" w:styleId="ListParagraph">
    <w:name w:val="List Paragraph"/>
    <w:basedOn w:val="Normal"/>
    <w:uiPriority w:val="34"/>
    <w:qFormat/>
    <w:rsid w:val="00292888"/>
    <w:pPr>
      <w:ind w:left="720"/>
      <w:contextualSpacing/>
    </w:pPr>
  </w:style>
  <w:style w:type="character" w:styleId="PlaceholderText">
    <w:name w:val="Placeholder Text"/>
    <w:basedOn w:val="DefaultParagraphFont"/>
    <w:uiPriority w:val="99"/>
    <w:semiHidden/>
    <w:rsid w:val="00292888"/>
    <w:rPr>
      <w:color w:val="808080"/>
    </w:rPr>
  </w:style>
  <w:style w:type="paragraph" w:styleId="BalloonText">
    <w:name w:val="Balloon Text"/>
    <w:basedOn w:val="Normal"/>
    <w:link w:val="BalloonTextChar"/>
    <w:uiPriority w:val="99"/>
    <w:semiHidden/>
    <w:unhideWhenUsed/>
    <w:rsid w:val="002928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288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10413465">
      <w:bodyDiv w:val="1"/>
      <w:marLeft w:val="0"/>
      <w:marRight w:val="0"/>
      <w:marTop w:val="0"/>
      <w:marBottom w:val="0"/>
      <w:divBdr>
        <w:top w:val="none" w:sz="0" w:space="0" w:color="auto"/>
        <w:left w:val="none" w:sz="0" w:space="0" w:color="auto"/>
        <w:bottom w:val="none" w:sz="0" w:space="0" w:color="auto"/>
        <w:right w:val="none" w:sz="0" w:space="0" w:color="auto"/>
      </w:divBdr>
      <w:divsChild>
        <w:div w:id="118767984">
          <w:marLeft w:val="547"/>
          <w:marRight w:val="0"/>
          <w:marTop w:val="154"/>
          <w:marBottom w:val="0"/>
          <w:divBdr>
            <w:top w:val="none" w:sz="0" w:space="0" w:color="auto"/>
            <w:left w:val="none" w:sz="0" w:space="0" w:color="auto"/>
            <w:bottom w:val="none" w:sz="0" w:space="0" w:color="auto"/>
            <w:right w:val="none" w:sz="0" w:space="0" w:color="auto"/>
          </w:divBdr>
        </w:div>
        <w:div w:id="1950114466">
          <w:marLeft w:val="1166"/>
          <w:marRight w:val="0"/>
          <w:marTop w:val="134"/>
          <w:marBottom w:val="0"/>
          <w:divBdr>
            <w:top w:val="none" w:sz="0" w:space="0" w:color="auto"/>
            <w:left w:val="none" w:sz="0" w:space="0" w:color="auto"/>
            <w:bottom w:val="none" w:sz="0" w:space="0" w:color="auto"/>
            <w:right w:val="none" w:sz="0" w:space="0" w:color="auto"/>
          </w:divBdr>
        </w:div>
        <w:div w:id="380983701">
          <w:marLeft w:val="1166"/>
          <w:marRight w:val="0"/>
          <w:marTop w:val="134"/>
          <w:marBottom w:val="0"/>
          <w:divBdr>
            <w:top w:val="none" w:sz="0" w:space="0" w:color="auto"/>
            <w:left w:val="none" w:sz="0" w:space="0" w:color="auto"/>
            <w:bottom w:val="none" w:sz="0" w:space="0" w:color="auto"/>
            <w:right w:val="none" w:sz="0" w:space="0" w:color="auto"/>
          </w:divBdr>
        </w:div>
        <w:div w:id="1052657256">
          <w:marLeft w:val="1166"/>
          <w:marRight w:val="0"/>
          <w:marTop w:val="134"/>
          <w:marBottom w:val="0"/>
          <w:divBdr>
            <w:top w:val="none" w:sz="0" w:space="0" w:color="auto"/>
            <w:left w:val="none" w:sz="0" w:space="0" w:color="auto"/>
            <w:bottom w:val="none" w:sz="0" w:space="0" w:color="auto"/>
            <w:right w:val="none" w:sz="0" w:space="0" w:color="auto"/>
          </w:divBdr>
        </w:div>
        <w:div w:id="809319920">
          <w:marLeft w:val="547"/>
          <w:marRight w:val="0"/>
          <w:marTop w:val="154"/>
          <w:marBottom w:val="0"/>
          <w:divBdr>
            <w:top w:val="none" w:sz="0" w:space="0" w:color="auto"/>
            <w:left w:val="none" w:sz="0" w:space="0" w:color="auto"/>
            <w:bottom w:val="none" w:sz="0" w:space="0" w:color="auto"/>
            <w:right w:val="none" w:sz="0" w:space="0" w:color="auto"/>
          </w:divBdr>
        </w:div>
        <w:div w:id="939223103">
          <w:marLeft w:val="547"/>
          <w:marRight w:val="0"/>
          <w:marTop w:val="154"/>
          <w:marBottom w:val="0"/>
          <w:divBdr>
            <w:top w:val="none" w:sz="0" w:space="0" w:color="auto"/>
            <w:left w:val="none" w:sz="0" w:space="0" w:color="auto"/>
            <w:bottom w:val="none" w:sz="0" w:space="0" w:color="auto"/>
            <w:right w:val="none" w:sz="0" w:space="0" w:color="auto"/>
          </w:divBdr>
        </w:div>
        <w:div w:id="1702827517">
          <w:marLeft w:val="547"/>
          <w:marRight w:val="0"/>
          <w:marTop w:val="154"/>
          <w:marBottom w:val="0"/>
          <w:divBdr>
            <w:top w:val="none" w:sz="0" w:space="0" w:color="auto"/>
            <w:left w:val="none" w:sz="0" w:space="0" w:color="auto"/>
            <w:bottom w:val="none" w:sz="0" w:space="0" w:color="auto"/>
            <w:right w:val="none" w:sz="0" w:space="0" w:color="auto"/>
          </w:divBdr>
        </w:div>
      </w:divsChild>
    </w:div>
    <w:div w:id="645164764">
      <w:bodyDiv w:val="1"/>
      <w:marLeft w:val="0"/>
      <w:marRight w:val="0"/>
      <w:marTop w:val="0"/>
      <w:marBottom w:val="0"/>
      <w:divBdr>
        <w:top w:val="none" w:sz="0" w:space="0" w:color="auto"/>
        <w:left w:val="none" w:sz="0" w:space="0" w:color="auto"/>
        <w:bottom w:val="none" w:sz="0" w:space="0" w:color="auto"/>
        <w:right w:val="none" w:sz="0" w:space="0" w:color="auto"/>
      </w:divBdr>
      <w:divsChild>
        <w:div w:id="481192526">
          <w:marLeft w:val="547"/>
          <w:marRight w:val="0"/>
          <w:marTop w:val="154"/>
          <w:marBottom w:val="0"/>
          <w:divBdr>
            <w:top w:val="none" w:sz="0" w:space="0" w:color="auto"/>
            <w:left w:val="none" w:sz="0" w:space="0" w:color="auto"/>
            <w:bottom w:val="none" w:sz="0" w:space="0" w:color="auto"/>
            <w:right w:val="none" w:sz="0" w:space="0" w:color="auto"/>
          </w:divBdr>
        </w:div>
        <w:div w:id="1804301232">
          <w:marLeft w:val="1166"/>
          <w:marRight w:val="0"/>
          <w:marTop w:val="134"/>
          <w:marBottom w:val="0"/>
          <w:divBdr>
            <w:top w:val="none" w:sz="0" w:space="0" w:color="auto"/>
            <w:left w:val="none" w:sz="0" w:space="0" w:color="auto"/>
            <w:bottom w:val="none" w:sz="0" w:space="0" w:color="auto"/>
            <w:right w:val="none" w:sz="0" w:space="0" w:color="auto"/>
          </w:divBdr>
        </w:div>
        <w:div w:id="1594826098">
          <w:marLeft w:val="1166"/>
          <w:marRight w:val="0"/>
          <w:marTop w:val="134"/>
          <w:marBottom w:val="0"/>
          <w:divBdr>
            <w:top w:val="none" w:sz="0" w:space="0" w:color="auto"/>
            <w:left w:val="none" w:sz="0" w:space="0" w:color="auto"/>
            <w:bottom w:val="none" w:sz="0" w:space="0" w:color="auto"/>
            <w:right w:val="none" w:sz="0" w:space="0" w:color="auto"/>
          </w:divBdr>
        </w:div>
        <w:div w:id="886258575">
          <w:marLeft w:val="1166"/>
          <w:marRight w:val="0"/>
          <w:marTop w:val="134"/>
          <w:marBottom w:val="0"/>
          <w:divBdr>
            <w:top w:val="none" w:sz="0" w:space="0" w:color="auto"/>
            <w:left w:val="none" w:sz="0" w:space="0" w:color="auto"/>
            <w:bottom w:val="none" w:sz="0" w:space="0" w:color="auto"/>
            <w:right w:val="none" w:sz="0" w:space="0" w:color="auto"/>
          </w:divBdr>
        </w:div>
        <w:div w:id="1934122445">
          <w:marLeft w:val="1166"/>
          <w:marRight w:val="0"/>
          <w:marTop w:val="134"/>
          <w:marBottom w:val="0"/>
          <w:divBdr>
            <w:top w:val="none" w:sz="0" w:space="0" w:color="auto"/>
            <w:left w:val="none" w:sz="0" w:space="0" w:color="auto"/>
            <w:bottom w:val="none" w:sz="0" w:space="0" w:color="auto"/>
            <w:right w:val="none" w:sz="0" w:space="0" w:color="auto"/>
          </w:divBdr>
        </w:div>
      </w:divsChild>
    </w:div>
    <w:div w:id="683633207">
      <w:bodyDiv w:val="1"/>
      <w:marLeft w:val="0"/>
      <w:marRight w:val="0"/>
      <w:marTop w:val="0"/>
      <w:marBottom w:val="0"/>
      <w:divBdr>
        <w:top w:val="none" w:sz="0" w:space="0" w:color="auto"/>
        <w:left w:val="none" w:sz="0" w:space="0" w:color="auto"/>
        <w:bottom w:val="none" w:sz="0" w:space="0" w:color="auto"/>
        <w:right w:val="none" w:sz="0" w:space="0" w:color="auto"/>
      </w:divBdr>
      <w:divsChild>
        <w:div w:id="110252325">
          <w:marLeft w:val="547"/>
          <w:marRight w:val="0"/>
          <w:marTop w:val="154"/>
          <w:marBottom w:val="0"/>
          <w:divBdr>
            <w:top w:val="none" w:sz="0" w:space="0" w:color="auto"/>
            <w:left w:val="none" w:sz="0" w:space="0" w:color="auto"/>
            <w:bottom w:val="none" w:sz="0" w:space="0" w:color="auto"/>
            <w:right w:val="none" w:sz="0" w:space="0" w:color="auto"/>
          </w:divBdr>
        </w:div>
        <w:div w:id="138885552">
          <w:marLeft w:val="547"/>
          <w:marRight w:val="0"/>
          <w:marTop w:val="154"/>
          <w:marBottom w:val="0"/>
          <w:divBdr>
            <w:top w:val="none" w:sz="0" w:space="0" w:color="auto"/>
            <w:left w:val="none" w:sz="0" w:space="0" w:color="auto"/>
            <w:bottom w:val="none" w:sz="0" w:space="0" w:color="auto"/>
            <w:right w:val="none" w:sz="0" w:space="0" w:color="auto"/>
          </w:divBdr>
        </w:div>
        <w:div w:id="867912008">
          <w:marLeft w:val="547"/>
          <w:marRight w:val="0"/>
          <w:marTop w:val="154"/>
          <w:marBottom w:val="0"/>
          <w:divBdr>
            <w:top w:val="none" w:sz="0" w:space="0" w:color="auto"/>
            <w:left w:val="none" w:sz="0" w:space="0" w:color="auto"/>
            <w:bottom w:val="none" w:sz="0" w:space="0" w:color="auto"/>
            <w:right w:val="none" w:sz="0" w:space="0" w:color="auto"/>
          </w:divBdr>
        </w:div>
        <w:div w:id="2014330488">
          <w:marLeft w:val="547"/>
          <w:marRight w:val="0"/>
          <w:marTop w:val="154"/>
          <w:marBottom w:val="0"/>
          <w:divBdr>
            <w:top w:val="none" w:sz="0" w:space="0" w:color="auto"/>
            <w:left w:val="none" w:sz="0" w:space="0" w:color="auto"/>
            <w:bottom w:val="none" w:sz="0" w:space="0" w:color="auto"/>
            <w:right w:val="none" w:sz="0" w:space="0" w:color="auto"/>
          </w:divBdr>
        </w:div>
      </w:divsChild>
    </w:div>
    <w:div w:id="975379732">
      <w:bodyDiv w:val="1"/>
      <w:marLeft w:val="0"/>
      <w:marRight w:val="0"/>
      <w:marTop w:val="0"/>
      <w:marBottom w:val="0"/>
      <w:divBdr>
        <w:top w:val="none" w:sz="0" w:space="0" w:color="auto"/>
        <w:left w:val="none" w:sz="0" w:space="0" w:color="auto"/>
        <w:bottom w:val="none" w:sz="0" w:space="0" w:color="auto"/>
        <w:right w:val="none" w:sz="0" w:space="0" w:color="auto"/>
      </w:divBdr>
      <w:divsChild>
        <w:div w:id="894777707">
          <w:marLeft w:val="547"/>
          <w:marRight w:val="0"/>
          <w:marTop w:val="154"/>
          <w:marBottom w:val="0"/>
          <w:divBdr>
            <w:top w:val="none" w:sz="0" w:space="0" w:color="auto"/>
            <w:left w:val="none" w:sz="0" w:space="0" w:color="auto"/>
            <w:bottom w:val="none" w:sz="0" w:space="0" w:color="auto"/>
            <w:right w:val="none" w:sz="0" w:space="0" w:color="auto"/>
          </w:divBdr>
        </w:div>
        <w:div w:id="1738476938">
          <w:marLeft w:val="1166"/>
          <w:marRight w:val="0"/>
          <w:marTop w:val="134"/>
          <w:marBottom w:val="0"/>
          <w:divBdr>
            <w:top w:val="none" w:sz="0" w:space="0" w:color="auto"/>
            <w:left w:val="none" w:sz="0" w:space="0" w:color="auto"/>
            <w:bottom w:val="none" w:sz="0" w:space="0" w:color="auto"/>
            <w:right w:val="none" w:sz="0" w:space="0" w:color="auto"/>
          </w:divBdr>
        </w:div>
        <w:div w:id="1856068664">
          <w:marLeft w:val="1166"/>
          <w:marRight w:val="0"/>
          <w:marTop w:val="134"/>
          <w:marBottom w:val="0"/>
          <w:divBdr>
            <w:top w:val="none" w:sz="0" w:space="0" w:color="auto"/>
            <w:left w:val="none" w:sz="0" w:space="0" w:color="auto"/>
            <w:bottom w:val="none" w:sz="0" w:space="0" w:color="auto"/>
            <w:right w:val="none" w:sz="0" w:space="0" w:color="auto"/>
          </w:divBdr>
        </w:div>
        <w:div w:id="1737512506">
          <w:marLeft w:val="1800"/>
          <w:marRight w:val="0"/>
          <w:marTop w:val="115"/>
          <w:marBottom w:val="0"/>
          <w:divBdr>
            <w:top w:val="none" w:sz="0" w:space="0" w:color="auto"/>
            <w:left w:val="none" w:sz="0" w:space="0" w:color="auto"/>
            <w:bottom w:val="none" w:sz="0" w:space="0" w:color="auto"/>
            <w:right w:val="none" w:sz="0" w:space="0" w:color="auto"/>
          </w:divBdr>
        </w:div>
        <w:div w:id="569388408">
          <w:marLeft w:val="1166"/>
          <w:marRight w:val="0"/>
          <w:marTop w:val="134"/>
          <w:marBottom w:val="0"/>
          <w:divBdr>
            <w:top w:val="none" w:sz="0" w:space="0" w:color="auto"/>
            <w:left w:val="none" w:sz="0" w:space="0" w:color="auto"/>
            <w:bottom w:val="none" w:sz="0" w:space="0" w:color="auto"/>
            <w:right w:val="none" w:sz="0" w:space="0" w:color="auto"/>
          </w:divBdr>
        </w:div>
        <w:div w:id="1943343951">
          <w:marLeft w:val="1166"/>
          <w:marRight w:val="0"/>
          <w:marTop w:val="134"/>
          <w:marBottom w:val="0"/>
          <w:divBdr>
            <w:top w:val="none" w:sz="0" w:space="0" w:color="auto"/>
            <w:left w:val="none" w:sz="0" w:space="0" w:color="auto"/>
            <w:bottom w:val="none" w:sz="0" w:space="0" w:color="auto"/>
            <w:right w:val="none" w:sz="0" w:space="0" w:color="auto"/>
          </w:divBdr>
        </w:div>
      </w:divsChild>
    </w:div>
    <w:div w:id="1022434514">
      <w:bodyDiv w:val="1"/>
      <w:marLeft w:val="0"/>
      <w:marRight w:val="0"/>
      <w:marTop w:val="0"/>
      <w:marBottom w:val="0"/>
      <w:divBdr>
        <w:top w:val="none" w:sz="0" w:space="0" w:color="auto"/>
        <w:left w:val="none" w:sz="0" w:space="0" w:color="auto"/>
        <w:bottom w:val="none" w:sz="0" w:space="0" w:color="auto"/>
        <w:right w:val="none" w:sz="0" w:space="0" w:color="auto"/>
      </w:divBdr>
      <w:divsChild>
        <w:div w:id="1116098987">
          <w:marLeft w:val="547"/>
          <w:marRight w:val="0"/>
          <w:marTop w:val="154"/>
          <w:marBottom w:val="0"/>
          <w:divBdr>
            <w:top w:val="none" w:sz="0" w:space="0" w:color="auto"/>
            <w:left w:val="none" w:sz="0" w:space="0" w:color="auto"/>
            <w:bottom w:val="none" w:sz="0" w:space="0" w:color="auto"/>
            <w:right w:val="none" w:sz="0" w:space="0" w:color="auto"/>
          </w:divBdr>
        </w:div>
        <w:div w:id="542179488">
          <w:marLeft w:val="547"/>
          <w:marRight w:val="0"/>
          <w:marTop w:val="154"/>
          <w:marBottom w:val="0"/>
          <w:divBdr>
            <w:top w:val="none" w:sz="0" w:space="0" w:color="auto"/>
            <w:left w:val="none" w:sz="0" w:space="0" w:color="auto"/>
            <w:bottom w:val="none" w:sz="0" w:space="0" w:color="auto"/>
            <w:right w:val="none" w:sz="0" w:space="0" w:color="auto"/>
          </w:divBdr>
        </w:div>
        <w:div w:id="1973752968">
          <w:marLeft w:val="547"/>
          <w:marRight w:val="0"/>
          <w:marTop w:val="154"/>
          <w:marBottom w:val="0"/>
          <w:divBdr>
            <w:top w:val="none" w:sz="0" w:space="0" w:color="auto"/>
            <w:left w:val="none" w:sz="0" w:space="0" w:color="auto"/>
            <w:bottom w:val="none" w:sz="0" w:space="0" w:color="auto"/>
            <w:right w:val="none" w:sz="0" w:space="0" w:color="auto"/>
          </w:divBdr>
        </w:div>
      </w:divsChild>
    </w:div>
    <w:div w:id="1314678623">
      <w:bodyDiv w:val="1"/>
      <w:marLeft w:val="0"/>
      <w:marRight w:val="0"/>
      <w:marTop w:val="0"/>
      <w:marBottom w:val="0"/>
      <w:divBdr>
        <w:top w:val="none" w:sz="0" w:space="0" w:color="auto"/>
        <w:left w:val="none" w:sz="0" w:space="0" w:color="auto"/>
        <w:bottom w:val="none" w:sz="0" w:space="0" w:color="auto"/>
        <w:right w:val="none" w:sz="0" w:space="0" w:color="auto"/>
      </w:divBdr>
      <w:divsChild>
        <w:div w:id="1335566505">
          <w:marLeft w:val="547"/>
          <w:marRight w:val="0"/>
          <w:marTop w:val="154"/>
          <w:marBottom w:val="0"/>
          <w:divBdr>
            <w:top w:val="none" w:sz="0" w:space="0" w:color="auto"/>
            <w:left w:val="none" w:sz="0" w:space="0" w:color="auto"/>
            <w:bottom w:val="none" w:sz="0" w:space="0" w:color="auto"/>
            <w:right w:val="none" w:sz="0" w:space="0" w:color="auto"/>
          </w:divBdr>
        </w:div>
        <w:div w:id="1919168441">
          <w:marLeft w:val="547"/>
          <w:marRight w:val="0"/>
          <w:marTop w:val="154"/>
          <w:marBottom w:val="0"/>
          <w:divBdr>
            <w:top w:val="none" w:sz="0" w:space="0" w:color="auto"/>
            <w:left w:val="none" w:sz="0" w:space="0" w:color="auto"/>
            <w:bottom w:val="none" w:sz="0" w:space="0" w:color="auto"/>
            <w:right w:val="none" w:sz="0" w:space="0" w:color="auto"/>
          </w:divBdr>
        </w:div>
        <w:div w:id="1733112487">
          <w:marLeft w:val="547"/>
          <w:marRight w:val="0"/>
          <w:marTop w:val="154"/>
          <w:marBottom w:val="0"/>
          <w:divBdr>
            <w:top w:val="none" w:sz="0" w:space="0" w:color="auto"/>
            <w:left w:val="none" w:sz="0" w:space="0" w:color="auto"/>
            <w:bottom w:val="none" w:sz="0" w:space="0" w:color="auto"/>
            <w:right w:val="none" w:sz="0" w:space="0" w:color="auto"/>
          </w:divBdr>
        </w:div>
      </w:divsChild>
    </w:div>
    <w:div w:id="1372417796">
      <w:bodyDiv w:val="1"/>
      <w:marLeft w:val="0"/>
      <w:marRight w:val="0"/>
      <w:marTop w:val="0"/>
      <w:marBottom w:val="0"/>
      <w:divBdr>
        <w:top w:val="none" w:sz="0" w:space="0" w:color="auto"/>
        <w:left w:val="none" w:sz="0" w:space="0" w:color="auto"/>
        <w:bottom w:val="none" w:sz="0" w:space="0" w:color="auto"/>
        <w:right w:val="none" w:sz="0" w:space="0" w:color="auto"/>
      </w:divBdr>
      <w:divsChild>
        <w:div w:id="2132506688">
          <w:marLeft w:val="547"/>
          <w:marRight w:val="0"/>
          <w:marTop w:val="154"/>
          <w:marBottom w:val="0"/>
          <w:divBdr>
            <w:top w:val="none" w:sz="0" w:space="0" w:color="auto"/>
            <w:left w:val="none" w:sz="0" w:space="0" w:color="auto"/>
            <w:bottom w:val="none" w:sz="0" w:space="0" w:color="auto"/>
            <w:right w:val="none" w:sz="0" w:space="0" w:color="auto"/>
          </w:divBdr>
        </w:div>
        <w:div w:id="1439790650">
          <w:marLeft w:val="1166"/>
          <w:marRight w:val="0"/>
          <w:marTop w:val="134"/>
          <w:marBottom w:val="0"/>
          <w:divBdr>
            <w:top w:val="none" w:sz="0" w:space="0" w:color="auto"/>
            <w:left w:val="none" w:sz="0" w:space="0" w:color="auto"/>
            <w:bottom w:val="none" w:sz="0" w:space="0" w:color="auto"/>
            <w:right w:val="none" w:sz="0" w:space="0" w:color="auto"/>
          </w:divBdr>
        </w:div>
        <w:div w:id="1072200444">
          <w:marLeft w:val="1166"/>
          <w:marRight w:val="0"/>
          <w:marTop w:val="134"/>
          <w:marBottom w:val="0"/>
          <w:divBdr>
            <w:top w:val="none" w:sz="0" w:space="0" w:color="auto"/>
            <w:left w:val="none" w:sz="0" w:space="0" w:color="auto"/>
            <w:bottom w:val="none" w:sz="0" w:space="0" w:color="auto"/>
            <w:right w:val="none" w:sz="0" w:space="0" w:color="auto"/>
          </w:divBdr>
        </w:div>
        <w:div w:id="1017195628">
          <w:marLeft w:val="1166"/>
          <w:marRight w:val="0"/>
          <w:marTop w:val="134"/>
          <w:marBottom w:val="0"/>
          <w:divBdr>
            <w:top w:val="none" w:sz="0" w:space="0" w:color="auto"/>
            <w:left w:val="none" w:sz="0" w:space="0" w:color="auto"/>
            <w:bottom w:val="none" w:sz="0" w:space="0" w:color="auto"/>
            <w:right w:val="none" w:sz="0" w:space="0" w:color="auto"/>
          </w:divBdr>
        </w:div>
        <w:div w:id="866066481">
          <w:marLeft w:val="547"/>
          <w:marRight w:val="0"/>
          <w:marTop w:val="154"/>
          <w:marBottom w:val="0"/>
          <w:divBdr>
            <w:top w:val="none" w:sz="0" w:space="0" w:color="auto"/>
            <w:left w:val="none" w:sz="0" w:space="0" w:color="auto"/>
            <w:bottom w:val="none" w:sz="0" w:space="0" w:color="auto"/>
            <w:right w:val="none" w:sz="0" w:space="0" w:color="auto"/>
          </w:divBdr>
        </w:div>
        <w:div w:id="82604843">
          <w:marLeft w:val="547"/>
          <w:marRight w:val="0"/>
          <w:marTop w:val="154"/>
          <w:marBottom w:val="0"/>
          <w:divBdr>
            <w:top w:val="none" w:sz="0" w:space="0" w:color="auto"/>
            <w:left w:val="none" w:sz="0" w:space="0" w:color="auto"/>
            <w:bottom w:val="none" w:sz="0" w:space="0" w:color="auto"/>
            <w:right w:val="none" w:sz="0" w:space="0" w:color="auto"/>
          </w:divBdr>
        </w:div>
        <w:div w:id="1468086161">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oleObject" Target="embeddings/oleObject1.bin"/><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wmf"/><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985EE0-3CAF-407A-BA5C-8F4513B27B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1687</TotalTime>
  <Pages>3</Pages>
  <Words>673</Words>
  <Characters>3838</Characters>
  <Application>Microsoft Office Word</Application>
  <DocSecurity>0</DocSecurity>
  <Lines>31</Lines>
  <Paragraphs>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4502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sc-gd</dc:creator>
  <cp:lastModifiedBy>sc-gd</cp:lastModifiedBy>
  <cp:revision>6</cp:revision>
  <dcterms:created xsi:type="dcterms:W3CDTF">2011-04-27T11:40:00Z</dcterms:created>
  <dcterms:modified xsi:type="dcterms:W3CDTF">2012-03-16T15:24:00Z</dcterms:modified>
</cp:coreProperties>
</file>