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448352" w14:textId="6165B8F5" w:rsidR="002354BB" w:rsidRPr="002354BB" w:rsidRDefault="002354BB" w:rsidP="002354BB">
      <w:pPr>
        <w:rPr>
          <w:b/>
          <w:bCs/>
        </w:rPr>
      </w:pPr>
      <w:r w:rsidRPr="002354BB">
        <w:rPr>
          <w:b/>
          <w:bCs/>
        </w:rPr>
        <w:t xml:space="preserve">Assessment Rubric for </w:t>
      </w:r>
      <w:r w:rsidR="001051BF">
        <w:rPr>
          <w:b/>
          <w:bCs/>
        </w:rPr>
        <w:t>Data Warehousing &amp; Data Mining Assessment 1.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8"/>
        <w:gridCol w:w="1744"/>
        <w:gridCol w:w="1837"/>
        <w:gridCol w:w="1787"/>
        <w:gridCol w:w="1840"/>
        <w:gridCol w:w="1793"/>
        <w:gridCol w:w="1971"/>
        <w:gridCol w:w="1958"/>
      </w:tblGrid>
      <w:tr w:rsidR="0071210D" w:rsidRPr="001051BF" w14:paraId="6A9285DA" w14:textId="77777777" w:rsidTr="001051BF">
        <w:trPr>
          <w:trHeight w:val="792"/>
        </w:trPr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226E9FE1" w14:textId="6FF8F992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STUDENT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right w:val="nil"/>
            </w:tcBorders>
            <w:vAlign w:val="center"/>
          </w:tcPr>
          <w:p w14:paraId="52BFAA75" w14:textId="2EE71671" w:rsidR="0071210D" w:rsidRPr="002354BB" w:rsidRDefault="009621A6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Aliu Djalo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1DFB1AD4" w14:textId="545F584C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GRADE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45410611" w14:textId="373F295D" w:rsidR="0071210D" w:rsidRPr="00E72BBD" w:rsidRDefault="00F57B6A" w:rsidP="001051BF">
            <w:pPr>
              <w:spacing w:after="0"/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  <w:t>78%</w:t>
            </w:r>
          </w:p>
        </w:tc>
      </w:tr>
      <w:tr w:rsidR="0071210D" w:rsidRPr="001051BF" w14:paraId="468915D6" w14:textId="77777777" w:rsidTr="001051BF">
        <w:trPr>
          <w:tblHeader/>
        </w:trPr>
        <w:tc>
          <w:tcPr>
            <w:tcW w:w="0" w:type="auto"/>
            <w:shd w:val="clear" w:color="auto" w:fill="E8E8E8" w:themeFill="background2"/>
            <w:vAlign w:val="center"/>
          </w:tcPr>
          <w:p w14:paraId="3EAE37BD" w14:textId="7EF8164B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4D1BC626" w14:textId="2E15F60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Fail</w:t>
            </w:r>
          </w:p>
          <w:p w14:paraId="3C9D2002" w14:textId="3BB2957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(0-29%)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shd w:val="clear" w:color="auto" w:fill="E8E8E8" w:themeFill="background2"/>
            <w:vAlign w:val="center"/>
          </w:tcPr>
          <w:p w14:paraId="6194B109" w14:textId="1B8CEB66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Marginal Fail</w:t>
            </w:r>
          </w:p>
          <w:p w14:paraId="72E1B81A" w14:textId="7A77D0DD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(30-39%)</w:t>
            </w:r>
          </w:p>
        </w:tc>
        <w:tc>
          <w:tcPr>
            <w:tcW w:w="0" w:type="auto"/>
            <w:tcBorders>
              <w:left w:val="double" w:sz="4" w:space="0" w:color="auto"/>
            </w:tcBorders>
            <w:shd w:val="clear" w:color="auto" w:fill="E8E8E8" w:themeFill="background2"/>
            <w:vAlign w:val="center"/>
          </w:tcPr>
          <w:p w14:paraId="7855370A" w14:textId="082F750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Satisfactory</w:t>
            </w:r>
          </w:p>
          <w:p w14:paraId="5860B34E" w14:textId="3D8D7F3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(40-49%)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407B2E8" w14:textId="1FA8961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Good</w:t>
            </w:r>
          </w:p>
          <w:p w14:paraId="10CBACE7" w14:textId="782D7C55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(50-59%)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2DA95F99" w14:textId="2193757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Very Good</w:t>
            </w:r>
          </w:p>
          <w:p w14:paraId="70B4CD2B" w14:textId="366722A8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(60-69%)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B0A36D3" w14:textId="310ECA3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Excellent</w:t>
            </w:r>
          </w:p>
          <w:p w14:paraId="632FCDC0" w14:textId="55C53EE2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(70-84%)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1047D07D" w14:textId="1F6FCA31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Exceptional</w:t>
            </w:r>
          </w:p>
          <w:p w14:paraId="3BF52494" w14:textId="21E60483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(85-100%)</w:t>
            </w:r>
          </w:p>
        </w:tc>
      </w:tr>
      <w:tr w:rsidR="0071210D" w:rsidRPr="001051BF" w14:paraId="097904C8" w14:textId="77777777" w:rsidTr="001051BF">
        <w:trPr>
          <w:trHeight w:val="2767"/>
        </w:trPr>
        <w:tc>
          <w:tcPr>
            <w:tcW w:w="0" w:type="auto"/>
            <w:shd w:val="clear" w:color="auto" w:fill="E8E8E8" w:themeFill="background2"/>
            <w:hideMark/>
          </w:tcPr>
          <w:p w14:paraId="1225E79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Understanding of OLTP vs Data Warehouse (Task 1, 10%)</w:t>
            </w:r>
          </w:p>
        </w:tc>
        <w:tc>
          <w:tcPr>
            <w:tcW w:w="0" w:type="auto"/>
            <w:hideMark/>
          </w:tcPr>
          <w:p w14:paraId="53318AA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Little to no understanding of OLTP or data warehouses. Discussion lacks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2EA2095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OLTP and data warehouses. Discussion is poorly applied to the case study context.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94DC13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understanding of OLTP vs data warehouses. Some relevance to the case study, but lacking depth or clarity.</w:t>
            </w:r>
          </w:p>
        </w:tc>
        <w:tc>
          <w:tcPr>
            <w:tcW w:w="0" w:type="auto"/>
            <w:hideMark/>
          </w:tcPr>
          <w:p w14:paraId="56FA876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understanding of OLTP vs data warehouses. Discussion is relevant to the case study and demonstrates basic application.</w:t>
            </w:r>
          </w:p>
        </w:tc>
        <w:tc>
          <w:tcPr>
            <w:tcW w:w="0" w:type="auto"/>
            <w:hideMark/>
          </w:tcPr>
          <w:p w14:paraId="6428DF71" w14:textId="4B9B5CB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understanding of OLTP vs data warehouses with detailed and relevant discussion applied to the case study.</w:t>
            </w:r>
          </w:p>
        </w:tc>
        <w:tc>
          <w:tcPr>
            <w:tcW w:w="0" w:type="auto"/>
            <w:hideMark/>
          </w:tcPr>
          <w:p w14:paraId="0F10E345" w14:textId="0E7C2CB1" w:rsidR="0071210D" w:rsidRPr="002354BB" w:rsidRDefault="00093EAF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DDA3A8F" wp14:editId="4F8EE2D5">
                      <wp:simplePos x="0" y="0"/>
                      <wp:positionH relativeFrom="column">
                        <wp:posOffset>-572342</wp:posOffset>
                      </wp:positionH>
                      <wp:positionV relativeFrom="paragraph">
                        <wp:posOffset>-3648</wp:posOffset>
                      </wp:positionV>
                      <wp:extent cx="1104900" cy="1800225"/>
                      <wp:effectExtent l="19050" t="19050" r="38100" b="47625"/>
                      <wp:wrapNone/>
                      <wp:docPr id="13625846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8002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8AACBC2" id="Oval 1" o:spid="_x0000_s1026" style="position:absolute;margin-left:-45.05pt;margin-top:-.3pt;width:87pt;height:14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NH+gQIAAHAFAAAOAAAAZHJzL2Uyb0RvYy54bWysVEtv2zAMvg/YfxB0X/xAsrZBnSJokWFA&#10;0AZrh55VWaoFyKImKXGyXz9KdpygLXYYdrElkfxIfnxc3+xbTXbCeQWmosUkp0QYDrUyrxX9+bT6&#10;ckmJD8zUTIMRFT0IT28Wnz9dd3YuSmhA18IRBDF+3tmKNiHYeZZ53oiW+QlYYVAowbUs4NW9ZrVj&#10;HaK3Oivz/GvWgautAy68x9e7XkgXCV9KwcODlF4EoiuKsYX0den7Er/Z4prNXx2zjeJDGOwfomiZ&#10;Muh0hLpjgZGtU++gWsUdeJBhwqHNQErFRcoBsynyN9k8NsyKlAuS4+1Ik/9/sPx+92g3DmnorJ97&#10;PMYs9tK18Y/xkX0i6zCSJfaBcHwsinx6lSOnHGXFZZ6X5SzSmZ3MrfPhm4CWxENFhdbK+pgQm7Pd&#10;2ode+6gVnw2slNapKNqQrqKzi2KWJwsPWtVRGvVSf4hb7ciOYWUZ58KEcnB/ponBaIMxnZJLp3DQ&#10;IsJo80NIompMp+ydxL57i1v0oobVoneHIWHiffRjJCnzBBiRJQY6Yg8AH2P3MIN+NBWpbUfjIfu/&#10;GY8WyTOYMBq3yoD7KDMdiiEB2esfSeqpiSy9QH3YOOKgHxpv+UphHdfMhw1zOCVYe5z88IAfqQGL&#10;BcOJkgbc74/eoz42L0op6XDqKup/bZkTlOjvBtv6qphO45imy3R2UeLFnUteziVm294Clr/AHWN5&#10;Okb9oI9H6aB9xgWxjF5RxAxH3xXlwR0vt6HfBrhiuFgukxqOpmVhbR4tj+CR1dikT/tn5uzQzAHn&#10;4B6OE/quoXvdaGlguQ0gVer2E68D3zjWqXGGFRT3xvk9aZ0W5eIPAAAA//8DAFBLAwQUAAYACAAA&#10;ACEAft0eE94AAAAIAQAADwAAAGRycy9kb3ducmV2LnhtbEyPwUrEMBCG74LvEGbBi+ymW6W0teki&#10;guJJsHrYY9rMtmWbpCRpN/r0jie9zfD/fPNNdYh6Yis6P1ojYL9LgKHprBpNL+Dz43mbA/NBGiUn&#10;a1DAF3o41NdXlSyVvZh3XJvQM4IYX0oBQwhzybnvBtTS7+yMhrKTdVoGWl3PlZMXguuJp0mScS1H&#10;QxcGOePTgN25WbSAtE3X2/ByH93p9Th+N83bMYuLEDeb+PgALGAMf2X41Sd1qMmptYtRnk0CtkWy&#10;pyoNGTDK87sCWEvsPC2A1xX//0D9AwAA//8DAFBLAQItABQABgAIAAAAIQC2gziS/gAAAOEBAAAT&#10;AAAAAAAAAAAAAAAAAAAAAABbQ29udGVudF9UeXBlc10ueG1sUEsBAi0AFAAGAAgAAAAhADj9If/W&#10;AAAAlAEAAAsAAAAAAAAAAAAAAAAALwEAAF9yZWxzLy5yZWxzUEsBAi0AFAAGAAgAAAAhAOcQ0f6B&#10;AgAAcAUAAA4AAAAAAAAAAAAAAAAALgIAAGRycy9lMm9Eb2MueG1sUEsBAi0AFAAGAAgAAAAhAH7d&#10;HhPeAAAACAEAAA8AAAAAAAAAAAAAAAAA2w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understanding of OLTP vs data warehouses with well-structured and insightful discussion applied to the case study.</w:t>
            </w:r>
          </w:p>
        </w:tc>
        <w:tc>
          <w:tcPr>
            <w:tcW w:w="0" w:type="auto"/>
            <w:hideMark/>
          </w:tcPr>
          <w:p w14:paraId="15EB9327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understanding of OLTP vs data warehouses, demonstrating nuanced insights and innovative application to the case study.</w:t>
            </w:r>
          </w:p>
        </w:tc>
      </w:tr>
      <w:tr w:rsidR="0071210D" w:rsidRPr="001051BF" w14:paraId="7C7F5A11" w14:textId="77777777" w:rsidTr="001051BF">
        <w:trPr>
          <w:trHeight w:val="2524"/>
        </w:trPr>
        <w:tc>
          <w:tcPr>
            <w:tcW w:w="0" w:type="auto"/>
            <w:shd w:val="clear" w:color="auto" w:fill="E8E8E8" w:themeFill="background2"/>
            <w:hideMark/>
          </w:tcPr>
          <w:p w14:paraId="02B9165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Data Warehouse Architecture and ETL (Task 1, 15%)</w:t>
            </w:r>
          </w:p>
        </w:tc>
        <w:tc>
          <w:tcPr>
            <w:tcW w:w="0" w:type="auto"/>
            <w:hideMark/>
          </w:tcPr>
          <w:p w14:paraId="1199FAF8" w14:textId="01FCD99F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warehouse architecture or ETL process. Diagrams missing or irrelevant.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5B3DB1E5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data warehouse architecture or ETL process.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8DE78B4" w14:textId="2D1BB932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warehouse architecture and ETL process with relevant but simple diagrams.</w:t>
            </w:r>
          </w:p>
        </w:tc>
        <w:tc>
          <w:tcPr>
            <w:tcW w:w="0" w:type="auto"/>
            <w:hideMark/>
          </w:tcPr>
          <w:p w14:paraId="39C97B6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warehouse architecture and ETL process, supported by relevant diagrams.</w:t>
            </w:r>
          </w:p>
        </w:tc>
        <w:tc>
          <w:tcPr>
            <w:tcW w:w="0" w:type="auto"/>
            <w:hideMark/>
          </w:tcPr>
          <w:p w14:paraId="01906C2D" w14:textId="09182F8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warehouse architecture and ETL process with detailed and accurate diagrams.</w:t>
            </w:r>
          </w:p>
        </w:tc>
        <w:tc>
          <w:tcPr>
            <w:tcW w:w="0" w:type="auto"/>
            <w:hideMark/>
          </w:tcPr>
          <w:p w14:paraId="1C92A595" w14:textId="5C3551D2" w:rsidR="0071210D" w:rsidRPr="002354BB" w:rsidRDefault="00093EAF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0DCC5F5" wp14:editId="57CE313D">
                      <wp:simplePos x="0" y="0"/>
                      <wp:positionH relativeFrom="column">
                        <wp:posOffset>53872</wp:posOffset>
                      </wp:positionH>
                      <wp:positionV relativeFrom="paragraph">
                        <wp:posOffset>58878</wp:posOffset>
                      </wp:positionV>
                      <wp:extent cx="1104900" cy="1571625"/>
                      <wp:effectExtent l="19050" t="19050" r="38100" b="47625"/>
                      <wp:wrapNone/>
                      <wp:docPr id="4016206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5716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E910E6F" id="Oval 1" o:spid="_x0000_s1026" style="position:absolute;margin-left:4.25pt;margin-top:4.65pt;width:87pt;height:123.7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Hx9gAIAAHAFAAAOAAAAZHJzL2Uyb0RvYy54bWysVE1v2zAMvQ/YfxB0X20HSbsGcYqgRYcB&#10;QRssHXpWZCkWIIuapMTJfv0o2XGCtthh2MWWRPKRfPyY3R0aTfbCeQWmpMVVTokwHCpltiX9+fL4&#10;5SslPjBTMQ1GlPQoPL2bf/40a+1UjKAGXQlHEMT4aWtLWodgp1nmeS0a5q/ACoNCCa5hAa9um1WO&#10;tYje6GyU59dZC66yDrjwHl8fOiGdJ3wpBQ/PUnoRiC4pxhbS16XvJn6z+YxNt47ZWvE+DPYPUTRM&#10;GXQ6QD2wwMjOqXdQjeIOPMhwxaHJQErFRcoBsynyN9msa2ZFygXJ8Xagyf8/WP60X9uVQxpa66ce&#10;jzGLg3RN/GN85JDIOg5kiUMgHB+LIh/f5sgpR1kxuSmuR5NIZ3Y2t86HbwIaEg8lFVor62NCbMr2&#10;Sx867ZNWfDbwqLRORdGGtCVF3EmeLDxoVUVp1Ev9Ie61I3uGlWWcCxNGvfsLTQxGG4zpnFw6haMW&#10;EUabH0ISVWE6o85J7Lu3uEUnqlklOncYEibeRT9EkjJPgBFZYqADdg/wMXYH0+tHU5HadjDus/+b&#10;8WCRPIMJg3GjDLiPMtOh6BOQnf6JpI6ayNIGquPKEQfd0HjLHxXWccl8WDGHU4K1x8kPz/iRGrBY&#10;0J8oqcH9/ug96mPzopSSFqeupP7XjjlBif5usK1vi/E4jmm6jCc3I7y4S8nmUmJ2zT1g+QvcMZan&#10;Y9QP+nSUDppXXBCL6BVFzHD0XVIe3OlyH7ptgCuGi8UiqeFoWhaWZm15BI+sxiZ9ObwyZ/tmDjgH&#10;T3Ca0HcN3elGSwOLXQCpUrefee35xrFOjdOvoLg3Lu9J67wo538AAAD//wMAUEsDBBQABgAIAAAA&#10;IQCVA8DU2wAAAAcBAAAPAAAAZHJzL2Rvd25yZXYueG1sTI7BSsQwFEX3gv8QnuBGnNTqlFqbDiIo&#10;rgSri1mmzZu22LyUJu1Ev943K11e7uXcU+6iHcWKsx8cKbjZJCCQWmcG6hR8fjxf5yB80GT06AgV&#10;fKOHXXV+VurCuCO941qHTjCEfKEV9CFMhZS+7dFqv3ETEncHN1sdOM6dNLM+MtyOMk2STFo9ED/0&#10;esKnHtuverEK0iZdr8LLXZwPr/vhp67f9llclLq8iI8PIALG8DeGkz6rQ8VOjVvIeDEqyLc8VHB/&#10;C+LU5innhtHbLAdZlfK/f/ULAAD//wMAUEsBAi0AFAAGAAgAAAAhALaDOJL+AAAA4QEAABMAAAAA&#10;AAAAAAAAAAAAAAAAAFtDb250ZW50X1R5cGVzXS54bWxQSwECLQAUAAYACAAAACEAOP0h/9YAAACU&#10;AQAACwAAAAAAAAAAAAAAAAAvAQAAX3JlbHMvLnJlbHNQSwECLQAUAAYACAAAACEAPKx8fYACAABw&#10;BQAADgAAAAAAAAAAAAAAAAAuAgAAZHJzL2Uyb0RvYy54bWxQSwECLQAUAAYACAAAACEAlQPA1NsA&#10;AAAHAQAADwAAAAAAAAAAAAAAAADaBAAAZHJzL2Rvd25yZXYueG1sUEsFBgAAAAAEAAQA8wAAAOIF&#10;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Comprehensive explanation of data warehouse architecture and ETL process with insightful and precise diagrams.</w:t>
            </w:r>
          </w:p>
        </w:tc>
        <w:tc>
          <w:tcPr>
            <w:tcW w:w="0" w:type="auto"/>
            <w:hideMark/>
          </w:tcPr>
          <w:p w14:paraId="40E7178D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warehouse architecture and ETL process with innovative insights and professional-quality diagrams.</w:t>
            </w:r>
          </w:p>
        </w:tc>
      </w:tr>
      <w:tr w:rsidR="0071210D" w:rsidRPr="001051BF" w14:paraId="42D1E2AB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3CAF3E9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Use of Data Marts (Task 1, 15%)</w:t>
            </w:r>
          </w:p>
        </w:tc>
        <w:tc>
          <w:tcPr>
            <w:tcW w:w="0" w:type="auto"/>
            <w:hideMark/>
          </w:tcPr>
          <w:p w14:paraId="2A0180AC" w14:textId="03E8C9F6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marts or their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6B22173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data marts. Relevance to the case study is weak or unclear.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AB9FFE2" w14:textId="5219EB92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marts with some relevance to the case study.</w:t>
            </w:r>
          </w:p>
        </w:tc>
        <w:tc>
          <w:tcPr>
            <w:tcW w:w="0" w:type="auto"/>
            <w:hideMark/>
          </w:tcPr>
          <w:p w14:paraId="5C9A6966" w14:textId="23C8E67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marts and their application to the case study.</w:t>
            </w:r>
          </w:p>
        </w:tc>
        <w:tc>
          <w:tcPr>
            <w:tcW w:w="0" w:type="auto"/>
            <w:hideMark/>
          </w:tcPr>
          <w:p w14:paraId="2ACA6844" w14:textId="050E4B0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marts with detailed and relevant application to the case study.</w:t>
            </w:r>
          </w:p>
        </w:tc>
        <w:tc>
          <w:tcPr>
            <w:tcW w:w="0" w:type="auto"/>
            <w:hideMark/>
          </w:tcPr>
          <w:p w14:paraId="320EB5FF" w14:textId="149894A6" w:rsidR="0071210D" w:rsidRPr="002354BB" w:rsidRDefault="00093EAF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ACB7886" wp14:editId="3928D3C5">
                      <wp:simplePos x="0" y="0"/>
                      <wp:positionH relativeFrom="column">
                        <wp:posOffset>53872</wp:posOffset>
                      </wp:positionH>
                      <wp:positionV relativeFrom="paragraph">
                        <wp:posOffset>7207</wp:posOffset>
                      </wp:positionV>
                      <wp:extent cx="1104900" cy="1485900"/>
                      <wp:effectExtent l="19050" t="19050" r="38100" b="38100"/>
                      <wp:wrapNone/>
                      <wp:docPr id="7522428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4859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E60F390" id="Oval 1" o:spid="_x0000_s1026" style="position:absolute;margin-left:4.25pt;margin-top:.55pt;width:87pt;height:11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R1AtfgIAAHAFAAAOAAAAZHJzL2Uyb0RvYy54bWysVMFu2zAMvQ/YPwi6r7aDZG2DOEXQosOA&#10;oA2WDj0rshQLkEVNUuJkXz9KdpygLXYYdrFFkXwkn0jO7g6NJnvhvAJT0uIqp0QYDpUy25L+fHn8&#10;ckOJD8xUTIMRJT0KT+/mnz/NWjsVI6hBV8IRBDF+2tqS1iHYaZZ5XouG+SuwwqBSgmtYQNFts8qx&#10;FtEbnY3y/GvWgqusAy68x9uHTknnCV9KwcOzlF4EokuKuYX0dem7id9sPmPTrWO2VrxPg/1DFg1T&#10;BoMOUA8sMLJz6h1Uo7gDDzJccWgykFJxkWrAaor8TTXrmlmRakFyvB1o8v8Plj/t13blkIbW+qnH&#10;Y6ziIF0T/5gfOSSyjgNZ4hAIx8uiyMe3OXLKUVeMbyZRQJzs7G6dD98ENCQeSiq0VtbHgtiU7Zc+&#10;dNYnq3ht4FFpnR5FG9KWdHJdTPLk4UGrKmqjXeoPca8d2TN8Wca5MGHUh7+wxGS0wZzOxaVTOGoR&#10;YbT5ISRRFZYz6oLEvnuLW3SqmlWiC4cpDbUOmaTKE2BElpjogN0DfIzdkdDbR1eR2nZw7qv/m/Pg&#10;kSKDCYNzowy4jyrToejZkp39iaSOmsjSBqrjyhEH3dB4yx8VvuOS+bBiDqcE3x4nPzzjR2rAx4L+&#10;REkN7vdH99Eemxe1lLQ4dSX1v3bMCUr0d4NtfVuMx3FMkzCeXI9QcJeazaXG7Jp7wOcvcMdYno7R&#10;PujTUTpoXnFBLGJUVDHDMXZJeXAn4T502wBXDBeLRTLD0bQsLM3a8ggeWY1N+nJ4Zc72zRxwDp7g&#10;NKHvGrqzjZ4GFrsAUqVuP/Pa841jnRqnX0Fxb1zKyeq8KOd/AAAA//8DAFBLAwQUAAYACAAAACEA&#10;rQTnPtsAAAAHAQAADwAAAGRycy9kb3ducmV2LnhtbEyOQU+EMBCF7yb+h2ZMvBi3gO6GIGVjTDSe&#10;TEQPeyx0Foh0StrCor/e2ZMe37yXb75yv9pRLOjD4EhBuklAILXODNQp+Px4vs1BhKjJ6NERKvjG&#10;APvq8qLUhXEneseljp1gCIVCK+hjnAopQ9uj1WHjJiTujs5bHTn6ThqvTwy3o8ySZCetHog/9HrC&#10;px7br3q2CrImW27iy/3qj6+H4aeu3w67dVbq+mp9fAARcY1/YzjrszpU7NS4mUwQo4J8y0M+pyDO&#10;bZ5xbhh9t01BVqX871/9AgAA//8DAFBLAQItABQABgAIAAAAIQC2gziS/gAAAOEBAAATAAAAAAAA&#10;AAAAAAAAAAAAAABbQ29udGVudF9UeXBlc10ueG1sUEsBAi0AFAAGAAgAAAAhADj9If/WAAAAlAEA&#10;AAsAAAAAAAAAAAAAAAAALwEAAF9yZWxzLy5yZWxzUEsBAi0AFAAGAAgAAAAhAD9HUC1+AgAAcAUA&#10;AA4AAAAAAAAAAAAAAAAALgIAAGRycy9lMm9Eb2MueG1sUEsBAi0AFAAGAAgAAAAhAK0E5z7bAAAA&#10;BwEAAA8AAAAAAAAAAAAAAAAA2AQAAGRycy9kb3ducmV2LnhtbFBLBQYAAAAABAAEAPMAAADgBQAA&#10;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explanation of data marts with insightful discussion and clear relevance to the case study.</w:t>
            </w:r>
          </w:p>
        </w:tc>
        <w:tc>
          <w:tcPr>
            <w:tcW w:w="0" w:type="auto"/>
            <w:hideMark/>
          </w:tcPr>
          <w:p w14:paraId="7968C17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marts, demonstrating innovative and highly relevant application to the case study.</w:t>
            </w:r>
          </w:p>
        </w:tc>
      </w:tr>
      <w:tr w:rsidR="0071210D" w:rsidRPr="001051BF" w14:paraId="78FB9C8F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08F1931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lastRenderedPageBreak/>
              <w:t>Star Schema and Dimensions (Task 1, 10%)</w:t>
            </w:r>
          </w:p>
        </w:tc>
        <w:tc>
          <w:tcPr>
            <w:tcW w:w="0" w:type="auto"/>
            <w:hideMark/>
          </w:tcPr>
          <w:p w14:paraId="36A39798" w14:textId="04634D8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star schema or its components. Diagrams missing or irrelevant.</w:t>
            </w:r>
            <w:r w:rsidR="00E72BBD">
              <w:rPr>
                <w:rFonts w:ascii="Arial" w:hAnsi="Arial" w:cs="Arial"/>
                <w:b/>
                <w:bCs/>
                <w:noProof/>
              </w:rPr>
              <w:t xml:space="preserve"> 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3CFB6056" w14:textId="4D07CD7C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star schema with minimal understanding of facts and dimensions.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2AB8CF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star schema and its components with simple but relevant diagrams.</w:t>
            </w:r>
          </w:p>
        </w:tc>
        <w:tc>
          <w:tcPr>
            <w:tcW w:w="0" w:type="auto"/>
            <w:hideMark/>
          </w:tcPr>
          <w:p w14:paraId="5A4BFC1B" w14:textId="72B581CF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star schema and its components with appropriate and accurate diagrams.</w:t>
            </w:r>
          </w:p>
        </w:tc>
        <w:tc>
          <w:tcPr>
            <w:tcW w:w="0" w:type="auto"/>
            <w:hideMark/>
          </w:tcPr>
          <w:p w14:paraId="301374DF" w14:textId="760ACA6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star schema and its components with detailed and insightful diagrams.</w:t>
            </w:r>
          </w:p>
        </w:tc>
        <w:tc>
          <w:tcPr>
            <w:tcW w:w="0" w:type="auto"/>
            <w:hideMark/>
          </w:tcPr>
          <w:p w14:paraId="7577596A" w14:textId="70A249AC" w:rsidR="0071210D" w:rsidRPr="002354BB" w:rsidRDefault="00F57B6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AE0333F" wp14:editId="464D39B4">
                      <wp:simplePos x="0" y="0"/>
                      <wp:positionH relativeFrom="column">
                        <wp:posOffset>-6601</wp:posOffset>
                      </wp:positionH>
                      <wp:positionV relativeFrom="paragraph">
                        <wp:posOffset>-7133</wp:posOffset>
                      </wp:positionV>
                      <wp:extent cx="1104900" cy="1638300"/>
                      <wp:effectExtent l="19050" t="19050" r="38100" b="38100"/>
                      <wp:wrapNone/>
                      <wp:docPr id="12267507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6F29540" id="Oval 1" o:spid="_x0000_s1026" style="position:absolute;margin-left:-.5pt;margin-top:-.55pt;width:87pt;height:12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DjOMwd3gAAAAkBAAAPAAAAZHJzL2Rvd25yZXYueG1sTI9BT4QwEIXvJv6HZky8mN0CKipSNsZE&#10;42kT0cMeC+0CkU5JW9jqr3c46Wky817efK/cRTOyRTs/WBSQbhNgGlurBuwEfH68bO6B+SBRydGi&#10;FvCtPeyq87NSFsqe8F0vdegYhaAvpIA+hKng3Le9NtJv7aSRtKN1RgZaXceVkycKNyPPkiTnRg5I&#10;H3o56edet1/1bARkTbZchdeb6I5vh+GnrveHPM5CXF7Ep0dgQcfwZ4YVn9ChIqbGzqg8GwVsUqoS&#10;1pkCW/W7azo0FH6bPwCvSv6/QfULAAD//wMAUEsBAi0AFAAGAAgAAAAhALaDOJL+AAAA4QEAABMA&#10;AAAAAAAAAAAAAAAAAAAAAFtDb250ZW50X1R5cGVzXS54bWxQSwECLQAUAAYACAAAACEAOP0h/9YA&#10;AACUAQAACwAAAAAAAAAAAAAAAAAvAQAAX3JlbHMvLnJlbHNQSwECLQAUAAYACAAAACEACNEsY4AC&#10;AABwBQAADgAAAAAAAAAAAAAAAAAuAgAAZHJzL2Uyb0RvYy54bWxQSwECLQAUAAYACAAAACEA4zjM&#10;Hd4AAAAJAQAADwAAAAAAAAAAAAAAAADaBAAAZHJzL2Rvd25yZXYueG1sUEsFBgAAAAAEAAQA8wAA&#10;AOUF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Comprehensive explanation of star schema and its components with well-structured and precise diagrams.</w:t>
            </w:r>
          </w:p>
        </w:tc>
        <w:tc>
          <w:tcPr>
            <w:tcW w:w="0" w:type="auto"/>
            <w:hideMark/>
          </w:tcPr>
          <w:p w14:paraId="7EAE1F8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star schema and its components, demonstrating innovative insights and professional-quality diagrams.</w:t>
            </w:r>
          </w:p>
        </w:tc>
      </w:tr>
      <w:tr w:rsidR="0071210D" w:rsidRPr="001051BF" w14:paraId="4CAD2C39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67B20E29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Identification of Sources and Schema (Task 2, 25%)</w:t>
            </w:r>
          </w:p>
        </w:tc>
        <w:tc>
          <w:tcPr>
            <w:tcW w:w="0" w:type="auto"/>
            <w:hideMark/>
          </w:tcPr>
          <w:p w14:paraId="34D6309C" w14:textId="2451A25F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Sources and schema are incomplete or missing. No connection to case study requirements.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81391DD" w14:textId="07EBC06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Limited identification of sources and schema with weak or unclear connection to case study requirements.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1CF7FC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identification of sources and schema with some relevance to the case study.</w:t>
            </w:r>
          </w:p>
        </w:tc>
        <w:tc>
          <w:tcPr>
            <w:tcW w:w="0" w:type="auto"/>
            <w:hideMark/>
          </w:tcPr>
          <w:p w14:paraId="50670EB3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identification of sources and schema, relevant to the case study and demonstrating understanding of requirements.</w:t>
            </w:r>
          </w:p>
        </w:tc>
        <w:tc>
          <w:tcPr>
            <w:tcW w:w="0" w:type="auto"/>
            <w:hideMark/>
          </w:tcPr>
          <w:p w14:paraId="1CABD573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identification of sources and schema with detailed and accurate application to the case study.</w:t>
            </w:r>
          </w:p>
        </w:tc>
        <w:tc>
          <w:tcPr>
            <w:tcW w:w="0" w:type="auto"/>
            <w:hideMark/>
          </w:tcPr>
          <w:p w14:paraId="07287040" w14:textId="6ACEE3B0" w:rsidR="0071210D" w:rsidRPr="002354BB" w:rsidRDefault="00F57B6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E57F476" wp14:editId="3EB9F041">
                      <wp:simplePos x="0" y="0"/>
                      <wp:positionH relativeFrom="column">
                        <wp:posOffset>24189</wp:posOffset>
                      </wp:positionH>
                      <wp:positionV relativeFrom="paragraph">
                        <wp:posOffset>16407</wp:posOffset>
                      </wp:positionV>
                      <wp:extent cx="1104900" cy="1657350"/>
                      <wp:effectExtent l="19050" t="19050" r="38100" b="38100"/>
                      <wp:wrapNone/>
                      <wp:docPr id="209772865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5735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EAD187D" id="Oval 1" o:spid="_x0000_s1026" style="position:absolute;margin-left:1.9pt;margin-top:1.3pt;width:87pt;height:130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ceYgAIAAHAFAAAOAAAAZHJzL2Uyb0RvYy54bWysVEtv2zAMvg/YfxB0XxxnSbsGdYqgRYcB&#10;QRssHXpWZSkWIIuapMTJfv0o+ZFgDXYYdrFJkfz45u3dodZkL5xXYAqaj8aUCMOhVGZb0B8vj5++&#10;UOIDMyXTYERBj8LTu8XHD7eNnYsJVKBL4QiCGD9vbEGrEOw8yzyvRM38CKwwKJTgahaQddusdKxB&#10;9Fpnk/H4KmvAldYBF97j60MrpIuEL6Xg4VlKLwLRBcXYQvq69H2L32xxy+Zbx2yleBcG+4coaqYM&#10;Oh2gHlhgZOfUO6hacQceZBhxqDOQUnGRcsBs8vEf2WwqZkXKBYvj7VAm//9g+dN+Y9cOy9BYP/dI&#10;xiwO0tXxj/GRQyrWcSiWOATC8THPx9ObMdaUoyy/ml1/nqVyZidz63z4KqAmkSio0FpZHxNic7Zf&#10;+YBeUbvXis8GHpXWqSnakKags+scYaPIg1ZllCYmzoe4147sGXaWcS5MmMRuIuCZJnLa4OMpuUSF&#10;oxYRRpvvQhJVYjqT1skl3LwVVawUrTsMCRPvnPUWyXUCjMgSAx2wO4Be8zzmvIPp9KOpSGM7GHfZ&#10;/814sEiewYTBuFYG3KXMdBg8t/p9kdrSxCq9QXlcO+KgXRpv+aPCPq6YD2vmcEuw97j54Rk/UgM2&#10;CzqKkgrcr0vvUR+HF6WUNLh1BfU/d8wJSvQ3g2N9k0+ncU0TM51dT5Bx55K3c4nZ1feA7c/xxlie&#10;yKgfdE9KB/UrHohl9IoiZjj6LigPrmfuQ3sN8MRwsVwmNVxNy8LKbCyP4LGqcUhfDq/M2W6YA+7B&#10;E/Qb+m6gW91oaWC5CyBVmvZTXbt641qnwelOULwb53zSOh3KxW8AAAD//wMAUEsDBBQABgAIAAAA&#10;IQBqImac2QAAAAcBAAAPAAAAZHJzL2Rvd25yZXYueG1sTI5BS8QwEEbvgv8hjOBF3NSudKU2XURQ&#10;PAlWD3tMm9m22ExKk3ajv97pyT0+vuHNK/bRDmLByfeOFNxtEhBIjTM9tQq+Pl9uH0D4oMnowREq&#10;+EEP+/LyotC5cSf6wKUKrWAJ+Vwr6EIYcyl906HVfuNGJN6ObrI6ME6tNJM+sdwOMk2STFrdE3/o&#10;9IjPHTbf1WwVpHW63ITX+zgd3w79b1W9H7I4K3V9FZ8eQQSM4f8Y1nxOh5KbajeT8WJQsOXwwKoM&#10;xLrudsz1ytsMZFnI8/7yDwAA//8DAFBLAQItABQABgAIAAAAIQC2gziS/gAAAOEBAAATAAAAAAAA&#10;AAAAAAAAAAAAAABbQ29udGVudF9UeXBlc10ueG1sUEsBAi0AFAAGAAgAAAAhADj9If/WAAAAlAEA&#10;AAsAAAAAAAAAAAAAAAAALwEAAF9yZWxzLy5yZWxzUEsBAi0AFAAGAAgAAAAhAIFVx5iAAgAAcAUA&#10;AA4AAAAAAAAAAAAAAAAALgIAAGRycy9lMm9Eb2MueG1sUEsBAi0AFAAGAAgAAAAhAGoiZpzZAAAA&#10;BwEAAA8AAAAAAAAAAAAAAAAA2gQAAGRycy9kb3ducmV2LnhtbFBLBQYAAAAABAAEAPMAAADgBQAA&#10;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identification of sources and schema with insightful and precise application to the case study.</w:t>
            </w:r>
          </w:p>
        </w:tc>
        <w:tc>
          <w:tcPr>
            <w:tcW w:w="0" w:type="auto"/>
            <w:hideMark/>
          </w:tcPr>
          <w:p w14:paraId="3567081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identification of sources and schema, demonstrating innovative and highly relevant application to the case study.</w:t>
            </w:r>
          </w:p>
        </w:tc>
      </w:tr>
      <w:tr w:rsidR="0071210D" w:rsidRPr="001051BF" w14:paraId="6268D520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2A865B7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ETL Plan and Data Governance (Task 2, 25%)</w:t>
            </w:r>
          </w:p>
        </w:tc>
        <w:tc>
          <w:tcPr>
            <w:tcW w:w="0" w:type="auto"/>
            <w:hideMark/>
          </w:tcPr>
          <w:p w14:paraId="7F6F3552" w14:textId="5EE57CB2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ETL plan and governance issues are incomplete or missing. No relevance to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685D963A" w14:textId="2D2EA8B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ETL plan with limited discussion of governance issues. Weak relevance to the case study.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959309E" w14:textId="1670A72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ETL plan with some discussion of governance issues. Relevance to the case study is clear but lacks depth.</w:t>
            </w:r>
          </w:p>
        </w:tc>
        <w:tc>
          <w:tcPr>
            <w:tcW w:w="0" w:type="auto"/>
            <w:hideMark/>
          </w:tcPr>
          <w:p w14:paraId="1DAB1FC7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ETL plan with relevant discussion of governance issues. Demonstrates understanding of case study requirements.</w:t>
            </w:r>
          </w:p>
        </w:tc>
        <w:tc>
          <w:tcPr>
            <w:tcW w:w="0" w:type="auto"/>
            <w:hideMark/>
          </w:tcPr>
          <w:p w14:paraId="48EECADE" w14:textId="392DE65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ETL plan with detailed and relevant discussion of governance issues.</w:t>
            </w:r>
          </w:p>
        </w:tc>
        <w:tc>
          <w:tcPr>
            <w:tcW w:w="0" w:type="auto"/>
            <w:hideMark/>
          </w:tcPr>
          <w:p w14:paraId="0BE97B9F" w14:textId="28A00A1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ETL plan with insightful and precise discussion of governance issues.</w:t>
            </w:r>
          </w:p>
        </w:tc>
        <w:tc>
          <w:tcPr>
            <w:tcW w:w="0" w:type="auto"/>
            <w:hideMark/>
          </w:tcPr>
          <w:p w14:paraId="1738357E" w14:textId="24EDAF47" w:rsidR="0071210D" w:rsidRPr="002354BB" w:rsidRDefault="00F57B6A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6EAB382" wp14:editId="7A567AEA">
                      <wp:simplePos x="0" y="0"/>
                      <wp:positionH relativeFrom="column">
                        <wp:posOffset>-572608</wp:posOffset>
                      </wp:positionH>
                      <wp:positionV relativeFrom="paragraph">
                        <wp:posOffset>47448</wp:posOffset>
                      </wp:positionV>
                      <wp:extent cx="1104900" cy="1638300"/>
                      <wp:effectExtent l="19050" t="19050" r="38100" b="38100"/>
                      <wp:wrapNone/>
                      <wp:docPr id="181522800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F37DA12" id="Oval 1" o:spid="_x0000_s1026" style="position:absolute;margin-left:-45.1pt;margin-top:3.75pt;width:87pt;height:129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BoIzYJ3wAAAAgBAAAPAAAAZHJzL2Rvd25yZXYueG1sTI/BTsMwEETvSPyDtUhcUOsQSNqGOBVC&#10;AnGqRODQoxNvk4jYjmwnNXw9ywmOqxm9fVPuox7Zgs4P1gi4XSfA0LRWDaYT8PH+vNoC80EaJUdr&#10;UMAXethXlxelLJQ9mzdc6tAxghhfSAF9CFPBuW971NKv7YSGspN1WgY6XceVk2eC65GnSZJzLQdD&#10;H3o54VOP7Wc9awFpky434eU+utPrcfiu68Mxj7MQ11fx8QFYwBj+yvCrT+pQkVNjZ6M8GwWsdklK&#10;VQGbDBjl2zta0hA7zzLgVcn/D6h+AAAA//8DAFBLAQItABQABgAIAAAAIQC2gziS/gAAAOEBAAAT&#10;AAAAAAAAAAAAAAAAAAAAAABbQ29udGVudF9UeXBlc10ueG1sUEsBAi0AFAAGAAgAAAAhADj9If/W&#10;AAAAlAEAAAsAAAAAAAAAAAAAAAAALwEAAF9yZWxzLy5yZWxzUEsBAi0AFAAGAAgAAAAhAAjRLGOA&#10;AgAAcAUAAA4AAAAAAAAAAAAAAAAALgIAAGRycy9lMm9Eb2MueG1sUEsBAi0AFAAGAAgAAAAhAGgj&#10;NgnfAAAACAEAAA8AAAAAAAAAAAAAAAAA2g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Exceptional ETL plan with innovative insights and comprehensive discussion of governance issues, highly relevant to the case study.</w:t>
            </w:r>
          </w:p>
        </w:tc>
      </w:tr>
    </w:tbl>
    <w:p w14:paraId="1AECA053" w14:textId="6B6C0167" w:rsidR="0071210D" w:rsidRDefault="0071210D">
      <w:pPr>
        <w:rPr>
          <w:b/>
          <w:bCs/>
          <w:u w:val="single"/>
        </w:rPr>
      </w:pPr>
      <w:r w:rsidRPr="001A503B">
        <w:rPr>
          <w:b/>
          <w:bCs/>
          <w:u w:val="single"/>
        </w:rPr>
        <w:t>Comments</w:t>
      </w:r>
    </w:p>
    <w:p w14:paraId="481ACDFD" w14:textId="6629DB34" w:rsidR="001A503B" w:rsidRPr="001A503B" w:rsidRDefault="00093EAF" w:rsidP="001A503B">
      <w:pPr>
        <w:spacing w:after="0"/>
      </w:pPr>
      <w:r>
        <w:t>Sections 1.2 and 1.3 not needed. Good use of table</w:t>
      </w:r>
      <w:r w:rsidR="00F57B6A">
        <w:t>s for comparisons. Sensible approach to use a single simplified star for explaining the schema. Good schema, although I think that Customer_Dim should be yellow rather than white as it’s clearly a conformed dimension. Excellent ETL plan description. Good work.</w:t>
      </w:r>
    </w:p>
    <w:sectPr w:rsidR="001A503B" w:rsidRPr="001A503B" w:rsidSect="0071210D">
      <w:pgSz w:w="16838" w:h="11906" w:orient="landscape"/>
      <w:pgMar w:top="851" w:right="1080" w:bottom="709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4BB"/>
    <w:rsid w:val="00093EAF"/>
    <w:rsid w:val="001051BF"/>
    <w:rsid w:val="001A503B"/>
    <w:rsid w:val="002354BB"/>
    <w:rsid w:val="0029723A"/>
    <w:rsid w:val="0045074A"/>
    <w:rsid w:val="00531C52"/>
    <w:rsid w:val="00632B1F"/>
    <w:rsid w:val="006F7B3D"/>
    <w:rsid w:val="0071210D"/>
    <w:rsid w:val="009375B1"/>
    <w:rsid w:val="009621A6"/>
    <w:rsid w:val="00D5507E"/>
    <w:rsid w:val="00D64D33"/>
    <w:rsid w:val="00E72BBD"/>
    <w:rsid w:val="00F54EBD"/>
    <w:rsid w:val="00F57B6A"/>
    <w:rsid w:val="00F97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45555"/>
  <w15:chartTrackingRefBased/>
  <w15:docId w15:val="{C4DBB0EF-571F-47DD-B212-B430C3C8D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4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2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740</Words>
  <Characters>4398</Characters>
  <Application>Microsoft Office Word</Application>
  <DocSecurity>0</DocSecurity>
  <Lines>399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2026-05-19T15:21:00Z</dcterms:created>
  <dcterms:modified xsi:type="dcterms:W3CDTF">2026-05-28T13:55:00Z</dcterms:modified>
</cp:coreProperties>
</file>