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C0B5197" w14:textId="48B170BE" w:rsidR="008F268B" w:rsidRDefault="008E50F1">
      <w:pPr>
        <w:rPr>
          <w:rFonts w:ascii="Arial" w:hAnsi="Arial" w:cs="Arial"/>
          <w:b/>
          <w:bCs/>
          <w:sz w:val="28"/>
          <w:szCs w:val="28"/>
        </w:rPr>
      </w:pPr>
      <w:r>
        <w:rPr>
          <w:rFonts w:ascii="Arial" w:hAnsi="Arial" w:cs="Arial"/>
          <w:b/>
          <w:bCs/>
          <w:sz w:val="28"/>
          <w:szCs w:val="28"/>
        </w:rPr>
        <w:t xml:space="preserve">Organisational Culture: Individual </w:t>
      </w:r>
      <w:r w:rsidR="0050666A">
        <w:rPr>
          <w:rFonts w:ascii="Arial" w:hAnsi="Arial" w:cs="Arial"/>
          <w:b/>
          <w:bCs/>
          <w:sz w:val="28"/>
          <w:szCs w:val="28"/>
        </w:rPr>
        <w:t>R</w:t>
      </w:r>
      <w:r>
        <w:rPr>
          <w:rFonts w:ascii="Arial" w:hAnsi="Arial" w:cs="Arial"/>
          <w:b/>
          <w:bCs/>
          <w:sz w:val="28"/>
          <w:szCs w:val="28"/>
        </w:rPr>
        <w:t xml:space="preserve">eport </w:t>
      </w:r>
      <w:proofErr w:type="gramStart"/>
      <w:r>
        <w:rPr>
          <w:rFonts w:ascii="Arial" w:hAnsi="Arial" w:cs="Arial"/>
          <w:b/>
          <w:bCs/>
          <w:sz w:val="28"/>
          <w:szCs w:val="28"/>
        </w:rPr>
        <w:t>( Severn</w:t>
      </w:r>
      <w:proofErr w:type="gramEnd"/>
      <w:r>
        <w:rPr>
          <w:rFonts w:ascii="Arial" w:hAnsi="Arial" w:cs="Arial"/>
          <w:b/>
          <w:bCs/>
          <w:sz w:val="28"/>
          <w:szCs w:val="28"/>
        </w:rPr>
        <w:t xml:space="preserve"> </w:t>
      </w:r>
      <w:proofErr w:type="gramStart"/>
      <w:r>
        <w:rPr>
          <w:rFonts w:ascii="Arial" w:hAnsi="Arial" w:cs="Arial"/>
          <w:b/>
          <w:bCs/>
          <w:sz w:val="28"/>
          <w:szCs w:val="28"/>
        </w:rPr>
        <w:t>Trent )</w:t>
      </w:r>
      <w:proofErr w:type="gramEnd"/>
    </w:p>
    <w:p w14:paraId="6FCF9598" w14:textId="77777777" w:rsidR="00D11672" w:rsidRDefault="00D11672">
      <w:pPr>
        <w:rPr>
          <w:rFonts w:ascii="Arial" w:hAnsi="Arial" w:cs="Arial"/>
          <w:b/>
          <w:bCs/>
          <w:sz w:val="28"/>
          <w:szCs w:val="28"/>
        </w:rPr>
      </w:pPr>
    </w:p>
    <w:p w14:paraId="7B7E162B" w14:textId="71B604CD" w:rsidR="00D11672" w:rsidRPr="00D11672" w:rsidRDefault="00D11672">
      <w:pPr>
        <w:rPr>
          <w:rFonts w:ascii="Arial" w:hAnsi="Arial" w:cs="Arial"/>
          <w:sz w:val="28"/>
          <w:szCs w:val="28"/>
        </w:rPr>
      </w:pPr>
      <w:r w:rsidRPr="00D11672">
        <w:rPr>
          <w:rFonts w:ascii="Arial" w:hAnsi="Arial" w:cs="Arial"/>
          <w:sz w:val="28"/>
          <w:szCs w:val="28"/>
        </w:rPr>
        <w:t>Assessment Component 1</w:t>
      </w:r>
    </w:p>
    <w:p w14:paraId="09B7B22D" w14:textId="77777777" w:rsidR="008E50F1" w:rsidRPr="00D11672" w:rsidRDefault="008E50F1">
      <w:pPr>
        <w:rPr>
          <w:rFonts w:ascii="Arial" w:hAnsi="Arial" w:cs="Arial"/>
          <w:sz w:val="28"/>
          <w:szCs w:val="28"/>
        </w:rPr>
      </w:pPr>
    </w:p>
    <w:p w14:paraId="6190405B" w14:textId="27C143E6" w:rsidR="008E50F1" w:rsidRDefault="00D11672">
      <w:pPr>
        <w:rPr>
          <w:rFonts w:ascii="Arial" w:hAnsi="Arial" w:cs="Arial"/>
          <w:sz w:val="22"/>
          <w:szCs w:val="22"/>
        </w:rPr>
      </w:pPr>
      <w:r>
        <w:rPr>
          <w:rFonts w:ascii="Arial" w:hAnsi="Arial" w:cs="Arial"/>
          <w:sz w:val="22"/>
          <w:szCs w:val="22"/>
        </w:rPr>
        <w:t>Student Name:</w:t>
      </w:r>
      <w:r>
        <w:rPr>
          <w:rFonts w:ascii="Arial" w:hAnsi="Arial" w:cs="Arial"/>
          <w:sz w:val="22"/>
          <w:szCs w:val="22"/>
        </w:rPr>
        <w:tab/>
      </w:r>
      <w:r>
        <w:rPr>
          <w:rFonts w:ascii="Arial" w:hAnsi="Arial" w:cs="Arial"/>
          <w:sz w:val="22"/>
          <w:szCs w:val="22"/>
        </w:rPr>
        <w:tab/>
        <w:t>Kenneth Andal</w:t>
      </w:r>
    </w:p>
    <w:p w14:paraId="623F4B1B" w14:textId="241D11DC" w:rsidR="00D11672" w:rsidRDefault="00D11672">
      <w:pPr>
        <w:rPr>
          <w:rFonts w:ascii="Arial" w:hAnsi="Arial" w:cs="Arial"/>
          <w:sz w:val="22"/>
          <w:szCs w:val="22"/>
        </w:rPr>
      </w:pPr>
      <w:r>
        <w:rPr>
          <w:rFonts w:ascii="Arial" w:hAnsi="Arial" w:cs="Arial"/>
          <w:sz w:val="22"/>
          <w:szCs w:val="22"/>
        </w:rPr>
        <w:t>Student ID:</w:t>
      </w:r>
      <w:r>
        <w:rPr>
          <w:rFonts w:ascii="Arial" w:hAnsi="Arial" w:cs="Arial"/>
          <w:sz w:val="22"/>
          <w:szCs w:val="22"/>
        </w:rPr>
        <w:tab/>
      </w:r>
      <w:r>
        <w:rPr>
          <w:rFonts w:ascii="Arial" w:hAnsi="Arial" w:cs="Arial"/>
          <w:sz w:val="22"/>
          <w:szCs w:val="22"/>
        </w:rPr>
        <w:tab/>
      </w:r>
      <w:r>
        <w:rPr>
          <w:rFonts w:ascii="Arial" w:hAnsi="Arial" w:cs="Arial"/>
          <w:sz w:val="22"/>
          <w:szCs w:val="22"/>
        </w:rPr>
        <w:tab/>
        <w:t>SN2407398</w:t>
      </w:r>
    </w:p>
    <w:p w14:paraId="46E0F443" w14:textId="6E416BAC" w:rsidR="00D11672" w:rsidRDefault="00D11672">
      <w:pPr>
        <w:rPr>
          <w:rFonts w:ascii="Arial" w:hAnsi="Arial" w:cs="Arial"/>
          <w:sz w:val="22"/>
          <w:szCs w:val="22"/>
        </w:rPr>
      </w:pPr>
      <w:r>
        <w:rPr>
          <w:rFonts w:ascii="Arial" w:hAnsi="Arial" w:cs="Arial"/>
          <w:sz w:val="22"/>
          <w:szCs w:val="22"/>
        </w:rPr>
        <w:t>Module:</w:t>
      </w:r>
      <w:r>
        <w:rPr>
          <w:rFonts w:ascii="Arial" w:hAnsi="Arial" w:cs="Arial"/>
          <w:sz w:val="22"/>
          <w:szCs w:val="22"/>
        </w:rPr>
        <w:tab/>
      </w:r>
      <w:r>
        <w:rPr>
          <w:rFonts w:ascii="Arial" w:hAnsi="Arial" w:cs="Arial"/>
          <w:sz w:val="22"/>
          <w:szCs w:val="22"/>
        </w:rPr>
        <w:tab/>
      </w:r>
      <w:r>
        <w:rPr>
          <w:rFonts w:ascii="Arial" w:hAnsi="Arial" w:cs="Arial"/>
          <w:sz w:val="22"/>
          <w:szCs w:val="22"/>
        </w:rPr>
        <w:tab/>
        <w:t>LCLM 5005 Organisational Culture</w:t>
      </w:r>
    </w:p>
    <w:p w14:paraId="1DAA0B36" w14:textId="6D5BA16B" w:rsidR="0080019D" w:rsidRDefault="0080019D">
      <w:pPr>
        <w:rPr>
          <w:rFonts w:ascii="Arial" w:hAnsi="Arial" w:cs="Arial"/>
          <w:sz w:val="22"/>
          <w:szCs w:val="22"/>
        </w:rPr>
      </w:pPr>
      <w:r>
        <w:rPr>
          <w:rFonts w:ascii="Arial" w:hAnsi="Arial" w:cs="Arial"/>
          <w:sz w:val="22"/>
          <w:szCs w:val="22"/>
        </w:rPr>
        <w:t>Lecturer:</w:t>
      </w:r>
      <w:r>
        <w:rPr>
          <w:rFonts w:ascii="Arial" w:hAnsi="Arial" w:cs="Arial"/>
          <w:sz w:val="22"/>
          <w:szCs w:val="22"/>
        </w:rPr>
        <w:tab/>
      </w:r>
      <w:r>
        <w:rPr>
          <w:rFonts w:ascii="Arial" w:hAnsi="Arial" w:cs="Arial"/>
          <w:sz w:val="22"/>
          <w:szCs w:val="22"/>
        </w:rPr>
        <w:tab/>
      </w:r>
      <w:r>
        <w:rPr>
          <w:rFonts w:ascii="Arial" w:hAnsi="Arial" w:cs="Arial"/>
          <w:sz w:val="22"/>
          <w:szCs w:val="22"/>
        </w:rPr>
        <w:tab/>
        <w:t>Ibrahim Rufai</w:t>
      </w:r>
    </w:p>
    <w:p w14:paraId="68204F2C" w14:textId="0D02BDB4" w:rsidR="00D11672" w:rsidRDefault="00D11672">
      <w:pPr>
        <w:rPr>
          <w:rFonts w:ascii="Arial" w:hAnsi="Arial" w:cs="Arial"/>
          <w:sz w:val="22"/>
          <w:szCs w:val="22"/>
        </w:rPr>
      </w:pPr>
      <w:r>
        <w:rPr>
          <w:rFonts w:ascii="Arial" w:hAnsi="Arial" w:cs="Arial"/>
          <w:sz w:val="22"/>
          <w:szCs w:val="22"/>
        </w:rPr>
        <w:t>Word Count:</w:t>
      </w:r>
      <w:r>
        <w:rPr>
          <w:rFonts w:ascii="Arial" w:hAnsi="Arial" w:cs="Arial"/>
          <w:sz w:val="22"/>
          <w:szCs w:val="22"/>
        </w:rPr>
        <w:tab/>
      </w:r>
      <w:r>
        <w:rPr>
          <w:rFonts w:ascii="Arial" w:hAnsi="Arial" w:cs="Arial"/>
          <w:sz w:val="22"/>
          <w:szCs w:val="22"/>
        </w:rPr>
        <w:tab/>
      </w:r>
      <w:r>
        <w:rPr>
          <w:rFonts w:ascii="Arial" w:hAnsi="Arial" w:cs="Arial"/>
          <w:sz w:val="22"/>
          <w:szCs w:val="22"/>
        </w:rPr>
        <w:tab/>
        <w:t>3,000</w:t>
      </w:r>
    </w:p>
    <w:p w14:paraId="59B46775" w14:textId="77777777" w:rsidR="00D11672" w:rsidRDefault="00D11672">
      <w:pPr>
        <w:rPr>
          <w:rFonts w:ascii="Arial" w:hAnsi="Arial" w:cs="Arial"/>
          <w:sz w:val="22"/>
          <w:szCs w:val="22"/>
        </w:rPr>
      </w:pPr>
      <w:r>
        <w:rPr>
          <w:rFonts w:ascii="Arial" w:hAnsi="Arial" w:cs="Arial"/>
          <w:sz w:val="22"/>
          <w:szCs w:val="22"/>
        </w:rPr>
        <w:t>Submission Date:</w:t>
      </w:r>
      <w:r>
        <w:rPr>
          <w:rFonts w:ascii="Arial" w:hAnsi="Arial" w:cs="Arial"/>
          <w:sz w:val="22"/>
          <w:szCs w:val="22"/>
        </w:rPr>
        <w:tab/>
      </w:r>
      <w:r>
        <w:rPr>
          <w:rFonts w:ascii="Arial" w:hAnsi="Arial" w:cs="Arial"/>
          <w:sz w:val="22"/>
          <w:szCs w:val="22"/>
        </w:rPr>
        <w:tab/>
        <w:t>13</w:t>
      </w:r>
      <w:r w:rsidRPr="00D11672">
        <w:rPr>
          <w:rFonts w:ascii="Arial" w:hAnsi="Arial" w:cs="Arial"/>
          <w:sz w:val="22"/>
          <w:szCs w:val="22"/>
          <w:vertAlign w:val="superscript"/>
        </w:rPr>
        <w:t>th</w:t>
      </w:r>
      <w:r>
        <w:rPr>
          <w:rFonts w:ascii="Arial" w:hAnsi="Arial" w:cs="Arial"/>
          <w:sz w:val="22"/>
          <w:szCs w:val="22"/>
        </w:rPr>
        <w:t xml:space="preserve"> July 2026</w:t>
      </w:r>
    </w:p>
    <w:p w14:paraId="380392A8" w14:textId="77777777" w:rsidR="00D11672" w:rsidRDefault="00D11672">
      <w:pPr>
        <w:rPr>
          <w:rFonts w:ascii="Arial" w:hAnsi="Arial" w:cs="Arial"/>
          <w:sz w:val="22"/>
          <w:szCs w:val="22"/>
        </w:rPr>
      </w:pPr>
    </w:p>
    <w:p w14:paraId="26D37FB2" w14:textId="77777777" w:rsidR="00D11672" w:rsidRDefault="00D11672">
      <w:pPr>
        <w:rPr>
          <w:rFonts w:ascii="Arial" w:hAnsi="Arial" w:cs="Arial"/>
          <w:sz w:val="22"/>
          <w:szCs w:val="22"/>
        </w:rPr>
      </w:pPr>
    </w:p>
    <w:p w14:paraId="36EF9A05" w14:textId="77777777" w:rsidR="00D11672" w:rsidRDefault="00D11672">
      <w:pPr>
        <w:rPr>
          <w:rFonts w:ascii="Arial" w:hAnsi="Arial" w:cs="Arial"/>
          <w:sz w:val="22"/>
          <w:szCs w:val="22"/>
        </w:rPr>
      </w:pPr>
    </w:p>
    <w:p w14:paraId="60BB3C68" w14:textId="77777777" w:rsidR="00D11672" w:rsidRDefault="00D11672">
      <w:pPr>
        <w:rPr>
          <w:rFonts w:ascii="Arial" w:hAnsi="Arial" w:cs="Arial"/>
          <w:sz w:val="22"/>
          <w:szCs w:val="22"/>
        </w:rPr>
      </w:pPr>
    </w:p>
    <w:p w14:paraId="248257E9" w14:textId="77777777" w:rsidR="00D11672" w:rsidRDefault="00D11672">
      <w:pPr>
        <w:rPr>
          <w:rFonts w:ascii="Arial" w:hAnsi="Arial" w:cs="Arial"/>
          <w:sz w:val="22"/>
          <w:szCs w:val="22"/>
        </w:rPr>
      </w:pPr>
    </w:p>
    <w:p w14:paraId="5E7F3C99" w14:textId="77777777" w:rsidR="00D11672" w:rsidRDefault="00D11672">
      <w:pPr>
        <w:rPr>
          <w:rFonts w:ascii="Arial" w:hAnsi="Arial" w:cs="Arial"/>
          <w:sz w:val="22"/>
          <w:szCs w:val="22"/>
        </w:rPr>
      </w:pPr>
    </w:p>
    <w:p w14:paraId="2FB53B6B" w14:textId="77777777" w:rsidR="00D11672" w:rsidRDefault="00D11672">
      <w:pPr>
        <w:rPr>
          <w:rFonts w:ascii="Arial" w:hAnsi="Arial" w:cs="Arial"/>
          <w:sz w:val="22"/>
          <w:szCs w:val="22"/>
        </w:rPr>
      </w:pPr>
    </w:p>
    <w:p w14:paraId="05404277" w14:textId="77777777" w:rsidR="00D11672" w:rsidRDefault="00D11672">
      <w:pPr>
        <w:rPr>
          <w:rFonts w:ascii="Arial" w:hAnsi="Arial" w:cs="Arial"/>
          <w:sz w:val="22"/>
          <w:szCs w:val="22"/>
        </w:rPr>
      </w:pPr>
    </w:p>
    <w:p w14:paraId="4BEDA7CE" w14:textId="77777777" w:rsidR="00D11672" w:rsidRPr="00DC6BFF" w:rsidRDefault="00D11672">
      <w:pPr>
        <w:rPr>
          <w:rFonts w:ascii="Arial" w:hAnsi="Arial" w:cs="Arial"/>
          <w:sz w:val="23"/>
          <w:szCs w:val="23"/>
        </w:rPr>
      </w:pPr>
    </w:p>
    <w:p w14:paraId="221EF6D1" w14:textId="77777777" w:rsidR="00D11672" w:rsidRDefault="00D11672">
      <w:pPr>
        <w:rPr>
          <w:rFonts w:ascii="Arial" w:hAnsi="Arial" w:cs="Arial"/>
          <w:sz w:val="22"/>
          <w:szCs w:val="22"/>
        </w:rPr>
      </w:pPr>
    </w:p>
    <w:p w14:paraId="332133F4" w14:textId="77777777" w:rsidR="00D11672" w:rsidRDefault="00D11672">
      <w:pPr>
        <w:rPr>
          <w:rFonts w:ascii="Arial" w:hAnsi="Arial" w:cs="Arial"/>
          <w:sz w:val="22"/>
          <w:szCs w:val="22"/>
        </w:rPr>
      </w:pPr>
    </w:p>
    <w:p w14:paraId="03F1AB1B" w14:textId="77777777" w:rsidR="00D11672" w:rsidRDefault="00D11672">
      <w:pPr>
        <w:rPr>
          <w:rFonts w:ascii="Arial" w:hAnsi="Arial" w:cs="Arial"/>
          <w:sz w:val="22"/>
          <w:szCs w:val="22"/>
        </w:rPr>
      </w:pPr>
    </w:p>
    <w:p w14:paraId="03C4FC5F" w14:textId="77777777" w:rsidR="00D11672" w:rsidRDefault="00D11672">
      <w:pPr>
        <w:rPr>
          <w:rFonts w:ascii="Arial" w:hAnsi="Arial" w:cs="Arial"/>
          <w:sz w:val="22"/>
          <w:szCs w:val="22"/>
        </w:rPr>
      </w:pPr>
    </w:p>
    <w:p w14:paraId="59B5BB65" w14:textId="77777777" w:rsidR="00D11672" w:rsidRDefault="00D11672">
      <w:pPr>
        <w:rPr>
          <w:rFonts w:ascii="Arial" w:hAnsi="Arial" w:cs="Arial"/>
          <w:sz w:val="22"/>
          <w:szCs w:val="22"/>
        </w:rPr>
      </w:pPr>
    </w:p>
    <w:p w14:paraId="3B2D952F" w14:textId="77777777" w:rsidR="00D11672" w:rsidRDefault="00D11672">
      <w:pPr>
        <w:rPr>
          <w:rFonts w:ascii="Arial" w:hAnsi="Arial" w:cs="Arial"/>
          <w:sz w:val="22"/>
          <w:szCs w:val="22"/>
        </w:rPr>
      </w:pPr>
    </w:p>
    <w:p w14:paraId="2B8E9064" w14:textId="77777777" w:rsidR="00D11672" w:rsidRDefault="00D11672">
      <w:pPr>
        <w:rPr>
          <w:rFonts w:ascii="Arial" w:hAnsi="Arial" w:cs="Arial"/>
          <w:sz w:val="22"/>
          <w:szCs w:val="22"/>
        </w:rPr>
      </w:pPr>
    </w:p>
    <w:p w14:paraId="78419C27" w14:textId="77777777" w:rsidR="00D11672" w:rsidRDefault="00D11672">
      <w:pPr>
        <w:rPr>
          <w:rFonts w:ascii="Arial" w:hAnsi="Arial" w:cs="Arial"/>
          <w:sz w:val="22"/>
          <w:szCs w:val="22"/>
        </w:rPr>
      </w:pPr>
    </w:p>
    <w:p w14:paraId="7CC4417B" w14:textId="77777777" w:rsidR="00D11672" w:rsidRDefault="00D11672">
      <w:pPr>
        <w:rPr>
          <w:rFonts w:ascii="Arial" w:hAnsi="Arial" w:cs="Arial"/>
          <w:sz w:val="22"/>
          <w:szCs w:val="22"/>
        </w:rPr>
      </w:pPr>
    </w:p>
    <w:p w14:paraId="7647548F" w14:textId="77777777" w:rsidR="00D11672" w:rsidRPr="00DC6BFF" w:rsidRDefault="00D11672">
      <w:pPr>
        <w:rPr>
          <w:rFonts w:ascii="Arial" w:hAnsi="Arial" w:cs="Arial"/>
          <w:sz w:val="23"/>
          <w:szCs w:val="23"/>
        </w:rPr>
      </w:pPr>
    </w:p>
    <w:p w14:paraId="4674ADE9" w14:textId="77777777" w:rsidR="00D11672" w:rsidRDefault="00D11672">
      <w:pPr>
        <w:rPr>
          <w:rFonts w:ascii="Arial" w:hAnsi="Arial" w:cs="Arial"/>
          <w:sz w:val="22"/>
          <w:szCs w:val="22"/>
        </w:rPr>
      </w:pPr>
    </w:p>
    <w:p w14:paraId="1CA3FBAD" w14:textId="77777777" w:rsidR="00D11672" w:rsidRDefault="00D11672">
      <w:pPr>
        <w:rPr>
          <w:rFonts w:ascii="Arial" w:hAnsi="Arial" w:cs="Arial"/>
          <w:sz w:val="22"/>
          <w:szCs w:val="22"/>
        </w:rPr>
      </w:pPr>
    </w:p>
    <w:p w14:paraId="07E1BE74" w14:textId="77777777" w:rsidR="00D11672" w:rsidRDefault="00D11672">
      <w:pPr>
        <w:rPr>
          <w:rFonts w:ascii="Arial" w:hAnsi="Arial" w:cs="Arial"/>
          <w:sz w:val="22"/>
          <w:szCs w:val="22"/>
        </w:rPr>
      </w:pPr>
    </w:p>
    <w:p w14:paraId="0A07534E" w14:textId="77777777" w:rsidR="00D11672" w:rsidRDefault="00D11672">
      <w:pPr>
        <w:rPr>
          <w:rFonts w:ascii="Arial" w:hAnsi="Arial" w:cs="Arial"/>
          <w:sz w:val="22"/>
          <w:szCs w:val="22"/>
        </w:rPr>
      </w:pPr>
    </w:p>
    <w:p w14:paraId="4556EF88" w14:textId="77777777" w:rsidR="00D11672" w:rsidRDefault="00D11672">
      <w:pPr>
        <w:rPr>
          <w:rFonts w:ascii="Arial" w:hAnsi="Arial" w:cs="Arial"/>
          <w:sz w:val="22"/>
          <w:szCs w:val="22"/>
        </w:rPr>
      </w:pPr>
    </w:p>
    <w:p w14:paraId="52E1F81D" w14:textId="77777777" w:rsidR="00D11672" w:rsidRDefault="00D11672">
      <w:pPr>
        <w:rPr>
          <w:rFonts w:ascii="Arial" w:hAnsi="Arial" w:cs="Arial"/>
          <w:sz w:val="22"/>
          <w:szCs w:val="22"/>
        </w:rPr>
      </w:pPr>
    </w:p>
    <w:p w14:paraId="6E6F495A" w14:textId="77777777" w:rsidR="00D11672" w:rsidRDefault="00D11672">
      <w:pPr>
        <w:rPr>
          <w:rFonts w:ascii="Arial" w:hAnsi="Arial" w:cs="Arial"/>
          <w:sz w:val="22"/>
          <w:szCs w:val="22"/>
        </w:rPr>
      </w:pPr>
    </w:p>
    <w:p w14:paraId="37A9A43C" w14:textId="77777777" w:rsidR="00D11672" w:rsidRDefault="00D11672">
      <w:pPr>
        <w:rPr>
          <w:rFonts w:ascii="Arial" w:hAnsi="Arial" w:cs="Arial"/>
          <w:sz w:val="22"/>
          <w:szCs w:val="22"/>
        </w:rPr>
      </w:pPr>
    </w:p>
    <w:p w14:paraId="7B1C6239" w14:textId="77777777" w:rsidR="00D11672" w:rsidRDefault="00D11672">
      <w:pPr>
        <w:rPr>
          <w:rFonts w:ascii="Arial" w:hAnsi="Arial" w:cs="Arial"/>
          <w:sz w:val="22"/>
          <w:szCs w:val="22"/>
        </w:rPr>
      </w:pPr>
    </w:p>
    <w:p w14:paraId="6121BBE2" w14:textId="77777777" w:rsidR="00D11672" w:rsidRDefault="00D11672">
      <w:pPr>
        <w:rPr>
          <w:rFonts w:ascii="Arial" w:hAnsi="Arial" w:cs="Arial"/>
          <w:sz w:val="22"/>
          <w:szCs w:val="22"/>
        </w:rPr>
      </w:pPr>
    </w:p>
    <w:p w14:paraId="1C034486" w14:textId="77777777" w:rsidR="00D11672" w:rsidRDefault="00D11672">
      <w:pPr>
        <w:rPr>
          <w:rFonts w:ascii="Arial" w:hAnsi="Arial" w:cs="Arial"/>
          <w:sz w:val="22"/>
          <w:szCs w:val="22"/>
        </w:rPr>
      </w:pPr>
    </w:p>
    <w:p w14:paraId="7A249D08" w14:textId="77777777" w:rsidR="00D11672" w:rsidRDefault="00D11672">
      <w:pPr>
        <w:rPr>
          <w:rFonts w:ascii="Arial" w:hAnsi="Arial" w:cs="Arial"/>
          <w:sz w:val="22"/>
          <w:szCs w:val="22"/>
        </w:rPr>
      </w:pPr>
    </w:p>
    <w:p w14:paraId="1D066967" w14:textId="77777777" w:rsidR="00D11672" w:rsidRDefault="00D11672">
      <w:pPr>
        <w:rPr>
          <w:rFonts w:ascii="Arial" w:hAnsi="Arial" w:cs="Arial"/>
          <w:sz w:val="22"/>
          <w:szCs w:val="22"/>
        </w:rPr>
      </w:pPr>
    </w:p>
    <w:p w14:paraId="7D461644" w14:textId="77777777" w:rsidR="00D11672" w:rsidRDefault="00D11672">
      <w:pPr>
        <w:rPr>
          <w:rFonts w:ascii="Arial" w:hAnsi="Arial" w:cs="Arial"/>
          <w:sz w:val="22"/>
          <w:szCs w:val="22"/>
        </w:rPr>
      </w:pPr>
    </w:p>
    <w:p w14:paraId="67D62DE4" w14:textId="77777777" w:rsidR="00D11672" w:rsidRDefault="00D11672">
      <w:pPr>
        <w:rPr>
          <w:rFonts w:ascii="Arial" w:hAnsi="Arial" w:cs="Arial"/>
          <w:sz w:val="22"/>
          <w:szCs w:val="22"/>
        </w:rPr>
      </w:pPr>
    </w:p>
    <w:p w14:paraId="32A7B317" w14:textId="77777777" w:rsidR="00D11672" w:rsidRDefault="00D11672">
      <w:pPr>
        <w:rPr>
          <w:rFonts w:ascii="Arial" w:hAnsi="Arial" w:cs="Arial"/>
          <w:sz w:val="22"/>
          <w:szCs w:val="22"/>
        </w:rPr>
      </w:pPr>
    </w:p>
    <w:p w14:paraId="7D28D630" w14:textId="77777777" w:rsidR="00D11672" w:rsidRDefault="00D11672">
      <w:pPr>
        <w:rPr>
          <w:rFonts w:ascii="Arial" w:hAnsi="Arial" w:cs="Arial"/>
          <w:sz w:val="22"/>
          <w:szCs w:val="22"/>
        </w:rPr>
      </w:pPr>
    </w:p>
    <w:p w14:paraId="02A77CBF" w14:textId="77777777" w:rsidR="00D11672" w:rsidRDefault="00D11672">
      <w:pPr>
        <w:rPr>
          <w:rFonts w:ascii="Arial" w:hAnsi="Arial" w:cs="Arial"/>
          <w:sz w:val="22"/>
          <w:szCs w:val="22"/>
        </w:rPr>
      </w:pPr>
    </w:p>
    <w:p w14:paraId="58BFD49C" w14:textId="77777777" w:rsidR="00D11672" w:rsidRDefault="00D11672">
      <w:pPr>
        <w:rPr>
          <w:rFonts w:ascii="Arial" w:hAnsi="Arial" w:cs="Arial"/>
          <w:sz w:val="22"/>
          <w:szCs w:val="22"/>
        </w:rPr>
      </w:pPr>
    </w:p>
    <w:p w14:paraId="524BF628" w14:textId="77777777" w:rsidR="00D11672" w:rsidRDefault="00D11672">
      <w:pPr>
        <w:rPr>
          <w:rFonts w:ascii="Arial" w:hAnsi="Arial" w:cs="Arial"/>
          <w:sz w:val="22"/>
          <w:szCs w:val="22"/>
        </w:rPr>
      </w:pPr>
    </w:p>
    <w:p w14:paraId="7BA15106" w14:textId="77777777" w:rsidR="00D11672" w:rsidRDefault="00D11672">
      <w:pPr>
        <w:rPr>
          <w:rFonts w:ascii="Arial" w:hAnsi="Arial" w:cs="Arial"/>
          <w:sz w:val="22"/>
          <w:szCs w:val="22"/>
        </w:rPr>
      </w:pPr>
    </w:p>
    <w:p w14:paraId="6A9207F5" w14:textId="77777777" w:rsidR="00D11672" w:rsidRDefault="00D11672">
      <w:pPr>
        <w:rPr>
          <w:rFonts w:ascii="Arial" w:hAnsi="Arial" w:cs="Arial"/>
          <w:sz w:val="22"/>
          <w:szCs w:val="22"/>
        </w:rPr>
      </w:pPr>
    </w:p>
    <w:p w14:paraId="64C98BE7" w14:textId="77777777" w:rsidR="004950D5" w:rsidRDefault="004950D5">
      <w:pPr>
        <w:rPr>
          <w:rFonts w:ascii="Arial" w:hAnsi="Arial" w:cs="Arial"/>
          <w:sz w:val="22"/>
          <w:szCs w:val="22"/>
        </w:rPr>
      </w:pPr>
    </w:p>
    <w:p w14:paraId="16206B5B" w14:textId="77777777" w:rsidR="00D11672" w:rsidRDefault="00D11672">
      <w:pPr>
        <w:rPr>
          <w:rFonts w:ascii="Arial" w:hAnsi="Arial" w:cs="Arial"/>
          <w:sz w:val="22"/>
          <w:szCs w:val="22"/>
        </w:rPr>
      </w:pPr>
    </w:p>
    <w:p w14:paraId="0364B25B" w14:textId="34607A7C" w:rsidR="00D11672" w:rsidRDefault="00D11672">
      <w:pPr>
        <w:rPr>
          <w:rFonts w:ascii="Arial" w:hAnsi="Arial" w:cs="Arial"/>
          <w:b/>
          <w:bCs/>
          <w:sz w:val="28"/>
          <w:szCs w:val="28"/>
        </w:rPr>
      </w:pPr>
      <w:r>
        <w:rPr>
          <w:rFonts w:ascii="Arial" w:hAnsi="Arial" w:cs="Arial"/>
          <w:b/>
          <w:bCs/>
          <w:sz w:val="28"/>
          <w:szCs w:val="28"/>
        </w:rPr>
        <w:lastRenderedPageBreak/>
        <w:t>Table of Contents</w:t>
      </w:r>
    </w:p>
    <w:p w14:paraId="7B8C8680" w14:textId="77777777" w:rsidR="00D11672" w:rsidRDefault="00D11672">
      <w:pPr>
        <w:rPr>
          <w:rFonts w:ascii="Arial" w:hAnsi="Arial" w:cs="Arial"/>
          <w:b/>
          <w:bCs/>
          <w:sz w:val="28"/>
          <w:szCs w:val="28"/>
        </w:rPr>
      </w:pPr>
    </w:p>
    <w:p w14:paraId="77E12C45" w14:textId="77777777" w:rsidR="00D11672" w:rsidRDefault="00D11672">
      <w:pPr>
        <w:rPr>
          <w:rFonts w:ascii="Arial" w:hAnsi="Arial" w:cs="Arial"/>
          <w:b/>
          <w:bCs/>
          <w:sz w:val="28"/>
          <w:szCs w:val="28"/>
        </w:rPr>
      </w:pPr>
    </w:p>
    <w:p w14:paraId="2A823E22" w14:textId="03322D70" w:rsidR="00D11672" w:rsidRDefault="00D11672" w:rsidP="00D11672">
      <w:pPr>
        <w:rPr>
          <w:rFonts w:ascii="Arial" w:hAnsi="Arial" w:cs="Arial"/>
          <w:b/>
          <w:bCs/>
          <w:sz w:val="28"/>
          <w:szCs w:val="28"/>
        </w:rPr>
      </w:pPr>
      <w:r>
        <w:rPr>
          <w:rFonts w:ascii="Arial" w:hAnsi="Arial" w:cs="Arial"/>
          <w:b/>
          <w:bCs/>
          <w:sz w:val="28"/>
          <w:szCs w:val="28"/>
        </w:rPr>
        <w:t>Introduction</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sidR="009E3590">
        <w:rPr>
          <w:rFonts w:ascii="Arial" w:hAnsi="Arial" w:cs="Arial"/>
          <w:b/>
          <w:bCs/>
          <w:sz w:val="28"/>
          <w:szCs w:val="28"/>
        </w:rPr>
        <w:t>3</w:t>
      </w:r>
    </w:p>
    <w:p w14:paraId="61965D37" w14:textId="78228329" w:rsidR="00D11672" w:rsidRDefault="00D11672" w:rsidP="00D11672">
      <w:pPr>
        <w:rPr>
          <w:rFonts w:ascii="Arial" w:hAnsi="Arial" w:cs="Arial"/>
          <w:b/>
          <w:bCs/>
          <w:sz w:val="28"/>
          <w:szCs w:val="28"/>
        </w:rPr>
      </w:pPr>
      <w:r>
        <w:rPr>
          <w:rFonts w:ascii="Arial" w:hAnsi="Arial" w:cs="Arial"/>
          <w:b/>
          <w:bCs/>
          <w:sz w:val="28"/>
          <w:szCs w:val="28"/>
        </w:rPr>
        <w:t>Organisational Culture of Severn Trent</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sidR="009E3590">
        <w:rPr>
          <w:rFonts w:ascii="Arial" w:hAnsi="Arial" w:cs="Arial"/>
          <w:b/>
          <w:bCs/>
          <w:sz w:val="28"/>
          <w:szCs w:val="28"/>
        </w:rPr>
        <w:t>3</w:t>
      </w:r>
    </w:p>
    <w:p w14:paraId="6DA33167" w14:textId="31DB9DD0" w:rsidR="009A40A8" w:rsidRDefault="009A40A8" w:rsidP="00D11672">
      <w:pPr>
        <w:rPr>
          <w:rFonts w:ascii="Arial" w:hAnsi="Arial" w:cs="Arial"/>
          <w:sz w:val="22"/>
          <w:szCs w:val="22"/>
        </w:rPr>
      </w:pPr>
      <w:r>
        <w:rPr>
          <w:rFonts w:ascii="Arial" w:hAnsi="Arial" w:cs="Arial"/>
          <w:sz w:val="22"/>
          <w:szCs w:val="22"/>
        </w:rPr>
        <w:t>Shein’s Three Levels of Culture</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4</w:t>
      </w:r>
    </w:p>
    <w:p w14:paraId="0C63AD8C" w14:textId="3F58199E" w:rsidR="009A40A8" w:rsidRDefault="009A40A8" w:rsidP="00D11672">
      <w:pPr>
        <w:rPr>
          <w:rFonts w:ascii="Arial" w:hAnsi="Arial" w:cs="Arial"/>
          <w:sz w:val="22"/>
          <w:szCs w:val="22"/>
        </w:rPr>
      </w:pPr>
      <w:r>
        <w:rPr>
          <w:rFonts w:ascii="Arial" w:hAnsi="Arial" w:cs="Arial"/>
          <w:sz w:val="22"/>
          <w:szCs w:val="22"/>
        </w:rPr>
        <w:t>Handy’s Cultural Types-Radar/ Spider Chart</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4</w:t>
      </w:r>
    </w:p>
    <w:p w14:paraId="0994FB4B" w14:textId="3A26E1D2" w:rsidR="00697D58" w:rsidRPr="009A40A8" w:rsidRDefault="00697D58" w:rsidP="00D11672">
      <w:pPr>
        <w:rPr>
          <w:rFonts w:ascii="Arial" w:hAnsi="Arial" w:cs="Arial"/>
          <w:sz w:val="28"/>
          <w:szCs w:val="28"/>
        </w:rPr>
      </w:pPr>
      <w:r>
        <w:rPr>
          <w:rFonts w:ascii="Arial" w:hAnsi="Arial" w:cs="Arial"/>
          <w:sz w:val="22"/>
          <w:szCs w:val="22"/>
        </w:rPr>
        <w:t>Hofstede’s Cultural Dimensions to Severn Trent -Bar Chart</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4</w:t>
      </w:r>
    </w:p>
    <w:p w14:paraId="6082F007" w14:textId="49A7DA69" w:rsidR="00D11672" w:rsidRDefault="00D11672" w:rsidP="00D11672">
      <w:pPr>
        <w:rPr>
          <w:rFonts w:ascii="Arial" w:hAnsi="Arial" w:cs="Arial"/>
          <w:b/>
          <w:bCs/>
          <w:sz w:val="28"/>
          <w:szCs w:val="28"/>
        </w:rPr>
      </w:pPr>
      <w:r>
        <w:rPr>
          <w:rFonts w:ascii="Arial" w:hAnsi="Arial" w:cs="Arial"/>
          <w:b/>
          <w:bCs/>
          <w:sz w:val="28"/>
          <w:szCs w:val="28"/>
        </w:rPr>
        <w:t>Influence of Culture on Structure and Decision-Making</w:t>
      </w:r>
      <w:r>
        <w:rPr>
          <w:rFonts w:ascii="Arial" w:hAnsi="Arial" w:cs="Arial"/>
          <w:b/>
          <w:bCs/>
          <w:sz w:val="28"/>
          <w:szCs w:val="28"/>
        </w:rPr>
        <w:tab/>
      </w:r>
      <w:r>
        <w:rPr>
          <w:rFonts w:ascii="Arial" w:hAnsi="Arial" w:cs="Arial"/>
          <w:b/>
          <w:bCs/>
          <w:sz w:val="28"/>
          <w:szCs w:val="28"/>
        </w:rPr>
        <w:tab/>
      </w:r>
      <w:r w:rsidR="00697D58">
        <w:rPr>
          <w:rFonts w:ascii="Arial" w:hAnsi="Arial" w:cs="Arial"/>
          <w:b/>
          <w:bCs/>
          <w:sz w:val="28"/>
          <w:szCs w:val="28"/>
        </w:rPr>
        <w:t>5</w:t>
      </w:r>
    </w:p>
    <w:p w14:paraId="1A3F2FB6" w14:textId="1A0744D5" w:rsidR="00D11672" w:rsidRDefault="00D11672" w:rsidP="00D11672">
      <w:pPr>
        <w:rPr>
          <w:rFonts w:ascii="Arial" w:hAnsi="Arial" w:cs="Arial"/>
          <w:b/>
          <w:bCs/>
          <w:sz w:val="28"/>
          <w:szCs w:val="28"/>
        </w:rPr>
      </w:pPr>
      <w:r>
        <w:rPr>
          <w:rFonts w:ascii="Arial" w:hAnsi="Arial" w:cs="Arial"/>
          <w:b/>
          <w:bCs/>
          <w:sz w:val="28"/>
          <w:szCs w:val="28"/>
        </w:rPr>
        <w:t>Identifying Cultural Types: Models of Frameworks</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sidR="00697D58">
        <w:rPr>
          <w:rFonts w:ascii="Arial" w:hAnsi="Arial" w:cs="Arial"/>
          <w:b/>
          <w:bCs/>
          <w:sz w:val="28"/>
          <w:szCs w:val="28"/>
        </w:rPr>
        <w:t>5</w:t>
      </w:r>
    </w:p>
    <w:p w14:paraId="05161391" w14:textId="233DE78B" w:rsidR="00D11672" w:rsidRDefault="00D11672" w:rsidP="00D11672">
      <w:pPr>
        <w:rPr>
          <w:rFonts w:ascii="Arial" w:hAnsi="Arial" w:cs="Arial"/>
          <w:b/>
          <w:bCs/>
          <w:sz w:val="28"/>
          <w:szCs w:val="28"/>
        </w:rPr>
      </w:pPr>
      <w:r>
        <w:rPr>
          <w:rFonts w:ascii="Arial" w:hAnsi="Arial" w:cs="Arial"/>
          <w:b/>
          <w:bCs/>
          <w:sz w:val="28"/>
          <w:szCs w:val="28"/>
        </w:rPr>
        <w:t>Culture and the External Environment</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sidR="00697D58">
        <w:rPr>
          <w:rFonts w:ascii="Arial" w:hAnsi="Arial" w:cs="Arial"/>
          <w:b/>
          <w:bCs/>
          <w:sz w:val="28"/>
          <w:szCs w:val="28"/>
        </w:rPr>
        <w:t>6</w:t>
      </w:r>
    </w:p>
    <w:p w14:paraId="3AF948DD" w14:textId="2A10BACD" w:rsidR="00D11672" w:rsidRDefault="00D11672" w:rsidP="00D11672">
      <w:pPr>
        <w:rPr>
          <w:rFonts w:ascii="Arial" w:hAnsi="Arial" w:cs="Arial"/>
          <w:b/>
          <w:bCs/>
          <w:sz w:val="28"/>
          <w:szCs w:val="28"/>
        </w:rPr>
      </w:pPr>
      <w:r>
        <w:rPr>
          <w:rFonts w:ascii="Arial" w:hAnsi="Arial" w:cs="Arial"/>
          <w:b/>
          <w:bCs/>
          <w:sz w:val="28"/>
          <w:szCs w:val="28"/>
        </w:rPr>
        <w:t>Organisational Culture as a Barrier</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sidR="00697D58">
        <w:rPr>
          <w:rFonts w:ascii="Arial" w:hAnsi="Arial" w:cs="Arial"/>
          <w:b/>
          <w:bCs/>
          <w:sz w:val="28"/>
          <w:szCs w:val="28"/>
        </w:rPr>
        <w:t>7</w:t>
      </w:r>
    </w:p>
    <w:p w14:paraId="169F4D3C" w14:textId="15B6FDA3" w:rsidR="009A40A8" w:rsidRPr="009A40A8" w:rsidRDefault="009A40A8" w:rsidP="00D11672">
      <w:pPr>
        <w:rPr>
          <w:rFonts w:ascii="Arial" w:hAnsi="Arial" w:cs="Arial"/>
          <w:sz w:val="28"/>
          <w:szCs w:val="28"/>
        </w:rPr>
      </w:pPr>
      <w:r w:rsidRPr="009A40A8">
        <w:rPr>
          <w:rFonts w:ascii="Arial" w:hAnsi="Arial" w:cs="Arial"/>
          <w:sz w:val="22"/>
          <w:szCs w:val="22"/>
        </w:rPr>
        <w:t>SWOT Analysis</w:t>
      </w:r>
      <w:r>
        <w:rPr>
          <w:rFonts w:ascii="Arial" w:hAnsi="Arial" w:cs="Arial"/>
          <w:sz w:val="22"/>
          <w:szCs w:val="22"/>
        </w:rPr>
        <w:t xml:space="preserve"> Culture Focused</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697D58">
        <w:rPr>
          <w:rFonts w:ascii="Arial" w:hAnsi="Arial" w:cs="Arial"/>
          <w:sz w:val="22"/>
          <w:szCs w:val="22"/>
        </w:rPr>
        <w:t>8</w:t>
      </w:r>
    </w:p>
    <w:p w14:paraId="086D200E" w14:textId="64C246FC" w:rsidR="00D11672" w:rsidRDefault="00D11672" w:rsidP="00D11672">
      <w:pPr>
        <w:rPr>
          <w:rFonts w:ascii="Arial" w:hAnsi="Arial" w:cs="Arial"/>
          <w:b/>
          <w:bCs/>
          <w:sz w:val="28"/>
          <w:szCs w:val="28"/>
        </w:rPr>
      </w:pPr>
      <w:r>
        <w:rPr>
          <w:rFonts w:ascii="Arial" w:hAnsi="Arial" w:cs="Arial"/>
          <w:b/>
          <w:bCs/>
          <w:sz w:val="28"/>
          <w:szCs w:val="28"/>
        </w:rPr>
        <w:t>Impact of Culture on Organisational Performance</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sidR="00697D58">
        <w:rPr>
          <w:rFonts w:ascii="Arial" w:hAnsi="Arial" w:cs="Arial"/>
          <w:b/>
          <w:bCs/>
          <w:sz w:val="28"/>
          <w:szCs w:val="28"/>
        </w:rPr>
        <w:t>8</w:t>
      </w:r>
    </w:p>
    <w:p w14:paraId="4830F687" w14:textId="7C900E93" w:rsidR="00697D58" w:rsidRPr="00697D58" w:rsidRDefault="00697D58" w:rsidP="00D11672">
      <w:pPr>
        <w:rPr>
          <w:rFonts w:ascii="Arial" w:hAnsi="Arial" w:cs="Arial"/>
          <w:sz w:val="22"/>
          <w:szCs w:val="22"/>
        </w:rPr>
      </w:pPr>
      <w:r>
        <w:rPr>
          <w:rFonts w:ascii="Arial" w:hAnsi="Arial" w:cs="Arial"/>
          <w:sz w:val="22"/>
          <w:szCs w:val="22"/>
        </w:rPr>
        <w:t>Recommendations for improvement</w:t>
      </w:r>
    </w:p>
    <w:p w14:paraId="5D735D6D" w14:textId="4158EC13" w:rsidR="00D11672" w:rsidRDefault="00D11672" w:rsidP="00D11672">
      <w:pPr>
        <w:rPr>
          <w:rFonts w:ascii="Arial" w:hAnsi="Arial" w:cs="Arial"/>
          <w:b/>
          <w:bCs/>
          <w:sz w:val="28"/>
          <w:szCs w:val="28"/>
        </w:rPr>
      </w:pPr>
      <w:r>
        <w:rPr>
          <w:rFonts w:ascii="Arial" w:hAnsi="Arial" w:cs="Arial"/>
          <w:b/>
          <w:bCs/>
          <w:sz w:val="28"/>
          <w:szCs w:val="28"/>
        </w:rPr>
        <w:t>Conclusion</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sidR="00697D58">
        <w:rPr>
          <w:rFonts w:ascii="Arial" w:hAnsi="Arial" w:cs="Arial"/>
          <w:b/>
          <w:bCs/>
          <w:sz w:val="28"/>
          <w:szCs w:val="28"/>
        </w:rPr>
        <w:t>0</w:t>
      </w:r>
    </w:p>
    <w:p w14:paraId="2DD3FC1C" w14:textId="2FF867C3" w:rsidR="00D11672" w:rsidRPr="00D11672" w:rsidRDefault="00D11672" w:rsidP="00D11672">
      <w:pPr>
        <w:rPr>
          <w:rFonts w:ascii="Arial" w:hAnsi="Arial" w:cs="Arial"/>
          <w:b/>
          <w:bCs/>
          <w:sz w:val="28"/>
          <w:szCs w:val="28"/>
        </w:rPr>
      </w:pPr>
      <w:r>
        <w:rPr>
          <w:rFonts w:ascii="Arial" w:hAnsi="Arial" w:cs="Arial"/>
          <w:b/>
          <w:bCs/>
          <w:sz w:val="28"/>
          <w:szCs w:val="28"/>
        </w:rPr>
        <w:t>References</w:t>
      </w:r>
      <w:r w:rsidR="008B59AB">
        <w:rPr>
          <w:rFonts w:ascii="Arial" w:hAnsi="Arial" w:cs="Arial"/>
          <w:b/>
          <w:bCs/>
          <w:sz w:val="28"/>
          <w:szCs w:val="28"/>
        </w:rPr>
        <w:tab/>
      </w:r>
      <w:r w:rsidR="008B59AB">
        <w:rPr>
          <w:rFonts w:ascii="Arial" w:hAnsi="Arial" w:cs="Arial"/>
          <w:b/>
          <w:bCs/>
          <w:sz w:val="28"/>
          <w:szCs w:val="28"/>
        </w:rPr>
        <w:tab/>
      </w:r>
      <w:r w:rsidR="008B59AB">
        <w:rPr>
          <w:rFonts w:ascii="Arial" w:hAnsi="Arial" w:cs="Arial"/>
          <w:b/>
          <w:bCs/>
          <w:sz w:val="28"/>
          <w:szCs w:val="28"/>
        </w:rPr>
        <w:tab/>
      </w:r>
      <w:r w:rsidR="008B59AB">
        <w:rPr>
          <w:rFonts w:ascii="Arial" w:hAnsi="Arial" w:cs="Arial"/>
          <w:b/>
          <w:bCs/>
          <w:sz w:val="28"/>
          <w:szCs w:val="28"/>
        </w:rPr>
        <w:tab/>
      </w:r>
      <w:r w:rsidR="008B59AB">
        <w:rPr>
          <w:rFonts w:ascii="Arial" w:hAnsi="Arial" w:cs="Arial"/>
          <w:b/>
          <w:bCs/>
          <w:sz w:val="28"/>
          <w:szCs w:val="28"/>
        </w:rPr>
        <w:tab/>
      </w:r>
      <w:r w:rsidR="008B59AB">
        <w:rPr>
          <w:rFonts w:ascii="Arial" w:hAnsi="Arial" w:cs="Arial"/>
          <w:b/>
          <w:bCs/>
          <w:sz w:val="28"/>
          <w:szCs w:val="28"/>
        </w:rPr>
        <w:tab/>
      </w:r>
      <w:r w:rsidR="008B59AB">
        <w:rPr>
          <w:rFonts w:ascii="Arial" w:hAnsi="Arial" w:cs="Arial"/>
          <w:b/>
          <w:bCs/>
          <w:sz w:val="28"/>
          <w:szCs w:val="28"/>
        </w:rPr>
        <w:tab/>
      </w:r>
      <w:r w:rsidR="008B59AB">
        <w:rPr>
          <w:rFonts w:ascii="Arial" w:hAnsi="Arial" w:cs="Arial"/>
          <w:b/>
          <w:bCs/>
          <w:sz w:val="28"/>
          <w:szCs w:val="28"/>
        </w:rPr>
        <w:tab/>
      </w:r>
      <w:r w:rsidR="008B59AB">
        <w:rPr>
          <w:rFonts w:ascii="Arial" w:hAnsi="Arial" w:cs="Arial"/>
          <w:b/>
          <w:bCs/>
          <w:sz w:val="28"/>
          <w:szCs w:val="28"/>
        </w:rPr>
        <w:tab/>
      </w:r>
      <w:r w:rsidR="008B59AB">
        <w:rPr>
          <w:rFonts w:ascii="Arial" w:hAnsi="Arial" w:cs="Arial"/>
          <w:b/>
          <w:bCs/>
          <w:sz w:val="28"/>
          <w:szCs w:val="28"/>
        </w:rPr>
        <w:tab/>
      </w:r>
      <w:r w:rsidR="00697D58">
        <w:rPr>
          <w:rFonts w:ascii="Arial" w:hAnsi="Arial" w:cs="Arial"/>
          <w:b/>
          <w:bCs/>
          <w:sz w:val="28"/>
          <w:szCs w:val="28"/>
        </w:rPr>
        <w:t>10</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p>
    <w:p w14:paraId="1B9AE631" w14:textId="7C8F8F88" w:rsidR="00D11672" w:rsidRPr="00D11672" w:rsidRDefault="00D11672">
      <w:pPr>
        <w:rPr>
          <w:rFonts w:ascii="Arial" w:hAnsi="Arial" w:cs="Arial"/>
          <w:b/>
          <w:bCs/>
        </w:rPr>
      </w:pPr>
    </w:p>
    <w:p w14:paraId="0F2016F1" w14:textId="77777777" w:rsidR="00D11672" w:rsidRDefault="00D11672">
      <w:pPr>
        <w:rPr>
          <w:rFonts w:ascii="Arial" w:hAnsi="Arial" w:cs="Arial"/>
          <w:b/>
          <w:bCs/>
          <w:sz w:val="28"/>
          <w:szCs w:val="28"/>
        </w:rPr>
      </w:pPr>
    </w:p>
    <w:p w14:paraId="33E9009B" w14:textId="77777777" w:rsidR="00D11672" w:rsidRDefault="00D11672">
      <w:pPr>
        <w:rPr>
          <w:rFonts w:ascii="Arial" w:hAnsi="Arial" w:cs="Arial"/>
          <w:b/>
          <w:bCs/>
          <w:sz w:val="28"/>
          <w:szCs w:val="28"/>
        </w:rPr>
      </w:pPr>
    </w:p>
    <w:p w14:paraId="17C6769C" w14:textId="77777777" w:rsidR="00D11672" w:rsidRDefault="00D11672">
      <w:pPr>
        <w:rPr>
          <w:rFonts w:ascii="Arial" w:hAnsi="Arial" w:cs="Arial"/>
          <w:b/>
          <w:bCs/>
          <w:sz w:val="28"/>
          <w:szCs w:val="28"/>
        </w:rPr>
      </w:pPr>
    </w:p>
    <w:p w14:paraId="0F49A89F" w14:textId="77777777" w:rsidR="00D11672" w:rsidRDefault="00D11672">
      <w:pPr>
        <w:rPr>
          <w:rFonts w:ascii="Arial" w:hAnsi="Arial" w:cs="Arial"/>
          <w:b/>
          <w:bCs/>
          <w:sz w:val="28"/>
          <w:szCs w:val="28"/>
        </w:rPr>
      </w:pPr>
    </w:p>
    <w:p w14:paraId="1F66F022" w14:textId="77777777" w:rsidR="00D11672" w:rsidRDefault="00D11672">
      <w:pPr>
        <w:rPr>
          <w:rFonts w:ascii="Arial" w:hAnsi="Arial" w:cs="Arial"/>
          <w:b/>
          <w:bCs/>
          <w:sz w:val="28"/>
          <w:szCs w:val="28"/>
        </w:rPr>
      </w:pPr>
    </w:p>
    <w:p w14:paraId="4E7C8685" w14:textId="77777777" w:rsidR="00D11672" w:rsidRDefault="00D11672">
      <w:pPr>
        <w:rPr>
          <w:rFonts w:ascii="Arial" w:hAnsi="Arial" w:cs="Arial"/>
          <w:b/>
          <w:bCs/>
          <w:sz w:val="28"/>
          <w:szCs w:val="28"/>
        </w:rPr>
      </w:pPr>
    </w:p>
    <w:p w14:paraId="5CF1479B" w14:textId="77777777" w:rsidR="00D11672" w:rsidRDefault="00D11672">
      <w:pPr>
        <w:rPr>
          <w:rFonts w:ascii="Arial" w:hAnsi="Arial" w:cs="Arial"/>
          <w:b/>
          <w:bCs/>
          <w:sz w:val="28"/>
          <w:szCs w:val="28"/>
        </w:rPr>
      </w:pPr>
    </w:p>
    <w:p w14:paraId="68EFC4B8" w14:textId="77777777" w:rsidR="00D11672" w:rsidRDefault="00D11672">
      <w:pPr>
        <w:rPr>
          <w:rFonts w:ascii="Arial" w:hAnsi="Arial" w:cs="Arial"/>
          <w:b/>
          <w:bCs/>
          <w:sz w:val="28"/>
          <w:szCs w:val="28"/>
        </w:rPr>
      </w:pPr>
    </w:p>
    <w:p w14:paraId="224B0C44" w14:textId="77777777" w:rsidR="00D11672" w:rsidRDefault="00D11672">
      <w:pPr>
        <w:rPr>
          <w:rFonts w:ascii="Arial" w:hAnsi="Arial" w:cs="Arial"/>
          <w:b/>
          <w:bCs/>
          <w:sz w:val="28"/>
          <w:szCs w:val="28"/>
        </w:rPr>
      </w:pPr>
    </w:p>
    <w:p w14:paraId="24E4A9C4" w14:textId="77777777" w:rsidR="00D11672" w:rsidRDefault="00D11672">
      <w:pPr>
        <w:rPr>
          <w:rFonts w:ascii="Arial" w:hAnsi="Arial" w:cs="Arial"/>
          <w:b/>
          <w:bCs/>
          <w:sz w:val="28"/>
          <w:szCs w:val="28"/>
        </w:rPr>
      </w:pPr>
    </w:p>
    <w:p w14:paraId="1CBE8275" w14:textId="77777777" w:rsidR="00D11672" w:rsidRDefault="00D11672">
      <w:pPr>
        <w:rPr>
          <w:rFonts w:ascii="Arial" w:hAnsi="Arial" w:cs="Arial"/>
          <w:b/>
          <w:bCs/>
          <w:sz w:val="28"/>
          <w:szCs w:val="28"/>
        </w:rPr>
      </w:pPr>
    </w:p>
    <w:p w14:paraId="274A322F" w14:textId="77777777" w:rsidR="00D11672" w:rsidRDefault="00D11672">
      <w:pPr>
        <w:rPr>
          <w:rFonts w:ascii="Arial" w:hAnsi="Arial" w:cs="Arial"/>
          <w:b/>
          <w:bCs/>
          <w:sz w:val="28"/>
          <w:szCs w:val="28"/>
        </w:rPr>
      </w:pPr>
    </w:p>
    <w:p w14:paraId="52F9FDDA" w14:textId="77777777" w:rsidR="00D11672" w:rsidRDefault="00D11672">
      <w:pPr>
        <w:rPr>
          <w:rFonts w:ascii="Arial" w:hAnsi="Arial" w:cs="Arial"/>
          <w:b/>
          <w:bCs/>
          <w:sz w:val="28"/>
          <w:szCs w:val="28"/>
        </w:rPr>
      </w:pPr>
    </w:p>
    <w:p w14:paraId="3709CE10" w14:textId="77777777" w:rsidR="00D11672" w:rsidRDefault="00D11672">
      <w:pPr>
        <w:rPr>
          <w:rFonts w:ascii="Arial" w:hAnsi="Arial" w:cs="Arial"/>
          <w:b/>
          <w:bCs/>
          <w:sz w:val="28"/>
          <w:szCs w:val="28"/>
        </w:rPr>
      </w:pPr>
    </w:p>
    <w:p w14:paraId="54D32761" w14:textId="77777777" w:rsidR="00D11672" w:rsidRDefault="00D11672">
      <w:pPr>
        <w:rPr>
          <w:rFonts w:ascii="Arial" w:hAnsi="Arial" w:cs="Arial"/>
          <w:b/>
          <w:bCs/>
          <w:sz w:val="28"/>
          <w:szCs w:val="28"/>
        </w:rPr>
      </w:pPr>
    </w:p>
    <w:p w14:paraId="1C9C97AE" w14:textId="77777777" w:rsidR="00D11672" w:rsidRDefault="00D11672">
      <w:pPr>
        <w:rPr>
          <w:rFonts w:ascii="Arial" w:hAnsi="Arial" w:cs="Arial"/>
          <w:b/>
          <w:bCs/>
          <w:sz w:val="28"/>
          <w:szCs w:val="28"/>
        </w:rPr>
      </w:pPr>
    </w:p>
    <w:p w14:paraId="76DA99EA" w14:textId="77777777" w:rsidR="00D11672" w:rsidRDefault="00D11672">
      <w:pPr>
        <w:rPr>
          <w:rFonts w:ascii="Arial" w:hAnsi="Arial" w:cs="Arial"/>
          <w:b/>
          <w:bCs/>
          <w:sz w:val="28"/>
          <w:szCs w:val="28"/>
        </w:rPr>
      </w:pPr>
    </w:p>
    <w:p w14:paraId="7883048D" w14:textId="77777777" w:rsidR="00D11672" w:rsidRDefault="00D11672">
      <w:pPr>
        <w:rPr>
          <w:rFonts w:ascii="Arial" w:hAnsi="Arial" w:cs="Arial"/>
          <w:b/>
          <w:bCs/>
          <w:sz w:val="28"/>
          <w:szCs w:val="28"/>
        </w:rPr>
      </w:pPr>
    </w:p>
    <w:p w14:paraId="5CF61FDD" w14:textId="77777777" w:rsidR="00D11672" w:rsidRDefault="00D11672">
      <w:pPr>
        <w:rPr>
          <w:rFonts w:ascii="Arial" w:hAnsi="Arial" w:cs="Arial"/>
          <w:b/>
          <w:bCs/>
          <w:sz w:val="28"/>
          <w:szCs w:val="28"/>
        </w:rPr>
      </w:pPr>
    </w:p>
    <w:p w14:paraId="20BEABE9" w14:textId="77777777" w:rsidR="00D11672" w:rsidRDefault="00D11672">
      <w:pPr>
        <w:rPr>
          <w:rFonts w:ascii="Arial" w:hAnsi="Arial" w:cs="Arial"/>
          <w:b/>
          <w:bCs/>
          <w:sz w:val="28"/>
          <w:szCs w:val="28"/>
        </w:rPr>
      </w:pPr>
    </w:p>
    <w:p w14:paraId="1F9953D6" w14:textId="77777777" w:rsidR="00D11672" w:rsidRDefault="00D11672">
      <w:pPr>
        <w:rPr>
          <w:rFonts w:ascii="Arial" w:hAnsi="Arial" w:cs="Arial"/>
          <w:b/>
          <w:bCs/>
          <w:sz w:val="28"/>
          <w:szCs w:val="28"/>
        </w:rPr>
      </w:pPr>
    </w:p>
    <w:p w14:paraId="104DFA5A" w14:textId="77777777" w:rsidR="00D11672" w:rsidRDefault="00D11672">
      <w:pPr>
        <w:rPr>
          <w:rFonts w:ascii="Arial" w:hAnsi="Arial" w:cs="Arial"/>
          <w:b/>
          <w:bCs/>
          <w:sz w:val="28"/>
          <w:szCs w:val="28"/>
        </w:rPr>
      </w:pPr>
    </w:p>
    <w:p w14:paraId="6C2EBED3" w14:textId="77777777" w:rsidR="00C65D92" w:rsidRDefault="00C65D92">
      <w:pPr>
        <w:rPr>
          <w:rFonts w:ascii="Arial" w:hAnsi="Arial" w:cs="Arial"/>
          <w:b/>
          <w:bCs/>
          <w:sz w:val="28"/>
          <w:szCs w:val="28"/>
        </w:rPr>
      </w:pPr>
    </w:p>
    <w:p w14:paraId="02260F08" w14:textId="77777777" w:rsidR="00AE7CCE" w:rsidRDefault="00AE7CCE">
      <w:pPr>
        <w:rPr>
          <w:rFonts w:ascii="Arial" w:hAnsi="Arial" w:cs="Arial"/>
          <w:b/>
          <w:bCs/>
          <w:sz w:val="28"/>
          <w:szCs w:val="28"/>
        </w:rPr>
      </w:pPr>
    </w:p>
    <w:p w14:paraId="23CFFAFE" w14:textId="77777777" w:rsidR="00697D58" w:rsidRDefault="00697D58">
      <w:pPr>
        <w:rPr>
          <w:rFonts w:ascii="Arial" w:hAnsi="Arial" w:cs="Arial"/>
          <w:b/>
          <w:bCs/>
          <w:sz w:val="28"/>
          <w:szCs w:val="28"/>
        </w:rPr>
      </w:pPr>
    </w:p>
    <w:p w14:paraId="0D3F9CCE" w14:textId="5F5D92A7" w:rsidR="00D11672" w:rsidRDefault="00D11672">
      <w:pPr>
        <w:rPr>
          <w:rFonts w:ascii="Arial" w:hAnsi="Arial" w:cs="Arial"/>
          <w:b/>
          <w:bCs/>
          <w:sz w:val="28"/>
          <w:szCs w:val="28"/>
        </w:rPr>
      </w:pPr>
      <w:r>
        <w:rPr>
          <w:rFonts w:ascii="Arial" w:hAnsi="Arial" w:cs="Arial"/>
          <w:b/>
          <w:bCs/>
          <w:sz w:val="28"/>
          <w:szCs w:val="28"/>
        </w:rPr>
        <w:lastRenderedPageBreak/>
        <w:t>Introductio</w:t>
      </w:r>
      <w:r w:rsidR="00BB6936">
        <w:rPr>
          <w:rFonts w:ascii="Arial" w:hAnsi="Arial" w:cs="Arial"/>
          <w:b/>
          <w:bCs/>
          <w:sz w:val="28"/>
          <w:szCs w:val="28"/>
        </w:rPr>
        <w:t>n</w:t>
      </w:r>
    </w:p>
    <w:p w14:paraId="550E94FD" w14:textId="5A875DEA" w:rsidR="00AE6CF5" w:rsidRPr="007E46FA" w:rsidRDefault="00DC6BFF" w:rsidP="00BB693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 xml:space="preserve">Organisational culture is a critical determinant of how organisations function, make decisions, and adapt to both internal and external challenges. Mullins and Christy </w:t>
      </w:r>
      <w:proofErr w:type="gramStart"/>
      <w:r w:rsidR="00BB6936" w:rsidRPr="007E46FA">
        <w:rPr>
          <w:rFonts w:ascii="Arial" w:eastAsia="Times New Roman" w:hAnsi="Arial" w:cs="Arial"/>
          <w:color w:val="000000"/>
          <w:kern w:val="0"/>
          <w:sz w:val="22"/>
          <w:szCs w:val="22"/>
          <w:lang w:eastAsia="en-GB"/>
          <w14:ligatures w14:val="none"/>
        </w:rPr>
        <w:t xml:space="preserve">( </w:t>
      </w:r>
      <w:r w:rsidRPr="007E46FA">
        <w:rPr>
          <w:rFonts w:ascii="Arial" w:eastAsia="Times New Roman" w:hAnsi="Arial" w:cs="Arial"/>
          <w:color w:val="000000"/>
          <w:kern w:val="0"/>
          <w:sz w:val="22"/>
          <w:szCs w:val="22"/>
          <w:lang w:eastAsia="en-GB"/>
          <w14:ligatures w14:val="none"/>
        </w:rPr>
        <w:t xml:space="preserve">2016 </w:t>
      </w:r>
      <w:r w:rsidR="00BB6936" w:rsidRPr="007E46FA">
        <w:rPr>
          <w:rFonts w:ascii="Arial" w:eastAsia="Times New Roman" w:hAnsi="Arial" w:cs="Arial"/>
          <w:color w:val="000000"/>
          <w:kern w:val="0"/>
          <w:sz w:val="22"/>
          <w:szCs w:val="22"/>
          <w:lang w:eastAsia="en-GB"/>
          <w14:ligatures w14:val="none"/>
        </w:rPr>
        <w:t>)</w:t>
      </w:r>
      <w:r w:rsidRPr="007E46FA">
        <w:rPr>
          <w:rFonts w:ascii="Arial" w:eastAsia="Times New Roman" w:hAnsi="Arial" w:cs="Arial"/>
          <w:color w:val="000000"/>
          <w:kern w:val="0"/>
          <w:sz w:val="22"/>
          <w:szCs w:val="22"/>
          <w:lang w:eastAsia="en-GB"/>
          <w14:ligatures w14:val="none"/>
        </w:rPr>
        <w:t>highlighted</w:t>
      </w:r>
      <w:proofErr w:type="gramEnd"/>
      <w:r w:rsidRPr="007E46FA">
        <w:rPr>
          <w:rFonts w:ascii="Arial" w:eastAsia="Times New Roman" w:hAnsi="Arial" w:cs="Arial"/>
          <w:color w:val="000000"/>
          <w:kern w:val="0"/>
          <w:sz w:val="22"/>
          <w:szCs w:val="22"/>
          <w:lang w:eastAsia="en-GB"/>
          <w14:ligatures w14:val="none"/>
        </w:rPr>
        <w:t xml:space="preserve"> that culture pervades every aspect of organisational life, shaping values, beliefs, and behaviours that influence processes, structures, and outcomes. This report provides a critical analysis of organisational culture within </w:t>
      </w:r>
      <w:r w:rsidRPr="007E46FA">
        <w:rPr>
          <w:rFonts w:ascii="Arial" w:eastAsia="Times New Roman" w:hAnsi="Arial" w:cs="Arial"/>
          <w:b/>
          <w:bCs/>
          <w:i/>
          <w:iCs/>
          <w:color w:val="000000"/>
          <w:kern w:val="0"/>
          <w:sz w:val="22"/>
          <w:szCs w:val="22"/>
          <w:lang w:eastAsia="en-GB"/>
          <w14:ligatures w14:val="none"/>
        </w:rPr>
        <w:t>Severn Trent Water</w:t>
      </w:r>
      <w:r w:rsidRPr="007E46FA">
        <w:rPr>
          <w:rFonts w:ascii="Arial" w:eastAsia="Times New Roman" w:hAnsi="Arial" w:cs="Arial"/>
          <w:color w:val="000000"/>
          <w:kern w:val="0"/>
          <w:sz w:val="22"/>
          <w:szCs w:val="22"/>
          <w:lang w:eastAsia="en-GB"/>
          <w14:ligatures w14:val="none"/>
        </w:rPr>
        <w:t xml:space="preserve">, one of the UK’s leading water utility companies. Using established theories and frameworks, the report examines the ways in which culture </w:t>
      </w:r>
      <w:proofErr w:type="gramStart"/>
      <w:r w:rsidRPr="007E46FA">
        <w:rPr>
          <w:rFonts w:ascii="Arial" w:eastAsia="Times New Roman" w:hAnsi="Arial" w:cs="Arial"/>
          <w:color w:val="000000"/>
          <w:kern w:val="0"/>
          <w:sz w:val="22"/>
          <w:szCs w:val="22"/>
          <w:lang w:eastAsia="en-GB"/>
          <w14:ligatures w14:val="none"/>
        </w:rPr>
        <w:t>influences</w:t>
      </w:r>
      <w:proofErr w:type="gramEnd"/>
      <w:r w:rsidRPr="007E46FA">
        <w:rPr>
          <w:rFonts w:ascii="Arial" w:eastAsia="Times New Roman" w:hAnsi="Arial" w:cs="Arial"/>
          <w:color w:val="000000"/>
          <w:kern w:val="0"/>
          <w:sz w:val="22"/>
          <w:szCs w:val="22"/>
          <w:lang w:eastAsia="en-GB"/>
          <w14:ligatures w14:val="none"/>
        </w:rPr>
        <w:t xml:space="preserve"> structure and decision-making, explores how culture is identified and manifested, evaluates culture’s role as a barrier or enabler, and assesses its impact on performance. Evidence-based recommendations are proposed to enhance Severn Trent Water’s organisational culture for improved effectiveness.</w:t>
      </w:r>
    </w:p>
    <w:p w14:paraId="7FCC4531" w14:textId="164F60E5" w:rsidR="00AE6CF5" w:rsidRDefault="00D11672">
      <w:pPr>
        <w:rPr>
          <w:rFonts w:ascii="Arial" w:hAnsi="Arial" w:cs="Arial"/>
          <w:b/>
          <w:bCs/>
          <w:sz w:val="28"/>
          <w:szCs w:val="28"/>
        </w:rPr>
      </w:pPr>
      <w:r>
        <w:rPr>
          <w:rFonts w:ascii="Arial" w:hAnsi="Arial" w:cs="Arial"/>
          <w:b/>
          <w:bCs/>
          <w:sz w:val="28"/>
          <w:szCs w:val="28"/>
        </w:rPr>
        <w:t>Organisational Culture of Severn Trent</w:t>
      </w:r>
    </w:p>
    <w:p w14:paraId="273E57E2" w14:textId="77777777" w:rsidR="00BB6936" w:rsidRPr="007E46FA" w:rsidRDefault="00BB6936" w:rsidP="00BB693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The organisational culture of Severn Trent Water is characterised by a strong service orientation, a commitment to sustainability, and a collaborative approach to achieving organisational objectives. Culture at Severn Trent is shaped by both its public utility heritage and the modern regulatory environment in which it operates.</w:t>
      </w:r>
    </w:p>
    <w:p w14:paraId="1DBE3678" w14:textId="21AF7725" w:rsidR="00BB6936" w:rsidRDefault="00BB6936" w:rsidP="00BB693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 xml:space="preserve">According to Schein’s (2010) model, Severn Trent’s culture can be understood on three levels. </w:t>
      </w:r>
      <w:r w:rsidRPr="007E46FA">
        <w:rPr>
          <w:rFonts w:ascii="Arial" w:eastAsia="Times New Roman" w:hAnsi="Arial" w:cs="Arial"/>
          <w:b/>
          <w:bCs/>
          <w:i/>
          <w:iCs/>
          <w:color w:val="000000"/>
          <w:kern w:val="0"/>
          <w:sz w:val="22"/>
          <w:szCs w:val="22"/>
          <w:lang w:eastAsia="en-GB"/>
          <w14:ligatures w14:val="none"/>
        </w:rPr>
        <w:t>Artefacts</w:t>
      </w:r>
      <w:r w:rsidRPr="007E46FA">
        <w:rPr>
          <w:rFonts w:ascii="Arial" w:eastAsia="Times New Roman" w:hAnsi="Arial" w:cs="Arial"/>
          <w:color w:val="000000"/>
          <w:kern w:val="0"/>
          <w:sz w:val="22"/>
          <w:szCs w:val="22"/>
          <w:lang w:eastAsia="en-GB"/>
          <w14:ligatures w14:val="none"/>
        </w:rPr>
        <w:t xml:space="preserve">, these are visible components such as safety campaigns, environmental awards, open-plan offices, and regular communication forums. The company’s internal branding emphasises “doing the right thing” for clients, communities, and the environment (Severn Trent, 2023). </w:t>
      </w:r>
      <w:r w:rsidRPr="007E46FA">
        <w:rPr>
          <w:rFonts w:ascii="Arial" w:eastAsia="Times New Roman" w:hAnsi="Arial" w:cs="Arial"/>
          <w:b/>
          <w:bCs/>
          <w:i/>
          <w:iCs/>
          <w:color w:val="000000"/>
          <w:kern w:val="0"/>
          <w:sz w:val="22"/>
          <w:szCs w:val="22"/>
          <w:lang w:eastAsia="en-GB"/>
          <w14:ligatures w14:val="none"/>
        </w:rPr>
        <w:t>Espoused Values</w:t>
      </w:r>
      <w:r w:rsidRPr="007E46FA">
        <w:rPr>
          <w:rFonts w:ascii="Arial" w:eastAsia="Times New Roman" w:hAnsi="Arial" w:cs="Arial"/>
          <w:b/>
          <w:bCs/>
          <w:color w:val="000000"/>
          <w:kern w:val="0"/>
          <w:sz w:val="22"/>
          <w:szCs w:val="22"/>
          <w:lang w:eastAsia="en-GB"/>
          <w14:ligatures w14:val="none"/>
        </w:rPr>
        <w:t xml:space="preserve">, </w:t>
      </w:r>
      <w:r w:rsidRPr="007E46FA">
        <w:rPr>
          <w:rFonts w:ascii="Arial" w:eastAsia="Times New Roman" w:hAnsi="Arial" w:cs="Arial"/>
          <w:color w:val="000000"/>
          <w:kern w:val="0"/>
          <w:sz w:val="22"/>
          <w:szCs w:val="22"/>
          <w:lang w:eastAsia="en-GB"/>
          <w14:ligatures w14:val="none"/>
        </w:rPr>
        <w:t xml:space="preserve">Severn Trent conveys its core values as integrity, inclusiveness, and sustainability. These values are reflected in its strategic commitments, such as reducing carbon emissions, improving water quality, and increasing biodiversity through the “Green Recovery” programme (Severn Trent, 2022). </w:t>
      </w:r>
      <w:r w:rsidRPr="007E46FA">
        <w:rPr>
          <w:rFonts w:ascii="Arial" w:eastAsia="Times New Roman" w:hAnsi="Arial" w:cs="Arial"/>
          <w:b/>
          <w:bCs/>
          <w:i/>
          <w:iCs/>
          <w:color w:val="000000"/>
          <w:kern w:val="0"/>
          <w:sz w:val="22"/>
          <w:szCs w:val="22"/>
          <w:lang w:eastAsia="en-GB"/>
          <w14:ligatures w14:val="none"/>
        </w:rPr>
        <w:t xml:space="preserve">Basic </w:t>
      </w:r>
      <w:proofErr w:type="gramStart"/>
      <w:r w:rsidRPr="007E46FA">
        <w:rPr>
          <w:rFonts w:ascii="Arial" w:eastAsia="Times New Roman" w:hAnsi="Arial" w:cs="Arial"/>
          <w:b/>
          <w:bCs/>
          <w:i/>
          <w:iCs/>
          <w:color w:val="000000"/>
          <w:kern w:val="0"/>
          <w:sz w:val="22"/>
          <w:szCs w:val="22"/>
          <w:lang w:eastAsia="en-GB"/>
          <w14:ligatures w14:val="none"/>
        </w:rPr>
        <w:t xml:space="preserve">Assumptions, </w:t>
      </w:r>
      <w:r w:rsidRPr="007E46FA">
        <w:rPr>
          <w:rFonts w:ascii="Arial" w:eastAsia="Times New Roman" w:hAnsi="Arial" w:cs="Arial"/>
          <w:color w:val="000000"/>
          <w:kern w:val="0"/>
          <w:sz w:val="22"/>
          <w:szCs w:val="22"/>
          <w:lang w:eastAsia="en-GB"/>
          <w14:ligatures w14:val="none"/>
        </w:rPr>
        <w:t> at</w:t>
      </w:r>
      <w:proofErr w:type="gramEnd"/>
      <w:r w:rsidRPr="007E46FA">
        <w:rPr>
          <w:rFonts w:ascii="Arial" w:eastAsia="Times New Roman" w:hAnsi="Arial" w:cs="Arial"/>
          <w:color w:val="000000"/>
          <w:kern w:val="0"/>
          <w:sz w:val="22"/>
          <w:szCs w:val="22"/>
          <w:lang w:eastAsia="en-GB"/>
          <w14:ligatures w14:val="none"/>
        </w:rPr>
        <w:t xml:space="preserve"> a deeper level, the organisation operates on the belief that its actions should balance shareholder interests with the greater public good. There is an underlying statement that innovation and collaboration are essential for long-term success in a regulated and environmentally sensitive sector.</w:t>
      </w:r>
    </w:p>
    <w:p w14:paraId="3C14901E" w14:textId="77777777" w:rsidR="00BD5546" w:rsidRDefault="00BD5546" w:rsidP="00BB6936">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3FA0FBB1" w14:textId="085EBCC3" w:rsidR="00B45AD6" w:rsidRPr="00466F23" w:rsidRDefault="00B45AD6" w:rsidP="00BB6936">
      <w:pPr>
        <w:spacing w:before="100" w:beforeAutospacing="1" w:after="100" w:afterAutospacing="1"/>
        <w:jc w:val="both"/>
        <w:rPr>
          <w:rFonts w:ascii="Arial" w:eastAsia="Times New Roman" w:hAnsi="Arial" w:cs="Arial"/>
          <w:b/>
          <w:bCs/>
          <w:i/>
          <w:iCs/>
          <w:color w:val="000000"/>
          <w:kern w:val="0"/>
          <w:lang w:eastAsia="en-GB"/>
          <w14:ligatures w14:val="none"/>
        </w:rPr>
      </w:pPr>
      <w:r w:rsidRPr="00466F23">
        <w:rPr>
          <w:rFonts w:ascii="Arial" w:eastAsia="Times New Roman" w:hAnsi="Arial" w:cs="Arial"/>
          <w:b/>
          <w:bCs/>
          <w:i/>
          <w:iCs/>
          <w:color w:val="000000"/>
          <w:kern w:val="0"/>
          <w:lang w:eastAsia="en-GB"/>
          <w14:ligatures w14:val="none"/>
        </w:rPr>
        <w:t>Shein’s Three Levels of Culture</w:t>
      </w:r>
    </w:p>
    <w:tbl>
      <w:tblPr>
        <w:tblStyle w:val="TableGrid"/>
        <w:tblW w:w="0" w:type="auto"/>
        <w:tblLook w:val="04A0" w:firstRow="1" w:lastRow="0" w:firstColumn="1" w:lastColumn="0" w:noHBand="0" w:noVBand="1"/>
      </w:tblPr>
      <w:tblGrid>
        <w:gridCol w:w="2465"/>
        <w:gridCol w:w="2465"/>
        <w:gridCol w:w="2465"/>
      </w:tblGrid>
      <w:tr w:rsidR="00996E91" w14:paraId="76EE8D46" w14:textId="290793F9" w:rsidTr="002B35DB">
        <w:trPr>
          <w:trHeight w:val="2000"/>
        </w:trPr>
        <w:tc>
          <w:tcPr>
            <w:tcW w:w="2465" w:type="dxa"/>
          </w:tcPr>
          <w:p w14:paraId="7D05B24E" w14:textId="59DCD44E" w:rsidR="00996E91" w:rsidRPr="00B45AD6" w:rsidRDefault="00996E91" w:rsidP="00BB6936">
            <w:pPr>
              <w:spacing w:before="100" w:beforeAutospacing="1" w:after="100" w:afterAutospacing="1"/>
              <w:jc w:val="both"/>
              <w:rPr>
                <w:rFonts w:ascii="Arial" w:eastAsia="Times New Roman" w:hAnsi="Arial" w:cs="Arial"/>
                <w:b/>
                <w:bCs/>
                <w:color w:val="000000"/>
                <w:kern w:val="0"/>
                <w:sz w:val="22"/>
                <w:szCs w:val="22"/>
                <w:lang w:eastAsia="en-GB"/>
                <w14:ligatures w14:val="none"/>
              </w:rPr>
            </w:pPr>
            <w:r>
              <w:rPr>
                <w:rFonts w:ascii="Arial" w:eastAsia="Times New Roman" w:hAnsi="Arial" w:cs="Arial"/>
                <w:b/>
                <w:bCs/>
                <w:color w:val="000000"/>
                <w:kern w:val="0"/>
                <w:sz w:val="22"/>
                <w:szCs w:val="22"/>
                <w:lang w:eastAsia="en-GB"/>
                <w14:ligatures w14:val="none"/>
              </w:rPr>
              <w:t xml:space="preserve">           </w:t>
            </w:r>
            <w:r w:rsidRPr="00B45AD6">
              <w:rPr>
                <w:rFonts w:ascii="Arial" w:eastAsia="Times New Roman" w:hAnsi="Arial" w:cs="Arial"/>
                <w:b/>
                <w:bCs/>
                <w:color w:val="000000"/>
                <w:kern w:val="0"/>
                <w:sz w:val="22"/>
                <w:szCs w:val="22"/>
                <w:lang w:eastAsia="en-GB"/>
                <w14:ligatures w14:val="none"/>
              </w:rPr>
              <w:t>Artefacts</w:t>
            </w:r>
          </w:p>
          <w:p w14:paraId="745C2383" w14:textId="77777777" w:rsidR="00996E91" w:rsidRPr="00B45AD6" w:rsidRDefault="00996E91" w:rsidP="00B45AD6">
            <w:pPr>
              <w:pStyle w:val="ListParagraph"/>
              <w:numPr>
                <w:ilvl w:val="0"/>
                <w:numId w:val="1"/>
              </w:numPr>
              <w:jc w:val="both"/>
              <w:rPr>
                <w:rFonts w:ascii="Arial" w:eastAsia="Times New Roman" w:hAnsi="Arial" w:cs="Arial"/>
                <w:color w:val="000000"/>
                <w:kern w:val="0"/>
                <w:sz w:val="22"/>
                <w:szCs w:val="22"/>
                <w:lang w:eastAsia="en-GB"/>
                <w14:ligatures w14:val="none"/>
              </w:rPr>
            </w:pPr>
            <w:r w:rsidRPr="00B45AD6">
              <w:rPr>
                <w:rFonts w:ascii="Arial" w:eastAsia="Times New Roman" w:hAnsi="Arial" w:cs="Arial"/>
                <w:color w:val="000000"/>
                <w:kern w:val="0"/>
                <w:sz w:val="22"/>
                <w:szCs w:val="22"/>
                <w:lang w:eastAsia="en-GB"/>
                <w14:ligatures w14:val="none"/>
              </w:rPr>
              <w:t>Safety Campaigns</w:t>
            </w:r>
          </w:p>
          <w:p w14:paraId="44DE7FD2" w14:textId="77777777" w:rsidR="00996E91" w:rsidRPr="00B45AD6" w:rsidRDefault="00996E91" w:rsidP="00B45AD6">
            <w:pPr>
              <w:pStyle w:val="ListParagraph"/>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B45AD6">
              <w:rPr>
                <w:rFonts w:ascii="Arial" w:eastAsia="Times New Roman" w:hAnsi="Arial" w:cs="Arial"/>
                <w:color w:val="000000"/>
                <w:kern w:val="0"/>
                <w:sz w:val="22"/>
                <w:szCs w:val="22"/>
                <w:lang w:eastAsia="en-GB"/>
                <w14:ligatures w14:val="none"/>
              </w:rPr>
              <w:t>Sustainability Awards</w:t>
            </w:r>
          </w:p>
          <w:p w14:paraId="0A443D41" w14:textId="12BBEE74" w:rsidR="00996E91" w:rsidRPr="00B45AD6" w:rsidRDefault="00996E91" w:rsidP="00B45AD6">
            <w:pPr>
              <w:pStyle w:val="ListParagraph"/>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B45AD6">
              <w:rPr>
                <w:rFonts w:ascii="Arial" w:eastAsia="Times New Roman" w:hAnsi="Arial" w:cs="Arial"/>
                <w:color w:val="000000"/>
                <w:kern w:val="0"/>
                <w:sz w:val="22"/>
                <w:szCs w:val="22"/>
                <w:lang w:eastAsia="en-GB"/>
                <w14:ligatures w14:val="none"/>
              </w:rPr>
              <w:t>Open Communication</w:t>
            </w:r>
          </w:p>
        </w:tc>
        <w:tc>
          <w:tcPr>
            <w:tcW w:w="2465" w:type="dxa"/>
          </w:tcPr>
          <w:p w14:paraId="6F62E6FE" w14:textId="4F5AD13D" w:rsidR="00996E91" w:rsidRDefault="00996E91" w:rsidP="00BB6936">
            <w:pPr>
              <w:spacing w:before="100" w:beforeAutospacing="1" w:after="100" w:afterAutospacing="1"/>
              <w:jc w:val="both"/>
              <w:rPr>
                <w:rFonts w:ascii="Arial" w:eastAsia="Times New Roman" w:hAnsi="Arial" w:cs="Arial"/>
                <w:b/>
                <w:bCs/>
                <w:color w:val="000000"/>
                <w:kern w:val="0"/>
                <w:sz w:val="22"/>
                <w:szCs w:val="22"/>
                <w:lang w:eastAsia="en-GB"/>
                <w14:ligatures w14:val="none"/>
              </w:rPr>
            </w:pPr>
            <w:r>
              <w:rPr>
                <w:rFonts w:ascii="Arial" w:eastAsia="Times New Roman" w:hAnsi="Arial" w:cs="Arial"/>
                <w:b/>
                <w:bCs/>
                <w:color w:val="000000"/>
                <w:kern w:val="0"/>
                <w:sz w:val="22"/>
                <w:szCs w:val="22"/>
                <w:lang w:eastAsia="en-GB"/>
                <w14:ligatures w14:val="none"/>
              </w:rPr>
              <w:t xml:space="preserve">   Espoused Values</w:t>
            </w:r>
          </w:p>
          <w:p w14:paraId="03052663" w14:textId="77777777" w:rsidR="00996E91" w:rsidRDefault="00996E91" w:rsidP="00B45AD6">
            <w:pPr>
              <w:pStyle w:val="ListParagraph"/>
              <w:numPr>
                <w:ilvl w:val="0"/>
                <w:numId w:val="2"/>
              </w:numPr>
              <w:spacing w:before="100" w:beforeAutospacing="1" w:after="100" w:afterAutospacing="1"/>
              <w:rPr>
                <w:rFonts w:ascii="Arial" w:eastAsia="Times New Roman" w:hAnsi="Arial" w:cs="Arial"/>
                <w:color w:val="000000"/>
                <w:kern w:val="0"/>
                <w:sz w:val="22"/>
                <w:szCs w:val="22"/>
                <w:lang w:eastAsia="en-GB"/>
                <w14:ligatures w14:val="none"/>
              </w:rPr>
            </w:pPr>
            <w:r w:rsidRPr="00B45AD6">
              <w:rPr>
                <w:rFonts w:ascii="Arial" w:eastAsia="Times New Roman" w:hAnsi="Arial" w:cs="Arial"/>
                <w:color w:val="000000"/>
                <w:kern w:val="0"/>
                <w:sz w:val="22"/>
                <w:szCs w:val="22"/>
                <w:lang w:eastAsia="en-GB"/>
                <w14:ligatures w14:val="none"/>
              </w:rPr>
              <w:t>Integrity</w:t>
            </w:r>
          </w:p>
          <w:p w14:paraId="78F9170E" w14:textId="77777777" w:rsidR="00996E91" w:rsidRDefault="00996E91" w:rsidP="00B45AD6">
            <w:pPr>
              <w:pStyle w:val="ListParagraph"/>
              <w:numPr>
                <w:ilvl w:val="0"/>
                <w:numId w:val="2"/>
              </w:numPr>
              <w:spacing w:before="100" w:beforeAutospacing="1" w:after="100" w:afterAutospacing="1"/>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Sustainability</w:t>
            </w:r>
          </w:p>
          <w:p w14:paraId="2AE9785C" w14:textId="26F2CE24" w:rsidR="00996E91" w:rsidRPr="00B45AD6" w:rsidRDefault="00996E91" w:rsidP="00B45AD6">
            <w:pPr>
              <w:pStyle w:val="ListParagraph"/>
              <w:numPr>
                <w:ilvl w:val="0"/>
                <w:numId w:val="2"/>
              </w:numPr>
              <w:spacing w:before="100" w:beforeAutospacing="1" w:after="100" w:afterAutospacing="1"/>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Customer Focus</w:t>
            </w:r>
          </w:p>
        </w:tc>
        <w:tc>
          <w:tcPr>
            <w:tcW w:w="2465" w:type="dxa"/>
          </w:tcPr>
          <w:p w14:paraId="6E162050" w14:textId="6397CD33" w:rsidR="00996E91" w:rsidRDefault="00996E91" w:rsidP="00BB6936">
            <w:pPr>
              <w:spacing w:before="100" w:beforeAutospacing="1" w:after="100" w:afterAutospacing="1"/>
              <w:jc w:val="both"/>
              <w:rPr>
                <w:rFonts w:ascii="Arial" w:eastAsia="Times New Roman" w:hAnsi="Arial" w:cs="Arial"/>
                <w:b/>
                <w:bCs/>
                <w:color w:val="000000"/>
                <w:kern w:val="0"/>
                <w:sz w:val="22"/>
                <w:szCs w:val="22"/>
                <w:lang w:eastAsia="en-GB"/>
                <w14:ligatures w14:val="none"/>
              </w:rPr>
            </w:pPr>
            <w:r>
              <w:rPr>
                <w:rFonts w:ascii="Arial" w:eastAsia="Times New Roman" w:hAnsi="Arial" w:cs="Arial"/>
                <w:b/>
                <w:bCs/>
                <w:color w:val="000000"/>
                <w:kern w:val="0"/>
                <w:sz w:val="22"/>
                <w:szCs w:val="22"/>
                <w:lang w:eastAsia="en-GB"/>
                <w14:ligatures w14:val="none"/>
              </w:rPr>
              <w:t xml:space="preserve"> Basic    Assumptions</w:t>
            </w:r>
          </w:p>
          <w:p w14:paraId="78CA88BC" w14:textId="77777777" w:rsidR="00996E91" w:rsidRDefault="00996E91" w:rsidP="00996E91">
            <w:pPr>
              <w:pStyle w:val="ListParagraph"/>
              <w:numPr>
                <w:ilvl w:val="0"/>
                <w:numId w:val="3"/>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996E91">
              <w:rPr>
                <w:rFonts w:ascii="Arial" w:eastAsia="Times New Roman" w:hAnsi="Arial" w:cs="Arial"/>
                <w:color w:val="000000"/>
                <w:kern w:val="0"/>
                <w:sz w:val="22"/>
                <w:szCs w:val="22"/>
                <w:lang w:eastAsia="en-GB"/>
                <w14:ligatures w14:val="none"/>
              </w:rPr>
              <w:t>Public Service</w:t>
            </w:r>
          </w:p>
          <w:p w14:paraId="25519AF2" w14:textId="413734D9" w:rsidR="00996E91" w:rsidRDefault="00996E91" w:rsidP="00996E91">
            <w:pPr>
              <w:pStyle w:val="ListParagraph"/>
              <w:numPr>
                <w:ilvl w:val="0"/>
                <w:numId w:val="3"/>
              </w:numPr>
              <w:spacing w:before="100" w:beforeAutospacing="1" w:after="100" w:afterAutospacing="1"/>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Innovation</w:t>
            </w:r>
          </w:p>
          <w:p w14:paraId="792368B6" w14:textId="319BE5DE" w:rsidR="00996E91" w:rsidRDefault="00996E91" w:rsidP="00996E91">
            <w:pPr>
              <w:pStyle w:val="ListParagraph"/>
              <w:numPr>
                <w:ilvl w:val="0"/>
                <w:numId w:val="3"/>
              </w:numPr>
              <w:spacing w:before="100" w:beforeAutospacing="1" w:after="100" w:afterAutospacing="1"/>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Environmental</w:t>
            </w:r>
          </w:p>
          <w:p w14:paraId="39D1FFD3" w14:textId="6F9992FA" w:rsidR="00996E91" w:rsidRPr="00996E91" w:rsidRDefault="00996E91" w:rsidP="00996E91">
            <w:pPr>
              <w:pStyle w:val="ListParagraph"/>
              <w:spacing w:before="100" w:beforeAutospacing="1" w:after="100" w:afterAutospacing="1"/>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Stewardship</w:t>
            </w:r>
          </w:p>
          <w:p w14:paraId="22C46EE8" w14:textId="3D65531F" w:rsidR="00996E91" w:rsidRPr="00996E91" w:rsidRDefault="00996E91" w:rsidP="00BB6936">
            <w:pPr>
              <w:spacing w:before="100" w:beforeAutospacing="1" w:after="100" w:afterAutospacing="1"/>
              <w:jc w:val="both"/>
              <w:rPr>
                <w:rFonts w:ascii="Arial" w:eastAsia="Times New Roman" w:hAnsi="Arial" w:cs="Arial"/>
                <w:color w:val="000000"/>
                <w:kern w:val="0"/>
                <w:sz w:val="22"/>
                <w:szCs w:val="22"/>
                <w:lang w:eastAsia="en-GB"/>
                <w14:ligatures w14:val="none"/>
              </w:rPr>
            </w:pPr>
          </w:p>
        </w:tc>
      </w:tr>
    </w:tbl>
    <w:p w14:paraId="42EA05FC" w14:textId="51A809CC" w:rsidR="00AD7914" w:rsidRPr="007E46FA" w:rsidRDefault="00AD7914" w:rsidP="00BB6936">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519EF82B" w14:textId="77777777" w:rsidR="00BB6936" w:rsidRDefault="00BB6936" w:rsidP="00BB693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Using Handy’s (1993) typology, Severn Trent displays characteristics of both </w:t>
      </w:r>
      <w:r w:rsidRPr="007E46FA">
        <w:rPr>
          <w:rFonts w:ascii="Arial" w:eastAsia="Times New Roman" w:hAnsi="Arial" w:cs="Arial"/>
          <w:i/>
          <w:iCs/>
          <w:color w:val="000000"/>
          <w:kern w:val="0"/>
          <w:sz w:val="22"/>
          <w:szCs w:val="22"/>
          <w:lang w:eastAsia="en-GB"/>
          <w14:ligatures w14:val="none"/>
        </w:rPr>
        <w:t>role culture</w:t>
      </w:r>
      <w:r w:rsidRPr="007E46FA">
        <w:rPr>
          <w:rFonts w:ascii="Arial" w:eastAsia="Times New Roman" w:hAnsi="Arial" w:cs="Arial"/>
          <w:color w:val="000000"/>
          <w:kern w:val="0"/>
          <w:sz w:val="22"/>
          <w:szCs w:val="22"/>
          <w:lang w:eastAsia="en-GB"/>
          <w14:ligatures w14:val="none"/>
        </w:rPr>
        <w:t> and </w:t>
      </w:r>
      <w:r w:rsidRPr="007E46FA">
        <w:rPr>
          <w:rFonts w:ascii="Arial" w:eastAsia="Times New Roman" w:hAnsi="Arial" w:cs="Arial"/>
          <w:i/>
          <w:iCs/>
          <w:color w:val="000000"/>
          <w:kern w:val="0"/>
          <w:sz w:val="22"/>
          <w:szCs w:val="22"/>
          <w:lang w:eastAsia="en-GB"/>
          <w14:ligatures w14:val="none"/>
        </w:rPr>
        <w:t>task culture</w:t>
      </w:r>
      <w:r w:rsidRPr="007E46FA">
        <w:rPr>
          <w:rFonts w:ascii="Arial" w:eastAsia="Times New Roman" w:hAnsi="Arial" w:cs="Arial"/>
          <w:color w:val="000000"/>
          <w:kern w:val="0"/>
          <w:sz w:val="22"/>
          <w:szCs w:val="22"/>
          <w:lang w:eastAsia="en-GB"/>
          <w14:ligatures w14:val="none"/>
        </w:rPr>
        <w:t>. The highly regulated nature of the water industry necessitates clear roles, procedures, and compliance structures. However, the increasing importance of customer satisfaction, sustainability, and innovation has led to the development of cross-functional teams and project-based work, hallmarks of a task-oriented culture.</w:t>
      </w:r>
    </w:p>
    <w:p w14:paraId="37B41B60" w14:textId="77777777" w:rsidR="00BD5546" w:rsidRDefault="00BD5546" w:rsidP="00BB6936">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007AC47C" w14:textId="434A6E03" w:rsidR="00C82E0F" w:rsidRPr="00466F23" w:rsidRDefault="00C82E0F" w:rsidP="00BB6936">
      <w:pPr>
        <w:spacing w:before="100" w:beforeAutospacing="1" w:after="100" w:afterAutospacing="1"/>
        <w:jc w:val="both"/>
        <w:rPr>
          <w:rFonts w:ascii="Arial" w:eastAsia="Times New Roman" w:hAnsi="Arial" w:cs="Arial"/>
          <w:b/>
          <w:bCs/>
          <w:i/>
          <w:iCs/>
          <w:color w:val="000000"/>
          <w:kern w:val="0"/>
          <w:lang w:eastAsia="en-GB"/>
          <w14:ligatures w14:val="none"/>
        </w:rPr>
      </w:pPr>
      <w:r w:rsidRPr="00466F23">
        <w:rPr>
          <w:rFonts w:ascii="Arial" w:eastAsia="Times New Roman" w:hAnsi="Arial" w:cs="Arial"/>
          <w:b/>
          <w:bCs/>
          <w:i/>
          <w:iCs/>
          <w:color w:val="000000"/>
          <w:kern w:val="0"/>
          <w:lang w:eastAsia="en-GB"/>
          <w14:ligatures w14:val="none"/>
        </w:rPr>
        <w:t>Handy’s Cultural Types- Radar / Spider Chart</w:t>
      </w:r>
    </w:p>
    <w:tbl>
      <w:tblPr>
        <w:tblStyle w:val="TableGrid"/>
        <w:tblW w:w="0" w:type="auto"/>
        <w:tblLook w:val="04A0" w:firstRow="1" w:lastRow="0" w:firstColumn="1" w:lastColumn="0" w:noHBand="0" w:noVBand="1"/>
      </w:tblPr>
      <w:tblGrid>
        <w:gridCol w:w="4871"/>
        <w:gridCol w:w="4871"/>
      </w:tblGrid>
      <w:tr w:rsidR="00C82E0F" w14:paraId="4B58FB65" w14:textId="77777777" w:rsidTr="00C82E0F">
        <w:tc>
          <w:tcPr>
            <w:tcW w:w="4871" w:type="dxa"/>
          </w:tcPr>
          <w:p w14:paraId="7E3703C8" w14:textId="508F7586" w:rsidR="00C82E0F" w:rsidRPr="00C82E0F" w:rsidRDefault="00C82E0F" w:rsidP="00BB6936">
            <w:pPr>
              <w:spacing w:before="100" w:beforeAutospacing="1" w:after="100" w:afterAutospacing="1"/>
              <w:jc w:val="both"/>
              <w:rPr>
                <w:rFonts w:ascii="Arial" w:eastAsia="Times New Roman" w:hAnsi="Arial" w:cs="Arial"/>
                <w:b/>
                <w:bCs/>
                <w:color w:val="000000"/>
                <w:kern w:val="0"/>
                <w:sz w:val="22"/>
                <w:szCs w:val="22"/>
                <w:lang w:eastAsia="en-GB"/>
                <w14:ligatures w14:val="none"/>
              </w:rPr>
            </w:pPr>
            <w:r w:rsidRPr="00C82E0F">
              <w:rPr>
                <w:rFonts w:ascii="Arial" w:eastAsia="Times New Roman" w:hAnsi="Arial" w:cs="Arial"/>
                <w:b/>
                <w:bCs/>
                <w:color w:val="000000"/>
                <w:kern w:val="0"/>
                <w:sz w:val="22"/>
                <w:szCs w:val="22"/>
                <w:lang w:eastAsia="en-GB"/>
                <w14:ligatures w14:val="none"/>
              </w:rPr>
              <w:t>Culture Type</w:t>
            </w:r>
          </w:p>
        </w:tc>
        <w:tc>
          <w:tcPr>
            <w:tcW w:w="4871" w:type="dxa"/>
          </w:tcPr>
          <w:p w14:paraId="1F98FE1A" w14:textId="18008C91" w:rsidR="00C82E0F" w:rsidRPr="00C82E0F" w:rsidRDefault="00C82E0F" w:rsidP="00BB6936">
            <w:pPr>
              <w:spacing w:before="100" w:beforeAutospacing="1" w:after="100" w:afterAutospacing="1"/>
              <w:jc w:val="both"/>
              <w:rPr>
                <w:rFonts w:ascii="Arial" w:eastAsia="Times New Roman" w:hAnsi="Arial" w:cs="Arial"/>
                <w:b/>
                <w:bCs/>
                <w:color w:val="000000"/>
                <w:kern w:val="0"/>
                <w:sz w:val="22"/>
                <w:szCs w:val="22"/>
                <w:lang w:eastAsia="en-GB"/>
                <w14:ligatures w14:val="none"/>
              </w:rPr>
            </w:pPr>
            <w:r w:rsidRPr="00C82E0F">
              <w:rPr>
                <w:rFonts w:ascii="Arial" w:eastAsia="Times New Roman" w:hAnsi="Arial" w:cs="Arial"/>
                <w:b/>
                <w:bCs/>
                <w:color w:val="000000"/>
                <w:kern w:val="0"/>
                <w:sz w:val="22"/>
                <w:szCs w:val="22"/>
                <w:lang w:eastAsia="en-GB"/>
                <w14:ligatures w14:val="none"/>
              </w:rPr>
              <w:t>Score</w:t>
            </w:r>
          </w:p>
        </w:tc>
      </w:tr>
      <w:tr w:rsidR="00C82E0F" w14:paraId="6EDD0342" w14:textId="77777777" w:rsidTr="00C82E0F">
        <w:tc>
          <w:tcPr>
            <w:tcW w:w="4871" w:type="dxa"/>
          </w:tcPr>
          <w:p w14:paraId="2FB12444" w14:textId="2D4FBD1C" w:rsidR="00C82E0F" w:rsidRPr="00C82E0F" w:rsidRDefault="00C82E0F" w:rsidP="00BB6936">
            <w:pPr>
              <w:spacing w:before="100" w:beforeAutospacing="1" w:after="100" w:afterAutospacing="1"/>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Role</w:t>
            </w:r>
          </w:p>
        </w:tc>
        <w:tc>
          <w:tcPr>
            <w:tcW w:w="4871" w:type="dxa"/>
          </w:tcPr>
          <w:p w14:paraId="39C8FEA0" w14:textId="5D5941A8" w:rsidR="00C82E0F" w:rsidRPr="00C82E0F" w:rsidRDefault="00C82E0F" w:rsidP="00BB6936">
            <w:pPr>
              <w:spacing w:before="100" w:beforeAutospacing="1" w:after="100" w:afterAutospacing="1"/>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5</w:t>
            </w:r>
          </w:p>
        </w:tc>
      </w:tr>
      <w:tr w:rsidR="00C82E0F" w14:paraId="500CA7DB" w14:textId="77777777" w:rsidTr="00C82E0F">
        <w:tc>
          <w:tcPr>
            <w:tcW w:w="4871" w:type="dxa"/>
          </w:tcPr>
          <w:p w14:paraId="2FD2F197" w14:textId="6B41ACEA" w:rsidR="00C82E0F" w:rsidRPr="00C82E0F" w:rsidRDefault="00C82E0F" w:rsidP="00BB693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C82E0F">
              <w:rPr>
                <w:rFonts w:ascii="Arial" w:eastAsia="Times New Roman" w:hAnsi="Arial" w:cs="Arial"/>
                <w:color w:val="000000"/>
                <w:kern w:val="0"/>
                <w:sz w:val="22"/>
                <w:szCs w:val="22"/>
                <w:lang w:eastAsia="en-GB"/>
                <w14:ligatures w14:val="none"/>
              </w:rPr>
              <w:t>Task</w:t>
            </w:r>
          </w:p>
        </w:tc>
        <w:tc>
          <w:tcPr>
            <w:tcW w:w="4871" w:type="dxa"/>
          </w:tcPr>
          <w:p w14:paraId="4A8AF603" w14:textId="4438C058" w:rsidR="00C82E0F" w:rsidRPr="00C82E0F" w:rsidRDefault="00C82E0F" w:rsidP="00BB6936">
            <w:pPr>
              <w:spacing w:before="100" w:beforeAutospacing="1" w:after="100" w:afterAutospacing="1"/>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4</w:t>
            </w:r>
          </w:p>
        </w:tc>
      </w:tr>
      <w:tr w:rsidR="00C82E0F" w14:paraId="4EE7A9EF" w14:textId="77777777" w:rsidTr="00C82E0F">
        <w:tc>
          <w:tcPr>
            <w:tcW w:w="4871" w:type="dxa"/>
          </w:tcPr>
          <w:p w14:paraId="10906370" w14:textId="60EC6B15" w:rsidR="00C82E0F" w:rsidRPr="00C82E0F" w:rsidRDefault="00C82E0F" w:rsidP="00BB6936">
            <w:pPr>
              <w:spacing w:before="100" w:beforeAutospacing="1" w:after="100" w:afterAutospacing="1"/>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Power</w:t>
            </w:r>
          </w:p>
        </w:tc>
        <w:tc>
          <w:tcPr>
            <w:tcW w:w="4871" w:type="dxa"/>
          </w:tcPr>
          <w:p w14:paraId="0E43823A" w14:textId="2040F4CE" w:rsidR="00C82E0F" w:rsidRPr="00C82E0F" w:rsidRDefault="00C82E0F" w:rsidP="00BB6936">
            <w:pPr>
              <w:spacing w:before="100" w:beforeAutospacing="1" w:after="100" w:afterAutospacing="1"/>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2</w:t>
            </w:r>
          </w:p>
        </w:tc>
      </w:tr>
      <w:tr w:rsidR="00C82E0F" w14:paraId="07445329" w14:textId="77777777" w:rsidTr="00C82E0F">
        <w:tc>
          <w:tcPr>
            <w:tcW w:w="4871" w:type="dxa"/>
          </w:tcPr>
          <w:p w14:paraId="286F1EE0" w14:textId="04EEC41E" w:rsidR="00C82E0F" w:rsidRPr="00C82E0F" w:rsidRDefault="00C82E0F" w:rsidP="00BB693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C82E0F">
              <w:rPr>
                <w:rFonts w:ascii="Arial" w:eastAsia="Times New Roman" w:hAnsi="Arial" w:cs="Arial"/>
                <w:color w:val="000000"/>
                <w:kern w:val="0"/>
                <w:sz w:val="22"/>
                <w:szCs w:val="22"/>
                <w:lang w:eastAsia="en-GB"/>
                <w14:ligatures w14:val="none"/>
              </w:rPr>
              <w:t>Person</w:t>
            </w:r>
          </w:p>
        </w:tc>
        <w:tc>
          <w:tcPr>
            <w:tcW w:w="4871" w:type="dxa"/>
          </w:tcPr>
          <w:p w14:paraId="4A00442D" w14:textId="0152934A" w:rsidR="00C82E0F" w:rsidRPr="00C82E0F" w:rsidRDefault="00C82E0F" w:rsidP="00BB6936">
            <w:pPr>
              <w:spacing w:before="100" w:beforeAutospacing="1" w:after="100" w:afterAutospacing="1"/>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1</w:t>
            </w:r>
          </w:p>
        </w:tc>
      </w:tr>
    </w:tbl>
    <w:p w14:paraId="5BAD16AD" w14:textId="77777777" w:rsidR="00C82E0F" w:rsidRPr="007E46FA" w:rsidRDefault="00C82E0F" w:rsidP="00BB6936">
      <w:pPr>
        <w:spacing w:before="100" w:beforeAutospacing="1" w:after="100" w:afterAutospacing="1"/>
        <w:jc w:val="both"/>
        <w:rPr>
          <w:rFonts w:ascii="Arial" w:eastAsia="Times New Roman" w:hAnsi="Arial" w:cs="Arial"/>
          <w:color w:val="000000"/>
          <w:kern w:val="0"/>
          <w:sz w:val="22"/>
          <w:szCs w:val="22"/>
          <w:lang w:eastAsia="en-GB"/>
          <w14:ligatures w14:val="none"/>
        </w:rPr>
      </w:pPr>
    </w:p>
    <w:p w14:paraId="6794F3CE" w14:textId="043E817E" w:rsidR="00466F23" w:rsidRDefault="00BB6936" w:rsidP="00BB693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Hofstede’s (2010) cultural dimensions are also evidenced within Severn Trent. The company demonstrates a relatively low power distance, as employees are encouraged to contribute ideas (for example, through the company’s “Ideas Hub”). There is a high degree of uncertainty avoidance, driven by the need to comply with strict industry regulations and manage operational risks. Collectivism is evident in the emphasis on teamwork and shared achievements, while a long-term orientation is reflected in strategic investments in infrastructure and sustainability initiatives</w:t>
      </w:r>
    </w:p>
    <w:p w14:paraId="2E926CBD" w14:textId="477FF192" w:rsidR="004950D5" w:rsidRDefault="004950D5" w:rsidP="00BB6936">
      <w:pPr>
        <w:spacing w:before="100" w:beforeAutospacing="1" w:after="100" w:afterAutospacing="1"/>
        <w:jc w:val="both"/>
        <w:rPr>
          <w:rFonts w:ascii="Arial" w:eastAsia="Times New Roman" w:hAnsi="Arial" w:cs="Arial"/>
          <w:b/>
          <w:bCs/>
          <w:i/>
          <w:iCs/>
          <w:color w:val="000000"/>
          <w:kern w:val="0"/>
          <w:lang w:eastAsia="en-GB"/>
          <w14:ligatures w14:val="none"/>
        </w:rPr>
      </w:pPr>
      <w:r>
        <w:rPr>
          <w:rFonts w:ascii="Arial" w:eastAsia="Times New Roman" w:hAnsi="Arial" w:cs="Arial"/>
          <w:b/>
          <w:bCs/>
          <w:i/>
          <w:iCs/>
          <w:color w:val="000000"/>
          <w:kern w:val="0"/>
          <w:lang w:eastAsia="en-GB"/>
          <w14:ligatures w14:val="none"/>
        </w:rPr>
        <w:t>Hofstede’s Cultural Dimensions to Severn Trent – Bar Chart</w:t>
      </w:r>
    </w:p>
    <w:p w14:paraId="4FC3277E" w14:textId="1BEC0AD0" w:rsidR="004950D5" w:rsidRPr="004950D5" w:rsidRDefault="004950D5" w:rsidP="00BB6936">
      <w:pPr>
        <w:spacing w:before="100" w:beforeAutospacing="1" w:after="100" w:afterAutospacing="1"/>
        <w:jc w:val="both"/>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w:drawing>
          <wp:inline distT="0" distB="0" distL="0" distR="0" wp14:anchorId="496781CA" wp14:editId="0701FADC">
            <wp:extent cx="5486400" cy="3200400"/>
            <wp:effectExtent l="0" t="0" r="12700" b="12700"/>
            <wp:docPr id="185718157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AA6E678" w14:textId="77777777" w:rsidR="00BB6936" w:rsidRPr="007E46FA" w:rsidRDefault="00BB6936" w:rsidP="00BB693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The culture at Severn Trent supports adaptability and continuous improvement. For example, during the COVID-19 pandemic, the company rapidly implemented remote working and empowered frontline teams to make local decisions, reflecting a culture of trust and flexibility (Severn Trent, 2021). The adoption of digital technologies, such as smart metering and predictive analytics, further shows a forward-looking and innovative organisational culture.</w:t>
      </w:r>
    </w:p>
    <w:p w14:paraId="66C4052C" w14:textId="091B453B" w:rsidR="00BB6936" w:rsidRPr="00AE7CCE" w:rsidRDefault="00BB6936" w:rsidP="00AE7CCE">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In summary, Severn Trent Water’s organisational culture is a hybrid of stability and innovation, shaped by regulatory demands, public service values, and a forward-thinking approach to environmental and technological challenges. This culture allows the company to balance compliance with adaptability, ensuring both operational effectiveness and responsiveness to external change</w:t>
      </w:r>
      <w:r w:rsidR="00BD5546">
        <w:rPr>
          <w:rFonts w:ascii="Arial" w:eastAsia="Times New Roman" w:hAnsi="Arial" w:cs="Arial"/>
          <w:color w:val="000000"/>
          <w:kern w:val="0"/>
          <w:sz w:val="22"/>
          <w:szCs w:val="22"/>
          <w:lang w:eastAsia="en-GB"/>
          <w14:ligatures w14:val="none"/>
        </w:rPr>
        <w:t>.</w:t>
      </w:r>
    </w:p>
    <w:p w14:paraId="5AE02253" w14:textId="6A4D9622" w:rsidR="00D11672" w:rsidRDefault="00D11672">
      <w:pPr>
        <w:rPr>
          <w:rFonts w:ascii="Arial" w:hAnsi="Arial" w:cs="Arial"/>
          <w:b/>
          <w:bCs/>
          <w:sz w:val="28"/>
          <w:szCs w:val="28"/>
        </w:rPr>
      </w:pPr>
      <w:r>
        <w:rPr>
          <w:rFonts w:ascii="Arial" w:hAnsi="Arial" w:cs="Arial"/>
          <w:b/>
          <w:bCs/>
          <w:sz w:val="28"/>
          <w:szCs w:val="28"/>
        </w:rPr>
        <w:lastRenderedPageBreak/>
        <w:t>Influence of Culture on Structure and Decision-Making</w:t>
      </w:r>
    </w:p>
    <w:p w14:paraId="7A97BB09" w14:textId="77777777" w:rsidR="00EE1B7E" w:rsidRPr="007E46FA" w:rsidRDefault="00EE1B7E" w:rsidP="00EE1B7E">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Organisational culture is often described as “the way things are done around here” (Mullins and Christy, 2016, p. 574). At Severn Trent Water, organisational culture significantly influences both the formal structure and the decision-making processes.</w:t>
      </w:r>
    </w:p>
    <w:p w14:paraId="29EF378A" w14:textId="77777777" w:rsidR="00EE1B7E" w:rsidRPr="007E46FA" w:rsidRDefault="00EE1B7E" w:rsidP="00EE1B7E">
      <w:pPr>
        <w:spacing w:before="100" w:beforeAutospacing="1" w:after="100" w:afterAutospacing="1"/>
        <w:jc w:val="both"/>
        <w:outlineLvl w:val="2"/>
        <w:rPr>
          <w:rFonts w:ascii="Arial" w:eastAsia="Times New Roman" w:hAnsi="Arial" w:cs="Arial"/>
          <w:b/>
          <w:bCs/>
          <w:color w:val="000000"/>
          <w:kern w:val="0"/>
          <w:sz w:val="22"/>
          <w:szCs w:val="22"/>
          <w:lang w:eastAsia="en-GB"/>
          <w14:ligatures w14:val="none"/>
        </w:rPr>
      </w:pPr>
      <w:r w:rsidRPr="007E46FA">
        <w:rPr>
          <w:rFonts w:ascii="Arial" w:eastAsia="Times New Roman" w:hAnsi="Arial" w:cs="Arial"/>
          <w:b/>
          <w:bCs/>
          <w:i/>
          <w:iCs/>
          <w:color w:val="000000"/>
          <w:kern w:val="0"/>
          <w:sz w:val="22"/>
          <w:szCs w:val="22"/>
          <w:lang w:eastAsia="en-GB"/>
          <w14:ligatures w14:val="none"/>
        </w:rPr>
        <w:t>Influence on Structure,</w:t>
      </w:r>
      <w:r w:rsidRPr="007E46FA">
        <w:rPr>
          <w:rFonts w:ascii="Arial" w:eastAsia="Times New Roman" w:hAnsi="Arial" w:cs="Arial"/>
          <w:b/>
          <w:bCs/>
          <w:color w:val="000000"/>
          <w:kern w:val="0"/>
          <w:sz w:val="22"/>
          <w:szCs w:val="22"/>
          <w:lang w:eastAsia="en-GB"/>
          <w14:ligatures w14:val="none"/>
        </w:rPr>
        <w:t xml:space="preserve"> </w:t>
      </w:r>
      <w:r w:rsidRPr="007E46FA">
        <w:rPr>
          <w:rFonts w:ascii="Arial" w:eastAsia="Times New Roman" w:hAnsi="Arial" w:cs="Arial"/>
          <w:color w:val="000000"/>
          <w:kern w:val="0"/>
          <w:sz w:val="22"/>
          <w:szCs w:val="22"/>
          <w:lang w:eastAsia="en-GB"/>
          <w14:ligatures w14:val="none"/>
        </w:rPr>
        <w:t>Severn Trent Water adopts a categorised yet increasingly flexible structure, mirroring an industry shift towards decentralisation and sensitivity to regulatory and customer demands (Ofwat, 2022). The culture emphasises transparency, accountability, and service orientation, which supports a structure where clear lines of responsibility are balanced by cross-functional collaboration.</w:t>
      </w:r>
    </w:p>
    <w:p w14:paraId="593278EE" w14:textId="77777777" w:rsidR="00EE1B7E" w:rsidRPr="007E46FA" w:rsidRDefault="00EE1B7E" w:rsidP="00EE1B7E">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According to Schein (2010), organisational culture shapes structure by embedding shared assumptions about authority, roles, and communication. In Severn Trent Water, a culture of safety, environmental stewardship, and customer focus has led to the creation of specialist teams (e.g., sustainability, innovation) alongside traditional operational departments.</w:t>
      </w:r>
    </w:p>
    <w:p w14:paraId="00562D76" w14:textId="77777777" w:rsidR="00EE1B7E" w:rsidRPr="007E46FA" w:rsidRDefault="00EE1B7E" w:rsidP="00EE1B7E">
      <w:pPr>
        <w:spacing w:before="100" w:beforeAutospacing="1" w:after="100" w:afterAutospacing="1"/>
        <w:jc w:val="both"/>
        <w:outlineLvl w:val="2"/>
        <w:rPr>
          <w:rFonts w:ascii="Arial" w:eastAsia="Times New Roman" w:hAnsi="Arial" w:cs="Arial"/>
          <w:b/>
          <w:bCs/>
          <w:i/>
          <w:iCs/>
          <w:color w:val="000000"/>
          <w:kern w:val="0"/>
          <w:sz w:val="22"/>
          <w:szCs w:val="22"/>
          <w:lang w:eastAsia="en-GB"/>
          <w14:ligatures w14:val="none"/>
        </w:rPr>
      </w:pPr>
      <w:r w:rsidRPr="007E46FA">
        <w:rPr>
          <w:rFonts w:ascii="Arial" w:eastAsia="Times New Roman" w:hAnsi="Arial" w:cs="Arial"/>
          <w:b/>
          <w:bCs/>
          <w:i/>
          <w:iCs/>
          <w:color w:val="000000"/>
          <w:kern w:val="0"/>
          <w:sz w:val="22"/>
          <w:szCs w:val="22"/>
          <w:lang w:eastAsia="en-GB"/>
          <w14:ligatures w14:val="none"/>
        </w:rPr>
        <w:t xml:space="preserve">Influence on Decision-Making, </w:t>
      </w:r>
      <w:r w:rsidRPr="007E46FA">
        <w:rPr>
          <w:rFonts w:ascii="Arial" w:eastAsia="Times New Roman" w:hAnsi="Arial" w:cs="Arial"/>
          <w:color w:val="000000"/>
          <w:kern w:val="0"/>
          <w:sz w:val="22"/>
          <w:szCs w:val="22"/>
          <w:lang w:eastAsia="en-GB"/>
          <w14:ligatures w14:val="none"/>
        </w:rPr>
        <w:t>Decision-making at Severn Trent Water is influenced by a collective culture that values data-driven approaches and stakeholder engagement. The company regularly consults with regulatory bodies, customers, and employees before making strategic decisions (Severn Trent, 2023). This participative approach can be linked to a “task culture” (Handy, 1993), where effectiveness is achieved through team-based problem-solving.</w:t>
      </w:r>
    </w:p>
    <w:p w14:paraId="52302008" w14:textId="138B026D" w:rsidR="00BB6936" w:rsidRPr="00BD5546" w:rsidRDefault="00EE1B7E" w:rsidP="00BD5546">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The culture encourages motivation at multiple levels, with managers and frontline staff given autonomy to address issues proactively. However, compliance with strict industry regulations means that some decisions remain focused, reflecting a blend of control and flexibility.</w:t>
      </w:r>
    </w:p>
    <w:p w14:paraId="441F4E9C" w14:textId="70821B4C" w:rsidR="00D11672" w:rsidRDefault="00D11672">
      <w:pPr>
        <w:rPr>
          <w:rFonts w:ascii="Arial" w:hAnsi="Arial" w:cs="Arial"/>
          <w:b/>
          <w:bCs/>
          <w:sz w:val="28"/>
          <w:szCs w:val="28"/>
        </w:rPr>
      </w:pPr>
      <w:r>
        <w:rPr>
          <w:rFonts w:ascii="Arial" w:hAnsi="Arial" w:cs="Arial"/>
          <w:b/>
          <w:bCs/>
          <w:sz w:val="28"/>
          <w:szCs w:val="28"/>
        </w:rPr>
        <w:t>Identifying Cultural Types: Models of Frameworks</w:t>
      </w:r>
    </w:p>
    <w:p w14:paraId="2508D609" w14:textId="77777777" w:rsidR="00CB45AC" w:rsidRPr="007E46FA" w:rsidRDefault="00CB45AC" w:rsidP="00CB45AC">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46FA">
        <w:rPr>
          <w:rFonts w:ascii="Arial" w:eastAsia="Times New Roman" w:hAnsi="Arial" w:cs="Arial"/>
          <w:b/>
          <w:bCs/>
          <w:i/>
          <w:iCs/>
          <w:color w:val="000000"/>
          <w:kern w:val="0"/>
          <w:sz w:val="22"/>
          <w:szCs w:val="22"/>
          <w:lang w:eastAsia="en-GB"/>
          <w14:ligatures w14:val="none"/>
        </w:rPr>
        <w:t>Schein’s Model of Organisational Culture</w:t>
      </w:r>
      <w:r w:rsidRPr="007E46FA">
        <w:rPr>
          <w:rFonts w:ascii="Arial" w:eastAsia="Times New Roman" w:hAnsi="Arial" w:cs="Arial"/>
          <w:color w:val="000000"/>
          <w:kern w:val="0"/>
          <w:sz w:val="22"/>
          <w:szCs w:val="22"/>
          <w:lang w:eastAsia="en-GB"/>
          <w14:ligatures w14:val="none"/>
        </w:rPr>
        <w:t xml:space="preserve">, Schein (2010) conceptualises organisational culture at three levels: artefacts, espoused values, and basic underlying assumptions. </w:t>
      </w:r>
      <w:r w:rsidRPr="007E46FA">
        <w:rPr>
          <w:rFonts w:ascii="Arial" w:eastAsia="Times New Roman" w:hAnsi="Arial" w:cs="Arial"/>
          <w:b/>
          <w:bCs/>
          <w:i/>
          <w:iCs/>
          <w:color w:val="000000"/>
          <w:kern w:val="0"/>
          <w:sz w:val="22"/>
          <w:szCs w:val="22"/>
          <w:lang w:eastAsia="en-GB"/>
          <w14:ligatures w14:val="none"/>
        </w:rPr>
        <w:t>Artefacts:</w:t>
      </w:r>
      <w:r w:rsidRPr="007E46FA">
        <w:rPr>
          <w:rFonts w:ascii="Arial" w:eastAsia="Times New Roman" w:hAnsi="Arial" w:cs="Arial"/>
          <w:color w:val="000000"/>
          <w:kern w:val="0"/>
          <w:sz w:val="22"/>
          <w:szCs w:val="22"/>
          <w:lang w:eastAsia="en-GB"/>
          <w14:ligatures w14:val="none"/>
        </w:rPr>
        <w:t xml:space="preserve"> At Severn Trent Water, artefacts are readily visible in the form of sustainability awards prominently displayed at headquarters, comprehensive safety protocols implemented across all sites, and customer service initiatives such as the “Customer Promise”—a set of publicly advertised commitments to service quality and rapid response times. For instance, Severn Trent’s visible participation in the annual “Green Apple Awards” for environmental best practice exemplifies its external recognition for sustainability. </w:t>
      </w:r>
      <w:r w:rsidRPr="007E46FA">
        <w:rPr>
          <w:rFonts w:ascii="Arial" w:eastAsia="Times New Roman" w:hAnsi="Arial" w:cs="Arial"/>
          <w:b/>
          <w:bCs/>
          <w:i/>
          <w:iCs/>
          <w:color w:val="000000"/>
          <w:kern w:val="0"/>
          <w:sz w:val="22"/>
          <w:szCs w:val="22"/>
          <w:lang w:eastAsia="en-GB"/>
          <w14:ligatures w14:val="none"/>
        </w:rPr>
        <w:t>Espoused Values:</w:t>
      </w:r>
      <w:r w:rsidRPr="007E46FA">
        <w:rPr>
          <w:rFonts w:ascii="Arial" w:eastAsia="Times New Roman" w:hAnsi="Arial" w:cs="Arial"/>
          <w:color w:val="000000"/>
          <w:kern w:val="0"/>
          <w:sz w:val="22"/>
          <w:szCs w:val="22"/>
          <w:lang w:eastAsia="en-GB"/>
          <w14:ligatures w14:val="none"/>
        </w:rPr>
        <w:t xml:space="preserve"> The company’s mission statements and public communications emphasise a commitment to environmental sustainability, reliability, and customer service (Severn Trent, 2023). This is reflected in strategic investments like the “Green Recovery” programme and customer engagement campaigns, including regular “Customer Voice” forums where feedback is actively sought and used to shape service improvements. </w:t>
      </w:r>
      <w:r w:rsidRPr="007E46FA">
        <w:rPr>
          <w:rFonts w:ascii="Arial" w:eastAsia="Times New Roman" w:hAnsi="Arial" w:cs="Arial"/>
          <w:b/>
          <w:bCs/>
          <w:i/>
          <w:iCs/>
          <w:color w:val="000000"/>
          <w:kern w:val="0"/>
          <w:sz w:val="22"/>
          <w:szCs w:val="22"/>
          <w:lang w:eastAsia="en-GB"/>
          <w14:ligatures w14:val="none"/>
        </w:rPr>
        <w:t>Basic Underlying Assumptions:</w:t>
      </w:r>
      <w:r w:rsidRPr="007E46FA">
        <w:rPr>
          <w:rFonts w:ascii="Arial" w:eastAsia="Times New Roman" w:hAnsi="Arial" w:cs="Arial"/>
          <w:color w:val="000000"/>
          <w:kern w:val="0"/>
          <w:sz w:val="22"/>
          <w:szCs w:val="22"/>
          <w:lang w:eastAsia="en-GB"/>
          <w14:ligatures w14:val="none"/>
        </w:rPr>
        <w:t> At the deepest level, Severn Trent operates on the belief in public service, long-term stewardship of natural resources, and the importance of continuous innovation. This is evident in its long-term infrastructure planning, such as the 25-year water resource management strategy, and its willingness to pilot new technologies to improve efficiency and sustainability.</w:t>
      </w:r>
    </w:p>
    <w:p w14:paraId="6436211D" w14:textId="77777777" w:rsidR="00CB45AC" w:rsidRPr="007E46FA" w:rsidRDefault="00CB45AC" w:rsidP="00CB45AC">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46FA">
        <w:rPr>
          <w:rFonts w:ascii="Arial" w:eastAsia="Times New Roman" w:hAnsi="Arial" w:cs="Arial"/>
          <w:b/>
          <w:bCs/>
          <w:i/>
          <w:iCs/>
          <w:color w:val="000000"/>
          <w:kern w:val="0"/>
          <w:sz w:val="22"/>
          <w:szCs w:val="22"/>
          <w:lang w:eastAsia="en-GB"/>
          <w14:ligatures w14:val="none"/>
        </w:rPr>
        <w:t>Hofstede’s Cultural Dimensions</w:t>
      </w:r>
      <w:r w:rsidRPr="007E46FA">
        <w:rPr>
          <w:rFonts w:ascii="Arial" w:eastAsia="Times New Roman" w:hAnsi="Arial" w:cs="Arial"/>
          <w:i/>
          <w:iCs/>
          <w:color w:val="000000"/>
          <w:kern w:val="0"/>
          <w:sz w:val="22"/>
          <w:szCs w:val="22"/>
          <w:lang w:eastAsia="en-GB"/>
          <w14:ligatures w14:val="none"/>
        </w:rPr>
        <w:t>,</w:t>
      </w:r>
      <w:r w:rsidRPr="007E46FA">
        <w:rPr>
          <w:rFonts w:ascii="Arial" w:eastAsia="Times New Roman" w:hAnsi="Arial" w:cs="Arial"/>
          <w:color w:val="000000"/>
          <w:kern w:val="0"/>
          <w:sz w:val="22"/>
          <w:szCs w:val="22"/>
          <w:lang w:eastAsia="en-GB"/>
          <w14:ligatures w14:val="none"/>
        </w:rPr>
        <w:t xml:space="preserve"> Applying Hofstede’s framework (Hofstede et al., 2010), several dimensions are evident within Severn Trent Water’s culture: </w:t>
      </w:r>
      <w:r w:rsidRPr="007E46FA">
        <w:rPr>
          <w:rFonts w:ascii="Arial" w:eastAsia="Times New Roman" w:hAnsi="Arial" w:cs="Arial"/>
          <w:b/>
          <w:bCs/>
          <w:i/>
          <w:iCs/>
          <w:color w:val="000000"/>
          <w:kern w:val="0"/>
          <w:sz w:val="22"/>
          <w:szCs w:val="22"/>
          <w:lang w:eastAsia="en-GB"/>
          <w14:ligatures w14:val="none"/>
        </w:rPr>
        <w:t>Low Power Distance:</w:t>
      </w:r>
      <w:r w:rsidRPr="007E46FA">
        <w:rPr>
          <w:rFonts w:ascii="Arial" w:eastAsia="Times New Roman" w:hAnsi="Arial" w:cs="Arial"/>
          <w:color w:val="000000"/>
          <w:kern w:val="0"/>
          <w:sz w:val="22"/>
          <w:szCs w:val="22"/>
          <w:lang w:eastAsia="en-GB"/>
          <w14:ligatures w14:val="none"/>
        </w:rPr>
        <w:t xml:space="preserve"> The company encourages open communication and employee engagement through regular “town hall” meetings led by senior management, and an “Ideas Hub” platform where employees at all levels can propose innovations or highlight operational issues. One example is the successful adoption of several frontline staff suggestions for efficiency improvements in water treatment processes. </w:t>
      </w:r>
      <w:r w:rsidRPr="007E46FA">
        <w:rPr>
          <w:rFonts w:ascii="Arial" w:eastAsia="Times New Roman" w:hAnsi="Arial" w:cs="Arial"/>
          <w:b/>
          <w:bCs/>
          <w:i/>
          <w:iCs/>
          <w:color w:val="000000"/>
          <w:kern w:val="0"/>
          <w:sz w:val="22"/>
          <w:szCs w:val="22"/>
          <w:lang w:eastAsia="en-GB"/>
          <w14:ligatures w14:val="none"/>
        </w:rPr>
        <w:t>High Uncertainty Avoidance:</w:t>
      </w:r>
      <w:r w:rsidRPr="007E46FA">
        <w:rPr>
          <w:rFonts w:ascii="Arial" w:eastAsia="Times New Roman" w:hAnsi="Arial" w:cs="Arial"/>
          <w:color w:val="000000"/>
          <w:kern w:val="0"/>
          <w:sz w:val="22"/>
          <w:szCs w:val="22"/>
          <w:lang w:eastAsia="en-GB"/>
          <w14:ligatures w14:val="none"/>
        </w:rPr>
        <w:t xml:space="preserve"> There is a strong emphasis on risk management and compliance, reflected </w:t>
      </w:r>
      <w:r w:rsidRPr="007E46FA">
        <w:rPr>
          <w:rFonts w:ascii="Arial" w:eastAsia="Times New Roman" w:hAnsi="Arial" w:cs="Arial"/>
          <w:color w:val="000000"/>
          <w:kern w:val="0"/>
          <w:sz w:val="22"/>
          <w:szCs w:val="22"/>
          <w:lang w:eastAsia="en-GB"/>
          <w14:ligatures w14:val="none"/>
        </w:rPr>
        <w:lastRenderedPageBreak/>
        <w:t xml:space="preserve">in extensive scenario planning, the use of predictive analytics to mitigate operational risks, and strict adherence to regulatory standards. </w:t>
      </w:r>
      <w:r w:rsidRPr="007E46FA">
        <w:rPr>
          <w:rFonts w:ascii="Arial" w:eastAsia="Times New Roman" w:hAnsi="Arial" w:cs="Arial"/>
          <w:b/>
          <w:bCs/>
          <w:i/>
          <w:iCs/>
          <w:color w:val="000000"/>
          <w:kern w:val="0"/>
          <w:sz w:val="22"/>
          <w:szCs w:val="22"/>
          <w:lang w:eastAsia="en-GB"/>
          <w14:ligatures w14:val="none"/>
        </w:rPr>
        <w:t>Collectivism:</w:t>
      </w:r>
      <w:r w:rsidRPr="007E46FA">
        <w:rPr>
          <w:rFonts w:ascii="Arial" w:eastAsia="Times New Roman" w:hAnsi="Arial" w:cs="Arial"/>
          <w:color w:val="000000"/>
          <w:kern w:val="0"/>
          <w:sz w:val="22"/>
          <w:szCs w:val="22"/>
          <w:lang w:eastAsia="en-GB"/>
          <w14:ligatures w14:val="none"/>
        </w:rPr>
        <w:t xml:space="preserve"> Teamwork and collaboration are highly valued, as shown by the formation of multidisciplinary project teams for initiatives like the roll-out of smart meters or biodiversity projects. Staff achievements are often celebrated collectively, such as the “Team of the Month” awards. </w:t>
      </w:r>
      <w:r w:rsidRPr="007E46FA">
        <w:rPr>
          <w:rFonts w:ascii="Arial" w:eastAsia="Times New Roman" w:hAnsi="Arial" w:cs="Arial"/>
          <w:b/>
          <w:bCs/>
          <w:color w:val="000000"/>
          <w:kern w:val="0"/>
          <w:sz w:val="22"/>
          <w:szCs w:val="22"/>
          <w:lang w:eastAsia="en-GB"/>
          <w14:ligatures w14:val="none"/>
        </w:rPr>
        <w:t>Long-Term Orientation:</w:t>
      </w:r>
      <w:r w:rsidRPr="007E46FA">
        <w:rPr>
          <w:rFonts w:ascii="Arial" w:eastAsia="Times New Roman" w:hAnsi="Arial" w:cs="Arial"/>
          <w:color w:val="000000"/>
          <w:kern w:val="0"/>
          <w:sz w:val="22"/>
          <w:szCs w:val="22"/>
          <w:lang w:eastAsia="en-GB"/>
          <w14:ligatures w14:val="none"/>
        </w:rPr>
        <w:t> The company’s strategic focus on sustainability is evident in multi-decade infrastructure investments, such as the “Great Big Nature Boost” campaign, which aims to improve 5,000 kilometres of rivers by 2027, and in partnerships with environmental agencies for long-term watershed management.</w:t>
      </w:r>
    </w:p>
    <w:p w14:paraId="0BA146AE" w14:textId="77777777" w:rsidR="00CB45AC" w:rsidRPr="007E46FA" w:rsidRDefault="00CB45AC" w:rsidP="00CB45AC">
      <w:pPr>
        <w:spacing w:before="100" w:beforeAutospacing="1" w:after="100" w:afterAutospacing="1"/>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These dimensions reinforce a culture that is both people-oriented—valuing staff and community—and process-driven, with clear systems for risk management and compliance.</w:t>
      </w:r>
    </w:p>
    <w:p w14:paraId="5BC80F89" w14:textId="766E94C1" w:rsidR="00CB45AC" w:rsidRPr="007E46FA" w:rsidRDefault="00CB45AC" w:rsidP="00480A5A">
      <w:pPr>
        <w:spacing w:before="100" w:beforeAutospacing="1" w:after="100" w:afterAutospacing="1"/>
        <w:jc w:val="both"/>
        <w:rPr>
          <w:rFonts w:ascii="Arial" w:eastAsia="Times New Roman" w:hAnsi="Arial" w:cs="Arial"/>
          <w:i/>
          <w:iCs/>
          <w:color w:val="000000"/>
          <w:kern w:val="0"/>
          <w:sz w:val="22"/>
          <w:szCs w:val="22"/>
          <w:lang w:eastAsia="en-GB"/>
          <w14:ligatures w14:val="none"/>
        </w:rPr>
      </w:pPr>
      <w:r w:rsidRPr="007E46FA">
        <w:rPr>
          <w:rFonts w:ascii="Arial" w:eastAsia="Times New Roman" w:hAnsi="Arial" w:cs="Arial"/>
          <w:b/>
          <w:bCs/>
          <w:i/>
          <w:iCs/>
          <w:color w:val="000000"/>
          <w:kern w:val="0"/>
          <w:sz w:val="22"/>
          <w:szCs w:val="22"/>
          <w:lang w:eastAsia="en-GB"/>
          <w14:ligatures w14:val="none"/>
        </w:rPr>
        <w:t>Handy’s Cultural Types</w:t>
      </w:r>
      <w:r w:rsidRPr="007E46FA">
        <w:rPr>
          <w:rFonts w:ascii="Arial" w:eastAsia="Times New Roman" w:hAnsi="Arial" w:cs="Arial"/>
          <w:color w:val="000000"/>
          <w:kern w:val="0"/>
          <w:sz w:val="22"/>
          <w:szCs w:val="22"/>
          <w:lang w:eastAsia="en-GB"/>
          <w14:ligatures w14:val="none"/>
        </w:rPr>
        <w:t>, Handy (1993) identifies four cultural types: power, role, task, and person cultures. Severn Trent Water predominantly exhibits a </w:t>
      </w:r>
      <w:r w:rsidRPr="007E46FA">
        <w:rPr>
          <w:rFonts w:ascii="Arial" w:eastAsia="Times New Roman" w:hAnsi="Arial" w:cs="Arial"/>
          <w:i/>
          <w:iCs/>
          <w:color w:val="000000"/>
          <w:kern w:val="0"/>
          <w:sz w:val="22"/>
          <w:szCs w:val="22"/>
          <w:lang w:eastAsia="en-GB"/>
          <w14:ligatures w14:val="none"/>
        </w:rPr>
        <w:t xml:space="preserve">hybrid of task and role culture: </w:t>
      </w:r>
      <w:r w:rsidRPr="007E46FA">
        <w:rPr>
          <w:rFonts w:ascii="Arial" w:eastAsia="Times New Roman" w:hAnsi="Arial" w:cs="Arial"/>
          <w:b/>
          <w:bCs/>
          <w:i/>
          <w:iCs/>
          <w:color w:val="000000"/>
          <w:kern w:val="0"/>
          <w:sz w:val="22"/>
          <w:szCs w:val="22"/>
          <w:lang w:eastAsia="en-GB"/>
          <w14:ligatures w14:val="none"/>
        </w:rPr>
        <w:t>Role Culture:</w:t>
      </w:r>
      <w:r w:rsidRPr="007E46FA">
        <w:rPr>
          <w:rFonts w:ascii="Arial" w:eastAsia="Times New Roman" w:hAnsi="Arial" w:cs="Arial"/>
          <w:color w:val="000000"/>
          <w:kern w:val="0"/>
          <w:sz w:val="22"/>
          <w:szCs w:val="22"/>
          <w:lang w:eastAsia="en-GB"/>
          <w14:ligatures w14:val="none"/>
        </w:rPr>
        <w:t> Structured roles and formal procedures are essential for regulatory compliance and operational consistency. For example, the company’s strict adherence to Ofwat reporting requirements and the clear delineation of responsibilities within compliance and safety teams reflect a strong role culture</w:t>
      </w:r>
      <w:r w:rsidRPr="007E46FA">
        <w:rPr>
          <w:rFonts w:ascii="Arial" w:eastAsia="Times New Roman" w:hAnsi="Arial" w:cs="Arial"/>
          <w:i/>
          <w:iCs/>
          <w:color w:val="000000"/>
          <w:kern w:val="0"/>
          <w:sz w:val="22"/>
          <w:szCs w:val="22"/>
          <w:lang w:eastAsia="en-GB"/>
          <w14:ligatures w14:val="none"/>
        </w:rPr>
        <w:t xml:space="preserve">. </w:t>
      </w:r>
      <w:r w:rsidRPr="007E46FA">
        <w:rPr>
          <w:rFonts w:ascii="Arial" w:eastAsia="Times New Roman" w:hAnsi="Arial" w:cs="Arial"/>
          <w:b/>
          <w:bCs/>
          <w:i/>
          <w:iCs/>
          <w:color w:val="000000"/>
          <w:kern w:val="0"/>
          <w:sz w:val="22"/>
          <w:szCs w:val="22"/>
          <w:lang w:eastAsia="en-GB"/>
          <w14:ligatures w14:val="none"/>
        </w:rPr>
        <w:t>Task Culture:</w:t>
      </w:r>
      <w:r w:rsidRPr="007E46FA">
        <w:rPr>
          <w:rFonts w:ascii="Arial" w:eastAsia="Times New Roman" w:hAnsi="Arial" w:cs="Arial"/>
          <w:color w:val="000000"/>
          <w:kern w:val="0"/>
          <w:sz w:val="22"/>
          <w:szCs w:val="22"/>
          <w:lang w:eastAsia="en-GB"/>
          <w14:ligatures w14:val="none"/>
        </w:rPr>
        <w:t xml:space="preserve"> Simultaneously, Severn Trent fosters cross-functional project teams to deliver on innovation and customer service initiatives. The “Digital Accelerator” team, comprising IT specialists, engineers, and customer service staff, was pivotal in rolling out predictive maintenance technologies across the network. These project-based groups are empowered to solve </w:t>
      </w:r>
    </w:p>
    <w:p w14:paraId="3F6ED9CB" w14:textId="00EF1CED" w:rsidR="00480A5A" w:rsidRPr="00A86320" w:rsidRDefault="00480A5A" w:rsidP="00A86320">
      <w:pPr>
        <w:spacing w:before="100" w:beforeAutospacing="1" w:after="100" w:afterAutospacing="1"/>
        <w:jc w:val="both"/>
        <w:rPr>
          <w:rFonts w:ascii="Arial" w:eastAsia="Times New Roman" w:hAnsi="Arial" w:cs="Arial"/>
          <w:i/>
          <w:iCs/>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problems and drive change quickly.</w:t>
      </w:r>
      <w:r w:rsidRPr="007E46FA">
        <w:rPr>
          <w:rFonts w:ascii="Arial" w:eastAsia="Times New Roman" w:hAnsi="Arial" w:cs="Arial"/>
          <w:i/>
          <w:iCs/>
          <w:color w:val="000000"/>
          <w:kern w:val="0"/>
          <w:sz w:val="22"/>
          <w:szCs w:val="22"/>
          <w:lang w:eastAsia="en-GB"/>
          <w14:ligatures w14:val="none"/>
        </w:rPr>
        <w:t xml:space="preserve"> </w:t>
      </w:r>
      <w:r w:rsidRPr="007E46FA">
        <w:rPr>
          <w:rFonts w:ascii="Arial" w:eastAsia="Times New Roman" w:hAnsi="Arial" w:cs="Arial"/>
          <w:b/>
          <w:bCs/>
          <w:i/>
          <w:iCs/>
          <w:color w:val="000000"/>
          <w:kern w:val="0"/>
          <w:sz w:val="22"/>
          <w:szCs w:val="22"/>
          <w:lang w:eastAsia="en-GB"/>
          <w14:ligatures w14:val="none"/>
        </w:rPr>
        <w:t>Prevailing Culture</w:t>
      </w:r>
      <w:r w:rsidRPr="007E46FA">
        <w:rPr>
          <w:rFonts w:ascii="Arial" w:eastAsia="Times New Roman" w:hAnsi="Arial" w:cs="Arial"/>
          <w:b/>
          <w:bCs/>
          <w:color w:val="000000"/>
          <w:kern w:val="0"/>
          <w:sz w:val="22"/>
          <w:szCs w:val="22"/>
          <w:lang w:eastAsia="en-GB"/>
          <w14:ligatures w14:val="none"/>
        </w:rPr>
        <w:t>:</w:t>
      </w:r>
      <w:r>
        <w:rPr>
          <w:rFonts w:ascii="Arial" w:eastAsia="Times New Roman" w:hAnsi="Arial" w:cs="Arial"/>
          <w:color w:val="000000"/>
          <w:kern w:val="0"/>
          <w:sz w:val="22"/>
          <w:szCs w:val="22"/>
          <w:lang w:eastAsia="en-GB"/>
          <w14:ligatures w14:val="none"/>
        </w:rPr>
        <w:t xml:space="preserve"> I</w:t>
      </w:r>
      <w:r w:rsidRPr="007E46FA">
        <w:rPr>
          <w:rFonts w:ascii="Arial" w:eastAsia="Times New Roman" w:hAnsi="Arial" w:cs="Arial"/>
          <w:color w:val="000000"/>
          <w:kern w:val="0"/>
          <w:sz w:val="22"/>
          <w:szCs w:val="22"/>
          <w:lang w:eastAsia="en-GB"/>
          <w14:ligatures w14:val="none"/>
        </w:rPr>
        <w:t>n summary, the prevailing culture at Severn Trent Water can best be described as a </w:t>
      </w:r>
      <w:r w:rsidRPr="007E46FA">
        <w:rPr>
          <w:rFonts w:ascii="Arial" w:eastAsia="Times New Roman" w:hAnsi="Arial" w:cs="Arial"/>
          <w:b/>
          <w:bCs/>
          <w:color w:val="000000"/>
          <w:kern w:val="0"/>
          <w:sz w:val="22"/>
          <w:szCs w:val="22"/>
          <w:lang w:eastAsia="en-GB"/>
          <w14:ligatures w14:val="none"/>
        </w:rPr>
        <w:t>task/role hybrid</w:t>
      </w:r>
      <w:r w:rsidRPr="007E46FA">
        <w:rPr>
          <w:rFonts w:ascii="Arial" w:eastAsia="Times New Roman" w:hAnsi="Arial" w:cs="Arial"/>
          <w:color w:val="000000"/>
          <w:kern w:val="0"/>
          <w:sz w:val="22"/>
          <w:szCs w:val="22"/>
          <w:lang w:eastAsia="en-GB"/>
          <w14:ligatures w14:val="none"/>
        </w:rPr>
        <w:t>. This cultural blend underpins the company’s ability to meet stringent regulatory standards while driving change, innovation, and customer focus—ensuring both stability in operations and adaptability to evolving challenges.</w:t>
      </w:r>
    </w:p>
    <w:p w14:paraId="16BF9621" w14:textId="3CFD994C" w:rsidR="00D11672" w:rsidRDefault="00D11672">
      <w:pPr>
        <w:rPr>
          <w:rFonts w:ascii="Arial" w:hAnsi="Arial" w:cs="Arial"/>
          <w:b/>
          <w:bCs/>
          <w:sz w:val="28"/>
          <w:szCs w:val="28"/>
        </w:rPr>
      </w:pPr>
      <w:r>
        <w:rPr>
          <w:rFonts w:ascii="Arial" w:hAnsi="Arial" w:cs="Arial"/>
          <w:b/>
          <w:bCs/>
          <w:sz w:val="28"/>
          <w:szCs w:val="28"/>
        </w:rPr>
        <w:t>Culture and the External Environment</w:t>
      </w:r>
    </w:p>
    <w:p w14:paraId="4F128E2B" w14:textId="0BD2C84E" w:rsidR="00CE7903" w:rsidRPr="007E46FA" w:rsidRDefault="00CE7903" w:rsidP="00CE7903">
      <w:pPr>
        <w:pStyle w:val="gds-typography"/>
        <w:jc w:val="both"/>
        <w:rPr>
          <w:rFonts w:ascii="Arial" w:hAnsi="Arial" w:cs="Arial"/>
          <w:color w:val="000000"/>
          <w:sz w:val="22"/>
          <w:szCs w:val="22"/>
        </w:rPr>
      </w:pPr>
      <w:r w:rsidRPr="007E46FA">
        <w:rPr>
          <w:rFonts w:ascii="Arial" w:hAnsi="Arial" w:cs="Arial"/>
          <w:color w:val="000000"/>
          <w:sz w:val="22"/>
          <w:szCs w:val="22"/>
        </w:rPr>
        <w:t>Severn Trent Water runs within a highly regulated, customer-centric environment, where it must continuously respond to the complex interplay of regulatory demands, environmental pressures, and growing customer expectations. The organisation’s culture of compliance and transparency ensures rigorous alignment with Ofwat regulations and government policies (Ofwat, 2022). For instance, in response to Ofwat’s Service Delivery Incentive Scheme (SDIS), Severn Trent introduced mandatory regulatory training for all employees in 2021, designed to ensure that staff at every level understand compliance requirements. Additionally, the company conducts quarterly internal audits and issues transparent performance data in its annual and sustainability reports, which detail growth in leakage reduction, water quality, and customer service targets (Severn Trent Annual Report, 2023). This open reporting not only reinforces a culture of accountability but also strengthens trust with regulators and the public.</w:t>
      </w:r>
    </w:p>
    <w:p w14:paraId="1D078CD7" w14:textId="1AC42682" w:rsidR="007207A0" w:rsidRPr="007E46FA" w:rsidRDefault="00CE7903" w:rsidP="00CE7903">
      <w:pPr>
        <w:pStyle w:val="gds-typography"/>
        <w:jc w:val="both"/>
        <w:rPr>
          <w:rFonts w:ascii="Arial" w:hAnsi="Arial" w:cs="Arial"/>
          <w:color w:val="000000"/>
          <w:sz w:val="22"/>
          <w:szCs w:val="22"/>
        </w:rPr>
      </w:pPr>
      <w:r w:rsidRPr="007E46FA">
        <w:rPr>
          <w:rFonts w:ascii="Arial" w:hAnsi="Arial" w:cs="Arial"/>
          <w:color w:val="000000"/>
          <w:sz w:val="22"/>
          <w:szCs w:val="22"/>
        </w:rPr>
        <w:t>Beyond regulatory adaptation, Severn Trent Water’s strong commitment to sustainability is evident in its ambitious “Green Recovery” programme, launched in 2021 in partnership with government and NGOs. This initiative saw the company invest over £560 million in projects such as the restoration of 5,000 hectares of peatlands to improve biodiversity and carbon capture, as well as the creation of new wetland habitats and natural flood management schemes. The company has also launched “River Rangers”—dedicated teams working with local communities to monitor water quality and raise environmental awareness. These actions are supported by regular community consultations and educational outreach, demonstrating how Severn Trent’s culture extends beyond compliance to proactive environmental stewardship (Severn Trent, 2023).</w:t>
      </w:r>
    </w:p>
    <w:p w14:paraId="325054E0" w14:textId="77777777" w:rsidR="00CE7903" w:rsidRPr="007E46FA" w:rsidRDefault="00CE7903" w:rsidP="00CE7903">
      <w:pPr>
        <w:pStyle w:val="gds-typography"/>
        <w:jc w:val="both"/>
        <w:rPr>
          <w:rFonts w:ascii="Arial" w:hAnsi="Arial" w:cs="Arial"/>
          <w:color w:val="000000"/>
          <w:sz w:val="22"/>
          <w:szCs w:val="22"/>
        </w:rPr>
      </w:pPr>
      <w:r w:rsidRPr="007E46FA">
        <w:rPr>
          <w:rFonts w:ascii="Arial" w:hAnsi="Arial" w:cs="Arial"/>
          <w:color w:val="000000"/>
          <w:sz w:val="22"/>
          <w:szCs w:val="22"/>
        </w:rPr>
        <w:t xml:space="preserve">Furthermore, Severn Trent Water’s culture actively encourages innovation and embraces digital transformation. For example, the rollout of over 300,000 smart meters since 2022 has enabled more accurate water usage tracking and faster leak detection, resulting in significant reductions in water </w:t>
      </w:r>
      <w:r w:rsidRPr="007E46FA">
        <w:rPr>
          <w:rFonts w:ascii="Arial" w:hAnsi="Arial" w:cs="Arial"/>
          <w:color w:val="000000"/>
          <w:sz w:val="22"/>
          <w:szCs w:val="22"/>
        </w:rPr>
        <w:lastRenderedPageBreak/>
        <w:t>loss. The company has also implemented predictive maintenance systems using artificial intelligence, which analyse real-time sensor data from water treatment facilities to identify equipment failures before they occur (Water UK, 2022). Strategic partnerships with technology providers such as IBM and the formation of agile, cross-disciplinary “digital squads” have accelerated the adoption of these technologies. In 2023, Severn Trent’s “Innovation Accelerator” programme brought together engineers, data scientists, and external experts to pilot new solutions for wastewater treatment, further demonstrating the company’s learning-oriented and adaptive culture.</w:t>
      </w:r>
    </w:p>
    <w:p w14:paraId="62544981" w14:textId="7035558F" w:rsidR="007207A0" w:rsidRPr="00A86320" w:rsidRDefault="00CE7903" w:rsidP="00A86320">
      <w:pPr>
        <w:pStyle w:val="gds-typography"/>
        <w:jc w:val="both"/>
        <w:rPr>
          <w:rFonts w:ascii="Arial" w:hAnsi="Arial" w:cs="Arial"/>
          <w:color w:val="000000"/>
          <w:sz w:val="22"/>
          <w:szCs w:val="22"/>
        </w:rPr>
      </w:pPr>
      <w:r w:rsidRPr="007E46FA">
        <w:rPr>
          <w:rFonts w:ascii="Arial" w:hAnsi="Arial" w:cs="Arial"/>
          <w:color w:val="000000"/>
          <w:sz w:val="22"/>
          <w:szCs w:val="22"/>
        </w:rPr>
        <w:t>Collectively, these cultural attributes and proposals enable Severn Trent Water to remain highly responsive and competitive in a rapidly evolving sector. By integrating regulatory excellence, environmental leadership, and technological innovation into its core culture, Severn Trent not only meets the immediate demands of its operating environment but also positions itself as a forward-thinking industry leader prepared for future challenges.</w:t>
      </w:r>
    </w:p>
    <w:p w14:paraId="1435583B" w14:textId="4CB970FC" w:rsidR="008268D5" w:rsidRDefault="00D11672" w:rsidP="008268D5">
      <w:pPr>
        <w:rPr>
          <w:rFonts w:ascii="Arial" w:hAnsi="Arial" w:cs="Arial"/>
          <w:b/>
          <w:bCs/>
          <w:sz w:val="28"/>
          <w:szCs w:val="28"/>
        </w:rPr>
      </w:pPr>
      <w:r>
        <w:rPr>
          <w:rFonts w:ascii="Arial" w:hAnsi="Arial" w:cs="Arial"/>
          <w:b/>
          <w:bCs/>
          <w:sz w:val="28"/>
          <w:szCs w:val="28"/>
        </w:rPr>
        <w:t>Organisational Culture as a Barrier</w:t>
      </w:r>
    </w:p>
    <w:p w14:paraId="35D7D3AB" w14:textId="359AF1A7" w:rsidR="008268D5" w:rsidRPr="007E46FA" w:rsidRDefault="008268D5" w:rsidP="008268D5">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Despite these strengths, certain aspects of Severn Trent’s culture can hinder agility and innovation. The company’s strong compliance orientation, necessary for meeting regulatory requirements, may foster bureaucracy and slow decision-making (Mullins and Christy, 2016). Handy (1993) notes that role cultures, characterised by formal procedures, can stifle creativity and responsiveness if not balanced by elements of task or adhocracy culture.</w:t>
      </w:r>
    </w:p>
    <w:p w14:paraId="33E00862" w14:textId="77777777" w:rsidR="008268D5" w:rsidRPr="007E46FA" w:rsidRDefault="008268D5" w:rsidP="008268D5">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Additionally, a deeply embedded focus on safety and compliance can result in resistance to radical change. Employees accustomed to established routines may be reluctant to adopt disruptive innovations, particularly when such changes challenge long-standing norms or perceived job security (Kotter and Heskett, 1992). This cultural inertia can inhibit the organisation’s ability to respond swiftly to external threats or opportunities.</w:t>
      </w:r>
    </w:p>
    <w:p w14:paraId="38DC5898" w14:textId="77777777" w:rsidR="006A3E45" w:rsidRPr="007E46FA" w:rsidRDefault="006A3E45" w:rsidP="006A3E45">
      <w:pPr>
        <w:pStyle w:val="gds-typography"/>
        <w:jc w:val="both"/>
        <w:rPr>
          <w:rFonts w:ascii="Arial" w:hAnsi="Arial" w:cs="Arial"/>
          <w:color w:val="000000"/>
          <w:sz w:val="22"/>
          <w:szCs w:val="22"/>
        </w:rPr>
      </w:pPr>
      <w:r w:rsidRPr="007E46FA">
        <w:rPr>
          <w:rFonts w:ascii="Arial" w:hAnsi="Arial" w:cs="Arial"/>
          <w:color w:val="000000"/>
          <w:sz w:val="22"/>
          <w:szCs w:val="22"/>
        </w:rPr>
        <w:t>Handy’s (1993) structure suggests that when role cultures dominate, creativity and responsiveness may be hindered if not corrected by task or adhocracy elements. In Severn Trent’s case, cross-functional innovation teams have been established, but their initiatives occasionally encounter resistance from departments more accustomed to traditional, compliance-driven processes. For instance, efforts to rapidly deploy new digital tools in operations have sometimes stalled as proposals became entangled in prolonged risk assessments and compliance checks, illustrating how a compliance-focused culture can slow innovation.</w:t>
      </w:r>
    </w:p>
    <w:p w14:paraId="09F6BBE8" w14:textId="77777777" w:rsidR="006A3E45" w:rsidRPr="007E46FA" w:rsidRDefault="006A3E45" w:rsidP="006A3E45">
      <w:pPr>
        <w:pStyle w:val="gds-typography"/>
        <w:jc w:val="both"/>
        <w:rPr>
          <w:rFonts w:ascii="Arial" w:hAnsi="Arial" w:cs="Arial"/>
          <w:color w:val="000000"/>
          <w:sz w:val="22"/>
          <w:szCs w:val="22"/>
        </w:rPr>
      </w:pPr>
      <w:r w:rsidRPr="007E46FA">
        <w:rPr>
          <w:rFonts w:ascii="Arial" w:hAnsi="Arial" w:cs="Arial"/>
          <w:color w:val="000000"/>
          <w:sz w:val="22"/>
          <w:szCs w:val="22"/>
        </w:rPr>
        <w:t>Additionally, the organisation’s deeply embedded focus on safety and regulatory compliance can result in resistance to radical change. Employees who have spent years adhering to strict protocols may be wary of disruptive advances, especially if these challenge deeply ingrained routines or threaten perceived job security (Kotter and Heskett, 1992). A notable example occurred during the introduction of remote monitoring technologies for wastewater treatment plants in 2022. Some frontline staff expressed concerns about the implications for their roles and were hesitant to embrace the new systems, requiring significant change management efforts and encouragement from leadership before adoption rates improved.</w:t>
      </w:r>
    </w:p>
    <w:p w14:paraId="0D98FC09" w14:textId="4109ABA1" w:rsidR="006A3E45" w:rsidRPr="007E46FA" w:rsidRDefault="006A3E45" w:rsidP="006A3E45">
      <w:pPr>
        <w:pStyle w:val="gds-typography"/>
        <w:jc w:val="both"/>
        <w:rPr>
          <w:rFonts w:ascii="Arial" w:hAnsi="Arial" w:cs="Arial"/>
          <w:color w:val="000000"/>
          <w:sz w:val="22"/>
          <w:szCs w:val="22"/>
        </w:rPr>
      </w:pPr>
      <w:r w:rsidRPr="007E46FA">
        <w:rPr>
          <w:rFonts w:ascii="Arial" w:hAnsi="Arial" w:cs="Arial"/>
          <w:color w:val="000000"/>
          <w:sz w:val="22"/>
          <w:szCs w:val="22"/>
        </w:rPr>
        <w:t>This kind of cultural inertia can inhibit Severn Trent’s capacity to respond swiftly to external threats or opportunities. For example, while other leading water utilities quickly piloted advanced AI-based leak detection technologies, Severn Trent’s cautious, compliance-oriented approach meant that its own pilots proceeded more slowly, potentially delaying the realisation of operational efficiencies and customer benefits. Such events underscore the importance of balancing the necessary strengths of a compliance culture with the agility and openness required to transform and adapt in a rapidly changing sector.</w:t>
      </w:r>
    </w:p>
    <w:p w14:paraId="2C220589" w14:textId="2C0B3A39" w:rsidR="007E46FA" w:rsidRPr="00697D58" w:rsidRDefault="007E46FA" w:rsidP="006A3E45">
      <w:pPr>
        <w:pStyle w:val="gds-typography"/>
        <w:jc w:val="both"/>
        <w:rPr>
          <w:rFonts w:ascii="Arial" w:hAnsi="Arial" w:cs="Arial"/>
          <w:b/>
          <w:bCs/>
          <w:i/>
          <w:iCs/>
          <w:color w:val="000000"/>
        </w:rPr>
      </w:pPr>
      <w:r w:rsidRPr="00697D58">
        <w:rPr>
          <w:rFonts w:ascii="Arial" w:hAnsi="Arial" w:cs="Arial"/>
          <w:b/>
          <w:bCs/>
          <w:i/>
          <w:iCs/>
          <w:color w:val="000000"/>
        </w:rPr>
        <w:lastRenderedPageBreak/>
        <w:t>SWOT Analysis Culture Focused</w:t>
      </w:r>
    </w:p>
    <w:tbl>
      <w:tblPr>
        <w:tblStyle w:val="TableGrid"/>
        <w:tblW w:w="0" w:type="auto"/>
        <w:tblLook w:val="04A0" w:firstRow="1" w:lastRow="0" w:firstColumn="1" w:lastColumn="0" w:noHBand="0" w:noVBand="1"/>
      </w:tblPr>
      <w:tblGrid>
        <w:gridCol w:w="4871"/>
        <w:gridCol w:w="4871"/>
      </w:tblGrid>
      <w:tr w:rsidR="007E46FA" w14:paraId="5ADA841C" w14:textId="77777777" w:rsidTr="007E46FA">
        <w:tc>
          <w:tcPr>
            <w:tcW w:w="4871" w:type="dxa"/>
          </w:tcPr>
          <w:p w14:paraId="15382246" w14:textId="5A504FE1" w:rsidR="007E46FA" w:rsidRPr="007E46FA" w:rsidRDefault="007E46FA" w:rsidP="006A3E45">
            <w:pPr>
              <w:pStyle w:val="gds-typography"/>
              <w:jc w:val="both"/>
              <w:rPr>
                <w:rFonts w:ascii="Arial" w:hAnsi="Arial" w:cs="Arial"/>
                <w:b/>
                <w:bCs/>
                <w:color w:val="000000"/>
                <w:sz w:val="22"/>
                <w:szCs w:val="22"/>
              </w:rPr>
            </w:pPr>
            <w:r>
              <w:rPr>
                <w:rFonts w:ascii="Arial" w:hAnsi="Arial" w:cs="Arial"/>
                <w:b/>
                <w:bCs/>
                <w:color w:val="000000"/>
                <w:sz w:val="22"/>
                <w:szCs w:val="22"/>
              </w:rPr>
              <w:t>Strengths</w:t>
            </w:r>
          </w:p>
        </w:tc>
        <w:tc>
          <w:tcPr>
            <w:tcW w:w="4871" w:type="dxa"/>
          </w:tcPr>
          <w:p w14:paraId="258783DD" w14:textId="0625FA2D" w:rsidR="007E46FA" w:rsidRPr="007E46FA" w:rsidRDefault="007E46FA" w:rsidP="006A3E45">
            <w:pPr>
              <w:pStyle w:val="gds-typography"/>
              <w:jc w:val="both"/>
              <w:rPr>
                <w:rFonts w:ascii="Arial" w:hAnsi="Arial" w:cs="Arial"/>
                <w:b/>
                <w:bCs/>
                <w:color w:val="000000"/>
                <w:sz w:val="23"/>
                <w:szCs w:val="23"/>
              </w:rPr>
            </w:pPr>
            <w:r w:rsidRPr="007E46FA">
              <w:rPr>
                <w:rFonts w:ascii="Arial" w:hAnsi="Arial" w:cs="Arial"/>
                <w:b/>
                <w:bCs/>
                <w:color w:val="000000"/>
                <w:sz w:val="23"/>
                <w:szCs w:val="23"/>
              </w:rPr>
              <w:t>Weaknesses</w:t>
            </w:r>
          </w:p>
        </w:tc>
      </w:tr>
      <w:tr w:rsidR="007E46FA" w14:paraId="6ED0F96A" w14:textId="77777777" w:rsidTr="007E46FA">
        <w:tc>
          <w:tcPr>
            <w:tcW w:w="4871" w:type="dxa"/>
          </w:tcPr>
          <w:p w14:paraId="0C0B0350" w14:textId="2508471A" w:rsidR="007E46FA" w:rsidRDefault="007E46FA" w:rsidP="006A3E45">
            <w:pPr>
              <w:pStyle w:val="gds-typography"/>
              <w:jc w:val="both"/>
              <w:rPr>
                <w:rFonts w:ascii="Arial" w:hAnsi="Arial" w:cs="Arial"/>
                <w:color w:val="000000"/>
                <w:sz w:val="23"/>
                <w:szCs w:val="23"/>
              </w:rPr>
            </w:pPr>
            <w:r>
              <w:rPr>
                <w:rFonts w:ascii="Arial" w:hAnsi="Arial" w:cs="Arial"/>
                <w:color w:val="000000"/>
                <w:sz w:val="23"/>
                <w:szCs w:val="23"/>
              </w:rPr>
              <w:t>Strong Ethics</w:t>
            </w:r>
          </w:p>
        </w:tc>
        <w:tc>
          <w:tcPr>
            <w:tcW w:w="4871" w:type="dxa"/>
          </w:tcPr>
          <w:p w14:paraId="1D8ABF13" w14:textId="0220C89A" w:rsidR="007E46FA" w:rsidRDefault="007E46FA" w:rsidP="006A3E45">
            <w:pPr>
              <w:pStyle w:val="gds-typography"/>
              <w:jc w:val="both"/>
              <w:rPr>
                <w:rFonts w:ascii="Arial" w:hAnsi="Arial" w:cs="Arial"/>
                <w:color w:val="000000"/>
                <w:sz w:val="23"/>
                <w:szCs w:val="23"/>
              </w:rPr>
            </w:pPr>
            <w:r>
              <w:rPr>
                <w:rFonts w:ascii="Arial" w:hAnsi="Arial" w:cs="Arial"/>
                <w:color w:val="000000"/>
                <w:sz w:val="23"/>
                <w:szCs w:val="23"/>
              </w:rPr>
              <w:t>Bureaucracy</w:t>
            </w:r>
          </w:p>
        </w:tc>
      </w:tr>
      <w:tr w:rsidR="007E46FA" w14:paraId="4E2AABAA" w14:textId="77777777" w:rsidTr="007E46FA">
        <w:tc>
          <w:tcPr>
            <w:tcW w:w="4871" w:type="dxa"/>
          </w:tcPr>
          <w:p w14:paraId="61FD5C94" w14:textId="3F0306A3" w:rsidR="007E46FA" w:rsidRDefault="007E46FA" w:rsidP="006A3E45">
            <w:pPr>
              <w:pStyle w:val="gds-typography"/>
              <w:jc w:val="both"/>
              <w:rPr>
                <w:rFonts w:ascii="Arial" w:hAnsi="Arial" w:cs="Arial"/>
                <w:color w:val="000000"/>
                <w:sz w:val="23"/>
                <w:szCs w:val="23"/>
              </w:rPr>
            </w:pPr>
            <w:r>
              <w:rPr>
                <w:rFonts w:ascii="Arial" w:hAnsi="Arial" w:cs="Arial"/>
                <w:color w:val="000000"/>
                <w:sz w:val="23"/>
                <w:szCs w:val="23"/>
              </w:rPr>
              <w:t>Sustainability</w:t>
            </w:r>
          </w:p>
        </w:tc>
        <w:tc>
          <w:tcPr>
            <w:tcW w:w="4871" w:type="dxa"/>
          </w:tcPr>
          <w:p w14:paraId="4FD58A62" w14:textId="0574B03F" w:rsidR="007E46FA" w:rsidRDefault="007E46FA" w:rsidP="006A3E45">
            <w:pPr>
              <w:pStyle w:val="gds-typography"/>
              <w:jc w:val="both"/>
              <w:rPr>
                <w:rFonts w:ascii="Arial" w:hAnsi="Arial" w:cs="Arial"/>
                <w:color w:val="000000"/>
                <w:sz w:val="23"/>
                <w:szCs w:val="23"/>
              </w:rPr>
            </w:pPr>
            <w:r>
              <w:rPr>
                <w:rFonts w:ascii="Arial" w:hAnsi="Arial" w:cs="Arial"/>
                <w:color w:val="000000"/>
                <w:sz w:val="23"/>
                <w:szCs w:val="23"/>
              </w:rPr>
              <w:t xml:space="preserve">Slow Decisions </w:t>
            </w:r>
          </w:p>
        </w:tc>
      </w:tr>
      <w:tr w:rsidR="007E46FA" w14:paraId="56FACD6A" w14:textId="77777777" w:rsidTr="007E46FA">
        <w:tc>
          <w:tcPr>
            <w:tcW w:w="4871" w:type="dxa"/>
          </w:tcPr>
          <w:p w14:paraId="56087F55" w14:textId="3DEEBFB9" w:rsidR="007E46FA" w:rsidRDefault="007E46FA" w:rsidP="006A3E45">
            <w:pPr>
              <w:pStyle w:val="gds-typography"/>
              <w:jc w:val="both"/>
              <w:rPr>
                <w:rFonts w:ascii="Arial" w:hAnsi="Arial" w:cs="Arial"/>
                <w:color w:val="000000"/>
                <w:sz w:val="23"/>
                <w:szCs w:val="23"/>
              </w:rPr>
            </w:pPr>
            <w:r>
              <w:rPr>
                <w:rFonts w:ascii="Arial" w:hAnsi="Arial" w:cs="Arial"/>
                <w:color w:val="000000"/>
                <w:sz w:val="23"/>
                <w:szCs w:val="23"/>
              </w:rPr>
              <w:t>Innovation</w:t>
            </w:r>
          </w:p>
        </w:tc>
        <w:tc>
          <w:tcPr>
            <w:tcW w:w="4871" w:type="dxa"/>
          </w:tcPr>
          <w:p w14:paraId="1F09D345" w14:textId="75868333" w:rsidR="007E46FA" w:rsidRDefault="007E46FA" w:rsidP="006A3E45">
            <w:pPr>
              <w:pStyle w:val="gds-typography"/>
              <w:jc w:val="both"/>
              <w:rPr>
                <w:rFonts w:ascii="Arial" w:hAnsi="Arial" w:cs="Arial"/>
                <w:color w:val="000000"/>
                <w:sz w:val="23"/>
                <w:szCs w:val="23"/>
              </w:rPr>
            </w:pPr>
            <w:r>
              <w:rPr>
                <w:rFonts w:ascii="Arial" w:hAnsi="Arial" w:cs="Arial"/>
                <w:color w:val="000000"/>
                <w:sz w:val="23"/>
                <w:szCs w:val="23"/>
              </w:rPr>
              <w:t>Resistance to change</w:t>
            </w:r>
          </w:p>
        </w:tc>
      </w:tr>
      <w:tr w:rsidR="007E46FA" w14:paraId="2F060E67" w14:textId="77777777" w:rsidTr="007E46FA">
        <w:tc>
          <w:tcPr>
            <w:tcW w:w="4871" w:type="dxa"/>
          </w:tcPr>
          <w:p w14:paraId="098483C0" w14:textId="457C8F16" w:rsidR="007E46FA" w:rsidRDefault="007E46FA" w:rsidP="006A3E45">
            <w:pPr>
              <w:pStyle w:val="gds-typography"/>
              <w:jc w:val="both"/>
              <w:rPr>
                <w:rFonts w:ascii="Arial" w:hAnsi="Arial" w:cs="Arial"/>
                <w:b/>
                <w:bCs/>
                <w:color w:val="000000"/>
                <w:sz w:val="23"/>
                <w:szCs w:val="23"/>
              </w:rPr>
            </w:pPr>
            <w:r>
              <w:rPr>
                <w:rFonts w:ascii="Arial" w:hAnsi="Arial" w:cs="Arial"/>
                <w:b/>
                <w:bCs/>
                <w:color w:val="000000"/>
                <w:sz w:val="23"/>
                <w:szCs w:val="23"/>
              </w:rPr>
              <w:t>Opportunities</w:t>
            </w:r>
          </w:p>
        </w:tc>
        <w:tc>
          <w:tcPr>
            <w:tcW w:w="4871" w:type="dxa"/>
          </w:tcPr>
          <w:p w14:paraId="3BBF2548" w14:textId="215CAD7C" w:rsidR="007E46FA" w:rsidRPr="007E46FA" w:rsidRDefault="007E46FA" w:rsidP="006A3E45">
            <w:pPr>
              <w:pStyle w:val="gds-typography"/>
              <w:jc w:val="both"/>
              <w:rPr>
                <w:rFonts w:ascii="Arial" w:hAnsi="Arial" w:cs="Arial"/>
                <w:b/>
                <w:bCs/>
                <w:color w:val="000000"/>
                <w:sz w:val="23"/>
                <w:szCs w:val="23"/>
              </w:rPr>
            </w:pPr>
            <w:r>
              <w:rPr>
                <w:rFonts w:ascii="Arial" w:hAnsi="Arial" w:cs="Arial"/>
                <w:b/>
                <w:bCs/>
                <w:color w:val="000000"/>
                <w:sz w:val="23"/>
                <w:szCs w:val="23"/>
              </w:rPr>
              <w:t>Threats</w:t>
            </w:r>
          </w:p>
        </w:tc>
      </w:tr>
      <w:tr w:rsidR="007E46FA" w14:paraId="7E93A94F" w14:textId="77777777" w:rsidTr="007E46FA">
        <w:tc>
          <w:tcPr>
            <w:tcW w:w="4871" w:type="dxa"/>
          </w:tcPr>
          <w:p w14:paraId="21A44ABD" w14:textId="4CF548F8" w:rsidR="007E46FA" w:rsidRPr="007E46FA" w:rsidRDefault="007E46FA" w:rsidP="006A3E45">
            <w:pPr>
              <w:pStyle w:val="gds-typography"/>
              <w:jc w:val="both"/>
              <w:rPr>
                <w:rFonts w:ascii="Arial" w:hAnsi="Arial" w:cs="Arial"/>
                <w:color w:val="000000"/>
                <w:sz w:val="23"/>
                <w:szCs w:val="23"/>
              </w:rPr>
            </w:pPr>
            <w:r>
              <w:rPr>
                <w:rFonts w:ascii="Arial" w:hAnsi="Arial" w:cs="Arial"/>
                <w:color w:val="000000"/>
                <w:sz w:val="23"/>
                <w:szCs w:val="23"/>
              </w:rPr>
              <w:t>AI</w:t>
            </w:r>
          </w:p>
        </w:tc>
        <w:tc>
          <w:tcPr>
            <w:tcW w:w="4871" w:type="dxa"/>
          </w:tcPr>
          <w:p w14:paraId="36D40369" w14:textId="4A8C0BCE" w:rsidR="007E46FA" w:rsidRPr="00BF2113" w:rsidRDefault="00BF2113" w:rsidP="006A3E45">
            <w:pPr>
              <w:pStyle w:val="gds-typography"/>
              <w:jc w:val="both"/>
              <w:rPr>
                <w:rFonts w:ascii="Arial" w:hAnsi="Arial" w:cs="Arial"/>
                <w:color w:val="000000"/>
                <w:sz w:val="23"/>
                <w:szCs w:val="23"/>
              </w:rPr>
            </w:pPr>
            <w:r>
              <w:rPr>
                <w:rFonts w:ascii="Arial" w:hAnsi="Arial" w:cs="Arial"/>
                <w:color w:val="000000"/>
                <w:sz w:val="23"/>
                <w:szCs w:val="23"/>
              </w:rPr>
              <w:t>Climate Change</w:t>
            </w:r>
          </w:p>
        </w:tc>
      </w:tr>
      <w:tr w:rsidR="007E46FA" w14:paraId="39902489" w14:textId="77777777" w:rsidTr="007E46FA">
        <w:tc>
          <w:tcPr>
            <w:tcW w:w="4871" w:type="dxa"/>
          </w:tcPr>
          <w:p w14:paraId="70500275" w14:textId="59173FE5" w:rsidR="007E46FA" w:rsidRPr="00BF2113" w:rsidRDefault="00BF2113" w:rsidP="006A3E45">
            <w:pPr>
              <w:pStyle w:val="gds-typography"/>
              <w:jc w:val="both"/>
              <w:rPr>
                <w:rFonts w:ascii="Arial" w:hAnsi="Arial" w:cs="Arial"/>
                <w:color w:val="000000"/>
                <w:sz w:val="23"/>
                <w:szCs w:val="23"/>
              </w:rPr>
            </w:pPr>
            <w:r w:rsidRPr="00BF2113">
              <w:rPr>
                <w:rFonts w:ascii="Arial" w:hAnsi="Arial" w:cs="Arial"/>
                <w:color w:val="000000"/>
                <w:sz w:val="23"/>
                <w:szCs w:val="23"/>
              </w:rPr>
              <w:t>Digitalisation</w:t>
            </w:r>
          </w:p>
        </w:tc>
        <w:tc>
          <w:tcPr>
            <w:tcW w:w="4871" w:type="dxa"/>
          </w:tcPr>
          <w:p w14:paraId="487B343F" w14:textId="2E0A758F" w:rsidR="007E46FA" w:rsidRPr="00BF2113" w:rsidRDefault="00BF2113" w:rsidP="006A3E45">
            <w:pPr>
              <w:pStyle w:val="gds-typography"/>
              <w:jc w:val="both"/>
              <w:rPr>
                <w:rFonts w:ascii="Arial" w:hAnsi="Arial" w:cs="Arial"/>
                <w:color w:val="000000"/>
                <w:sz w:val="23"/>
                <w:szCs w:val="23"/>
              </w:rPr>
            </w:pPr>
            <w:r>
              <w:rPr>
                <w:rFonts w:ascii="Arial" w:hAnsi="Arial" w:cs="Arial"/>
                <w:color w:val="000000"/>
                <w:sz w:val="23"/>
                <w:szCs w:val="23"/>
              </w:rPr>
              <w:t>Regulation</w:t>
            </w:r>
          </w:p>
        </w:tc>
      </w:tr>
      <w:tr w:rsidR="007E46FA" w14:paraId="083CD6D3" w14:textId="77777777" w:rsidTr="007E46FA">
        <w:tc>
          <w:tcPr>
            <w:tcW w:w="4871" w:type="dxa"/>
          </w:tcPr>
          <w:p w14:paraId="6EA7430E" w14:textId="2CEB8B03" w:rsidR="007E46FA" w:rsidRPr="00BF2113" w:rsidRDefault="00BF2113" w:rsidP="006A3E45">
            <w:pPr>
              <w:pStyle w:val="gds-typography"/>
              <w:jc w:val="both"/>
              <w:rPr>
                <w:rFonts w:ascii="Arial" w:hAnsi="Arial" w:cs="Arial"/>
                <w:color w:val="000000"/>
                <w:sz w:val="23"/>
                <w:szCs w:val="23"/>
              </w:rPr>
            </w:pPr>
            <w:r w:rsidRPr="00BF2113">
              <w:rPr>
                <w:rFonts w:ascii="Arial" w:hAnsi="Arial" w:cs="Arial"/>
                <w:color w:val="000000"/>
                <w:sz w:val="23"/>
                <w:szCs w:val="23"/>
              </w:rPr>
              <w:t>Smart Metering</w:t>
            </w:r>
          </w:p>
        </w:tc>
        <w:tc>
          <w:tcPr>
            <w:tcW w:w="4871" w:type="dxa"/>
          </w:tcPr>
          <w:p w14:paraId="21C47157" w14:textId="0E45D1D6" w:rsidR="007E46FA" w:rsidRPr="00BF2113" w:rsidRDefault="00BF2113" w:rsidP="006A3E45">
            <w:pPr>
              <w:pStyle w:val="gds-typography"/>
              <w:jc w:val="both"/>
              <w:rPr>
                <w:rFonts w:ascii="Arial" w:hAnsi="Arial" w:cs="Arial"/>
                <w:color w:val="000000"/>
                <w:sz w:val="23"/>
                <w:szCs w:val="23"/>
              </w:rPr>
            </w:pPr>
            <w:r>
              <w:rPr>
                <w:rFonts w:ascii="Arial" w:hAnsi="Arial" w:cs="Arial"/>
                <w:color w:val="000000"/>
                <w:sz w:val="23"/>
                <w:szCs w:val="23"/>
              </w:rPr>
              <w:t>Customer Expectation</w:t>
            </w:r>
          </w:p>
        </w:tc>
      </w:tr>
    </w:tbl>
    <w:p w14:paraId="3AF3BA49" w14:textId="77777777" w:rsidR="006A3E45" w:rsidRPr="006A3E45" w:rsidRDefault="006A3E45" w:rsidP="006A3E45">
      <w:pPr>
        <w:pStyle w:val="gds-typography"/>
        <w:jc w:val="both"/>
        <w:rPr>
          <w:rFonts w:ascii="Arial" w:hAnsi="Arial" w:cs="Arial"/>
          <w:color w:val="000000"/>
          <w:sz w:val="23"/>
          <w:szCs w:val="23"/>
        </w:rPr>
      </w:pPr>
    </w:p>
    <w:p w14:paraId="31CC42EB" w14:textId="2267AEEB" w:rsidR="00D11672" w:rsidRDefault="00D11672">
      <w:pPr>
        <w:rPr>
          <w:rFonts w:ascii="Arial" w:hAnsi="Arial" w:cs="Arial"/>
          <w:b/>
          <w:bCs/>
          <w:sz w:val="28"/>
          <w:szCs w:val="28"/>
        </w:rPr>
      </w:pPr>
      <w:r>
        <w:rPr>
          <w:rFonts w:ascii="Arial" w:hAnsi="Arial" w:cs="Arial"/>
          <w:b/>
          <w:bCs/>
          <w:sz w:val="28"/>
          <w:szCs w:val="28"/>
        </w:rPr>
        <w:t>Impact of Culture on Organisational Performance</w:t>
      </w:r>
    </w:p>
    <w:p w14:paraId="6F5B0DCD" w14:textId="77777777" w:rsidR="00FA6184" w:rsidRPr="007E46FA" w:rsidRDefault="00FA6184" w:rsidP="00FA618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A substantial body of research establishes a strong association between organisational culture and overall performance (Kotter and Heskett, 1992; Denison, 1990). At Severn Trent Water, the impact of culture is evident across several dimensions:</w:t>
      </w:r>
    </w:p>
    <w:p w14:paraId="132D6072" w14:textId="77777777" w:rsidR="00FA6184" w:rsidRPr="007E46FA" w:rsidRDefault="00FA6184" w:rsidP="00FA618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46FA">
        <w:rPr>
          <w:rFonts w:ascii="Arial" w:eastAsia="Times New Roman" w:hAnsi="Arial" w:cs="Arial"/>
          <w:i/>
          <w:iCs/>
          <w:color w:val="000000"/>
          <w:kern w:val="0"/>
          <w:sz w:val="22"/>
          <w:szCs w:val="22"/>
          <w:lang w:eastAsia="en-GB"/>
          <w14:ligatures w14:val="none"/>
        </w:rPr>
        <w:t>Financial and Operational Performance</w:t>
      </w:r>
      <w:r w:rsidRPr="007E46FA">
        <w:rPr>
          <w:rFonts w:ascii="Arial" w:eastAsia="Times New Roman" w:hAnsi="Arial" w:cs="Arial"/>
          <w:b/>
          <w:bCs/>
          <w:color w:val="000000"/>
          <w:kern w:val="0"/>
          <w:sz w:val="22"/>
          <w:szCs w:val="22"/>
          <w:lang w:eastAsia="en-GB"/>
          <w14:ligatures w14:val="none"/>
        </w:rPr>
        <w:t xml:space="preserve">, </w:t>
      </w:r>
      <w:r w:rsidRPr="007E46FA">
        <w:rPr>
          <w:rFonts w:ascii="Arial" w:eastAsia="Times New Roman" w:hAnsi="Arial" w:cs="Arial"/>
          <w:color w:val="000000"/>
          <w:kern w:val="0"/>
          <w:sz w:val="22"/>
          <w:szCs w:val="22"/>
          <w:lang w:eastAsia="en-GB"/>
          <w14:ligatures w14:val="none"/>
        </w:rPr>
        <w:t>a culture that prioritises efficiency, customer service, and regulatory compliance has directly contributed to Severn Trent Water’s strong operational results. The company steadily meets or exceeds regulatory targets set by Ofwat, with high performance in areas such as leakage reduction, water quality, and customer satisfaction (Ofwat, 2022). This focus on quality and efficiency is underpinned by clear cultural expectations and shared values throughout the organisation.</w:t>
      </w:r>
    </w:p>
    <w:p w14:paraId="4ED9A957" w14:textId="77777777" w:rsidR="00FA6184" w:rsidRPr="007E46FA" w:rsidRDefault="00FA6184" w:rsidP="00FA618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46FA">
        <w:rPr>
          <w:rFonts w:ascii="Arial" w:eastAsia="Times New Roman" w:hAnsi="Arial" w:cs="Arial"/>
          <w:i/>
          <w:iCs/>
          <w:color w:val="000000"/>
          <w:kern w:val="0"/>
          <w:sz w:val="22"/>
          <w:szCs w:val="22"/>
          <w:lang w:eastAsia="en-GB"/>
          <w14:ligatures w14:val="none"/>
        </w:rPr>
        <w:t xml:space="preserve">Employee Outcomes, </w:t>
      </w:r>
      <w:r w:rsidRPr="007E46FA">
        <w:rPr>
          <w:rFonts w:ascii="Arial" w:eastAsia="Times New Roman" w:hAnsi="Arial" w:cs="Arial"/>
          <w:color w:val="000000"/>
          <w:kern w:val="0"/>
          <w:sz w:val="22"/>
          <w:szCs w:val="22"/>
          <w:lang w:eastAsia="en-GB"/>
          <w14:ligatures w14:val="none"/>
        </w:rPr>
        <w:t>Positive organisational culture is reflected in high employee engagement and low turnover rates. According to Severn Trent’s annual engagement surveys, employees report a sense of determination and pride in their work, which correlates with higher productivity, innovation, and retention (Severn Trent, 2023). This aligns with Schein’s (2010) assertion that strong cultures foster commitment and intrinsic motivation.</w:t>
      </w:r>
    </w:p>
    <w:p w14:paraId="0F4243BA" w14:textId="77777777" w:rsidR="00FA6184" w:rsidRPr="007E46FA" w:rsidRDefault="00FA6184" w:rsidP="00FA618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46FA">
        <w:rPr>
          <w:rFonts w:ascii="Arial" w:eastAsia="Times New Roman" w:hAnsi="Arial" w:cs="Arial"/>
          <w:i/>
          <w:iCs/>
          <w:color w:val="000000"/>
          <w:kern w:val="0"/>
          <w:sz w:val="22"/>
          <w:szCs w:val="22"/>
          <w:lang w:eastAsia="en-GB"/>
          <w14:ligatures w14:val="none"/>
        </w:rPr>
        <w:t xml:space="preserve">Reputation and Sustainability, </w:t>
      </w:r>
      <w:r w:rsidRPr="007E46FA">
        <w:rPr>
          <w:rFonts w:ascii="Arial" w:eastAsia="Times New Roman" w:hAnsi="Arial" w:cs="Arial"/>
          <w:color w:val="000000"/>
          <w:kern w:val="0"/>
          <w:sz w:val="22"/>
          <w:szCs w:val="22"/>
          <w:lang w:eastAsia="en-GB"/>
          <w14:ligatures w14:val="none"/>
        </w:rPr>
        <w:t>Severn Trent Water’s efforts in environmental stewardship—such as their “Green Recovery” programme—have enhanced the company’s reputation for sustainability and corporate liability. Industry recognition and awards further strengthen stakeholder trust, public legitimacy, and competitive advantage (Severn Trent, 2022).</w:t>
      </w:r>
    </w:p>
    <w:p w14:paraId="7C2CF73B" w14:textId="77777777" w:rsidR="00FA6184" w:rsidRPr="00697D58" w:rsidRDefault="00FA6184" w:rsidP="00FA6184">
      <w:pPr>
        <w:spacing w:before="100" w:beforeAutospacing="1" w:after="100" w:afterAutospacing="1"/>
        <w:outlineLvl w:val="2"/>
        <w:rPr>
          <w:rFonts w:ascii="Arial" w:eastAsia="Times New Roman" w:hAnsi="Arial" w:cs="Arial"/>
          <w:b/>
          <w:bCs/>
          <w:i/>
          <w:iCs/>
          <w:color w:val="000000"/>
          <w:kern w:val="0"/>
          <w:lang w:eastAsia="en-GB"/>
          <w14:ligatures w14:val="none"/>
        </w:rPr>
      </w:pPr>
      <w:r w:rsidRPr="00697D58">
        <w:rPr>
          <w:rFonts w:ascii="Arial" w:eastAsia="Times New Roman" w:hAnsi="Arial" w:cs="Arial"/>
          <w:b/>
          <w:bCs/>
          <w:i/>
          <w:iCs/>
          <w:color w:val="000000"/>
          <w:kern w:val="0"/>
          <w:lang w:eastAsia="en-GB"/>
          <w14:ligatures w14:val="none"/>
        </w:rPr>
        <w:t>Recommendations for Improvement</w:t>
      </w:r>
    </w:p>
    <w:p w14:paraId="64158945" w14:textId="77777777" w:rsidR="00FA6184" w:rsidRPr="007E46FA" w:rsidRDefault="00FA6184" w:rsidP="00FA6184">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 xml:space="preserve">To sustain and enhance these positive outcomes, Severn Trent Water should consider the following evidence-based, theory-informed recommendations. </w:t>
      </w:r>
    </w:p>
    <w:p w14:paraId="293FF934" w14:textId="77777777" w:rsidR="00FA6184" w:rsidRPr="007E46FA" w:rsidRDefault="00FA6184" w:rsidP="00FA6184">
      <w:pPr>
        <w:spacing w:before="100" w:beforeAutospacing="1" w:after="100" w:afterAutospacing="1"/>
        <w:jc w:val="both"/>
        <w:rPr>
          <w:rFonts w:ascii="Arial" w:eastAsia="Times New Roman" w:hAnsi="Arial" w:cs="Arial"/>
          <w:i/>
          <w:iCs/>
          <w:color w:val="000000"/>
          <w:kern w:val="0"/>
          <w:sz w:val="22"/>
          <w:szCs w:val="22"/>
          <w:lang w:eastAsia="en-GB"/>
          <w14:ligatures w14:val="none"/>
        </w:rPr>
      </w:pPr>
      <w:r w:rsidRPr="007E46FA">
        <w:rPr>
          <w:rFonts w:ascii="Arial" w:eastAsia="Times New Roman" w:hAnsi="Arial" w:cs="Arial"/>
          <w:i/>
          <w:iCs/>
          <w:color w:val="000000"/>
          <w:kern w:val="0"/>
          <w:sz w:val="22"/>
          <w:szCs w:val="22"/>
          <w:lang w:eastAsia="en-GB"/>
          <w14:ligatures w14:val="none"/>
        </w:rPr>
        <w:t xml:space="preserve">Foster a More Agile Culture: Theoretical </w:t>
      </w:r>
      <w:proofErr w:type="gramStart"/>
      <w:r w:rsidRPr="007E46FA">
        <w:rPr>
          <w:rFonts w:ascii="Arial" w:eastAsia="Times New Roman" w:hAnsi="Arial" w:cs="Arial"/>
          <w:i/>
          <w:iCs/>
          <w:color w:val="000000"/>
          <w:kern w:val="0"/>
          <w:sz w:val="22"/>
          <w:szCs w:val="22"/>
          <w:lang w:eastAsia="en-GB"/>
          <w14:ligatures w14:val="none"/>
        </w:rPr>
        <w:t>Basis,</w:t>
      </w:r>
      <w:r w:rsidRPr="007E46FA">
        <w:rPr>
          <w:rFonts w:ascii="Arial" w:eastAsia="Times New Roman" w:hAnsi="Arial" w:cs="Arial"/>
          <w:b/>
          <w:bCs/>
          <w:color w:val="000000"/>
          <w:kern w:val="0"/>
          <w:sz w:val="22"/>
          <w:szCs w:val="22"/>
          <w:lang w:eastAsia="en-GB"/>
          <w14:ligatures w14:val="none"/>
        </w:rPr>
        <w:t xml:space="preserve"> </w:t>
      </w:r>
      <w:r w:rsidRPr="007E46FA">
        <w:rPr>
          <w:rFonts w:ascii="Arial" w:eastAsia="Times New Roman" w:hAnsi="Arial" w:cs="Arial"/>
          <w:color w:val="000000"/>
          <w:kern w:val="0"/>
          <w:sz w:val="22"/>
          <w:szCs w:val="22"/>
          <w:lang w:eastAsia="en-GB"/>
          <w14:ligatures w14:val="none"/>
        </w:rPr>
        <w:t> Cameron</w:t>
      </w:r>
      <w:proofErr w:type="gramEnd"/>
      <w:r w:rsidRPr="007E46FA">
        <w:rPr>
          <w:rFonts w:ascii="Arial" w:eastAsia="Times New Roman" w:hAnsi="Arial" w:cs="Arial"/>
          <w:color w:val="000000"/>
          <w:kern w:val="0"/>
          <w:sz w:val="22"/>
          <w:szCs w:val="22"/>
          <w:lang w:eastAsia="en-GB"/>
          <w14:ligatures w14:val="none"/>
        </w:rPr>
        <w:t xml:space="preserve"> and Quinn’s (2011) Competing Values Framework identifies “adhocracy” cultures as key drivers of innovation and adaptability</w:t>
      </w:r>
      <w:r w:rsidRPr="007E46FA">
        <w:rPr>
          <w:rFonts w:ascii="Arial" w:eastAsia="Times New Roman" w:hAnsi="Arial" w:cs="Arial"/>
          <w:i/>
          <w:iCs/>
          <w:color w:val="000000"/>
          <w:kern w:val="0"/>
          <w:sz w:val="22"/>
          <w:szCs w:val="22"/>
          <w:lang w:eastAsia="en-GB"/>
          <w14:ligatures w14:val="none"/>
        </w:rPr>
        <w:t xml:space="preserve">. </w:t>
      </w:r>
      <w:proofErr w:type="gramStart"/>
      <w:r w:rsidRPr="007E46FA">
        <w:rPr>
          <w:rFonts w:ascii="Arial" w:eastAsia="Times New Roman" w:hAnsi="Arial" w:cs="Arial"/>
          <w:i/>
          <w:iCs/>
          <w:color w:val="000000"/>
          <w:kern w:val="0"/>
          <w:sz w:val="22"/>
          <w:szCs w:val="22"/>
          <w:lang w:eastAsia="en-GB"/>
          <w14:ligatures w14:val="none"/>
        </w:rPr>
        <w:t>Action,  </w:t>
      </w:r>
      <w:r w:rsidRPr="007E46FA">
        <w:rPr>
          <w:rFonts w:ascii="Arial" w:eastAsia="Times New Roman" w:hAnsi="Arial" w:cs="Arial"/>
          <w:color w:val="000000"/>
          <w:kern w:val="0"/>
          <w:sz w:val="22"/>
          <w:szCs w:val="22"/>
          <w:lang w:eastAsia="en-GB"/>
          <w14:ligatures w14:val="none"/>
        </w:rPr>
        <w:t>Severn</w:t>
      </w:r>
      <w:proofErr w:type="gramEnd"/>
      <w:r w:rsidRPr="007E46FA">
        <w:rPr>
          <w:rFonts w:ascii="Arial" w:eastAsia="Times New Roman" w:hAnsi="Arial" w:cs="Arial"/>
          <w:color w:val="000000"/>
          <w:kern w:val="0"/>
          <w:sz w:val="22"/>
          <w:szCs w:val="22"/>
          <w:lang w:eastAsia="en-GB"/>
          <w14:ligatures w14:val="none"/>
        </w:rPr>
        <w:t xml:space="preserve"> Trent should encourage experimentation, encourage rapid prototyping, and establish cross-functional “innovation labs” to trial new ideas. This would promote agility and help the organisation respond proactively to technological or regulatory change.</w:t>
      </w:r>
    </w:p>
    <w:p w14:paraId="16481144" w14:textId="77777777" w:rsidR="00FA6184" w:rsidRPr="007E46FA" w:rsidRDefault="00FA6184" w:rsidP="00FA6184">
      <w:pPr>
        <w:spacing w:before="100" w:beforeAutospacing="1" w:after="100" w:afterAutospacing="1"/>
        <w:jc w:val="both"/>
        <w:outlineLvl w:val="3"/>
        <w:rPr>
          <w:rFonts w:ascii="Arial" w:eastAsia="Times New Roman" w:hAnsi="Arial" w:cs="Arial"/>
          <w:b/>
          <w:bCs/>
          <w:i/>
          <w:iCs/>
          <w:color w:val="000000"/>
          <w:kern w:val="0"/>
          <w:sz w:val="22"/>
          <w:szCs w:val="22"/>
          <w:lang w:eastAsia="en-GB"/>
          <w14:ligatures w14:val="none"/>
        </w:rPr>
      </w:pPr>
      <w:r w:rsidRPr="007E46FA">
        <w:rPr>
          <w:rFonts w:ascii="Arial" w:eastAsia="Times New Roman" w:hAnsi="Arial" w:cs="Arial"/>
          <w:i/>
          <w:iCs/>
          <w:color w:val="000000"/>
          <w:kern w:val="0"/>
          <w:sz w:val="22"/>
          <w:szCs w:val="22"/>
          <w:lang w:eastAsia="en-GB"/>
          <w14:ligatures w14:val="none"/>
        </w:rPr>
        <w:t>Balance Compliance with Empowerment</w:t>
      </w:r>
      <w:r w:rsidRPr="007E46FA">
        <w:rPr>
          <w:rFonts w:ascii="Arial" w:eastAsia="Times New Roman" w:hAnsi="Arial" w:cs="Arial"/>
          <w:b/>
          <w:bCs/>
          <w:i/>
          <w:iCs/>
          <w:color w:val="000000"/>
          <w:kern w:val="0"/>
          <w:sz w:val="22"/>
          <w:szCs w:val="22"/>
          <w:lang w:eastAsia="en-GB"/>
          <w14:ligatures w14:val="none"/>
        </w:rPr>
        <w:t xml:space="preserve">: </w:t>
      </w:r>
      <w:r w:rsidRPr="007E46FA">
        <w:rPr>
          <w:rFonts w:ascii="Arial" w:eastAsia="Times New Roman" w:hAnsi="Arial" w:cs="Arial"/>
          <w:i/>
          <w:iCs/>
          <w:color w:val="000000"/>
          <w:kern w:val="0"/>
          <w:sz w:val="22"/>
          <w:szCs w:val="22"/>
          <w:lang w:eastAsia="en-GB"/>
          <w14:ligatures w14:val="none"/>
        </w:rPr>
        <w:t xml:space="preserve">Theoretical Basis, </w:t>
      </w:r>
      <w:r w:rsidRPr="007E46FA">
        <w:rPr>
          <w:rFonts w:ascii="Arial" w:eastAsia="Times New Roman" w:hAnsi="Arial" w:cs="Arial"/>
          <w:color w:val="000000"/>
          <w:kern w:val="0"/>
          <w:sz w:val="22"/>
          <w:szCs w:val="22"/>
          <w:lang w:eastAsia="en-GB"/>
          <w14:ligatures w14:val="none"/>
        </w:rPr>
        <w:t>Schein (2010) argues for a balance between control and autonomy, especially in dynamic environments.</w:t>
      </w:r>
      <w:r w:rsidRPr="007E46FA">
        <w:rPr>
          <w:rFonts w:ascii="Arial" w:eastAsia="Times New Roman" w:hAnsi="Arial" w:cs="Arial"/>
          <w:b/>
          <w:bCs/>
          <w:i/>
          <w:iCs/>
          <w:color w:val="000000"/>
          <w:kern w:val="0"/>
          <w:sz w:val="22"/>
          <w:szCs w:val="22"/>
          <w:lang w:eastAsia="en-GB"/>
          <w14:ligatures w14:val="none"/>
        </w:rPr>
        <w:t xml:space="preserve"> </w:t>
      </w:r>
      <w:r w:rsidRPr="007E46FA">
        <w:rPr>
          <w:rFonts w:ascii="Arial" w:eastAsia="Times New Roman" w:hAnsi="Arial" w:cs="Arial"/>
          <w:i/>
          <w:iCs/>
          <w:color w:val="000000"/>
          <w:kern w:val="0"/>
          <w:sz w:val="22"/>
          <w:szCs w:val="22"/>
          <w:lang w:eastAsia="en-GB"/>
          <w14:ligatures w14:val="none"/>
        </w:rPr>
        <w:t xml:space="preserve">Action, </w:t>
      </w:r>
      <w:r w:rsidRPr="007E46FA">
        <w:rPr>
          <w:rFonts w:ascii="Arial" w:eastAsia="Times New Roman" w:hAnsi="Arial" w:cs="Arial"/>
          <w:color w:val="000000"/>
          <w:kern w:val="0"/>
          <w:sz w:val="22"/>
          <w:szCs w:val="22"/>
          <w:lang w:eastAsia="en-GB"/>
          <w14:ligatures w14:val="none"/>
        </w:rPr>
        <w:t xml:space="preserve">Severn Trent should streamline compliance procedures and empower local managers with greater decision-making </w:t>
      </w:r>
      <w:r w:rsidRPr="007E46FA">
        <w:rPr>
          <w:rFonts w:ascii="Arial" w:eastAsia="Times New Roman" w:hAnsi="Arial" w:cs="Arial"/>
          <w:color w:val="000000"/>
          <w:kern w:val="0"/>
          <w:sz w:val="22"/>
          <w:szCs w:val="22"/>
          <w:lang w:eastAsia="en-GB"/>
          <w14:ligatures w14:val="none"/>
        </w:rPr>
        <w:lastRenderedPageBreak/>
        <w:t>authority. Simplifying bureaucracy can reduce bottlenecks and foster a sense of ownership among employees.</w:t>
      </w:r>
    </w:p>
    <w:p w14:paraId="65CB1B38" w14:textId="77777777" w:rsidR="00FA6184" w:rsidRPr="007E46FA" w:rsidRDefault="00FA6184" w:rsidP="00FA6184">
      <w:pPr>
        <w:spacing w:before="100" w:beforeAutospacing="1" w:after="100" w:afterAutospacing="1"/>
        <w:jc w:val="both"/>
        <w:outlineLvl w:val="3"/>
        <w:rPr>
          <w:rFonts w:ascii="Arial" w:eastAsia="Times New Roman" w:hAnsi="Arial" w:cs="Arial"/>
          <w:i/>
          <w:iCs/>
          <w:color w:val="000000"/>
          <w:kern w:val="0"/>
          <w:sz w:val="22"/>
          <w:szCs w:val="22"/>
          <w:lang w:eastAsia="en-GB"/>
          <w14:ligatures w14:val="none"/>
        </w:rPr>
      </w:pPr>
      <w:r w:rsidRPr="007E46FA">
        <w:rPr>
          <w:rFonts w:ascii="Arial" w:eastAsia="Times New Roman" w:hAnsi="Arial" w:cs="Arial"/>
          <w:i/>
          <w:iCs/>
          <w:color w:val="000000"/>
          <w:kern w:val="0"/>
          <w:sz w:val="22"/>
          <w:szCs w:val="22"/>
          <w:lang w:eastAsia="en-GB"/>
          <w14:ligatures w14:val="none"/>
        </w:rPr>
        <w:t xml:space="preserve">Enhance Diversity and Inclusion: Theoretical Basis, </w:t>
      </w:r>
      <w:r w:rsidRPr="007E46FA">
        <w:rPr>
          <w:rFonts w:ascii="Arial" w:eastAsia="Times New Roman" w:hAnsi="Arial" w:cs="Arial"/>
          <w:color w:val="000000"/>
          <w:kern w:val="0"/>
          <w:sz w:val="22"/>
          <w:szCs w:val="22"/>
          <w:lang w:eastAsia="en-GB"/>
          <w14:ligatures w14:val="none"/>
        </w:rPr>
        <w:t>Hofstede et al. (2010) demonstrate that multicultural perspectives and diversity drive creativity and resilience in global organisations.</w:t>
      </w:r>
      <w:r w:rsidRPr="007E46FA">
        <w:rPr>
          <w:rFonts w:ascii="Arial" w:eastAsia="Times New Roman" w:hAnsi="Arial" w:cs="Arial"/>
          <w:i/>
          <w:iCs/>
          <w:color w:val="000000"/>
          <w:kern w:val="0"/>
          <w:sz w:val="22"/>
          <w:szCs w:val="22"/>
          <w:lang w:eastAsia="en-GB"/>
          <w14:ligatures w14:val="none"/>
        </w:rPr>
        <w:t xml:space="preserve"> Action, </w:t>
      </w:r>
      <w:proofErr w:type="gramStart"/>
      <w:r w:rsidRPr="007E46FA">
        <w:rPr>
          <w:rFonts w:ascii="Arial" w:eastAsia="Times New Roman" w:hAnsi="Arial" w:cs="Arial"/>
          <w:color w:val="000000"/>
          <w:kern w:val="0"/>
          <w:sz w:val="22"/>
          <w:szCs w:val="22"/>
          <w:lang w:eastAsia="en-GB"/>
          <w14:ligatures w14:val="none"/>
        </w:rPr>
        <w:t>Expand</w:t>
      </w:r>
      <w:proofErr w:type="gramEnd"/>
      <w:r w:rsidRPr="007E46FA">
        <w:rPr>
          <w:rFonts w:ascii="Arial" w:eastAsia="Times New Roman" w:hAnsi="Arial" w:cs="Arial"/>
          <w:color w:val="000000"/>
          <w:kern w:val="0"/>
          <w:sz w:val="22"/>
          <w:szCs w:val="22"/>
          <w:lang w:eastAsia="en-GB"/>
          <w14:ligatures w14:val="none"/>
        </w:rPr>
        <w:t xml:space="preserve"> diversity and inclusion training, develop leadership pipelines for underrepresented groups, and create forums for diverse voices. Leveraging diversity can improve problem-solving and innovation.</w:t>
      </w:r>
    </w:p>
    <w:p w14:paraId="3BE0120E" w14:textId="77777777" w:rsidR="00FA6184" w:rsidRPr="007E46FA" w:rsidRDefault="00FA6184" w:rsidP="00FA6184">
      <w:pPr>
        <w:spacing w:before="100" w:beforeAutospacing="1" w:after="100" w:afterAutospacing="1"/>
        <w:outlineLvl w:val="3"/>
        <w:rPr>
          <w:rFonts w:ascii="Arial" w:eastAsia="Times New Roman" w:hAnsi="Arial" w:cs="Arial"/>
          <w:i/>
          <w:iCs/>
          <w:color w:val="000000"/>
          <w:kern w:val="0"/>
          <w:sz w:val="22"/>
          <w:szCs w:val="22"/>
          <w:lang w:eastAsia="en-GB"/>
          <w14:ligatures w14:val="none"/>
        </w:rPr>
      </w:pPr>
      <w:r w:rsidRPr="007E46FA">
        <w:rPr>
          <w:rFonts w:ascii="Arial" w:eastAsia="Times New Roman" w:hAnsi="Arial" w:cs="Arial"/>
          <w:i/>
          <w:iCs/>
          <w:color w:val="000000"/>
          <w:kern w:val="0"/>
          <w:sz w:val="22"/>
          <w:szCs w:val="22"/>
          <w:lang w:eastAsia="en-GB"/>
          <w14:ligatures w14:val="none"/>
        </w:rPr>
        <w:t xml:space="preserve">Strengthen Digital Culture: Theoretical Basis, </w:t>
      </w:r>
      <w:r w:rsidRPr="007E46FA">
        <w:rPr>
          <w:rFonts w:ascii="Arial" w:eastAsia="Times New Roman" w:hAnsi="Arial" w:cs="Arial"/>
          <w:color w:val="000000"/>
          <w:kern w:val="0"/>
          <w:sz w:val="22"/>
          <w:szCs w:val="22"/>
          <w:lang w:eastAsia="en-GB"/>
          <w14:ligatures w14:val="none"/>
        </w:rPr>
        <w:t>Denison (1990) links organisational adaptability and learning to digital maturity and competitiveness.</w:t>
      </w:r>
      <w:r w:rsidRPr="007E46FA">
        <w:rPr>
          <w:rFonts w:ascii="Arial" w:eastAsia="Times New Roman" w:hAnsi="Arial" w:cs="Arial"/>
          <w:i/>
          <w:iCs/>
          <w:color w:val="000000"/>
          <w:kern w:val="0"/>
          <w:sz w:val="22"/>
          <w:szCs w:val="22"/>
          <w:lang w:eastAsia="en-GB"/>
          <w14:ligatures w14:val="none"/>
        </w:rPr>
        <w:t xml:space="preserve"> </w:t>
      </w:r>
      <w:proofErr w:type="gramStart"/>
      <w:r w:rsidRPr="007E46FA">
        <w:rPr>
          <w:rFonts w:ascii="Arial" w:eastAsia="Times New Roman" w:hAnsi="Arial" w:cs="Arial"/>
          <w:i/>
          <w:iCs/>
          <w:color w:val="000000"/>
          <w:kern w:val="0"/>
          <w:sz w:val="22"/>
          <w:szCs w:val="22"/>
          <w:lang w:eastAsia="en-GB"/>
          <w14:ligatures w14:val="none"/>
        </w:rPr>
        <w:t xml:space="preserve">Action, </w:t>
      </w:r>
      <w:r w:rsidRPr="007E46FA">
        <w:rPr>
          <w:rFonts w:ascii="Arial" w:eastAsia="Times New Roman" w:hAnsi="Arial" w:cs="Arial"/>
          <w:color w:val="000000"/>
          <w:kern w:val="0"/>
          <w:sz w:val="22"/>
          <w:szCs w:val="22"/>
          <w:lang w:eastAsia="en-GB"/>
          <w14:ligatures w14:val="none"/>
        </w:rPr>
        <w:t> Invest</w:t>
      </w:r>
      <w:proofErr w:type="gramEnd"/>
      <w:r w:rsidRPr="007E46FA">
        <w:rPr>
          <w:rFonts w:ascii="Arial" w:eastAsia="Times New Roman" w:hAnsi="Arial" w:cs="Arial"/>
          <w:color w:val="000000"/>
          <w:kern w:val="0"/>
          <w:sz w:val="22"/>
          <w:szCs w:val="22"/>
          <w:lang w:eastAsia="en-GB"/>
          <w14:ligatures w14:val="none"/>
        </w:rPr>
        <w:t xml:space="preserve"> in digital skills development, promote “digital-first” thinking, and reward the adoption of new technologies. This will help the organisation stay ahead in a rapidly evolving industry landscape.</w:t>
      </w:r>
    </w:p>
    <w:p w14:paraId="1E216D58" w14:textId="77777777" w:rsidR="00FA6184" w:rsidRPr="007E46FA" w:rsidRDefault="00FA6184" w:rsidP="00FA6184">
      <w:pPr>
        <w:spacing w:before="100" w:beforeAutospacing="1" w:after="100" w:afterAutospacing="1"/>
        <w:jc w:val="both"/>
        <w:outlineLvl w:val="3"/>
        <w:rPr>
          <w:rFonts w:ascii="Arial" w:eastAsia="Times New Roman" w:hAnsi="Arial" w:cs="Arial"/>
          <w:i/>
          <w:iCs/>
          <w:color w:val="000000"/>
          <w:kern w:val="0"/>
          <w:sz w:val="22"/>
          <w:szCs w:val="22"/>
          <w:lang w:eastAsia="en-GB"/>
          <w14:ligatures w14:val="none"/>
        </w:rPr>
      </w:pPr>
      <w:r w:rsidRPr="007E46FA">
        <w:rPr>
          <w:rFonts w:ascii="Arial" w:eastAsia="Times New Roman" w:hAnsi="Arial" w:cs="Arial"/>
          <w:i/>
          <w:iCs/>
          <w:color w:val="000000"/>
          <w:kern w:val="0"/>
          <w:sz w:val="22"/>
          <w:szCs w:val="22"/>
          <w:lang w:eastAsia="en-GB"/>
          <w14:ligatures w14:val="none"/>
        </w:rPr>
        <w:t xml:space="preserve">Continuous Feedback and Learning:  Theoretical Basis, </w:t>
      </w:r>
      <w:r w:rsidRPr="007E46FA">
        <w:rPr>
          <w:rFonts w:ascii="Arial" w:eastAsia="Times New Roman" w:hAnsi="Arial" w:cs="Arial"/>
          <w:color w:val="000000"/>
          <w:kern w:val="0"/>
          <w:sz w:val="22"/>
          <w:szCs w:val="22"/>
          <w:lang w:eastAsia="en-GB"/>
          <w14:ligatures w14:val="none"/>
        </w:rPr>
        <w:t>Argyris and Schön’s (1978) concept of “double-loop learning” supports big cultural and organisational change.</w:t>
      </w:r>
      <w:r w:rsidRPr="007E46FA">
        <w:rPr>
          <w:rFonts w:ascii="Arial" w:eastAsia="Times New Roman" w:hAnsi="Arial" w:cs="Arial"/>
          <w:i/>
          <w:iCs/>
          <w:color w:val="000000"/>
          <w:kern w:val="0"/>
          <w:sz w:val="22"/>
          <w:szCs w:val="22"/>
          <w:lang w:eastAsia="en-GB"/>
          <w14:ligatures w14:val="none"/>
        </w:rPr>
        <w:t xml:space="preserve"> </w:t>
      </w:r>
      <w:proofErr w:type="gramStart"/>
      <w:r w:rsidRPr="007E46FA">
        <w:rPr>
          <w:rFonts w:ascii="Arial" w:eastAsia="Times New Roman" w:hAnsi="Arial" w:cs="Arial"/>
          <w:i/>
          <w:iCs/>
          <w:color w:val="000000"/>
          <w:kern w:val="0"/>
          <w:sz w:val="22"/>
          <w:szCs w:val="22"/>
          <w:lang w:eastAsia="en-GB"/>
          <w14:ligatures w14:val="none"/>
        </w:rPr>
        <w:t xml:space="preserve">Action, </w:t>
      </w:r>
      <w:r w:rsidRPr="007E46FA">
        <w:rPr>
          <w:rFonts w:ascii="Arial" w:eastAsia="Times New Roman" w:hAnsi="Arial" w:cs="Arial"/>
          <w:color w:val="000000"/>
          <w:kern w:val="0"/>
          <w:sz w:val="22"/>
          <w:szCs w:val="22"/>
          <w:lang w:eastAsia="en-GB"/>
          <w14:ligatures w14:val="none"/>
        </w:rPr>
        <w:t> Implement</w:t>
      </w:r>
      <w:proofErr w:type="gramEnd"/>
      <w:r w:rsidRPr="007E46FA">
        <w:rPr>
          <w:rFonts w:ascii="Arial" w:eastAsia="Times New Roman" w:hAnsi="Arial" w:cs="Arial"/>
          <w:color w:val="000000"/>
          <w:kern w:val="0"/>
          <w:sz w:val="22"/>
          <w:szCs w:val="22"/>
          <w:lang w:eastAsia="en-GB"/>
          <w14:ligatures w14:val="none"/>
        </w:rPr>
        <w:t xml:space="preserve"> robust systems for capturing feedback, analysing lessons learned, and sharing best practices across the organisation. This will foster a culture of continuous improvement and learning.</w:t>
      </w:r>
    </w:p>
    <w:p w14:paraId="2D83140B" w14:textId="0638C963" w:rsidR="00B203FB" w:rsidRPr="00A86320" w:rsidRDefault="00FA6184" w:rsidP="00A86320">
      <w:pPr>
        <w:spacing w:before="100" w:beforeAutospacing="1" w:after="100" w:afterAutospacing="1"/>
        <w:jc w:val="both"/>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In summary, by building on its cultural strengths and addressing potential regions for growth, Severn Trent Water can further enhance its agility, inclusiveness, and innovative capacity. These suggestions, grounded in established organisational theories, provide a route for sustained high performance in an increasingly complex and dynamic environment.</w:t>
      </w:r>
    </w:p>
    <w:p w14:paraId="796873EA" w14:textId="474DF6CF" w:rsidR="00D11672" w:rsidRDefault="00D11672">
      <w:pPr>
        <w:rPr>
          <w:rFonts w:ascii="Arial" w:hAnsi="Arial" w:cs="Arial"/>
          <w:b/>
          <w:bCs/>
          <w:sz w:val="28"/>
          <w:szCs w:val="28"/>
        </w:rPr>
      </w:pPr>
      <w:r>
        <w:rPr>
          <w:rFonts w:ascii="Arial" w:hAnsi="Arial" w:cs="Arial"/>
          <w:b/>
          <w:bCs/>
          <w:sz w:val="28"/>
          <w:szCs w:val="28"/>
        </w:rPr>
        <w:t>Conclusion</w:t>
      </w:r>
    </w:p>
    <w:p w14:paraId="4AA9EFEB" w14:textId="77777777" w:rsidR="00E205B4" w:rsidRPr="007E46FA" w:rsidRDefault="00E205B4" w:rsidP="00E205B4">
      <w:pPr>
        <w:pStyle w:val="gds-typography"/>
        <w:jc w:val="both"/>
        <w:rPr>
          <w:rFonts w:ascii="Arial" w:hAnsi="Arial" w:cs="Arial"/>
          <w:color w:val="000000"/>
          <w:sz w:val="22"/>
          <w:szCs w:val="22"/>
        </w:rPr>
      </w:pPr>
      <w:r w:rsidRPr="007E46FA">
        <w:rPr>
          <w:rFonts w:ascii="Arial" w:hAnsi="Arial" w:cs="Arial"/>
          <w:color w:val="000000"/>
          <w:sz w:val="22"/>
          <w:szCs w:val="22"/>
        </w:rPr>
        <w:t>In summary, Severn Trent Water’s organisational culture is a foundational asset that emphasises the company’s ability to achieve high standards of regulatory compliance, foster strong stakeholder relationships, and drive modernisation. The culture’s importance on transparency, collaboration, and sustainability has enabled Severn Trent to maintain consistent operational performance and a positive public reputation, even within a highly regulated and dynamic industry environment.</w:t>
      </w:r>
    </w:p>
    <w:p w14:paraId="7465D5D2" w14:textId="77777777" w:rsidR="00E205B4" w:rsidRPr="007E46FA" w:rsidRDefault="00E205B4" w:rsidP="00E205B4">
      <w:pPr>
        <w:pStyle w:val="gds-typography"/>
        <w:jc w:val="both"/>
        <w:rPr>
          <w:rFonts w:ascii="Arial" w:hAnsi="Arial" w:cs="Arial"/>
          <w:color w:val="000000"/>
          <w:sz w:val="22"/>
          <w:szCs w:val="22"/>
        </w:rPr>
      </w:pPr>
      <w:r w:rsidRPr="007E46FA">
        <w:rPr>
          <w:rFonts w:ascii="Arial" w:hAnsi="Arial" w:cs="Arial"/>
          <w:color w:val="000000"/>
          <w:sz w:val="22"/>
          <w:szCs w:val="22"/>
        </w:rPr>
        <w:t>Nonetheless, the analysis shows that this culture is not without its challenges. The strong focus on compliance and recognised procedures, while essential for regulatory purposes, can inadvertently introduce bureaucratic inertia and resistance to rapid change. Addressing these issues is crucial for ensuring that the organisation remains agile and responsive in the face of emerging opportunities and threats.</w:t>
      </w:r>
    </w:p>
    <w:p w14:paraId="5025ACF3" w14:textId="4A8EE0BA" w:rsidR="00BB6936" w:rsidRPr="007E46FA" w:rsidRDefault="00E205B4" w:rsidP="00E205B4">
      <w:pPr>
        <w:pStyle w:val="gds-typography"/>
        <w:jc w:val="both"/>
        <w:rPr>
          <w:rFonts w:ascii="Arial" w:hAnsi="Arial" w:cs="Arial"/>
          <w:color w:val="000000"/>
          <w:sz w:val="22"/>
          <w:szCs w:val="22"/>
        </w:rPr>
      </w:pPr>
      <w:r w:rsidRPr="007E46FA">
        <w:rPr>
          <w:rFonts w:ascii="Arial" w:hAnsi="Arial" w:cs="Arial"/>
          <w:color w:val="000000"/>
          <w:sz w:val="22"/>
          <w:szCs w:val="22"/>
        </w:rPr>
        <w:t>Looking ahead, Severn Trent Water can further strengthen its organisational effectiveness by actively implementing strategic, theory-informed interventions. Fostering greater agility, enhancing inclusiveness, and embracing digital transformation—supported by frameworks such as the Competing Values Framework and double-loop learning—will be vital. By continuously evolving its culture in line with both internal aspirations and external demands, Severn Trent Water can secure its position as an industry leader and ensure sustainable success in a complex and ever-changing environment.</w:t>
      </w:r>
    </w:p>
    <w:p w14:paraId="610049A4" w14:textId="77777777" w:rsidR="00BB6936" w:rsidRDefault="00BB6936">
      <w:pPr>
        <w:rPr>
          <w:rFonts w:ascii="Arial" w:hAnsi="Arial" w:cs="Arial"/>
          <w:b/>
          <w:bCs/>
          <w:sz w:val="28"/>
          <w:szCs w:val="28"/>
        </w:rPr>
      </w:pPr>
    </w:p>
    <w:p w14:paraId="49D7951C" w14:textId="77777777" w:rsidR="008B59AB" w:rsidRDefault="008B59AB">
      <w:pPr>
        <w:rPr>
          <w:rFonts w:ascii="Arial" w:hAnsi="Arial" w:cs="Arial"/>
          <w:b/>
          <w:bCs/>
          <w:sz w:val="28"/>
          <w:szCs w:val="28"/>
        </w:rPr>
      </w:pPr>
    </w:p>
    <w:p w14:paraId="46D2B7AF" w14:textId="77777777" w:rsidR="008B59AB" w:rsidRDefault="008B59AB">
      <w:pPr>
        <w:rPr>
          <w:rFonts w:ascii="Arial" w:hAnsi="Arial" w:cs="Arial"/>
          <w:b/>
          <w:bCs/>
          <w:sz w:val="28"/>
          <w:szCs w:val="28"/>
        </w:rPr>
      </w:pPr>
    </w:p>
    <w:p w14:paraId="64DF0686" w14:textId="77777777" w:rsidR="00416A65" w:rsidRDefault="00416A65">
      <w:pPr>
        <w:rPr>
          <w:rFonts w:ascii="Arial" w:hAnsi="Arial" w:cs="Arial"/>
          <w:b/>
          <w:bCs/>
          <w:sz w:val="28"/>
          <w:szCs w:val="28"/>
        </w:rPr>
      </w:pPr>
    </w:p>
    <w:p w14:paraId="32D473DD" w14:textId="77777777" w:rsidR="00416A65" w:rsidRDefault="00416A65">
      <w:pPr>
        <w:rPr>
          <w:rFonts w:ascii="Arial" w:hAnsi="Arial" w:cs="Arial"/>
          <w:b/>
          <w:bCs/>
          <w:sz w:val="28"/>
          <w:szCs w:val="28"/>
        </w:rPr>
      </w:pPr>
    </w:p>
    <w:p w14:paraId="72C65F70" w14:textId="77777777" w:rsidR="00A86320" w:rsidRDefault="00A86320">
      <w:pPr>
        <w:rPr>
          <w:rFonts w:ascii="Arial" w:hAnsi="Arial" w:cs="Arial"/>
          <w:b/>
          <w:bCs/>
          <w:sz w:val="28"/>
          <w:szCs w:val="28"/>
        </w:rPr>
      </w:pPr>
    </w:p>
    <w:p w14:paraId="1103A4C9" w14:textId="7E6138A0" w:rsidR="00D11672" w:rsidRPr="00D11672" w:rsidRDefault="00D11672">
      <w:pPr>
        <w:rPr>
          <w:rFonts w:ascii="Arial" w:hAnsi="Arial" w:cs="Arial"/>
          <w:b/>
          <w:bCs/>
          <w:sz w:val="28"/>
          <w:szCs w:val="28"/>
        </w:rPr>
      </w:pPr>
      <w:r>
        <w:rPr>
          <w:rFonts w:ascii="Arial" w:hAnsi="Arial" w:cs="Arial"/>
          <w:b/>
          <w:bCs/>
          <w:sz w:val="28"/>
          <w:szCs w:val="28"/>
        </w:rPr>
        <w:lastRenderedPageBreak/>
        <w:t>References</w:t>
      </w:r>
    </w:p>
    <w:p w14:paraId="6D421490" w14:textId="77777777" w:rsidR="00BB6936" w:rsidRDefault="00BB6936">
      <w:pPr>
        <w:rPr>
          <w:rFonts w:ascii="Arial" w:hAnsi="Arial" w:cs="Arial"/>
          <w:sz w:val="22"/>
          <w:szCs w:val="22"/>
        </w:rPr>
      </w:pPr>
    </w:p>
    <w:p w14:paraId="1B1BCC9B" w14:textId="50767529" w:rsidR="00BB6936" w:rsidRPr="007E46FA" w:rsidRDefault="00BB6936" w:rsidP="00BB6936">
      <w:pPr>
        <w:spacing w:before="100" w:beforeAutospacing="1" w:after="100" w:afterAutospacing="1"/>
        <w:rPr>
          <w:rFonts w:ascii="Arial" w:eastAsia="Times New Roman" w:hAnsi="Arial" w:cs="Arial"/>
          <w:color w:val="000000"/>
          <w:kern w:val="0"/>
          <w:sz w:val="22"/>
          <w:szCs w:val="22"/>
          <w:lang w:eastAsia="en-GB"/>
          <w14:ligatures w14:val="none"/>
        </w:rPr>
      </w:pPr>
      <w:r w:rsidRPr="007E46FA">
        <w:rPr>
          <w:rFonts w:ascii="Arial" w:hAnsi="Arial" w:cs="Arial"/>
          <w:sz w:val="22"/>
          <w:szCs w:val="22"/>
        </w:rPr>
        <w:t>1.</w:t>
      </w:r>
      <w:r w:rsidRPr="007E46FA">
        <w:rPr>
          <w:rFonts w:ascii="Arial" w:eastAsia="Times New Roman" w:hAnsi="Arial" w:cs="Arial"/>
          <w:color w:val="000000"/>
          <w:kern w:val="0"/>
          <w:sz w:val="22"/>
          <w:szCs w:val="22"/>
          <w:lang w:eastAsia="en-GB"/>
          <w14:ligatures w14:val="none"/>
        </w:rPr>
        <w:t>Argyris, C. and Schön, D.A. (1978) </w:t>
      </w:r>
      <w:r w:rsidRPr="007E46FA">
        <w:rPr>
          <w:rFonts w:ascii="Arial" w:eastAsia="Times New Roman" w:hAnsi="Arial" w:cs="Arial"/>
          <w:i/>
          <w:iCs/>
          <w:color w:val="000000"/>
          <w:kern w:val="0"/>
          <w:sz w:val="22"/>
          <w:szCs w:val="22"/>
          <w:lang w:eastAsia="en-GB"/>
          <w14:ligatures w14:val="none"/>
        </w:rPr>
        <w:t>Organizational Learning: A Theory of Action Perspective</w:t>
      </w:r>
      <w:r w:rsidRPr="007E46FA">
        <w:rPr>
          <w:rFonts w:ascii="Arial" w:eastAsia="Times New Roman" w:hAnsi="Arial" w:cs="Arial"/>
          <w:color w:val="000000"/>
          <w:kern w:val="0"/>
          <w:sz w:val="22"/>
          <w:szCs w:val="22"/>
          <w:lang w:eastAsia="en-GB"/>
          <w14:ligatures w14:val="none"/>
        </w:rPr>
        <w:t>. Addison-Wesley.</w:t>
      </w:r>
    </w:p>
    <w:p w14:paraId="14850631" w14:textId="2EB8E5E2" w:rsidR="00BB6936" w:rsidRPr="007E46FA" w:rsidRDefault="00BB6936" w:rsidP="00BB6936">
      <w:pPr>
        <w:spacing w:before="100" w:beforeAutospacing="1" w:after="100" w:afterAutospacing="1"/>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2.Cameron, K.S. and Quinn, R.E. (2011) </w:t>
      </w:r>
      <w:r w:rsidRPr="007E46FA">
        <w:rPr>
          <w:rFonts w:ascii="Arial" w:eastAsia="Times New Roman" w:hAnsi="Arial" w:cs="Arial"/>
          <w:i/>
          <w:iCs/>
          <w:color w:val="000000"/>
          <w:kern w:val="0"/>
          <w:sz w:val="22"/>
          <w:szCs w:val="22"/>
          <w:lang w:eastAsia="en-GB"/>
          <w14:ligatures w14:val="none"/>
        </w:rPr>
        <w:t>Diagnosing and Changing Organizational Culture: Based on the Competing Values Framework</w:t>
      </w:r>
      <w:r w:rsidRPr="007E46FA">
        <w:rPr>
          <w:rFonts w:ascii="Arial" w:eastAsia="Times New Roman" w:hAnsi="Arial" w:cs="Arial"/>
          <w:color w:val="000000"/>
          <w:kern w:val="0"/>
          <w:sz w:val="22"/>
          <w:szCs w:val="22"/>
          <w:lang w:eastAsia="en-GB"/>
          <w14:ligatures w14:val="none"/>
        </w:rPr>
        <w:t>. 3rd ed. Jossey-Bass.</w:t>
      </w:r>
    </w:p>
    <w:p w14:paraId="4E4B3BE6" w14:textId="75F7B290" w:rsidR="00BB6936" w:rsidRPr="007E46FA" w:rsidRDefault="00BB6936" w:rsidP="00BB6936">
      <w:pPr>
        <w:spacing w:before="100" w:beforeAutospacing="1" w:after="100" w:afterAutospacing="1"/>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3.Denison, D.R. (1990) </w:t>
      </w:r>
      <w:r w:rsidRPr="007E46FA">
        <w:rPr>
          <w:rFonts w:ascii="Arial" w:eastAsia="Times New Roman" w:hAnsi="Arial" w:cs="Arial"/>
          <w:i/>
          <w:iCs/>
          <w:color w:val="000000"/>
          <w:kern w:val="0"/>
          <w:sz w:val="22"/>
          <w:szCs w:val="22"/>
          <w:lang w:eastAsia="en-GB"/>
          <w14:ligatures w14:val="none"/>
        </w:rPr>
        <w:t>Corporate Culture and Organizational Effectiveness</w:t>
      </w:r>
      <w:r w:rsidRPr="007E46FA">
        <w:rPr>
          <w:rFonts w:ascii="Arial" w:eastAsia="Times New Roman" w:hAnsi="Arial" w:cs="Arial"/>
          <w:color w:val="000000"/>
          <w:kern w:val="0"/>
          <w:sz w:val="22"/>
          <w:szCs w:val="22"/>
          <w:lang w:eastAsia="en-GB"/>
          <w14:ligatures w14:val="none"/>
        </w:rPr>
        <w:t>. Wiley.</w:t>
      </w:r>
    </w:p>
    <w:p w14:paraId="3745C5F0" w14:textId="653F57AE" w:rsidR="00BB6936" w:rsidRPr="007E46FA" w:rsidRDefault="00BB6936" w:rsidP="00BB6936">
      <w:pPr>
        <w:spacing w:before="100" w:beforeAutospacing="1" w:after="100" w:afterAutospacing="1"/>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4.Handy, C. (1993) </w:t>
      </w:r>
      <w:r w:rsidRPr="007E46FA">
        <w:rPr>
          <w:rFonts w:ascii="Arial" w:eastAsia="Times New Roman" w:hAnsi="Arial" w:cs="Arial"/>
          <w:i/>
          <w:iCs/>
          <w:color w:val="000000"/>
          <w:kern w:val="0"/>
          <w:sz w:val="22"/>
          <w:szCs w:val="22"/>
          <w:lang w:eastAsia="en-GB"/>
          <w14:ligatures w14:val="none"/>
        </w:rPr>
        <w:t>Understanding Organizations</w:t>
      </w:r>
      <w:r w:rsidRPr="007E46FA">
        <w:rPr>
          <w:rFonts w:ascii="Arial" w:eastAsia="Times New Roman" w:hAnsi="Arial" w:cs="Arial"/>
          <w:color w:val="000000"/>
          <w:kern w:val="0"/>
          <w:sz w:val="22"/>
          <w:szCs w:val="22"/>
          <w:lang w:eastAsia="en-GB"/>
          <w14:ligatures w14:val="none"/>
        </w:rPr>
        <w:t>. 4th ed. Penguin.</w:t>
      </w:r>
    </w:p>
    <w:p w14:paraId="0AC76ACC" w14:textId="6D456AA3" w:rsidR="00BB6936" w:rsidRPr="007E46FA" w:rsidRDefault="00BB6936" w:rsidP="00BB6936">
      <w:pPr>
        <w:spacing w:before="100" w:beforeAutospacing="1" w:after="100" w:afterAutospacing="1"/>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5.Hofstede, G., Hofstede, G.J., and Minkov, M. (2010) </w:t>
      </w:r>
      <w:r w:rsidRPr="007E46FA">
        <w:rPr>
          <w:rFonts w:ascii="Arial" w:eastAsia="Times New Roman" w:hAnsi="Arial" w:cs="Arial"/>
          <w:i/>
          <w:iCs/>
          <w:color w:val="000000"/>
          <w:kern w:val="0"/>
          <w:sz w:val="22"/>
          <w:szCs w:val="22"/>
          <w:lang w:eastAsia="en-GB"/>
          <w14:ligatures w14:val="none"/>
        </w:rPr>
        <w:t>Cultures and Organizations: Software of the Mind</w:t>
      </w:r>
      <w:r w:rsidRPr="007E46FA">
        <w:rPr>
          <w:rFonts w:ascii="Arial" w:eastAsia="Times New Roman" w:hAnsi="Arial" w:cs="Arial"/>
          <w:color w:val="000000"/>
          <w:kern w:val="0"/>
          <w:sz w:val="22"/>
          <w:szCs w:val="22"/>
          <w:lang w:eastAsia="en-GB"/>
          <w14:ligatures w14:val="none"/>
        </w:rPr>
        <w:t>. 3rd ed. McGraw-Hill.</w:t>
      </w:r>
    </w:p>
    <w:p w14:paraId="1F58C916" w14:textId="265DD0EE" w:rsidR="00BB6936" w:rsidRPr="007E46FA" w:rsidRDefault="00BB6936" w:rsidP="00BB6936">
      <w:pPr>
        <w:spacing w:before="100" w:beforeAutospacing="1" w:after="100" w:afterAutospacing="1"/>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6.Kotter, J.P. and Heskett, J.L. (1992) </w:t>
      </w:r>
      <w:r w:rsidRPr="007E46FA">
        <w:rPr>
          <w:rFonts w:ascii="Arial" w:eastAsia="Times New Roman" w:hAnsi="Arial" w:cs="Arial"/>
          <w:i/>
          <w:iCs/>
          <w:color w:val="000000"/>
          <w:kern w:val="0"/>
          <w:sz w:val="22"/>
          <w:szCs w:val="22"/>
          <w:lang w:eastAsia="en-GB"/>
          <w14:ligatures w14:val="none"/>
        </w:rPr>
        <w:t>Corporate Culture and Performance</w:t>
      </w:r>
      <w:r w:rsidRPr="007E46FA">
        <w:rPr>
          <w:rFonts w:ascii="Arial" w:eastAsia="Times New Roman" w:hAnsi="Arial" w:cs="Arial"/>
          <w:color w:val="000000"/>
          <w:kern w:val="0"/>
          <w:sz w:val="22"/>
          <w:szCs w:val="22"/>
          <w:lang w:eastAsia="en-GB"/>
          <w14:ligatures w14:val="none"/>
        </w:rPr>
        <w:t>. Free Press.</w:t>
      </w:r>
    </w:p>
    <w:p w14:paraId="2C271494" w14:textId="3BFF7F67" w:rsidR="00BB6936" w:rsidRPr="007E46FA" w:rsidRDefault="00BB6936" w:rsidP="00BB6936">
      <w:pPr>
        <w:spacing w:before="100" w:beforeAutospacing="1" w:after="100" w:afterAutospacing="1"/>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7.Mullins, L. and Christy, G. (2016) </w:t>
      </w:r>
      <w:r w:rsidRPr="007E46FA">
        <w:rPr>
          <w:rFonts w:ascii="Arial" w:eastAsia="Times New Roman" w:hAnsi="Arial" w:cs="Arial"/>
          <w:i/>
          <w:iCs/>
          <w:color w:val="000000"/>
          <w:kern w:val="0"/>
          <w:sz w:val="22"/>
          <w:szCs w:val="22"/>
          <w:lang w:eastAsia="en-GB"/>
          <w14:ligatures w14:val="none"/>
        </w:rPr>
        <w:t>Management and Organisational Behaviour</w:t>
      </w:r>
      <w:r w:rsidRPr="007E46FA">
        <w:rPr>
          <w:rFonts w:ascii="Arial" w:eastAsia="Times New Roman" w:hAnsi="Arial" w:cs="Arial"/>
          <w:color w:val="000000"/>
          <w:kern w:val="0"/>
          <w:sz w:val="22"/>
          <w:szCs w:val="22"/>
          <w:lang w:eastAsia="en-GB"/>
          <w14:ligatures w14:val="none"/>
        </w:rPr>
        <w:t>. 11th ed. Pearson Education Limited.</w:t>
      </w:r>
    </w:p>
    <w:p w14:paraId="724D4575" w14:textId="24463503" w:rsidR="00BB6936" w:rsidRPr="007E46FA" w:rsidRDefault="00BB6936" w:rsidP="00BB6936">
      <w:pPr>
        <w:spacing w:before="100" w:beforeAutospacing="1" w:after="100" w:afterAutospacing="1"/>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8.Ofwat (2022) </w:t>
      </w:r>
      <w:r w:rsidRPr="007E46FA">
        <w:rPr>
          <w:rFonts w:ascii="Arial" w:eastAsia="Times New Roman" w:hAnsi="Arial" w:cs="Arial"/>
          <w:i/>
          <w:iCs/>
          <w:color w:val="000000"/>
          <w:kern w:val="0"/>
          <w:sz w:val="22"/>
          <w:szCs w:val="22"/>
          <w:lang w:eastAsia="en-GB"/>
          <w14:ligatures w14:val="none"/>
        </w:rPr>
        <w:t>Performance Report: Severn Trent Water</w:t>
      </w:r>
      <w:r w:rsidRPr="007E46FA">
        <w:rPr>
          <w:rFonts w:ascii="Arial" w:eastAsia="Times New Roman" w:hAnsi="Arial" w:cs="Arial"/>
          <w:color w:val="000000"/>
          <w:kern w:val="0"/>
          <w:sz w:val="22"/>
          <w:szCs w:val="22"/>
          <w:lang w:eastAsia="en-GB"/>
          <w14:ligatures w14:val="none"/>
        </w:rPr>
        <w:t>. Available at: </w:t>
      </w:r>
      <w:hyperlink r:id="rId9" w:tgtFrame="_blank" w:history="1">
        <w:r w:rsidRPr="007E46FA">
          <w:rPr>
            <w:rFonts w:ascii="Arial" w:eastAsia="Times New Roman" w:hAnsi="Arial" w:cs="Arial"/>
            <w:color w:val="0000FF"/>
            <w:kern w:val="0"/>
            <w:sz w:val="22"/>
            <w:szCs w:val="22"/>
            <w:u w:val="single"/>
            <w:lang w:eastAsia="en-GB"/>
            <w14:ligatures w14:val="none"/>
          </w:rPr>
          <w:t>https://www.ofwat.gov.uk</w:t>
        </w:r>
      </w:hyperlink>
    </w:p>
    <w:p w14:paraId="196E9596" w14:textId="424BC39E" w:rsidR="00BB6936" w:rsidRPr="007E46FA" w:rsidRDefault="00BB6936" w:rsidP="00BB6936">
      <w:pPr>
        <w:spacing w:before="100" w:beforeAutospacing="1" w:after="100" w:afterAutospacing="1"/>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9.Severn Trent (2023) </w:t>
      </w:r>
      <w:r w:rsidRPr="007E46FA">
        <w:rPr>
          <w:rFonts w:ascii="Arial" w:eastAsia="Times New Roman" w:hAnsi="Arial" w:cs="Arial"/>
          <w:i/>
          <w:iCs/>
          <w:color w:val="000000"/>
          <w:kern w:val="0"/>
          <w:sz w:val="22"/>
          <w:szCs w:val="22"/>
          <w:lang w:eastAsia="en-GB"/>
          <w14:ligatures w14:val="none"/>
        </w:rPr>
        <w:t>Annual Report and Accounts 2023</w:t>
      </w:r>
      <w:r w:rsidRPr="007E46FA">
        <w:rPr>
          <w:rFonts w:ascii="Arial" w:eastAsia="Times New Roman" w:hAnsi="Arial" w:cs="Arial"/>
          <w:color w:val="000000"/>
          <w:kern w:val="0"/>
          <w:sz w:val="22"/>
          <w:szCs w:val="22"/>
          <w:lang w:eastAsia="en-GB"/>
          <w14:ligatures w14:val="none"/>
        </w:rPr>
        <w:t>. Available at: </w:t>
      </w:r>
      <w:hyperlink r:id="rId10" w:tgtFrame="_blank" w:history="1">
        <w:r w:rsidRPr="007E46FA">
          <w:rPr>
            <w:rFonts w:ascii="Arial" w:eastAsia="Times New Roman" w:hAnsi="Arial" w:cs="Arial"/>
            <w:color w:val="0000FF"/>
            <w:kern w:val="0"/>
            <w:sz w:val="22"/>
            <w:szCs w:val="22"/>
            <w:u w:val="single"/>
            <w:lang w:eastAsia="en-GB"/>
            <w14:ligatures w14:val="none"/>
          </w:rPr>
          <w:t>https://www.severntrent.com</w:t>
        </w:r>
      </w:hyperlink>
    </w:p>
    <w:p w14:paraId="426D6D8A" w14:textId="3870B6AD" w:rsidR="00BB6936" w:rsidRPr="007E46FA" w:rsidRDefault="00BB6936" w:rsidP="00BB6936">
      <w:pPr>
        <w:spacing w:before="100" w:beforeAutospacing="1" w:after="100" w:afterAutospacing="1"/>
        <w:rPr>
          <w:rFonts w:ascii="Arial" w:eastAsia="Times New Roman" w:hAnsi="Arial" w:cs="Arial"/>
          <w:color w:val="000000"/>
          <w:kern w:val="0"/>
          <w:sz w:val="22"/>
          <w:szCs w:val="22"/>
          <w:lang w:eastAsia="en-GB"/>
          <w14:ligatures w14:val="none"/>
        </w:rPr>
      </w:pPr>
      <w:r w:rsidRPr="007E46FA">
        <w:rPr>
          <w:rFonts w:ascii="Arial" w:eastAsia="Times New Roman" w:hAnsi="Arial" w:cs="Arial"/>
          <w:color w:val="000000"/>
          <w:kern w:val="0"/>
          <w:sz w:val="22"/>
          <w:szCs w:val="22"/>
          <w:lang w:eastAsia="en-GB"/>
          <w14:ligatures w14:val="none"/>
        </w:rPr>
        <w:t>10.Water UK (2022) </w:t>
      </w:r>
      <w:r w:rsidRPr="007E46FA">
        <w:rPr>
          <w:rFonts w:ascii="Arial" w:eastAsia="Times New Roman" w:hAnsi="Arial" w:cs="Arial"/>
          <w:i/>
          <w:iCs/>
          <w:color w:val="000000"/>
          <w:kern w:val="0"/>
          <w:sz w:val="22"/>
          <w:szCs w:val="22"/>
          <w:lang w:eastAsia="en-GB"/>
          <w14:ligatures w14:val="none"/>
        </w:rPr>
        <w:t>Innovation in the Water Sector</w:t>
      </w:r>
      <w:r w:rsidRPr="007E46FA">
        <w:rPr>
          <w:rFonts w:ascii="Arial" w:eastAsia="Times New Roman" w:hAnsi="Arial" w:cs="Arial"/>
          <w:color w:val="000000"/>
          <w:kern w:val="0"/>
          <w:sz w:val="22"/>
          <w:szCs w:val="22"/>
          <w:lang w:eastAsia="en-GB"/>
          <w14:ligatures w14:val="none"/>
        </w:rPr>
        <w:t>. Available at: </w:t>
      </w:r>
      <w:hyperlink r:id="rId11" w:tgtFrame="_blank" w:history="1">
        <w:r w:rsidRPr="007E46FA">
          <w:rPr>
            <w:rFonts w:ascii="Arial" w:eastAsia="Times New Roman" w:hAnsi="Arial" w:cs="Arial"/>
            <w:color w:val="0000FF"/>
            <w:kern w:val="0"/>
            <w:sz w:val="22"/>
            <w:szCs w:val="22"/>
            <w:u w:val="single"/>
            <w:lang w:eastAsia="en-GB"/>
            <w14:ligatures w14:val="none"/>
          </w:rPr>
          <w:t>https://www.wat</w:t>
        </w:r>
      </w:hyperlink>
    </w:p>
    <w:p w14:paraId="1D4D461F" w14:textId="7B101CFF" w:rsidR="00D11672" w:rsidRPr="008E50F1" w:rsidRDefault="00D11672">
      <w:pPr>
        <w:rPr>
          <w:rFonts w:ascii="Arial" w:hAnsi="Arial" w:cs="Arial"/>
          <w:sz w:val="22"/>
          <w:szCs w:val="22"/>
        </w:rPr>
      </w:pPr>
      <w:r>
        <w:rPr>
          <w:rFonts w:ascii="Arial" w:hAnsi="Arial" w:cs="Arial"/>
          <w:sz w:val="22"/>
          <w:szCs w:val="22"/>
        </w:rPr>
        <w:tab/>
      </w:r>
    </w:p>
    <w:sectPr w:rsidR="00D11672" w:rsidRPr="008E50F1" w:rsidSect="004E6037">
      <w:footerReference w:type="even" r:id="rId12"/>
      <w:footerReference w:type="default" r:id="rId13"/>
      <w:pgSz w:w="11906" w:h="16838"/>
      <w:pgMar w:top="1440" w:right="1077" w:bottom="1440" w:left="107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ADDD231" w14:textId="77777777" w:rsidR="00981A06" w:rsidRDefault="00981A06" w:rsidP="00DC6BFF">
      <w:r>
        <w:separator/>
      </w:r>
    </w:p>
  </w:endnote>
  <w:endnote w:type="continuationSeparator" w:id="0">
    <w:p w14:paraId="65C50FFF" w14:textId="77777777" w:rsidR="00981A06" w:rsidRDefault="00981A06" w:rsidP="00DC6B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42656455"/>
      <w:docPartObj>
        <w:docPartGallery w:val="Page Numbers (Bottom of Page)"/>
        <w:docPartUnique/>
      </w:docPartObj>
    </w:sdtPr>
    <w:sdtContent>
      <w:p w14:paraId="48377823" w14:textId="50AEDAA5" w:rsidR="00DC6BFF" w:rsidRDefault="00DC6BFF" w:rsidP="00DC3C0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79C09F9" w14:textId="77777777" w:rsidR="00DC6BFF" w:rsidRDefault="00DC6B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300508170"/>
      <w:docPartObj>
        <w:docPartGallery w:val="Page Numbers (Bottom of Page)"/>
        <w:docPartUnique/>
      </w:docPartObj>
    </w:sdtPr>
    <w:sdtContent>
      <w:p w14:paraId="61DE715A" w14:textId="0DD574F6" w:rsidR="00DC6BFF" w:rsidRDefault="00DC6BFF" w:rsidP="00DC3C0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6431FD" w14:textId="77777777" w:rsidR="00DC6BFF" w:rsidRDefault="00DC6B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85ABDB2" w14:textId="77777777" w:rsidR="00981A06" w:rsidRDefault="00981A06" w:rsidP="00DC6BFF">
      <w:r>
        <w:separator/>
      </w:r>
    </w:p>
  </w:footnote>
  <w:footnote w:type="continuationSeparator" w:id="0">
    <w:p w14:paraId="5F1FCA7E" w14:textId="77777777" w:rsidR="00981A06" w:rsidRDefault="00981A06" w:rsidP="00DC6B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B5A36CE"/>
    <w:multiLevelType w:val="hybridMultilevel"/>
    <w:tmpl w:val="5E381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276CF0"/>
    <w:multiLevelType w:val="hybridMultilevel"/>
    <w:tmpl w:val="EC4A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4B3002"/>
    <w:multiLevelType w:val="hybridMultilevel"/>
    <w:tmpl w:val="515CC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0319581">
    <w:abstractNumId w:val="2"/>
  </w:num>
  <w:num w:numId="2" w16cid:durableId="7995799">
    <w:abstractNumId w:val="1"/>
  </w:num>
  <w:num w:numId="3" w16cid:durableId="814375839">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0F1"/>
    <w:rsid w:val="0006655D"/>
    <w:rsid w:val="0010052E"/>
    <w:rsid w:val="002006BB"/>
    <w:rsid w:val="00207FAC"/>
    <w:rsid w:val="002737C5"/>
    <w:rsid w:val="002D38CD"/>
    <w:rsid w:val="0031431C"/>
    <w:rsid w:val="00333D8A"/>
    <w:rsid w:val="003A25AB"/>
    <w:rsid w:val="00416A65"/>
    <w:rsid w:val="00466F23"/>
    <w:rsid w:val="00480A5A"/>
    <w:rsid w:val="004950D5"/>
    <w:rsid w:val="004E6037"/>
    <w:rsid w:val="0050666A"/>
    <w:rsid w:val="00575BA8"/>
    <w:rsid w:val="00593DED"/>
    <w:rsid w:val="00697D58"/>
    <w:rsid w:val="006A3E45"/>
    <w:rsid w:val="007207A0"/>
    <w:rsid w:val="00730341"/>
    <w:rsid w:val="0074184B"/>
    <w:rsid w:val="007D2BA7"/>
    <w:rsid w:val="007E46FA"/>
    <w:rsid w:val="0080019D"/>
    <w:rsid w:val="00811E8E"/>
    <w:rsid w:val="00826355"/>
    <w:rsid w:val="008268D5"/>
    <w:rsid w:val="008B59AB"/>
    <w:rsid w:val="008E50F1"/>
    <w:rsid w:val="008E7BE8"/>
    <w:rsid w:val="008F123A"/>
    <w:rsid w:val="008F268B"/>
    <w:rsid w:val="00934B7D"/>
    <w:rsid w:val="00981A06"/>
    <w:rsid w:val="00996E91"/>
    <w:rsid w:val="009A40A8"/>
    <w:rsid w:val="009E3590"/>
    <w:rsid w:val="00A273A4"/>
    <w:rsid w:val="00A86320"/>
    <w:rsid w:val="00AC2AB5"/>
    <w:rsid w:val="00AD7914"/>
    <w:rsid w:val="00AE6CF5"/>
    <w:rsid w:val="00AE7CCE"/>
    <w:rsid w:val="00B203FB"/>
    <w:rsid w:val="00B45AD6"/>
    <w:rsid w:val="00BB6936"/>
    <w:rsid w:val="00BB7F18"/>
    <w:rsid w:val="00BD5546"/>
    <w:rsid w:val="00BF2113"/>
    <w:rsid w:val="00C65D92"/>
    <w:rsid w:val="00C82E0F"/>
    <w:rsid w:val="00CA4C4F"/>
    <w:rsid w:val="00CB45AC"/>
    <w:rsid w:val="00CD7C6C"/>
    <w:rsid w:val="00CE7903"/>
    <w:rsid w:val="00D11672"/>
    <w:rsid w:val="00D26891"/>
    <w:rsid w:val="00D7365C"/>
    <w:rsid w:val="00DC6BFF"/>
    <w:rsid w:val="00DC7F28"/>
    <w:rsid w:val="00E008C4"/>
    <w:rsid w:val="00E205B4"/>
    <w:rsid w:val="00EE1B7E"/>
    <w:rsid w:val="00F076B6"/>
    <w:rsid w:val="00F93840"/>
    <w:rsid w:val="00FA6184"/>
    <w:rsid w:val="00FF4A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0B0A6"/>
  <w15:chartTrackingRefBased/>
  <w15:docId w15:val="{EED8C6BC-1444-FB43-8368-355F77AAD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50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50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50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50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50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50F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50F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50F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50F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50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50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50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50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50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50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50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50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50F1"/>
    <w:rPr>
      <w:rFonts w:eastAsiaTheme="majorEastAsia" w:cstheme="majorBidi"/>
      <w:color w:val="272727" w:themeColor="text1" w:themeTint="D8"/>
    </w:rPr>
  </w:style>
  <w:style w:type="paragraph" w:styleId="Title">
    <w:name w:val="Title"/>
    <w:basedOn w:val="Normal"/>
    <w:next w:val="Normal"/>
    <w:link w:val="TitleChar"/>
    <w:uiPriority w:val="10"/>
    <w:qFormat/>
    <w:rsid w:val="008E50F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50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50F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50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50F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E50F1"/>
    <w:rPr>
      <w:i/>
      <w:iCs/>
      <w:color w:val="404040" w:themeColor="text1" w:themeTint="BF"/>
    </w:rPr>
  </w:style>
  <w:style w:type="paragraph" w:styleId="ListParagraph">
    <w:name w:val="List Paragraph"/>
    <w:basedOn w:val="Normal"/>
    <w:uiPriority w:val="34"/>
    <w:qFormat/>
    <w:rsid w:val="008E50F1"/>
    <w:pPr>
      <w:ind w:left="720"/>
      <w:contextualSpacing/>
    </w:pPr>
  </w:style>
  <w:style w:type="character" w:styleId="IntenseEmphasis">
    <w:name w:val="Intense Emphasis"/>
    <w:basedOn w:val="DefaultParagraphFont"/>
    <w:uiPriority w:val="21"/>
    <w:qFormat/>
    <w:rsid w:val="008E50F1"/>
    <w:rPr>
      <w:i/>
      <w:iCs/>
      <w:color w:val="0F4761" w:themeColor="accent1" w:themeShade="BF"/>
    </w:rPr>
  </w:style>
  <w:style w:type="paragraph" w:styleId="IntenseQuote">
    <w:name w:val="Intense Quote"/>
    <w:basedOn w:val="Normal"/>
    <w:next w:val="Normal"/>
    <w:link w:val="IntenseQuoteChar"/>
    <w:uiPriority w:val="30"/>
    <w:qFormat/>
    <w:rsid w:val="008E50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50F1"/>
    <w:rPr>
      <w:i/>
      <w:iCs/>
      <w:color w:val="0F4761" w:themeColor="accent1" w:themeShade="BF"/>
    </w:rPr>
  </w:style>
  <w:style w:type="character" w:styleId="IntenseReference">
    <w:name w:val="Intense Reference"/>
    <w:basedOn w:val="DefaultParagraphFont"/>
    <w:uiPriority w:val="32"/>
    <w:qFormat/>
    <w:rsid w:val="008E50F1"/>
    <w:rPr>
      <w:b/>
      <w:bCs/>
      <w:smallCaps/>
      <w:color w:val="0F4761" w:themeColor="accent1" w:themeShade="BF"/>
      <w:spacing w:val="5"/>
    </w:rPr>
  </w:style>
  <w:style w:type="paragraph" w:styleId="Footer">
    <w:name w:val="footer"/>
    <w:basedOn w:val="Normal"/>
    <w:link w:val="FooterChar"/>
    <w:uiPriority w:val="99"/>
    <w:unhideWhenUsed/>
    <w:rsid w:val="00DC6BFF"/>
    <w:pPr>
      <w:tabs>
        <w:tab w:val="center" w:pos="4513"/>
        <w:tab w:val="right" w:pos="9026"/>
      </w:tabs>
    </w:pPr>
  </w:style>
  <w:style w:type="character" w:customStyle="1" w:styleId="FooterChar">
    <w:name w:val="Footer Char"/>
    <w:basedOn w:val="DefaultParagraphFont"/>
    <w:link w:val="Footer"/>
    <w:uiPriority w:val="99"/>
    <w:rsid w:val="00DC6BFF"/>
  </w:style>
  <w:style w:type="character" w:styleId="PageNumber">
    <w:name w:val="page number"/>
    <w:basedOn w:val="DefaultParagraphFont"/>
    <w:uiPriority w:val="99"/>
    <w:semiHidden/>
    <w:unhideWhenUsed/>
    <w:rsid w:val="00DC6BFF"/>
  </w:style>
  <w:style w:type="paragraph" w:customStyle="1" w:styleId="gds-typography">
    <w:name w:val="gds-typography"/>
    <w:basedOn w:val="Normal"/>
    <w:rsid w:val="00E205B4"/>
    <w:pPr>
      <w:spacing w:before="100" w:beforeAutospacing="1" w:after="100" w:afterAutospacing="1"/>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7E46F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45AD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ater.org.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everntrent.com/" TargetMode="External"/><Relationship Id="rId4" Type="http://schemas.openxmlformats.org/officeDocument/2006/relationships/settings" Target="settings.xml"/><Relationship Id="rId9" Type="http://schemas.openxmlformats.org/officeDocument/2006/relationships/hyperlink" Target="https://www.ofwat.gov.uk/" TargetMode="Externa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percentStack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Low Power Orientation</c:v>
                </c:pt>
                <c:pt idx="1">
                  <c:v>Collectivism</c:v>
                </c:pt>
                <c:pt idx="2">
                  <c:v>Uncertainty Avoidance  </c:v>
                </c:pt>
                <c:pt idx="3">
                  <c:v>Long-term Orientation</c:v>
                </c:pt>
              </c:strCache>
            </c:strRef>
          </c:cat>
          <c:val>
            <c:numRef>
              <c:f>Sheet1!$B$2:$B$5</c:f>
              <c:numCache>
                <c:formatCode>General</c:formatCode>
                <c:ptCount val="4"/>
                <c:pt idx="0">
                  <c:v>0.75</c:v>
                </c:pt>
                <c:pt idx="1">
                  <c:v>0.8</c:v>
                </c:pt>
                <c:pt idx="2">
                  <c:v>0.85</c:v>
                </c:pt>
                <c:pt idx="3">
                  <c:v>0.9</c:v>
                </c:pt>
              </c:numCache>
            </c:numRef>
          </c:val>
          <c:extLst>
            <c:ext xmlns:c16="http://schemas.microsoft.com/office/drawing/2014/chart" uri="{C3380CC4-5D6E-409C-BE32-E72D297353CC}">
              <c16:uniqueId val="{00000000-CF54-D048-8D02-840C4108602E}"/>
            </c:ext>
          </c:extLst>
        </c:ser>
        <c:ser>
          <c:idx val="1"/>
          <c:order val="1"/>
          <c:tx>
            <c:strRef>
              <c:f>Sheet1!$C$1</c:f>
              <c:strCache>
                <c:ptCount val="1"/>
                <c:pt idx="0">
                  <c:v>Series 2</c:v>
                </c:pt>
              </c:strCache>
            </c:strRef>
          </c:tx>
          <c:spPr>
            <a:noFill/>
            <a:ln>
              <a:noFill/>
            </a:ln>
            <a:effectLst/>
          </c:spPr>
          <c:invertIfNegative val="0"/>
          <c:cat>
            <c:strRef>
              <c:f>Sheet1!$A$2:$A$5</c:f>
              <c:strCache>
                <c:ptCount val="4"/>
                <c:pt idx="0">
                  <c:v>Low Power Orientation</c:v>
                </c:pt>
                <c:pt idx="1">
                  <c:v>Collectivism</c:v>
                </c:pt>
                <c:pt idx="2">
                  <c:v>Uncertainty Avoidance  </c:v>
                </c:pt>
                <c:pt idx="3">
                  <c:v>Long-term Orientation</c:v>
                </c:pt>
              </c:strCache>
            </c:strRef>
          </c:cat>
          <c:val>
            <c:numRef>
              <c:f>Sheet1!$C$2:$C$5</c:f>
              <c:numCache>
                <c:formatCode>General</c:formatCode>
                <c:ptCount val="4"/>
                <c:pt idx="0">
                  <c:v>0.25</c:v>
                </c:pt>
                <c:pt idx="1">
                  <c:v>0.2</c:v>
                </c:pt>
                <c:pt idx="2">
                  <c:v>0.15</c:v>
                </c:pt>
                <c:pt idx="3">
                  <c:v>0.05</c:v>
                </c:pt>
              </c:numCache>
            </c:numRef>
          </c:val>
          <c:extLst>
            <c:ext xmlns:c16="http://schemas.microsoft.com/office/drawing/2014/chart" uri="{C3380CC4-5D6E-409C-BE32-E72D297353CC}">
              <c16:uniqueId val="{00000001-CF54-D048-8D02-840C4108602E}"/>
            </c:ext>
          </c:extLst>
        </c:ser>
        <c:ser>
          <c:idx val="2"/>
          <c:order val="2"/>
          <c:tx>
            <c:strRef>
              <c:f>Sheet1!$D$1</c:f>
              <c:strCache>
                <c:ptCount val="1"/>
                <c:pt idx="0">
                  <c:v>Series 3</c:v>
                </c:pt>
              </c:strCache>
            </c:strRef>
          </c:tx>
          <c:spPr>
            <a:noFill/>
            <a:ln>
              <a:noFill/>
            </a:ln>
            <a:effectLst/>
          </c:spPr>
          <c:invertIfNegative val="0"/>
          <c:cat>
            <c:strRef>
              <c:f>Sheet1!$A$2:$A$5</c:f>
              <c:strCache>
                <c:ptCount val="4"/>
                <c:pt idx="0">
                  <c:v>Low Power Orientation</c:v>
                </c:pt>
                <c:pt idx="1">
                  <c:v>Collectivism</c:v>
                </c:pt>
                <c:pt idx="2">
                  <c:v>Uncertainty Avoidance  </c:v>
                </c:pt>
                <c:pt idx="3">
                  <c:v>Long-term Orientation</c:v>
                </c:pt>
              </c:strCache>
            </c:strRef>
          </c:cat>
          <c:val>
            <c:numRef>
              <c:f>Sheet1!$D$2:$D$5</c:f>
              <c:numCache>
                <c:formatCode>General</c:formatCode>
                <c:ptCount val="4"/>
                <c:pt idx="0">
                  <c:v>0</c:v>
                </c:pt>
                <c:pt idx="1">
                  <c:v>0</c:v>
                </c:pt>
                <c:pt idx="2">
                  <c:v>0</c:v>
                </c:pt>
                <c:pt idx="3">
                  <c:v>0.05</c:v>
                </c:pt>
              </c:numCache>
            </c:numRef>
          </c:val>
          <c:extLst>
            <c:ext xmlns:c16="http://schemas.microsoft.com/office/drawing/2014/chart" uri="{C3380CC4-5D6E-409C-BE32-E72D297353CC}">
              <c16:uniqueId val="{00000002-CF54-D048-8D02-840C4108602E}"/>
            </c:ext>
          </c:extLst>
        </c:ser>
        <c:ser>
          <c:idx val="3"/>
          <c:order val="3"/>
          <c:tx>
            <c:strRef>
              <c:f>Sheet1!$E$1</c:f>
              <c:strCache>
                <c:ptCount val="1"/>
                <c:pt idx="0">
                  <c:v>Column1</c:v>
                </c:pt>
              </c:strCache>
            </c:strRef>
          </c:tx>
          <c:spPr>
            <a:solidFill>
              <a:schemeClr val="accent4"/>
            </a:solidFill>
            <a:ln>
              <a:noFill/>
            </a:ln>
            <a:effectLst/>
          </c:spPr>
          <c:invertIfNegative val="0"/>
          <c:cat>
            <c:strRef>
              <c:f>Sheet1!$A$2:$A$5</c:f>
              <c:strCache>
                <c:ptCount val="4"/>
                <c:pt idx="0">
                  <c:v>Low Power Orientation</c:v>
                </c:pt>
                <c:pt idx="1">
                  <c:v>Collectivism</c:v>
                </c:pt>
                <c:pt idx="2">
                  <c:v>Uncertainty Avoidance  </c:v>
                </c:pt>
                <c:pt idx="3">
                  <c:v>Long-term Orientation</c:v>
                </c:pt>
              </c:strCache>
            </c:strRef>
          </c:cat>
          <c:val>
            <c:numRef>
              <c:f>Sheet1!$E$2:$E$5</c:f>
              <c:numCache>
                <c:formatCode>General</c:formatCode>
                <c:ptCount val="4"/>
              </c:numCache>
            </c:numRef>
          </c:val>
          <c:extLst>
            <c:ext xmlns:c16="http://schemas.microsoft.com/office/drawing/2014/chart" uri="{C3380CC4-5D6E-409C-BE32-E72D297353CC}">
              <c16:uniqueId val="{00000003-CF54-D048-8D02-840C4108602E}"/>
            </c:ext>
          </c:extLst>
        </c:ser>
        <c:dLbls>
          <c:showLegendKey val="0"/>
          <c:showVal val="0"/>
          <c:showCatName val="0"/>
          <c:showSerName val="0"/>
          <c:showPercent val="0"/>
          <c:showBubbleSize val="0"/>
        </c:dLbls>
        <c:gapWidth val="150"/>
        <c:overlap val="100"/>
        <c:axId val="606568527"/>
        <c:axId val="638947631"/>
      </c:barChart>
      <c:catAx>
        <c:axId val="60656852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947631"/>
        <c:crosses val="autoZero"/>
        <c:auto val="1"/>
        <c:lblAlgn val="ctr"/>
        <c:lblOffset val="100"/>
        <c:noMultiLvlLbl val="0"/>
      </c:catAx>
      <c:valAx>
        <c:axId val="638947631"/>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56852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D974A6-AD6F-D644-96F1-68EA35CDE1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3699</Words>
  <Characters>21087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KENNETH ANDAL</dc:creator>
  <cp:keywords/>
  <dc:description/>
  <cp:lastModifiedBy>KENNETH ANDAL</cp:lastModifiedBy>
  <cp:revision>2</cp:revision>
  <dcterms:created xsi:type="dcterms:W3CDTF">2026-07-11T17:02:00Z</dcterms:created>
  <dcterms:modified xsi:type="dcterms:W3CDTF">2026-07-11T17:02:00Z</dcterms:modified>
</cp:coreProperties>
</file>