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08736" w14:textId="22D85BEB" w:rsidR="00D0074D" w:rsidRPr="00643949" w:rsidRDefault="00D0074D" w:rsidP="00643949">
      <w:pPr>
        <w:spacing w:line="360" w:lineRule="auto"/>
        <w:jc w:val="both"/>
        <w:rPr>
          <w:rFonts w:ascii="Arial" w:hAnsi="Arial" w:cs="Arial"/>
          <w:sz w:val="22"/>
          <w:szCs w:val="22"/>
        </w:rPr>
      </w:pPr>
      <w:r w:rsidRPr="00643949">
        <w:rPr>
          <w:rFonts w:ascii="Arial" w:hAnsi="Arial" w:cs="Arial"/>
          <w:noProof/>
          <w:sz w:val="22"/>
          <w:szCs w:val="22"/>
        </w:rPr>
        <w:drawing>
          <wp:inline distT="0" distB="0" distL="0" distR="0" wp14:anchorId="614B115F" wp14:editId="312B2A96">
            <wp:extent cx="3550920" cy="1775460"/>
            <wp:effectExtent l="0" t="0" r="0" b="0"/>
            <wp:docPr id="527614896"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Картина 1" descr="Картина, която съдържа текст&#10;&#10;Описанието е генерирано автоматично"/>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50920" cy="1775460"/>
                    </a:xfrm>
                    <a:prstGeom prst="rect">
                      <a:avLst/>
                    </a:prstGeom>
                  </pic:spPr>
                </pic:pic>
              </a:graphicData>
            </a:graphic>
          </wp:inline>
        </w:drawing>
      </w:r>
    </w:p>
    <w:p w14:paraId="1A200AFF" w14:textId="1E6194D0" w:rsidR="00D0074D" w:rsidRPr="00643949" w:rsidRDefault="00D0074D" w:rsidP="00643949">
      <w:pPr>
        <w:spacing w:line="360" w:lineRule="auto"/>
        <w:jc w:val="both"/>
        <w:rPr>
          <w:rFonts w:ascii="Arial" w:hAnsi="Arial" w:cs="Arial"/>
          <w:sz w:val="22"/>
          <w:szCs w:val="22"/>
        </w:rPr>
      </w:pPr>
    </w:p>
    <w:p w14:paraId="5A52A417" w14:textId="77777777" w:rsidR="00D0074D" w:rsidRPr="00643949" w:rsidRDefault="00D0074D" w:rsidP="00643949">
      <w:pPr>
        <w:spacing w:line="360" w:lineRule="auto"/>
        <w:jc w:val="both"/>
        <w:rPr>
          <w:rFonts w:ascii="Arial" w:hAnsi="Arial" w:cs="Arial"/>
          <w:sz w:val="22"/>
          <w:szCs w:val="22"/>
        </w:rPr>
      </w:pPr>
    </w:p>
    <w:p w14:paraId="2F6DDCD3" w14:textId="20D73EF9" w:rsidR="00D0074D" w:rsidRPr="00B62704" w:rsidRDefault="00D0074D" w:rsidP="00643949">
      <w:pPr>
        <w:spacing w:line="360" w:lineRule="auto"/>
        <w:jc w:val="both"/>
        <w:rPr>
          <w:rFonts w:ascii="Arial" w:hAnsi="Arial" w:cs="Arial"/>
          <w:b/>
          <w:bCs/>
          <w:sz w:val="36"/>
          <w:szCs w:val="36"/>
        </w:rPr>
      </w:pPr>
      <w:r w:rsidRPr="00B62704">
        <w:rPr>
          <w:rFonts w:ascii="Arial" w:hAnsi="Arial" w:cs="Arial"/>
          <w:b/>
          <w:bCs/>
          <w:sz w:val="36"/>
          <w:szCs w:val="36"/>
        </w:rPr>
        <w:t>International Business Communications (LCBB6001)</w:t>
      </w:r>
    </w:p>
    <w:p w14:paraId="24BD55A8" w14:textId="77777777" w:rsidR="00D0074D" w:rsidRPr="00B62704" w:rsidRDefault="00D0074D" w:rsidP="00643949">
      <w:pPr>
        <w:spacing w:line="360" w:lineRule="auto"/>
        <w:jc w:val="both"/>
        <w:rPr>
          <w:rFonts w:ascii="Arial" w:hAnsi="Arial" w:cs="Arial"/>
          <w:sz w:val="36"/>
          <w:szCs w:val="36"/>
        </w:rPr>
      </w:pPr>
    </w:p>
    <w:p w14:paraId="0E8BE10E" w14:textId="77777777" w:rsidR="00D0074D" w:rsidRPr="00B62704" w:rsidRDefault="00D0074D" w:rsidP="00643949">
      <w:pPr>
        <w:spacing w:line="360" w:lineRule="auto"/>
        <w:jc w:val="both"/>
        <w:rPr>
          <w:rFonts w:ascii="Arial" w:hAnsi="Arial" w:cs="Arial"/>
          <w:sz w:val="36"/>
          <w:szCs w:val="36"/>
        </w:rPr>
      </w:pPr>
    </w:p>
    <w:p w14:paraId="27459374" w14:textId="77777777" w:rsidR="00D0074D" w:rsidRPr="00B62704" w:rsidRDefault="00D0074D" w:rsidP="00643949">
      <w:pPr>
        <w:spacing w:line="360" w:lineRule="auto"/>
        <w:jc w:val="both"/>
        <w:rPr>
          <w:rFonts w:ascii="Arial" w:hAnsi="Arial" w:cs="Arial"/>
          <w:sz w:val="36"/>
          <w:szCs w:val="36"/>
        </w:rPr>
      </w:pPr>
      <w:r w:rsidRPr="00B62704">
        <w:rPr>
          <w:rFonts w:ascii="Arial" w:hAnsi="Arial" w:cs="Arial"/>
          <w:sz w:val="36"/>
          <w:szCs w:val="36"/>
        </w:rPr>
        <w:t>Assessment 1</w:t>
      </w:r>
    </w:p>
    <w:p w14:paraId="333699EA" w14:textId="64C7CCE2" w:rsidR="00D0074D" w:rsidRPr="00B62704" w:rsidRDefault="00D0074D" w:rsidP="00643949">
      <w:pPr>
        <w:spacing w:line="360" w:lineRule="auto"/>
        <w:jc w:val="both"/>
        <w:rPr>
          <w:rFonts w:ascii="Arial" w:hAnsi="Arial" w:cs="Arial"/>
          <w:sz w:val="36"/>
          <w:szCs w:val="36"/>
        </w:rPr>
      </w:pPr>
      <w:r w:rsidRPr="00B62704">
        <w:rPr>
          <w:rFonts w:ascii="Arial" w:hAnsi="Arial" w:cs="Arial"/>
          <w:sz w:val="36"/>
          <w:szCs w:val="36"/>
        </w:rPr>
        <w:t xml:space="preserve">Component 1: Coursework: Individual Essay    </w:t>
      </w:r>
    </w:p>
    <w:p w14:paraId="430AC62E" w14:textId="77777777" w:rsidR="00D0074D" w:rsidRPr="00B62704" w:rsidRDefault="00D0074D" w:rsidP="00643949">
      <w:pPr>
        <w:spacing w:line="360" w:lineRule="auto"/>
        <w:jc w:val="both"/>
        <w:rPr>
          <w:rFonts w:ascii="Arial" w:hAnsi="Arial" w:cs="Arial"/>
          <w:sz w:val="36"/>
          <w:szCs w:val="36"/>
        </w:rPr>
      </w:pPr>
    </w:p>
    <w:p w14:paraId="0F6199F9" w14:textId="77777777" w:rsidR="00D0074D" w:rsidRPr="00B62704" w:rsidRDefault="00D0074D" w:rsidP="00643949">
      <w:pPr>
        <w:spacing w:line="360" w:lineRule="auto"/>
        <w:jc w:val="both"/>
        <w:rPr>
          <w:rFonts w:ascii="Arial" w:hAnsi="Arial" w:cs="Arial"/>
          <w:sz w:val="36"/>
          <w:szCs w:val="36"/>
        </w:rPr>
      </w:pPr>
    </w:p>
    <w:p w14:paraId="2E5C8EF8" w14:textId="3C886864" w:rsidR="00D0074D" w:rsidRPr="00B62704" w:rsidRDefault="00D0074D" w:rsidP="00643949">
      <w:pPr>
        <w:spacing w:line="360" w:lineRule="auto"/>
        <w:jc w:val="both"/>
        <w:rPr>
          <w:rFonts w:ascii="Arial" w:hAnsi="Arial" w:cs="Arial"/>
          <w:sz w:val="36"/>
          <w:szCs w:val="36"/>
        </w:rPr>
      </w:pPr>
      <w:r w:rsidRPr="00B62704">
        <w:rPr>
          <w:rFonts w:ascii="Arial" w:hAnsi="Arial" w:cs="Arial"/>
          <w:sz w:val="36"/>
          <w:szCs w:val="36"/>
        </w:rPr>
        <w:t xml:space="preserve">Submission Date: </w:t>
      </w:r>
      <w:r w:rsidR="00B62704">
        <w:rPr>
          <w:rFonts w:ascii="Arial" w:hAnsi="Arial" w:cs="Arial"/>
          <w:sz w:val="36"/>
          <w:szCs w:val="36"/>
        </w:rPr>
        <w:t>1</w:t>
      </w:r>
      <w:r w:rsidR="00492FEE">
        <w:rPr>
          <w:rFonts w:ascii="Arial" w:hAnsi="Arial" w:cs="Arial"/>
          <w:sz w:val="36"/>
          <w:szCs w:val="36"/>
        </w:rPr>
        <w:t>8</w:t>
      </w:r>
      <w:r w:rsidRPr="00B62704">
        <w:rPr>
          <w:rFonts w:ascii="Arial" w:hAnsi="Arial" w:cs="Arial"/>
          <w:sz w:val="36"/>
          <w:szCs w:val="36"/>
        </w:rPr>
        <w:t>/03/2025</w:t>
      </w:r>
    </w:p>
    <w:p w14:paraId="2FE58BB3" w14:textId="6BA7006E" w:rsidR="00D0074D" w:rsidRPr="00B62704" w:rsidRDefault="00D0074D" w:rsidP="00643949">
      <w:pPr>
        <w:spacing w:line="360" w:lineRule="auto"/>
        <w:jc w:val="both"/>
        <w:rPr>
          <w:rFonts w:ascii="Arial" w:hAnsi="Arial" w:cs="Arial"/>
          <w:sz w:val="36"/>
          <w:szCs w:val="36"/>
        </w:rPr>
      </w:pPr>
      <w:r w:rsidRPr="00B62704">
        <w:rPr>
          <w:rFonts w:ascii="Arial" w:hAnsi="Arial" w:cs="Arial"/>
          <w:sz w:val="36"/>
          <w:szCs w:val="36"/>
        </w:rPr>
        <w:t>Name of the Lecture: Dr Rexon Nting</w:t>
      </w:r>
    </w:p>
    <w:p w14:paraId="142D1012" w14:textId="77777777" w:rsidR="00D0074D" w:rsidRPr="00B62704" w:rsidRDefault="00D0074D" w:rsidP="00643949">
      <w:pPr>
        <w:spacing w:line="360" w:lineRule="auto"/>
        <w:jc w:val="both"/>
        <w:rPr>
          <w:rFonts w:ascii="Arial" w:hAnsi="Arial" w:cs="Arial"/>
          <w:sz w:val="36"/>
          <w:szCs w:val="36"/>
        </w:rPr>
      </w:pPr>
      <w:r w:rsidRPr="00B62704">
        <w:rPr>
          <w:rFonts w:ascii="Arial" w:hAnsi="Arial" w:cs="Arial"/>
          <w:sz w:val="36"/>
          <w:szCs w:val="36"/>
        </w:rPr>
        <w:t>Student ID: 2236843</w:t>
      </w:r>
    </w:p>
    <w:p w14:paraId="321E597A" w14:textId="59B6E639" w:rsidR="00903BA4" w:rsidRPr="00B62704" w:rsidRDefault="00D0074D" w:rsidP="00643949">
      <w:pPr>
        <w:spacing w:line="360" w:lineRule="auto"/>
        <w:jc w:val="both"/>
        <w:rPr>
          <w:rFonts w:ascii="Arial" w:hAnsi="Arial" w:cs="Arial"/>
          <w:sz w:val="36"/>
          <w:szCs w:val="36"/>
        </w:rPr>
      </w:pPr>
      <w:r w:rsidRPr="00B62704">
        <w:rPr>
          <w:rFonts w:ascii="Arial" w:hAnsi="Arial" w:cs="Arial"/>
          <w:sz w:val="36"/>
          <w:szCs w:val="36"/>
        </w:rPr>
        <w:t>Student name: ANDRIYANA EFTIMOVA</w:t>
      </w:r>
    </w:p>
    <w:p w14:paraId="0983D81D" w14:textId="7F6A752E" w:rsidR="00D0074D" w:rsidRPr="00851E86" w:rsidRDefault="00D0074D" w:rsidP="00851E86">
      <w:pPr>
        <w:pStyle w:val="Heading1"/>
        <w:rPr>
          <w:rFonts w:ascii="Arial" w:hAnsi="Arial" w:cs="Arial"/>
          <w:b/>
          <w:bCs/>
          <w:color w:val="auto"/>
          <w:sz w:val="28"/>
          <w:szCs w:val="28"/>
        </w:rPr>
      </w:pPr>
      <w:r w:rsidRPr="00851E86">
        <w:rPr>
          <w:rFonts w:ascii="Arial" w:hAnsi="Arial" w:cs="Arial"/>
          <w:b/>
          <w:bCs/>
          <w:color w:val="auto"/>
          <w:sz w:val="28"/>
          <w:szCs w:val="28"/>
        </w:rPr>
        <w:lastRenderedPageBreak/>
        <w:t>Table of contents:</w:t>
      </w:r>
    </w:p>
    <w:p w14:paraId="376B7586" w14:textId="7ACF6096" w:rsidR="00851E86" w:rsidRPr="00851E86" w:rsidRDefault="00851E86" w:rsidP="00851E86">
      <w:pPr>
        <w:rPr>
          <w:rFonts w:ascii="Arial" w:hAnsi="Arial" w:cs="Arial"/>
          <w:b/>
          <w:bCs/>
          <w:sz w:val="28"/>
          <w:szCs w:val="28"/>
        </w:rPr>
      </w:pPr>
      <w:r>
        <w:rPr>
          <w:rFonts w:ascii="Arial" w:hAnsi="Arial" w:cs="Arial"/>
          <w:b/>
          <w:bCs/>
          <w:sz w:val="28"/>
          <w:szCs w:val="28"/>
        </w:rPr>
        <w:t>1.</w:t>
      </w:r>
      <w:r w:rsidRPr="00851E86">
        <w:rPr>
          <w:rFonts w:ascii="Arial" w:hAnsi="Arial" w:cs="Arial"/>
          <w:b/>
          <w:bCs/>
          <w:sz w:val="28"/>
          <w:szCs w:val="28"/>
        </w:rPr>
        <w:t>Introduction</w:t>
      </w:r>
      <w:r>
        <w:rPr>
          <w:rFonts w:ascii="Arial" w:hAnsi="Arial" w:cs="Arial"/>
          <w:b/>
          <w:bCs/>
          <w:sz w:val="28"/>
          <w:szCs w:val="28"/>
        </w:rPr>
        <w:t>…………………………………………………………..3</w:t>
      </w:r>
    </w:p>
    <w:p w14:paraId="30885B84" w14:textId="77777777" w:rsidR="00851E86" w:rsidRPr="00851E86" w:rsidRDefault="00851E86" w:rsidP="00851E86">
      <w:pPr>
        <w:rPr>
          <w:rFonts w:ascii="Arial" w:hAnsi="Arial" w:cs="Arial"/>
          <w:sz w:val="28"/>
          <w:szCs w:val="28"/>
        </w:rPr>
      </w:pPr>
      <w:r w:rsidRPr="00851E86">
        <w:rPr>
          <w:rFonts w:ascii="Arial" w:hAnsi="Arial" w:cs="Arial"/>
          <w:sz w:val="28"/>
          <w:szCs w:val="28"/>
        </w:rPr>
        <w:t>Cross-cultural communication in global business environment</w:t>
      </w:r>
    </w:p>
    <w:p w14:paraId="7A2B9584" w14:textId="77777777" w:rsidR="00851E86" w:rsidRPr="00851E86" w:rsidRDefault="00851E86" w:rsidP="00851E86">
      <w:pPr>
        <w:rPr>
          <w:rFonts w:ascii="Arial" w:hAnsi="Arial" w:cs="Arial"/>
          <w:sz w:val="28"/>
          <w:szCs w:val="28"/>
        </w:rPr>
      </w:pPr>
      <w:r w:rsidRPr="00851E86">
        <w:rPr>
          <w:rFonts w:ascii="Arial" w:hAnsi="Arial" w:cs="Arial"/>
          <w:sz w:val="28"/>
          <w:szCs w:val="28"/>
        </w:rPr>
        <w:t>Theoretical frameworks for understanding culture</w:t>
      </w:r>
    </w:p>
    <w:p w14:paraId="7513DC7D" w14:textId="77777777" w:rsidR="00851E86" w:rsidRPr="00851E86" w:rsidRDefault="00851E86" w:rsidP="00851E86">
      <w:pPr>
        <w:rPr>
          <w:rFonts w:ascii="Arial" w:hAnsi="Arial" w:cs="Arial"/>
          <w:sz w:val="28"/>
          <w:szCs w:val="28"/>
        </w:rPr>
      </w:pPr>
      <w:r w:rsidRPr="00851E86">
        <w:rPr>
          <w:rFonts w:ascii="Arial" w:hAnsi="Arial" w:cs="Arial"/>
          <w:sz w:val="28"/>
          <w:szCs w:val="28"/>
        </w:rPr>
        <w:t>Focus on GSK and Takeda pharmaceutical alliance</w:t>
      </w:r>
    </w:p>
    <w:p w14:paraId="15FEAB36" w14:textId="153BC4E4" w:rsidR="00851E86" w:rsidRPr="00851E86" w:rsidRDefault="00851E86" w:rsidP="00851E86">
      <w:pPr>
        <w:rPr>
          <w:rFonts w:ascii="Arial" w:hAnsi="Arial" w:cs="Arial"/>
          <w:sz w:val="28"/>
          <w:szCs w:val="28"/>
        </w:rPr>
      </w:pPr>
      <w:r w:rsidRPr="00851E86">
        <w:rPr>
          <w:rFonts w:ascii="Arial" w:hAnsi="Arial" w:cs="Arial"/>
          <w:sz w:val="28"/>
          <w:szCs w:val="28"/>
        </w:rPr>
        <w:t>Importance of communication in the pharmaceutical sector</w:t>
      </w:r>
    </w:p>
    <w:p w14:paraId="65FAFD93" w14:textId="44231B5C" w:rsidR="00851E86" w:rsidRPr="00851E86" w:rsidRDefault="004C73DE" w:rsidP="004C73DE">
      <w:pPr>
        <w:rPr>
          <w:rFonts w:ascii="Arial" w:hAnsi="Arial" w:cs="Arial"/>
          <w:b/>
          <w:bCs/>
          <w:sz w:val="28"/>
          <w:szCs w:val="28"/>
        </w:rPr>
      </w:pPr>
      <w:r>
        <w:rPr>
          <w:rFonts w:ascii="Arial" w:hAnsi="Arial" w:cs="Arial"/>
          <w:b/>
          <w:bCs/>
          <w:sz w:val="28"/>
          <w:szCs w:val="28"/>
        </w:rPr>
        <w:t>2.</w:t>
      </w:r>
      <w:r w:rsidR="00851E86" w:rsidRPr="00851E86">
        <w:rPr>
          <w:rFonts w:ascii="Arial" w:hAnsi="Arial" w:cs="Arial"/>
          <w:b/>
          <w:bCs/>
          <w:sz w:val="28"/>
          <w:szCs w:val="28"/>
        </w:rPr>
        <w:t>Background of Selected Companies and Market Context</w:t>
      </w:r>
      <w:r w:rsidR="00851E86">
        <w:rPr>
          <w:rFonts w:ascii="Arial" w:hAnsi="Arial" w:cs="Arial"/>
          <w:b/>
          <w:bCs/>
          <w:sz w:val="28"/>
          <w:szCs w:val="28"/>
        </w:rPr>
        <w:t>……4-6</w:t>
      </w:r>
    </w:p>
    <w:p w14:paraId="68DECAC4" w14:textId="73F553CB" w:rsidR="00851E86" w:rsidRPr="004C73DE" w:rsidRDefault="004C73DE" w:rsidP="004C73DE">
      <w:pPr>
        <w:rPr>
          <w:rFonts w:ascii="Arial" w:hAnsi="Arial" w:cs="Arial"/>
          <w:sz w:val="28"/>
          <w:szCs w:val="28"/>
        </w:rPr>
      </w:pPr>
      <w:r>
        <w:rPr>
          <w:rFonts w:ascii="Arial" w:hAnsi="Arial" w:cs="Arial"/>
          <w:sz w:val="28"/>
          <w:szCs w:val="28"/>
        </w:rPr>
        <w:t>2.1</w:t>
      </w:r>
      <w:r w:rsidR="00851E86" w:rsidRPr="004C73DE">
        <w:rPr>
          <w:rFonts w:ascii="Arial" w:hAnsi="Arial" w:cs="Arial"/>
          <w:sz w:val="28"/>
          <w:szCs w:val="28"/>
        </w:rPr>
        <w:t>British Pharmaceutical Industry Context</w:t>
      </w:r>
    </w:p>
    <w:p w14:paraId="46159D4A" w14:textId="2EF708C5" w:rsidR="00851E86" w:rsidRPr="004C73DE" w:rsidRDefault="004C73DE" w:rsidP="004C73DE">
      <w:pPr>
        <w:rPr>
          <w:rFonts w:ascii="Arial" w:hAnsi="Arial" w:cs="Arial"/>
          <w:sz w:val="28"/>
          <w:szCs w:val="28"/>
        </w:rPr>
      </w:pPr>
      <w:r>
        <w:rPr>
          <w:rFonts w:ascii="Arial" w:hAnsi="Arial" w:cs="Arial"/>
          <w:sz w:val="28"/>
          <w:szCs w:val="28"/>
        </w:rPr>
        <w:t>2.2</w:t>
      </w:r>
      <w:r w:rsidR="00851E86" w:rsidRPr="004C73DE">
        <w:rPr>
          <w:rFonts w:ascii="Arial" w:hAnsi="Arial" w:cs="Arial"/>
          <w:sz w:val="28"/>
          <w:szCs w:val="28"/>
        </w:rPr>
        <w:t>GlaxoSmithKline (GSK)</w:t>
      </w:r>
    </w:p>
    <w:p w14:paraId="464002CA" w14:textId="72796B36" w:rsidR="00851E86" w:rsidRPr="004C73DE" w:rsidRDefault="004C73DE" w:rsidP="004C73DE">
      <w:pPr>
        <w:rPr>
          <w:rFonts w:ascii="Arial" w:hAnsi="Arial" w:cs="Arial"/>
          <w:sz w:val="28"/>
          <w:szCs w:val="28"/>
        </w:rPr>
      </w:pPr>
      <w:r>
        <w:rPr>
          <w:rFonts w:ascii="Arial" w:hAnsi="Arial" w:cs="Arial"/>
          <w:sz w:val="28"/>
          <w:szCs w:val="28"/>
        </w:rPr>
        <w:t>2.3</w:t>
      </w:r>
      <w:r w:rsidR="00851E86" w:rsidRPr="004C73DE">
        <w:rPr>
          <w:rFonts w:ascii="Arial" w:hAnsi="Arial" w:cs="Arial"/>
          <w:sz w:val="28"/>
          <w:szCs w:val="28"/>
        </w:rPr>
        <w:t>Takeda Pharmaceutical</w:t>
      </w:r>
    </w:p>
    <w:p w14:paraId="2DFD8D1C" w14:textId="5B735D55" w:rsidR="00851E86" w:rsidRPr="004C73DE" w:rsidRDefault="004C73DE" w:rsidP="004C73DE">
      <w:pPr>
        <w:rPr>
          <w:rFonts w:ascii="Arial" w:hAnsi="Arial" w:cs="Arial"/>
          <w:sz w:val="28"/>
          <w:szCs w:val="28"/>
        </w:rPr>
      </w:pPr>
      <w:r>
        <w:rPr>
          <w:rFonts w:ascii="Arial" w:hAnsi="Arial" w:cs="Arial"/>
          <w:sz w:val="28"/>
          <w:szCs w:val="28"/>
        </w:rPr>
        <w:t>2.4</w:t>
      </w:r>
      <w:r w:rsidR="00851E86" w:rsidRPr="004C73DE">
        <w:rPr>
          <w:rFonts w:ascii="Arial" w:hAnsi="Arial" w:cs="Arial"/>
          <w:sz w:val="28"/>
          <w:szCs w:val="28"/>
        </w:rPr>
        <w:t>Japanese Pharmaceutical Industry Context</w:t>
      </w:r>
    </w:p>
    <w:p w14:paraId="46BC40E6" w14:textId="73D06329" w:rsidR="00851E86" w:rsidRPr="00851E86" w:rsidRDefault="004C73DE" w:rsidP="004C73DE">
      <w:pPr>
        <w:rPr>
          <w:rFonts w:ascii="Arial" w:hAnsi="Arial" w:cs="Arial"/>
          <w:b/>
          <w:bCs/>
          <w:sz w:val="28"/>
          <w:szCs w:val="28"/>
        </w:rPr>
      </w:pPr>
      <w:r>
        <w:rPr>
          <w:rFonts w:ascii="Arial" w:hAnsi="Arial" w:cs="Arial"/>
          <w:b/>
          <w:bCs/>
          <w:sz w:val="28"/>
          <w:szCs w:val="28"/>
        </w:rPr>
        <w:t>3</w:t>
      </w:r>
      <w:r w:rsidR="00851E86" w:rsidRPr="00851E86">
        <w:rPr>
          <w:rFonts w:ascii="Arial" w:hAnsi="Arial" w:cs="Arial"/>
          <w:b/>
          <w:bCs/>
          <w:sz w:val="28"/>
          <w:szCs w:val="28"/>
        </w:rPr>
        <w:t>Cultural Dimensions Analysis</w:t>
      </w:r>
      <w:r w:rsidR="00851E86">
        <w:rPr>
          <w:rFonts w:ascii="Arial" w:hAnsi="Arial" w:cs="Arial"/>
          <w:b/>
          <w:bCs/>
          <w:sz w:val="28"/>
          <w:szCs w:val="28"/>
        </w:rPr>
        <w:t>………………………………………..7-8</w:t>
      </w:r>
    </w:p>
    <w:p w14:paraId="3F128CC0" w14:textId="77777777" w:rsidR="00851E86" w:rsidRPr="00851E86" w:rsidRDefault="00851E86" w:rsidP="00851E86">
      <w:pPr>
        <w:rPr>
          <w:rFonts w:ascii="Arial" w:hAnsi="Arial" w:cs="Arial"/>
          <w:sz w:val="28"/>
          <w:szCs w:val="28"/>
        </w:rPr>
      </w:pPr>
      <w:r w:rsidRPr="00851E86">
        <w:rPr>
          <w:rFonts w:ascii="Arial" w:hAnsi="Arial" w:cs="Arial"/>
          <w:sz w:val="28"/>
          <w:szCs w:val="28"/>
        </w:rPr>
        <w:t>3.1 Theoretical Framework Integration</w:t>
      </w:r>
    </w:p>
    <w:p w14:paraId="45AE6962" w14:textId="77777777" w:rsidR="00851E86" w:rsidRPr="00851E86" w:rsidRDefault="00851E86" w:rsidP="00851E86">
      <w:pPr>
        <w:rPr>
          <w:rFonts w:ascii="Arial" w:hAnsi="Arial" w:cs="Arial"/>
          <w:sz w:val="28"/>
          <w:szCs w:val="28"/>
        </w:rPr>
      </w:pPr>
      <w:r w:rsidRPr="00851E86">
        <w:rPr>
          <w:rFonts w:ascii="Arial" w:hAnsi="Arial" w:cs="Arial"/>
          <w:sz w:val="28"/>
          <w:szCs w:val="28"/>
        </w:rPr>
        <w:t>3.2 Hofstede's Cultural Dimensions in Practice</w:t>
      </w:r>
    </w:p>
    <w:p w14:paraId="4F0DA0F4" w14:textId="77777777" w:rsidR="00851E86" w:rsidRPr="00851E86" w:rsidRDefault="00851E86" w:rsidP="00851E86">
      <w:pPr>
        <w:rPr>
          <w:rFonts w:ascii="Arial" w:hAnsi="Arial" w:cs="Arial"/>
          <w:sz w:val="28"/>
          <w:szCs w:val="28"/>
        </w:rPr>
      </w:pPr>
      <w:r w:rsidRPr="00851E86">
        <w:rPr>
          <w:rFonts w:ascii="Arial" w:hAnsi="Arial" w:cs="Arial"/>
          <w:sz w:val="28"/>
          <w:szCs w:val="28"/>
        </w:rPr>
        <w:t>3.3 High-Context vs. Low-Context Communication Analysis</w:t>
      </w:r>
    </w:p>
    <w:p w14:paraId="58E48E00" w14:textId="5D5929EE" w:rsidR="00851E86" w:rsidRPr="00B62704" w:rsidRDefault="00851E86" w:rsidP="004C73DE">
      <w:pPr>
        <w:pStyle w:val="ListParagraph"/>
        <w:numPr>
          <w:ilvl w:val="1"/>
          <w:numId w:val="5"/>
        </w:numPr>
        <w:rPr>
          <w:rFonts w:ascii="Arial" w:hAnsi="Arial" w:cs="Arial"/>
          <w:sz w:val="28"/>
          <w:szCs w:val="28"/>
        </w:rPr>
      </w:pPr>
      <w:r w:rsidRPr="00B62704">
        <w:rPr>
          <w:rFonts w:ascii="Arial" w:hAnsi="Arial" w:cs="Arial"/>
          <w:sz w:val="28"/>
          <w:szCs w:val="28"/>
        </w:rPr>
        <w:t>Experimenting with Gen AI to Measure Cultural Practices</w:t>
      </w:r>
    </w:p>
    <w:p w14:paraId="53287C47" w14:textId="3F32E7AB" w:rsidR="00851E86" w:rsidRPr="00851E86" w:rsidRDefault="004C73DE" w:rsidP="004C73DE">
      <w:pPr>
        <w:rPr>
          <w:rFonts w:ascii="Arial" w:hAnsi="Arial" w:cs="Arial"/>
          <w:b/>
          <w:bCs/>
          <w:sz w:val="28"/>
          <w:szCs w:val="28"/>
        </w:rPr>
      </w:pPr>
      <w:r>
        <w:rPr>
          <w:rFonts w:ascii="Arial" w:hAnsi="Arial" w:cs="Arial"/>
          <w:b/>
          <w:bCs/>
          <w:sz w:val="28"/>
          <w:szCs w:val="28"/>
        </w:rPr>
        <w:t xml:space="preserve">4 </w:t>
      </w:r>
      <w:r w:rsidR="00851E86" w:rsidRPr="00851E86">
        <w:rPr>
          <w:rFonts w:ascii="Arial" w:hAnsi="Arial" w:cs="Arial"/>
          <w:b/>
          <w:bCs/>
          <w:sz w:val="28"/>
          <w:szCs w:val="28"/>
        </w:rPr>
        <w:t>Communication Challenges and Solutions</w:t>
      </w:r>
      <w:r w:rsidR="00851E86">
        <w:rPr>
          <w:rFonts w:ascii="Arial" w:hAnsi="Arial" w:cs="Arial"/>
          <w:b/>
          <w:bCs/>
          <w:sz w:val="28"/>
          <w:szCs w:val="28"/>
        </w:rPr>
        <w:t>………………………9-10</w:t>
      </w:r>
    </w:p>
    <w:p w14:paraId="5334874F" w14:textId="77777777" w:rsidR="00851E86" w:rsidRPr="00851E86" w:rsidRDefault="00851E86" w:rsidP="00851E86">
      <w:pPr>
        <w:rPr>
          <w:rFonts w:ascii="Arial" w:hAnsi="Arial" w:cs="Arial"/>
          <w:sz w:val="28"/>
          <w:szCs w:val="28"/>
        </w:rPr>
      </w:pPr>
      <w:r w:rsidRPr="00851E86">
        <w:rPr>
          <w:rFonts w:ascii="Arial" w:hAnsi="Arial" w:cs="Arial"/>
          <w:sz w:val="28"/>
          <w:szCs w:val="28"/>
        </w:rPr>
        <w:t>4.1 Strategic Decision-Making Processes</w:t>
      </w:r>
    </w:p>
    <w:p w14:paraId="2137C189" w14:textId="77777777" w:rsidR="00851E86" w:rsidRPr="00851E86" w:rsidRDefault="00851E86" w:rsidP="00851E86">
      <w:pPr>
        <w:rPr>
          <w:rFonts w:ascii="Arial" w:hAnsi="Arial" w:cs="Arial"/>
          <w:sz w:val="28"/>
          <w:szCs w:val="28"/>
        </w:rPr>
      </w:pPr>
      <w:r w:rsidRPr="00851E86">
        <w:rPr>
          <w:rFonts w:ascii="Arial" w:hAnsi="Arial" w:cs="Arial"/>
          <w:sz w:val="28"/>
          <w:szCs w:val="28"/>
        </w:rPr>
        <w:t>4.2 Operational Communication</w:t>
      </w:r>
    </w:p>
    <w:p w14:paraId="73086475" w14:textId="77777777" w:rsidR="00851E86" w:rsidRPr="00851E86" w:rsidRDefault="00851E86" w:rsidP="00851E86">
      <w:pPr>
        <w:rPr>
          <w:rFonts w:ascii="Arial" w:hAnsi="Arial" w:cs="Arial"/>
          <w:sz w:val="28"/>
          <w:szCs w:val="28"/>
        </w:rPr>
      </w:pPr>
      <w:r w:rsidRPr="00851E86">
        <w:rPr>
          <w:rFonts w:ascii="Arial" w:hAnsi="Arial" w:cs="Arial"/>
          <w:sz w:val="28"/>
          <w:szCs w:val="28"/>
        </w:rPr>
        <w:t>4.3 Research and Development Collaboration</w:t>
      </w:r>
    </w:p>
    <w:p w14:paraId="2402C57B" w14:textId="02875EE2" w:rsidR="00851E86" w:rsidRPr="004C73DE" w:rsidRDefault="00851E86" w:rsidP="004C73DE">
      <w:pPr>
        <w:pStyle w:val="ListParagraph"/>
        <w:numPr>
          <w:ilvl w:val="1"/>
          <w:numId w:val="6"/>
        </w:numPr>
        <w:rPr>
          <w:rFonts w:ascii="Arial" w:hAnsi="Arial" w:cs="Arial"/>
          <w:sz w:val="28"/>
          <w:szCs w:val="28"/>
        </w:rPr>
      </w:pPr>
      <w:r w:rsidRPr="004C73DE">
        <w:rPr>
          <w:rFonts w:ascii="Arial" w:hAnsi="Arial" w:cs="Arial"/>
          <w:sz w:val="28"/>
          <w:szCs w:val="28"/>
        </w:rPr>
        <w:t>Technology and Virtual Collaboration</w:t>
      </w:r>
    </w:p>
    <w:p w14:paraId="195EC598" w14:textId="7EB4D021" w:rsidR="00851E86" w:rsidRPr="00851E86" w:rsidRDefault="00851E86" w:rsidP="004C73DE">
      <w:pPr>
        <w:rPr>
          <w:rFonts w:ascii="Arial" w:hAnsi="Arial" w:cs="Arial"/>
          <w:b/>
          <w:bCs/>
          <w:sz w:val="28"/>
          <w:szCs w:val="28"/>
        </w:rPr>
      </w:pPr>
      <w:r w:rsidRPr="00851E86">
        <w:rPr>
          <w:rFonts w:ascii="Arial" w:hAnsi="Arial" w:cs="Arial"/>
          <w:b/>
          <w:bCs/>
          <w:sz w:val="28"/>
          <w:szCs w:val="28"/>
        </w:rPr>
        <w:t>Conclusion</w:t>
      </w:r>
      <w:r w:rsidR="004C73DE">
        <w:rPr>
          <w:rFonts w:ascii="Arial" w:hAnsi="Arial" w:cs="Arial"/>
          <w:b/>
          <w:bCs/>
          <w:sz w:val="28"/>
          <w:szCs w:val="28"/>
        </w:rPr>
        <w:t>……………………………………………………………………10</w:t>
      </w:r>
    </w:p>
    <w:p w14:paraId="49D0AE96" w14:textId="2E4032FC" w:rsidR="00851E86" w:rsidRPr="00045169" w:rsidRDefault="00851E86" w:rsidP="00851E86">
      <w:pPr>
        <w:rPr>
          <w:rFonts w:ascii="Arial" w:hAnsi="Arial" w:cs="Arial"/>
          <w:b/>
          <w:bCs/>
          <w:sz w:val="28"/>
          <w:szCs w:val="28"/>
        </w:rPr>
      </w:pPr>
      <w:r w:rsidRPr="00851E86">
        <w:rPr>
          <w:rFonts w:ascii="Arial" w:hAnsi="Arial" w:cs="Arial"/>
          <w:b/>
          <w:bCs/>
          <w:sz w:val="28"/>
          <w:szCs w:val="28"/>
        </w:rPr>
        <w:t>References</w:t>
      </w:r>
      <w:r w:rsidR="004C73DE">
        <w:rPr>
          <w:rFonts w:ascii="Arial" w:hAnsi="Arial" w:cs="Arial"/>
          <w:b/>
          <w:bCs/>
          <w:sz w:val="28"/>
          <w:szCs w:val="28"/>
        </w:rPr>
        <w:t>………………………………………………………………….11-1</w:t>
      </w:r>
      <w:r w:rsidR="00C978B2">
        <w:rPr>
          <w:rFonts w:ascii="Arial" w:hAnsi="Arial" w:cs="Arial"/>
          <w:b/>
          <w:bCs/>
          <w:sz w:val="28"/>
          <w:szCs w:val="28"/>
        </w:rPr>
        <w:t>2</w:t>
      </w:r>
    </w:p>
    <w:p w14:paraId="2AD19BE8" w14:textId="6198EECB" w:rsidR="00F70B5E" w:rsidRDefault="00851E86" w:rsidP="00643949">
      <w:pPr>
        <w:pStyle w:val="Heading1"/>
        <w:spacing w:line="360" w:lineRule="auto"/>
        <w:jc w:val="both"/>
        <w:rPr>
          <w:rStyle w:val="Strong"/>
          <w:rFonts w:ascii="Arial" w:hAnsi="Arial" w:cs="Arial"/>
          <w:color w:val="auto"/>
          <w:sz w:val="22"/>
          <w:szCs w:val="22"/>
        </w:rPr>
      </w:pPr>
      <w:r>
        <w:rPr>
          <w:rStyle w:val="Strong"/>
          <w:rFonts w:ascii="Arial" w:hAnsi="Arial" w:cs="Arial"/>
          <w:color w:val="auto"/>
          <w:sz w:val="22"/>
          <w:szCs w:val="22"/>
        </w:rPr>
        <w:lastRenderedPageBreak/>
        <w:t>1.</w:t>
      </w:r>
      <w:r w:rsidR="00F70B5E" w:rsidRPr="00643949">
        <w:rPr>
          <w:rStyle w:val="Strong"/>
          <w:rFonts w:ascii="Arial" w:hAnsi="Arial" w:cs="Arial"/>
          <w:color w:val="auto"/>
          <w:sz w:val="22"/>
          <w:szCs w:val="22"/>
        </w:rPr>
        <w:t>Introduction:</w:t>
      </w:r>
    </w:p>
    <w:p w14:paraId="5F5284EC" w14:textId="2234C1BE" w:rsidR="00F70B5E" w:rsidRPr="00643949" w:rsidRDefault="00F70B5E" w:rsidP="00643949">
      <w:pPr>
        <w:spacing w:line="360" w:lineRule="auto"/>
        <w:jc w:val="both"/>
        <w:rPr>
          <w:rFonts w:ascii="Arial" w:hAnsi="Arial" w:cs="Arial"/>
          <w:sz w:val="22"/>
          <w:szCs w:val="22"/>
        </w:rPr>
      </w:pPr>
      <w:r w:rsidRPr="00643949">
        <w:rPr>
          <w:rFonts w:ascii="Arial" w:hAnsi="Arial" w:cs="Arial"/>
          <w:sz w:val="22"/>
          <w:szCs w:val="22"/>
        </w:rPr>
        <w:t xml:space="preserve">Effective cross-cultural communication is essential to the success of multinational relationships in the increasingly interconnected global corporate environment. Depending on the theoretical stance and methodological methodology used, there are numerous ways to describe culture. It acts as a basic prism through which people and institutions view and engage with the outside world. Modern cross-cultural studies frequently define culture as a set of shared values within a particular group and differentiate its customs and behaviors from those of other groups. In international business study, the impact of culture has attracted a lot of interest, leading to the creation of numerous cultural frameworks meant to comprehend its complex nature. </w:t>
      </w:r>
      <w:r w:rsidRPr="00643949">
        <w:rPr>
          <w:rFonts w:ascii="Arial" w:hAnsi="Arial" w:cs="Arial"/>
          <w:sz w:val="22"/>
          <w:szCs w:val="22"/>
        </w:rPr>
        <w:br/>
        <w:t>Schwartz's theory of fundamental human values, Hofstede's cultural dimension theory, and the Global Leadership and Organizational Behavior Effectiveness project have all contributed to the conceptualization of culture by outlining various dimensions and offering quantitative measurements, mostly at the national level (Messner, 2025).</w:t>
      </w:r>
    </w:p>
    <w:p w14:paraId="7A434EBA" w14:textId="77777777" w:rsidR="00106EE0" w:rsidRPr="00643949" w:rsidRDefault="00106EE0" w:rsidP="00643949">
      <w:pPr>
        <w:spacing w:line="360" w:lineRule="auto"/>
        <w:jc w:val="both"/>
        <w:rPr>
          <w:rFonts w:ascii="Arial" w:hAnsi="Arial" w:cs="Arial"/>
          <w:sz w:val="22"/>
          <w:szCs w:val="22"/>
        </w:rPr>
      </w:pPr>
      <w:r w:rsidRPr="00643949">
        <w:rPr>
          <w:rFonts w:ascii="Arial" w:hAnsi="Arial" w:cs="Arial"/>
          <w:sz w:val="22"/>
          <w:szCs w:val="22"/>
        </w:rPr>
        <w:t>With a particular focus on the strategic alliance between GlaxoSmithKline (GSK) and Takeda Pharmaceutical, this essay provides a thorough examination of the intercultural communication difficulties that arise between British and Japanese teams in the pharmaceutical sector. This partnership is a powerful example of how cultural integration affects corporate operations, especially when it comes to creating and promoting novel medicinal goods.</w:t>
      </w:r>
    </w:p>
    <w:p w14:paraId="4F1F8EDA" w14:textId="25F6F2E3" w:rsidR="00106EE0" w:rsidRPr="00643949" w:rsidRDefault="00106EE0" w:rsidP="00643949">
      <w:pPr>
        <w:spacing w:line="360" w:lineRule="auto"/>
        <w:jc w:val="both"/>
        <w:rPr>
          <w:rFonts w:ascii="Arial" w:hAnsi="Arial" w:cs="Arial"/>
          <w:sz w:val="22"/>
          <w:szCs w:val="22"/>
        </w:rPr>
      </w:pPr>
      <w:r w:rsidRPr="00643949">
        <w:rPr>
          <w:rFonts w:ascii="Arial" w:hAnsi="Arial" w:cs="Arial"/>
          <w:sz w:val="22"/>
          <w:szCs w:val="22"/>
        </w:rPr>
        <w:t>Cross-cultural communication is particularly difficult in the pharmaceutical sector because of its highly regulated environment, intricate stakeholder connections, and the vital need for accuracy in every facet of operations. Effective communication is especially important in business because of the stringent quality control, thorough documentation, and meticulous coordination between research and development teams. Pharmaceutical agreements are further complicated by the cultural differences in healthcare methods between Eastern and Western markets.</w:t>
      </w:r>
    </w:p>
    <w:p w14:paraId="2AA5160A" w14:textId="26533CFE" w:rsidR="00106EE0" w:rsidRPr="00643949" w:rsidRDefault="00106EE0" w:rsidP="00643949">
      <w:pPr>
        <w:spacing w:line="360" w:lineRule="auto"/>
        <w:jc w:val="both"/>
        <w:rPr>
          <w:rFonts w:ascii="Arial" w:hAnsi="Arial" w:cs="Arial"/>
          <w:sz w:val="22"/>
          <w:szCs w:val="22"/>
        </w:rPr>
      </w:pPr>
      <w:r w:rsidRPr="00643949">
        <w:rPr>
          <w:rFonts w:ascii="Arial" w:hAnsi="Arial" w:cs="Arial"/>
          <w:sz w:val="22"/>
          <w:szCs w:val="22"/>
        </w:rPr>
        <w:t>To investigate how deeply ingrained cultural variations impact business communication styles and may result in misunderstandings, this analysis makes use of several theoretical frameworks, such as Hofstede's theory of cultural dimensions and Hall's high-context versus low-context communication model. Trompenaars' Seven Dimensions of Culture is also incorporated into the study to give a more thorough knowledge of how cultural beliefs influence business operations in both nations.</w:t>
      </w:r>
    </w:p>
    <w:p w14:paraId="544655A0" w14:textId="77777777" w:rsidR="00106EE0" w:rsidRPr="00643949" w:rsidRDefault="00106EE0" w:rsidP="00643949">
      <w:pPr>
        <w:pStyle w:val="Heading1"/>
        <w:spacing w:line="360" w:lineRule="auto"/>
        <w:jc w:val="both"/>
        <w:rPr>
          <w:rFonts w:ascii="Arial" w:hAnsi="Arial" w:cs="Arial"/>
          <w:b/>
          <w:bCs/>
          <w:color w:val="auto"/>
          <w:sz w:val="22"/>
          <w:szCs w:val="22"/>
        </w:rPr>
      </w:pPr>
      <w:r w:rsidRPr="00643949">
        <w:rPr>
          <w:rFonts w:ascii="Arial" w:hAnsi="Arial" w:cs="Arial"/>
          <w:b/>
          <w:bCs/>
          <w:color w:val="auto"/>
          <w:sz w:val="22"/>
          <w:szCs w:val="22"/>
        </w:rPr>
        <w:lastRenderedPageBreak/>
        <w:t>2. Background of Selected Companies and Market Context</w:t>
      </w:r>
    </w:p>
    <w:p w14:paraId="294FC573" w14:textId="77777777" w:rsidR="00106EE0" w:rsidRPr="00643949" w:rsidRDefault="00106EE0" w:rsidP="00643949">
      <w:pPr>
        <w:spacing w:line="360" w:lineRule="auto"/>
        <w:jc w:val="both"/>
        <w:rPr>
          <w:rFonts w:ascii="Arial" w:hAnsi="Arial" w:cs="Arial"/>
          <w:b/>
          <w:bCs/>
          <w:sz w:val="22"/>
          <w:szCs w:val="22"/>
        </w:rPr>
      </w:pPr>
      <w:r w:rsidRPr="00643949">
        <w:rPr>
          <w:rFonts w:ascii="Arial" w:hAnsi="Arial" w:cs="Arial"/>
          <w:b/>
          <w:bCs/>
          <w:sz w:val="22"/>
          <w:szCs w:val="22"/>
        </w:rPr>
        <w:t>2.1 British Pharmaceutical Industry Context</w:t>
      </w:r>
    </w:p>
    <w:p w14:paraId="0DB380E7" w14:textId="1685CE97" w:rsidR="00106EE0" w:rsidRPr="00643949" w:rsidRDefault="00106EE0" w:rsidP="00643949">
      <w:pPr>
        <w:spacing w:line="360" w:lineRule="auto"/>
        <w:jc w:val="both"/>
        <w:rPr>
          <w:rFonts w:ascii="Arial" w:hAnsi="Arial" w:cs="Arial"/>
          <w:sz w:val="22"/>
          <w:szCs w:val="22"/>
        </w:rPr>
      </w:pPr>
      <w:r w:rsidRPr="00643949">
        <w:rPr>
          <w:rFonts w:ascii="Arial" w:hAnsi="Arial" w:cs="Arial"/>
          <w:sz w:val="22"/>
          <w:szCs w:val="22"/>
        </w:rPr>
        <w:t>Both local and European Union influences have produced the highly developed regulatory framework in which the British pharmaceutical business functions. Strong emphasis on innovation, research-driven development, and international market expansion have defined the industry's evolution. Western corporate governance, which priorities shareholder value, open decision-making procedures, and distinct accountability frameworks, is generally used by British pharmaceutical businesses.</w:t>
      </w:r>
      <w:r w:rsidRPr="00643949">
        <w:rPr>
          <w:rFonts w:ascii="Arial" w:eastAsia="Times New Roman" w:hAnsi="Arial" w:cs="Arial"/>
          <w:kern w:val="0"/>
          <w:sz w:val="22"/>
          <w:szCs w:val="22"/>
          <w14:ligatures w14:val="none"/>
        </w:rPr>
        <w:t xml:space="preserve"> </w:t>
      </w:r>
      <w:r w:rsidRPr="00643949">
        <w:rPr>
          <w:rFonts w:ascii="Arial" w:hAnsi="Arial" w:cs="Arial"/>
          <w:sz w:val="22"/>
          <w:szCs w:val="22"/>
        </w:rPr>
        <w:t>As stated by ABPI (2024) British business operations' cultural background reflects the nation's industrial past and its status as a major worldwide financial hub. The Industrial Revolution's emphasis on efficiency, standardization, and quantifiable results has had a big impact on British business culture. This historical background still influences how British businesses approach foreign alliances, frequently giving contractual clarity and precise deadlines precedence over efforts to foster relationships.</w:t>
      </w:r>
    </w:p>
    <w:p w14:paraId="7AA132FD" w14:textId="77777777" w:rsidR="00AD6DAE" w:rsidRPr="00643949" w:rsidRDefault="00AD6DAE" w:rsidP="00643949">
      <w:pPr>
        <w:spacing w:line="360" w:lineRule="auto"/>
        <w:jc w:val="both"/>
        <w:rPr>
          <w:rFonts w:ascii="Arial" w:hAnsi="Arial" w:cs="Arial"/>
          <w:b/>
          <w:bCs/>
          <w:sz w:val="22"/>
          <w:szCs w:val="22"/>
        </w:rPr>
      </w:pPr>
      <w:r w:rsidRPr="00643949">
        <w:rPr>
          <w:rFonts w:ascii="Arial" w:hAnsi="Arial" w:cs="Arial"/>
          <w:b/>
          <w:bCs/>
          <w:sz w:val="22"/>
          <w:szCs w:val="22"/>
        </w:rPr>
        <w:t>2.2 GlaxoSmithKline (GSK)</w:t>
      </w:r>
    </w:p>
    <w:p w14:paraId="37B7D525" w14:textId="56D2AA5C" w:rsidR="00AD6DAE" w:rsidRPr="00643949" w:rsidRDefault="00AD6DAE" w:rsidP="00643949">
      <w:pPr>
        <w:spacing w:line="360" w:lineRule="auto"/>
        <w:jc w:val="both"/>
        <w:rPr>
          <w:rFonts w:ascii="Arial" w:hAnsi="Arial" w:cs="Arial"/>
          <w:sz w:val="22"/>
          <w:szCs w:val="22"/>
        </w:rPr>
      </w:pPr>
      <w:r w:rsidRPr="00643949">
        <w:rPr>
          <w:rFonts w:ascii="Arial" w:hAnsi="Arial" w:cs="Arial"/>
          <w:sz w:val="22"/>
          <w:szCs w:val="22"/>
        </w:rPr>
        <w:t>GSK plc. is a pharmaceutical company that develops, manufactures, and markets consumer healthcare products, over the counter medications, and vaccines. The company sells medications for several therapeutic categories</w:t>
      </w:r>
      <w:r w:rsidR="000D4DC7" w:rsidRPr="00643949">
        <w:rPr>
          <w:rFonts w:ascii="Arial" w:hAnsi="Arial" w:cs="Arial"/>
          <w:sz w:val="22"/>
          <w:szCs w:val="22"/>
        </w:rPr>
        <w:t>.</w:t>
      </w:r>
      <w:r w:rsidR="00643949" w:rsidRPr="00643949">
        <w:rPr>
          <w:rFonts w:ascii="Arial" w:hAnsi="Arial" w:cs="Arial"/>
          <w:sz w:val="22"/>
          <w:szCs w:val="22"/>
        </w:rPr>
        <w:t xml:space="preserve"> </w:t>
      </w:r>
      <w:r w:rsidRPr="00643949">
        <w:rPr>
          <w:rFonts w:ascii="Arial" w:hAnsi="Arial" w:cs="Arial"/>
          <w:sz w:val="22"/>
          <w:szCs w:val="22"/>
        </w:rPr>
        <w:t xml:space="preserve">GSK sells its medications under the following brand names: Imitrex, FluLaval, Bexsero, Menveo, Polident, Boostrix, Priorix, Otrivin, Theraflu, and Aquafresh. It sells and merchandises these goods through pharmacies, medical facilities, wholesalers, and doctors all around the world. GSK operates across Europe, the Americas, the Middle East, Africa, and Asia. The company's main office is in London, England, in the United Kingdom. </w:t>
      </w:r>
    </w:p>
    <w:p w14:paraId="2476BF3B" w14:textId="77777777" w:rsidR="008D6461" w:rsidRPr="00643949" w:rsidRDefault="001078DA" w:rsidP="00C978B2">
      <w:pPr>
        <w:spacing w:line="360" w:lineRule="auto"/>
        <w:rPr>
          <w:rFonts w:ascii="Arial" w:hAnsi="Arial" w:cs="Arial"/>
          <w:sz w:val="22"/>
          <w:szCs w:val="22"/>
        </w:rPr>
      </w:pPr>
      <w:r w:rsidRPr="00643949">
        <w:rPr>
          <w:rFonts w:ascii="Arial" w:hAnsi="Arial" w:cs="Arial"/>
          <w:sz w:val="22"/>
          <w:szCs w:val="22"/>
        </w:rPr>
        <w:t xml:space="preserve">The corporate culture of GSK reflects several aspects of British business practices, such as: </w:t>
      </w:r>
      <w:r w:rsidRPr="00643949">
        <w:rPr>
          <w:rFonts w:ascii="Arial" w:hAnsi="Arial" w:cs="Arial"/>
          <w:sz w:val="22"/>
          <w:szCs w:val="22"/>
        </w:rPr>
        <w:br/>
        <w:t xml:space="preserve">The British scientific heritage, which has traditionally placed a higher value on observable findings than theoretical frameworks, is reflected in the emphasis on empirical evidence and data-driven decision-making. This method occasionally stands in stark contrast to Eastern philosophical perspectives on commercial partnerships and medicine. </w:t>
      </w:r>
      <w:r w:rsidRPr="00643949">
        <w:rPr>
          <w:rFonts w:ascii="Arial" w:hAnsi="Arial" w:cs="Arial"/>
          <w:sz w:val="22"/>
          <w:szCs w:val="22"/>
        </w:rPr>
        <w:br/>
        <w:t xml:space="preserve">With distinct areas of responsibility and clear reporting lines, their management structure exemplifies the conventional British corporate hierarchy. Although effective in a British setting, this structure may provide difficulties when interacting with Japan's more relationship-based organizational structures. The company's approach to innovation and research reflects a Western scientific methodology, emphasizing rapid development cycles and clear milestone </w:t>
      </w:r>
      <w:r w:rsidRPr="00643949">
        <w:rPr>
          <w:rFonts w:ascii="Arial" w:hAnsi="Arial" w:cs="Arial"/>
          <w:sz w:val="22"/>
          <w:szCs w:val="22"/>
        </w:rPr>
        <w:lastRenderedPageBreak/>
        <w:t>achievements. This methodology sometimes conflicts with the more methodical, consensus-driven approach prevalent in Japanese pharmaceutical research</w:t>
      </w:r>
      <w:r w:rsidR="008D6461" w:rsidRPr="00643949">
        <w:rPr>
          <w:rFonts w:ascii="Arial" w:hAnsi="Arial" w:cs="Arial"/>
          <w:sz w:val="22"/>
          <w:szCs w:val="22"/>
        </w:rPr>
        <w:t xml:space="preserve"> (GSK,2023).</w:t>
      </w:r>
    </w:p>
    <w:p w14:paraId="7A92F83F" w14:textId="0CA272BB" w:rsidR="008D6461" w:rsidRPr="00643949" w:rsidRDefault="008D6461" w:rsidP="00643949">
      <w:pPr>
        <w:spacing w:line="360" w:lineRule="auto"/>
        <w:jc w:val="both"/>
        <w:rPr>
          <w:rFonts w:ascii="Arial" w:hAnsi="Arial" w:cs="Arial"/>
          <w:b/>
          <w:bCs/>
          <w:sz w:val="22"/>
          <w:szCs w:val="22"/>
        </w:rPr>
      </w:pPr>
      <w:r w:rsidRPr="00643949">
        <w:rPr>
          <w:rFonts w:ascii="Arial" w:hAnsi="Arial" w:cs="Arial"/>
          <w:b/>
          <w:bCs/>
          <w:sz w:val="22"/>
          <w:szCs w:val="22"/>
        </w:rPr>
        <w:t>2.3 Takeda Pharmaceutical</w:t>
      </w:r>
    </w:p>
    <w:p w14:paraId="0C1F3E93" w14:textId="2B1C1283" w:rsidR="008D6461" w:rsidRPr="00643949" w:rsidRDefault="008D6461" w:rsidP="00643949">
      <w:pPr>
        <w:spacing w:line="360" w:lineRule="auto"/>
        <w:jc w:val="both"/>
        <w:rPr>
          <w:rFonts w:ascii="Arial" w:hAnsi="Arial" w:cs="Arial"/>
          <w:sz w:val="22"/>
          <w:szCs w:val="22"/>
        </w:rPr>
      </w:pPr>
      <w:r w:rsidRPr="00643949">
        <w:rPr>
          <w:rFonts w:ascii="Arial" w:hAnsi="Arial" w:cs="Arial"/>
          <w:sz w:val="22"/>
          <w:szCs w:val="22"/>
        </w:rPr>
        <w:t xml:space="preserve"> Takeda Pharmaceutical Limited is a biopharmaceutical research organization that specializes in therapeutic fields. Products in the fields of gastroenterology (GI), rare metabolic disorders, rare hematological disorders, hereditary angioedema, PDT immunology, oncology, neuroscience, and other fields are available from the company. It provides a variety of medical devices, cellular and regenerative treatment products, gene therapy products, and quasi-drugs. Additionally, the business creates vaccinations and treatments derived from plasma. The US, Europe, Canada, Asia, Latin America, Russia, and other regions are among the markets where Takeda offers its goods. Tokyo, Japan, is home to the company's headquarters</w:t>
      </w:r>
      <w:r w:rsidR="000D4DC7" w:rsidRPr="00643949">
        <w:rPr>
          <w:rFonts w:ascii="Arial" w:hAnsi="Arial" w:cs="Arial"/>
          <w:sz w:val="22"/>
          <w:szCs w:val="22"/>
        </w:rPr>
        <w:t xml:space="preserve"> </w:t>
      </w:r>
      <w:r w:rsidRPr="00643949">
        <w:rPr>
          <w:rFonts w:ascii="Arial" w:hAnsi="Arial" w:cs="Arial"/>
          <w:sz w:val="22"/>
          <w:szCs w:val="22"/>
        </w:rPr>
        <w:t>(MarketLine Advantage,2025).</w:t>
      </w:r>
    </w:p>
    <w:p w14:paraId="5A741969" w14:textId="5993D93B" w:rsidR="002304D4" w:rsidRPr="00643949" w:rsidRDefault="002304D4" w:rsidP="00643949">
      <w:pPr>
        <w:spacing w:line="360" w:lineRule="auto"/>
        <w:rPr>
          <w:rFonts w:ascii="Arial" w:hAnsi="Arial" w:cs="Arial"/>
          <w:sz w:val="22"/>
          <w:szCs w:val="22"/>
        </w:rPr>
      </w:pPr>
      <w:r w:rsidRPr="00643949">
        <w:rPr>
          <w:rFonts w:ascii="Arial" w:hAnsi="Arial" w:cs="Arial"/>
          <w:sz w:val="22"/>
          <w:szCs w:val="22"/>
        </w:rPr>
        <w:t xml:space="preserve">Takeda Pharmaceutical Company's organizational structure exemplifies a hierarchical value system that combines modern stakeholder capitalism with traditional Japanese business ideals. Four interrelated components make up the company's philosophical architecture: imperatives, vision, values, and purpose. </w:t>
      </w:r>
      <w:r w:rsidRPr="00643949">
        <w:rPr>
          <w:rFonts w:ascii="Arial" w:hAnsi="Arial" w:cs="Arial"/>
          <w:sz w:val="22"/>
          <w:szCs w:val="22"/>
        </w:rPr>
        <w:br/>
        <w:t>Fundamentally, the organization's raison d'être highlights two goals: improving human health outcomes and contributing to the advantages of global society. The value system known as "Takeda-ism," which emphasizes integrity as its primary principle and is bolstered by auxiliary concepts of justice, honesty, and tenacity, operationalizes this goal.</w:t>
      </w:r>
      <w:r w:rsidRPr="00643949">
        <w:rPr>
          <w:rFonts w:ascii="Arial" w:eastAsia="Times New Roman" w:hAnsi="Arial" w:cs="Arial"/>
          <w:kern w:val="0"/>
          <w:sz w:val="22"/>
          <w:szCs w:val="22"/>
          <w14:ligatures w14:val="none"/>
        </w:rPr>
        <w:t xml:space="preserve"> </w:t>
      </w:r>
      <w:r w:rsidRPr="00643949">
        <w:rPr>
          <w:rFonts w:ascii="Arial" w:hAnsi="Arial" w:cs="Arial"/>
          <w:sz w:val="22"/>
          <w:szCs w:val="22"/>
        </w:rPr>
        <w:t xml:space="preserve">A systematic approach for prioritization is used in the implementation process: </w:t>
      </w:r>
      <w:r w:rsidRPr="00643949">
        <w:rPr>
          <w:rFonts w:ascii="Arial" w:hAnsi="Arial" w:cs="Arial"/>
          <w:sz w:val="22"/>
          <w:szCs w:val="22"/>
        </w:rPr>
        <w:br/>
        <w:t>Patient-centeredness as the main factor</w:t>
      </w:r>
      <w:r w:rsidR="00643949">
        <w:rPr>
          <w:rFonts w:ascii="Arial" w:hAnsi="Arial" w:cs="Arial"/>
          <w:sz w:val="22"/>
          <w:szCs w:val="22"/>
        </w:rPr>
        <w:t>, b</w:t>
      </w:r>
      <w:r w:rsidRPr="00643949">
        <w:rPr>
          <w:rFonts w:ascii="Arial" w:hAnsi="Arial" w:cs="Arial"/>
          <w:sz w:val="22"/>
          <w:szCs w:val="22"/>
        </w:rPr>
        <w:t>uilding societal trust</w:t>
      </w:r>
      <w:r w:rsidR="00643949">
        <w:rPr>
          <w:rFonts w:ascii="Arial" w:hAnsi="Arial" w:cs="Arial"/>
          <w:sz w:val="22"/>
          <w:szCs w:val="22"/>
        </w:rPr>
        <w:t>, e</w:t>
      </w:r>
      <w:r w:rsidRPr="00643949">
        <w:rPr>
          <w:rFonts w:ascii="Arial" w:hAnsi="Arial" w:cs="Arial"/>
          <w:sz w:val="22"/>
          <w:szCs w:val="22"/>
        </w:rPr>
        <w:t>nhancement of reputation</w:t>
      </w:r>
      <w:r w:rsidR="00643949">
        <w:rPr>
          <w:rFonts w:ascii="Arial" w:hAnsi="Arial" w:cs="Arial"/>
          <w:sz w:val="22"/>
          <w:szCs w:val="22"/>
        </w:rPr>
        <w:t>,</w:t>
      </w:r>
      <w:r w:rsidRPr="00643949">
        <w:rPr>
          <w:rFonts w:ascii="Arial" w:hAnsi="Arial" w:cs="Arial"/>
          <w:sz w:val="22"/>
          <w:szCs w:val="22"/>
        </w:rPr>
        <w:br/>
      </w:r>
      <w:r w:rsidR="00643949">
        <w:rPr>
          <w:rFonts w:ascii="Arial" w:hAnsi="Arial" w:cs="Arial"/>
          <w:sz w:val="22"/>
          <w:szCs w:val="22"/>
        </w:rPr>
        <w:t>s</w:t>
      </w:r>
      <w:r w:rsidRPr="00643949">
        <w:rPr>
          <w:rFonts w:ascii="Arial" w:hAnsi="Arial" w:cs="Arial"/>
          <w:sz w:val="22"/>
          <w:szCs w:val="22"/>
        </w:rPr>
        <w:t xml:space="preserve">ustainability of </w:t>
      </w:r>
      <w:r w:rsidR="00643949" w:rsidRPr="00643949">
        <w:rPr>
          <w:rFonts w:ascii="Arial" w:hAnsi="Arial" w:cs="Arial"/>
          <w:sz w:val="22"/>
          <w:szCs w:val="22"/>
        </w:rPr>
        <w:t>businesses.</w:t>
      </w:r>
      <w:r w:rsidRPr="00643949">
        <w:rPr>
          <w:rFonts w:ascii="Arial" w:hAnsi="Arial" w:cs="Arial"/>
          <w:sz w:val="22"/>
          <w:szCs w:val="22"/>
        </w:rPr>
        <w:br/>
        <w:t xml:space="preserve">While clearly recognizing the tripartite stakeholder obligations—patients, employees, and the environment—the corporate vision statement outlines an ambitious goal of therapeutic innovation. Organizational imperatives that prioritize partnership development, societal responsibility, and sustainable business practices are used to carry out this goal. The company's clear preservation of its Japanese cultural legacy, which pervades its modern international operational structure, is noteworthy. This is an intriguing example of how contemporary stakeholder-focused business practices can be successfully combined with conventional company ideals. </w:t>
      </w:r>
      <w:r w:rsidRPr="00643949">
        <w:rPr>
          <w:rFonts w:ascii="Arial" w:hAnsi="Arial" w:cs="Arial"/>
          <w:sz w:val="22"/>
          <w:szCs w:val="22"/>
        </w:rPr>
        <w:br/>
        <w:t>Each component of the structure builds upon and reinforces the others, exhibiting a clear vertical integration that results in a cohesive organizational ideology that directs both operational execution and strategic decision-making (Takeda, 2025).</w:t>
      </w:r>
    </w:p>
    <w:p w14:paraId="5E142F11" w14:textId="784982AB" w:rsidR="00933163" w:rsidRPr="00643949" w:rsidRDefault="002304D4" w:rsidP="00643949">
      <w:pPr>
        <w:spacing w:line="360" w:lineRule="auto"/>
        <w:jc w:val="both"/>
        <w:rPr>
          <w:rFonts w:ascii="Arial" w:hAnsi="Arial" w:cs="Arial"/>
          <w:b/>
          <w:bCs/>
          <w:color w:val="000000" w:themeColor="text1"/>
          <w:sz w:val="22"/>
          <w:szCs w:val="22"/>
        </w:rPr>
      </w:pPr>
      <w:r w:rsidRPr="00643949">
        <w:rPr>
          <w:rFonts w:ascii="Arial" w:hAnsi="Arial" w:cs="Arial"/>
          <w:color w:val="000000" w:themeColor="text1"/>
          <w:sz w:val="22"/>
          <w:szCs w:val="22"/>
        </w:rPr>
        <w:lastRenderedPageBreak/>
        <w:t xml:space="preserve"> </w:t>
      </w:r>
      <w:r w:rsidR="00933163" w:rsidRPr="00643949">
        <w:rPr>
          <w:rFonts w:ascii="Arial" w:hAnsi="Arial" w:cs="Arial"/>
          <w:b/>
          <w:bCs/>
          <w:color w:val="000000" w:themeColor="text1"/>
          <w:sz w:val="22"/>
          <w:szCs w:val="22"/>
        </w:rPr>
        <w:t>2.</w:t>
      </w:r>
      <w:r w:rsidR="00933163" w:rsidRPr="00643949">
        <w:rPr>
          <w:rFonts w:ascii="Arial" w:hAnsi="Arial" w:cs="Arial"/>
          <w:b/>
          <w:bCs/>
          <w:color w:val="000000" w:themeColor="text1"/>
          <w:sz w:val="22"/>
          <w:szCs w:val="22"/>
          <w:lang w:val="bg-BG"/>
        </w:rPr>
        <w:t>4</w:t>
      </w:r>
      <w:r w:rsidR="00933163" w:rsidRPr="00643949">
        <w:rPr>
          <w:rFonts w:ascii="Arial" w:hAnsi="Arial" w:cs="Arial"/>
          <w:b/>
          <w:bCs/>
          <w:color w:val="000000" w:themeColor="text1"/>
          <w:sz w:val="22"/>
          <w:szCs w:val="22"/>
        </w:rPr>
        <w:t xml:space="preserve"> Japanese Pharmaceutical Industry Context</w:t>
      </w:r>
    </w:p>
    <w:p w14:paraId="5E2AF874" w14:textId="632E4B16" w:rsidR="002B14E4" w:rsidRDefault="002B14E4" w:rsidP="002B14E4">
      <w:pPr>
        <w:spacing w:line="360" w:lineRule="auto"/>
        <w:rPr>
          <w:rFonts w:ascii="Arial" w:hAnsi="Arial" w:cs="Arial"/>
          <w:color w:val="000000" w:themeColor="text1"/>
          <w:sz w:val="22"/>
          <w:szCs w:val="22"/>
        </w:rPr>
      </w:pPr>
      <w:r w:rsidRPr="002B14E4">
        <w:rPr>
          <w:rFonts w:ascii="Arial" w:hAnsi="Arial" w:cs="Arial"/>
          <w:color w:val="000000" w:themeColor="text1"/>
          <w:sz w:val="22"/>
          <w:szCs w:val="22"/>
        </w:rPr>
        <w:t>Highlights of the Japanese pharmaceutical market</w:t>
      </w:r>
      <w:r>
        <w:rPr>
          <w:rFonts w:ascii="Arial" w:hAnsi="Arial" w:cs="Arial"/>
          <w:color w:val="000000" w:themeColor="text1"/>
          <w:sz w:val="22"/>
          <w:szCs w:val="22"/>
        </w:rPr>
        <w:t>.</w:t>
      </w:r>
    </w:p>
    <w:p w14:paraId="16B193FE" w14:textId="50ADD8DF" w:rsidR="002B14E4" w:rsidRPr="002B14E4" w:rsidRDefault="002B14E4" w:rsidP="002B14E4">
      <w:pPr>
        <w:spacing w:line="360" w:lineRule="auto"/>
        <w:rPr>
          <w:rFonts w:ascii="Arial" w:hAnsi="Arial" w:cs="Arial"/>
          <w:color w:val="000000" w:themeColor="text1"/>
          <w:sz w:val="22"/>
          <w:szCs w:val="22"/>
        </w:rPr>
      </w:pPr>
      <w:r>
        <w:rPr>
          <w:rFonts w:ascii="Arial" w:hAnsi="Arial" w:cs="Arial"/>
          <w:color w:val="000000" w:themeColor="text1"/>
          <w:sz w:val="22"/>
          <w:szCs w:val="22"/>
        </w:rPr>
        <w:t>According to Statista (2025) t</w:t>
      </w:r>
      <w:r w:rsidRPr="002B14E4">
        <w:rPr>
          <w:rFonts w:ascii="Arial" w:hAnsi="Arial" w:cs="Arial"/>
          <w:color w:val="000000" w:themeColor="text1"/>
          <w:sz w:val="22"/>
          <w:szCs w:val="22"/>
        </w:rPr>
        <w:t xml:space="preserve">he </w:t>
      </w:r>
      <w:r w:rsidR="00036927" w:rsidRPr="002B14E4">
        <w:rPr>
          <w:rFonts w:ascii="Arial" w:hAnsi="Arial" w:cs="Arial"/>
          <w:color w:val="000000" w:themeColor="text1"/>
          <w:sz w:val="22"/>
          <w:szCs w:val="22"/>
        </w:rPr>
        <w:t>pharmaceuticals</w:t>
      </w:r>
      <w:r w:rsidRPr="002B14E4">
        <w:rPr>
          <w:rFonts w:ascii="Arial" w:hAnsi="Arial" w:cs="Arial"/>
          <w:color w:val="000000" w:themeColor="text1"/>
          <w:sz w:val="22"/>
          <w:szCs w:val="22"/>
        </w:rPr>
        <w:t xml:space="preserve"> market revenue in Japan is projected to attain ¥US$48.80 billion by 2025. </w:t>
      </w:r>
      <w:r w:rsidRPr="002B14E4">
        <w:rPr>
          <w:rFonts w:ascii="Arial" w:hAnsi="Arial" w:cs="Arial"/>
          <w:color w:val="000000" w:themeColor="text1"/>
          <w:sz w:val="22"/>
          <w:szCs w:val="22"/>
        </w:rPr>
        <w:br/>
        <w:t>The predominant market in the nation is Oncology Drugs, anticipated to reach a market volume of ¥US$8.74 billion by 2025.</w:t>
      </w:r>
      <w:r>
        <w:rPr>
          <w:rFonts w:ascii="Arial" w:hAnsi="Arial" w:cs="Arial"/>
          <w:color w:val="000000" w:themeColor="text1"/>
          <w:sz w:val="22"/>
          <w:szCs w:val="22"/>
        </w:rPr>
        <w:t xml:space="preserve"> </w:t>
      </w:r>
      <w:r w:rsidRPr="002B14E4">
        <w:rPr>
          <w:rFonts w:ascii="Arial" w:hAnsi="Arial" w:cs="Arial"/>
          <w:color w:val="000000" w:themeColor="text1"/>
          <w:sz w:val="22"/>
          <w:szCs w:val="22"/>
        </w:rPr>
        <w:t>The revenue is projected to exhibit a compound annual growth rate (CAGR 2025-2029) of 4.59%, resulting in a market volume of ¥US$58.40 billion by 2029</w:t>
      </w:r>
      <w:r>
        <w:rPr>
          <w:rFonts w:ascii="Arial" w:hAnsi="Arial" w:cs="Arial"/>
          <w:color w:val="000000" w:themeColor="text1"/>
          <w:sz w:val="22"/>
          <w:szCs w:val="22"/>
        </w:rPr>
        <w:t>.</w:t>
      </w:r>
      <w:r w:rsidRPr="002B14E4">
        <w:rPr>
          <w:rFonts w:ascii="Arial" w:hAnsi="Arial" w:cs="Arial"/>
          <w:color w:val="000000" w:themeColor="text1"/>
          <w:sz w:val="22"/>
          <w:szCs w:val="22"/>
        </w:rPr>
        <w:br/>
      </w:r>
      <w:r w:rsidRPr="002B14E4">
        <w:rPr>
          <w:rFonts w:ascii="Arial" w:hAnsi="Arial" w:cs="Arial"/>
          <w:color w:val="000000" w:themeColor="text1"/>
          <w:sz w:val="22"/>
          <w:szCs w:val="22"/>
        </w:rPr>
        <w:br/>
        <w:t xml:space="preserve">In the field of pharmaceuticals, conventional medications (small molecules) constituted the greatest revenue-generating category in 2024. </w:t>
      </w:r>
    </w:p>
    <w:p w14:paraId="5C70509F" w14:textId="77777777" w:rsidR="00933163" w:rsidRPr="00643949" w:rsidRDefault="00933163"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Several key factors characterize the market dynamics:</w:t>
      </w:r>
    </w:p>
    <w:p w14:paraId="5BD1CFA8" w14:textId="77777777" w:rsidR="00933163" w:rsidRPr="00643949" w:rsidRDefault="00933163"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Demographic Drivers: Japan's aging population significantly influences market growth, with more than 10% of the population aged 80 or above. This demographic trend has intensified the demand for healthcare and medical services.</w:t>
      </w:r>
    </w:p>
    <w:p w14:paraId="1B184F74" w14:textId="77777777" w:rsidR="00933163" w:rsidRPr="00643949" w:rsidRDefault="00933163"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Regulatory Environment: The Japanese government has implemented stringent pricing regulations to ensure the financial sustainability of the national insurance system. These measures include new repricing schemes and stricter rules for routine price reductions, which have impacted revenue and profit margins of market participants.</w:t>
      </w:r>
    </w:p>
    <w:p w14:paraId="0EACCC71" w14:textId="27572392" w:rsidR="00933163" w:rsidRPr="00643949" w:rsidRDefault="00933163"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Government Initiatives: Despite pricing constraints, the government maintains supportive policies, including streamlined drug approval processes and supply chain stability measures. Notable commitments include a $200 million contribution to the Global Health Innovative Technology Fund and the United Nations Development Program, alongside an additional $1.8 million allocation to the Global Antibiotic Research &amp; Development Partnership.</w:t>
      </w:r>
    </w:p>
    <w:p w14:paraId="162BC07A" w14:textId="18DE74C9" w:rsidR="00933163" w:rsidRPr="00643949" w:rsidRDefault="0066207B"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Outlook</w:t>
      </w:r>
      <w:r w:rsidR="00933163" w:rsidRPr="00643949">
        <w:rPr>
          <w:rFonts w:ascii="Arial" w:hAnsi="Arial" w:cs="Arial"/>
          <w:color w:val="000000" w:themeColor="text1"/>
          <w:sz w:val="22"/>
          <w:szCs w:val="22"/>
        </w:rPr>
        <w:t>: Projections indicate a moderate growth trajectory with an anticipated CAGR of 2.1% for 2023-2028, potentially reaching $104.5 billion by 2028. Market expansion is expected to be driven by enhanced medication accessibility through online platforms, increasing focus on personalized medicine, and continued government support for pharmaceutical innovation.</w:t>
      </w:r>
    </w:p>
    <w:p w14:paraId="2783CF5B" w14:textId="3D4CDA76" w:rsidR="00933163" w:rsidRPr="00643949" w:rsidRDefault="00933163" w:rsidP="00643949">
      <w:pPr>
        <w:spacing w:line="360" w:lineRule="auto"/>
        <w:jc w:val="both"/>
        <w:rPr>
          <w:rFonts w:ascii="Arial" w:hAnsi="Arial" w:cs="Arial"/>
          <w:color w:val="000000" w:themeColor="text1"/>
          <w:sz w:val="22"/>
          <w:szCs w:val="22"/>
          <w:lang w:val="en-GB"/>
        </w:rPr>
      </w:pPr>
      <w:r w:rsidRPr="00643949">
        <w:rPr>
          <w:rFonts w:ascii="Arial" w:hAnsi="Arial" w:cs="Arial"/>
          <w:color w:val="000000" w:themeColor="text1"/>
          <w:sz w:val="22"/>
          <w:szCs w:val="22"/>
        </w:rPr>
        <w:t xml:space="preserve">Market Competition: The industry is characterized by strong rivalry between large-scale global competitors and smaller generic companies, with entry barriers significantly influenced by legal and regulatory frameworks. The supplier base comprises both domestic and foreign entities, </w:t>
      </w:r>
      <w:r w:rsidRPr="00643949">
        <w:rPr>
          <w:rFonts w:ascii="Arial" w:hAnsi="Arial" w:cs="Arial"/>
          <w:color w:val="000000" w:themeColor="text1"/>
          <w:sz w:val="22"/>
          <w:szCs w:val="22"/>
        </w:rPr>
        <w:lastRenderedPageBreak/>
        <w:t>particularly from China and India, while key buyers include hospitals, retail pharmacies, and government health agencies</w:t>
      </w:r>
      <w:r w:rsidR="00C84394" w:rsidRPr="00643949">
        <w:rPr>
          <w:rFonts w:ascii="Arial" w:hAnsi="Arial" w:cs="Arial"/>
          <w:color w:val="000000" w:themeColor="text1"/>
          <w:sz w:val="22"/>
          <w:szCs w:val="22"/>
        </w:rPr>
        <w:t xml:space="preserve"> (MarketLine Advantage,2024).</w:t>
      </w:r>
    </w:p>
    <w:p w14:paraId="247788AE" w14:textId="77777777" w:rsidR="0066207B" w:rsidRPr="00643949" w:rsidRDefault="0066207B" w:rsidP="00643949">
      <w:pPr>
        <w:spacing w:line="360" w:lineRule="auto"/>
        <w:jc w:val="both"/>
        <w:rPr>
          <w:rFonts w:ascii="Arial" w:hAnsi="Arial" w:cs="Arial"/>
          <w:color w:val="000000" w:themeColor="text1"/>
          <w:sz w:val="22"/>
          <w:szCs w:val="22"/>
          <w:lang w:val="en-GB"/>
        </w:rPr>
      </w:pPr>
    </w:p>
    <w:p w14:paraId="24D9F38C" w14:textId="77777777" w:rsidR="00C84394" w:rsidRPr="00643949" w:rsidRDefault="00C84394" w:rsidP="00643949">
      <w:pPr>
        <w:pStyle w:val="Heading1"/>
        <w:spacing w:line="360" w:lineRule="auto"/>
        <w:jc w:val="both"/>
        <w:rPr>
          <w:rFonts w:ascii="Arial" w:hAnsi="Arial" w:cs="Arial"/>
          <w:b/>
          <w:bCs/>
          <w:color w:val="auto"/>
          <w:sz w:val="22"/>
          <w:szCs w:val="22"/>
        </w:rPr>
      </w:pPr>
      <w:r w:rsidRPr="00643949">
        <w:rPr>
          <w:rFonts w:ascii="Arial" w:hAnsi="Arial" w:cs="Arial"/>
          <w:b/>
          <w:bCs/>
          <w:color w:val="auto"/>
          <w:sz w:val="22"/>
          <w:szCs w:val="22"/>
        </w:rPr>
        <w:t>3. Cultural Dimensions Analysis</w:t>
      </w:r>
    </w:p>
    <w:p w14:paraId="5861091D" w14:textId="77777777" w:rsidR="00C84394" w:rsidRPr="00643949" w:rsidRDefault="00C84394" w:rsidP="00643949">
      <w:pPr>
        <w:spacing w:line="360" w:lineRule="auto"/>
        <w:jc w:val="both"/>
        <w:rPr>
          <w:rFonts w:ascii="Arial" w:hAnsi="Arial" w:cs="Arial"/>
          <w:b/>
          <w:bCs/>
          <w:sz w:val="22"/>
          <w:szCs w:val="22"/>
        </w:rPr>
      </w:pPr>
      <w:r w:rsidRPr="00643949">
        <w:rPr>
          <w:rFonts w:ascii="Arial" w:hAnsi="Arial" w:cs="Arial"/>
          <w:b/>
          <w:bCs/>
          <w:sz w:val="22"/>
          <w:szCs w:val="22"/>
        </w:rPr>
        <w:t>3.1 Theoretical Framework Integration</w:t>
      </w:r>
    </w:p>
    <w:p w14:paraId="08718564" w14:textId="77777777" w:rsidR="00C84394" w:rsidRPr="00643949" w:rsidRDefault="00C84394"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The synthesis of many cultural theories offers a thorough framework for comprehending the intricacies of commercial communication between the UK and Japan. Hall's context theory explains communication patterns, Trompenaars' model tackles certain business-related cultural orientations, and Hofstede's dimensions provide measurable cultural variations. A more sophisticated comprehension of cultural dynamics in pharmaceutical industry collaborations is made possible by this multi-theoretical approach.</w:t>
      </w:r>
    </w:p>
    <w:p w14:paraId="4D2C161C" w14:textId="77777777" w:rsidR="00C84394" w:rsidRPr="00643949" w:rsidRDefault="00C84394" w:rsidP="00643949">
      <w:pPr>
        <w:spacing w:line="360" w:lineRule="auto"/>
        <w:jc w:val="both"/>
        <w:rPr>
          <w:rFonts w:ascii="Arial" w:hAnsi="Arial" w:cs="Arial"/>
          <w:b/>
          <w:bCs/>
          <w:sz w:val="22"/>
          <w:szCs w:val="22"/>
        </w:rPr>
      </w:pPr>
      <w:r w:rsidRPr="00643949">
        <w:rPr>
          <w:rFonts w:ascii="Arial" w:hAnsi="Arial" w:cs="Arial"/>
          <w:b/>
          <w:bCs/>
          <w:sz w:val="22"/>
          <w:szCs w:val="22"/>
        </w:rPr>
        <w:t>3.2 Hofstede's Cultural Dimensions in Practice</w:t>
      </w:r>
    </w:p>
    <w:p w14:paraId="6EE3FD5A" w14:textId="2A844300" w:rsidR="00452AC1" w:rsidRPr="00643949" w:rsidRDefault="00452AC1"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When Hofstede's dimensions are applied to the collaboration between GSK and Takeda, intricate relationships that impact day-to-day operations are revealed. Many operational difficulties are a result of the power distance disparity</w:t>
      </w:r>
      <w:r w:rsidR="00096243" w:rsidRPr="00643949">
        <w:rPr>
          <w:rFonts w:ascii="Arial" w:hAnsi="Arial" w:cs="Arial"/>
          <w:color w:val="000000" w:themeColor="text1"/>
          <w:sz w:val="22"/>
          <w:szCs w:val="22"/>
        </w:rPr>
        <w:t xml:space="preserve"> (</w:t>
      </w:r>
      <w:r w:rsidR="00096243" w:rsidRPr="00643949">
        <w:rPr>
          <w:rFonts w:ascii="Arial" w:hAnsi="Arial" w:cs="Arial"/>
          <w:sz w:val="22"/>
          <w:szCs w:val="22"/>
        </w:rPr>
        <w:t>Messner, 2025</w:t>
      </w:r>
      <w:r w:rsidR="00643949" w:rsidRPr="00643949">
        <w:rPr>
          <w:rFonts w:ascii="Arial" w:hAnsi="Arial" w:cs="Arial"/>
          <w:sz w:val="22"/>
          <w:szCs w:val="22"/>
        </w:rPr>
        <w:t>). For</w:t>
      </w:r>
      <w:r w:rsidRPr="00643949">
        <w:rPr>
          <w:rFonts w:ascii="Arial" w:hAnsi="Arial" w:cs="Arial"/>
          <w:color w:val="000000" w:themeColor="text1"/>
          <w:sz w:val="22"/>
          <w:szCs w:val="22"/>
        </w:rPr>
        <w:t xml:space="preserve"> example, in collaborative research projects, Japanese researchers adhere to stringent communication rules depending on organizational status, whereas British researchers frequently contact directly with project directors regardless of their hierarchical position. Because of this disparity, there have been instances where British team members inadvertently circumvent crucial hierarchical channels, which has made Japanese coworkers uncomfortable</w:t>
      </w:r>
      <w:r w:rsidR="00096243" w:rsidRPr="00643949">
        <w:rPr>
          <w:rFonts w:ascii="Arial" w:hAnsi="Arial" w:cs="Arial"/>
          <w:color w:val="000000" w:themeColor="text1"/>
          <w:sz w:val="22"/>
          <w:szCs w:val="22"/>
        </w:rPr>
        <w:t xml:space="preserve"> (Takeda, 2024).</w:t>
      </w:r>
    </w:p>
    <w:p w14:paraId="244636F8" w14:textId="0F52E2EA" w:rsidR="00452AC1" w:rsidRPr="00643949" w:rsidRDefault="00452AC1"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 xml:space="preserve">The difference between individualism and collectivism has a big influence on innovation processes. Although Takeda's process concentrates on team-based gradual advances, GSK's approach to drug development usually stresses individual researcher contributions and breakthrough ideas. This distinction has an impact on the organization of development processes and the allocation of research credit. For instance, Japanese team members prefer group praise for discoveries in collaborative development projects, but British researchers frequently want individual recognition (Naraoka, </w:t>
      </w:r>
      <w:r w:rsidRPr="00643949">
        <w:rPr>
          <w:rFonts w:ascii="Arial" w:hAnsi="Arial" w:cs="Arial"/>
          <w:i/>
          <w:iCs/>
          <w:color w:val="000000" w:themeColor="text1"/>
          <w:sz w:val="22"/>
          <w:szCs w:val="22"/>
        </w:rPr>
        <w:t>et al.</w:t>
      </w:r>
      <w:r w:rsidRPr="00643949">
        <w:rPr>
          <w:rFonts w:ascii="Arial" w:hAnsi="Arial" w:cs="Arial"/>
          <w:color w:val="000000" w:themeColor="text1"/>
          <w:sz w:val="22"/>
          <w:szCs w:val="22"/>
        </w:rPr>
        <w:t xml:space="preserve"> 2025).</w:t>
      </w:r>
    </w:p>
    <w:p w14:paraId="4AED6EC8" w14:textId="77777777" w:rsidR="00F92D4E" w:rsidRPr="00643949" w:rsidRDefault="00452AC1"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 xml:space="preserve">Approaches to risk management and project planning are impacted by the significant disparity in uncertainty avoidance. Adaptive research approaches and more flexible project timelines are </w:t>
      </w:r>
    </w:p>
    <w:p w14:paraId="204600A0" w14:textId="3BE13CFC" w:rsidR="00452AC1" w:rsidRDefault="00452AC1"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lastRenderedPageBreak/>
        <w:t xml:space="preserve">made possible by GSK's comfort level with ambiguity. Takeda's high level of uncertainty avoidance, on the other hand, necessitates thorough preparation and copious documentation. Because of this disparity, hybrid project management techniques that consider both cultural preferences have had to be developed (Naraoka, </w:t>
      </w:r>
      <w:r w:rsidRPr="00643949">
        <w:rPr>
          <w:rFonts w:ascii="Arial" w:hAnsi="Arial" w:cs="Arial"/>
          <w:i/>
          <w:iCs/>
          <w:color w:val="000000" w:themeColor="text1"/>
          <w:sz w:val="22"/>
          <w:szCs w:val="22"/>
        </w:rPr>
        <w:t>et al.</w:t>
      </w:r>
      <w:r w:rsidRPr="00643949">
        <w:rPr>
          <w:rFonts w:ascii="Arial" w:hAnsi="Arial" w:cs="Arial"/>
          <w:color w:val="000000" w:themeColor="text1"/>
          <w:sz w:val="22"/>
          <w:szCs w:val="22"/>
        </w:rPr>
        <w:t xml:space="preserve"> 2025).</w:t>
      </w:r>
    </w:p>
    <w:p w14:paraId="00F81233" w14:textId="77777777" w:rsidR="00093832" w:rsidRPr="00643949" w:rsidRDefault="00093832" w:rsidP="00643949">
      <w:pPr>
        <w:spacing w:line="360" w:lineRule="auto"/>
        <w:jc w:val="both"/>
        <w:rPr>
          <w:rFonts w:ascii="Arial" w:hAnsi="Arial" w:cs="Arial"/>
          <w:color w:val="000000" w:themeColor="text1"/>
          <w:sz w:val="22"/>
          <w:szCs w:val="22"/>
        </w:rPr>
      </w:pPr>
    </w:p>
    <w:p w14:paraId="37D7A2FA" w14:textId="77777777" w:rsidR="00096243" w:rsidRPr="00643949" w:rsidRDefault="00096243" w:rsidP="00643949">
      <w:pPr>
        <w:spacing w:line="360" w:lineRule="auto"/>
        <w:jc w:val="both"/>
        <w:rPr>
          <w:rFonts w:ascii="Arial" w:hAnsi="Arial" w:cs="Arial"/>
          <w:b/>
          <w:bCs/>
          <w:sz w:val="22"/>
          <w:szCs w:val="22"/>
        </w:rPr>
      </w:pPr>
      <w:r w:rsidRPr="00643949">
        <w:rPr>
          <w:rFonts w:ascii="Arial" w:hAnsi="Arial" w:cs="Arial"/>
          <w:b/>
          <w:bCs/>
          <w:sz w:val="22"/>
          <w:szCs w:val="22"/>
        </w:rPr>
        <w:t>3.3 High-Context vs. Low-Context Communication Analysis</w:t>
      </w:r>
    </w:p>
    <w:p w14:paraId="28CE295C" w14:textId="77777777" w:rsidR="00643949" w:rsidRPr="00643949" w:rsidRDefault="00D0074D" w:rsidP="00643949">
      <w:pPr>
        <w:spacing w:line="360" w:lineRule="auto"/>
        <w:rPr>
          <w:rFonts w:ascii="Arial" w:hAnsi="Arial" w:cs="Arial"/>
          <w:sz w:val="22"/>
          <w:szCs w:val="22"/>
        </w:rPr>
      </w:pPr>
      <w:r w:rsidRPr="00643949">
        <w:rPr>
          <w:rFonts w:ascii="Arial" w:hAnsi="Arial" w:cs="Arial"/>
          <w:sz w:val="22"/>
          <w:szCs w:val="22"/>
        </w:rPr>
        <w:t xml:space="preserve">Important insights into the communication styles between the GSK and Takeda teams can be gained from Hall's context theory. Japanese high-context communication mostly depends on contextual interpretation and implicit comprehension, whereas British low-context communication places a strong emphasis on written, explicit communication. This distinction has an impact on several facets of cooperation: </w:t>
      </w:r>
    </w:p>
    <w:p w14:paraId="2D9D91C0" w14:textId="7D8D1792" w:rsidR="00D0074D" w:rsidRPr="00643949" w:rsidRDefault="00D0074D" w:rsidP="00643949">
      <w:pPr>
        <w:spacing w:line="360" w:lineRule="auto"/>
        <w:rPr>
          <w:rFonts w:ascii="Arial" w:hAnsi="Arial" w:cs="Arial"/>
          <w:sz w:val="22"/>
          <w:szCs w:val="22"/>
        </w:rPr>
      </w:pPr>
      <w:r w:rsidRPr="00643949">
        <w:rPr>
          <w:rFonts w:ascii="Arial" w:hAnsi="Arial" w:cs="Arial"/>
          <w:sz w:val="22"/>
          <w:szCs w:val="22"/>
        </w:rPr>
        <w:br/>
        <w:t>Document Creation and Interpretation: British teams usually create thorough, precise documentation that outlines roles and action items. Japanese teams tend to write shorter texts, assuming that readers will be aware of the context. As a result, new documentation standards that include contextual information as well as specific details have been developed.</w:t>
      </w:r>
    </w:p>
    <w:p w14:paraId="13B82A19" w14:textId="006BED95" w:rsidR="00F92D4E" w:rsidRPr="00643949" w:rsidRDefault="00D0074D" w:rsidP="00643949">
      <w:pPr>
        <w:spacing w:line="360" w:lineRule="auto"/>
        <w:jc w:val="both"/>
        <w:rPr>
          <w:rFonts w:ascii="Arial" w:hAnsi="Arial" w:cs="Arial"/>
          <w:sz w:val="22"/>
          <w:szCs w:val="22"/>
        </w:rPr>
      </w:pPr>
      <w:r w:rsidRPr="00643949">
        <w:rPr>
          <w:rFonts w:ascii="Arial" w:hAnsi="Arial" w:cs="Arial"/>
          <w:sz w:val="22"/>
          <w:szCs w:val="22"/>
        </w:rPr>
        <w:t xml:space="preserve">Meeting Dynamics: When Japanese colleagues in video conferences with UK teams remain silent after presentations, British participants frequently express surprise. They fail to recognize that silence frequently signals deep analysis rather than disagreement or disengagement. </w:t>
      </w:r>
      <w:r w:rsidRPr="00643949">
        <w:rPr>
          <w:rFonts w:ascii="Arial" w:hAnsi="Arial" w:cs="Arial"/>
          <w:sz w:val="22"/>
          <w:szCs w:val="22"/>
        </w:rPr>
        <w:br/>
        <w:t xml:space="preserve">Contract Negotiations: Takeda prioritizes developing relationships and mutual understanding prior to finalizing agreements, whereas GSK usually concentrates on clear terms and conditions. As a result, new negotiating processes that cover both explicit contractual conditions and implicit relational expectations have been developed </w:t>
      </w:r>
      <w:r w:rsidR="00F92D4E" w:rsidRPr="00643949">
        <w:rPr>
          <w:rFonts w:ascii="Arial" w:hAnsi="Arial" w:cs="Arial"/>
          <w:sz w:val="22"/>
          <w:szCs w:val="22"/>
        </w:rPr>
        <w:t>(Tong &amp; Yuqing, 2020)</w:t>
      </w:r>
      <w:r w:rsidRPr="00643949">
        <w:rPr>
          <w:rFonts w:ascii="Arial" w:hAnsi="Arial" w:cs="Arial"/>
          <w:sz w:val="22"/>
          <w:szCs w:val="22"/>
        </w:rPr>
        <w:t>.</w:t>
      </w:r>
    </w:p>
    <w:p w14:paraId="18DC278F" w14:textId="77777777" w:rsidR="0033429C" w:rsidRPr="00B62704" w:rsidRDefault="0033429C" w:rsidP="00643949">
      <w:pPr>
        <w:spacing w:line="360" w:lineRule="auto"/>
        <w:jc w:val="both"/>
        <w:rPr>
          <w:rFonts w:ascii="Arial" w:hAnsi="Arial" w:cs="Arial"/>
          <w:sz w:val="22"/>
          <w:szCs w:val="22"/>
        </w:rPr>
      </w:pPr>
    </w:p>
    <w:p w14:paraId="01D112A3" w14:textId="4BFDBB76" w:rsidR="00D0074D" w:rsidRPr="00B62704" w:rsidRDefault="0033429C" w:rsidP="00643949">
      <w:pPr>
        <w:spacing w:line="360" w:lineRule="auto"/>
        <w:jc w:val="both"/>
        <w:rPr>
          <w:rFonts w:ascii="Arial" w:hAnsi="Arial" w:cs="Arial"/>
          <w:b/>
          <w:bCs/>
          <w:sz w:val="22"/>
          <w:szCs w:val="22"/>
        </w:rPr>
      </w:pPr>
      <w:r w:rsidRPr="00B62704">
        <w:rPr>
          <w:rFonts w:ascii="Arial" w:hAnsi="Arial" w:cs="Arial"/>
          <w:b/>
          <w:bCs/>
          <w:sz w:val="22"/>
          <w:szCs w:val="22"/>
        </w:rPr>
        <w:t>3.4 Experimenting with gen AI to measure cultural practices.</w:t>
      </w:r>
    </w:p>
    <w:p w14:paraId="34B794D7" w14:textId="04C5D353" w:rsidR="00851E86" w:rsidRDefault="0033429C" w:rsidP="00643949">
      <w:pPr>
        <w:spacing w:line="360" w:lineRule="auto"/>
        <w:jc w:val="both"/>
        <w:rPr>
          <w:rFonts w:ascii="Arial" w:hAnsi="Arial" w:cs="Arial"/>
          <w:sz w:val="22"/>
          <w:szCs w:val="22"/>
        </w:rPr>
      </w:pPr>
      <w:r w:rsidRPr="00B62704">
        <w:rPr>
          <w:rFonts w:ascii="Arial" w:hAnsi="Arial" w:cs="Arial"/>
          <w:b/>
          <w:bCs/>
          <w:sz w:val="22"/>
          <w:szCs w:val="22"/>
        </w:rPr>
        <w:br/>
      </w:r>
      <w:r w:rsidRPr="00B62704">
        <w:rPr>
          <w:rFonts w:ascii="Arial" w:hAnsi="Arial" w:cs="Arial"/>
          <w:sz w:val="22"/>
          <w:szCs w:val="22"/>
        </w:rPr>
        <w:t xml:space="preserve">According to Messner (2025) using gen AI and LLMs, researchers try to investigate a possible novel approach to gauging cultural practices. By utilizing LLMs' capacity to evaluate enormous volumes of data, this method may be able to identify subtle cultural trends without the need for costly, conventional surveys. It is crucial to stress that this strategy is currently experimental in </w:t>
      </w:r>
      <w:r w:rsidRPr="00B62704">
        <w:rPr>
          <w:rFonts w:ascii="Arial" w:hAnsi="Arial" w:cs="Arial"/>
          <w:sz w:val="22"/>
          <w:szCs w:val="22"/>
        </w:rPr>
        <w:lastRenderedPageBreak/>
        <w:t>nature and aims to evaluate the viability and dependability of gen AI-driven techniques for capturing cultural elements.</w:t>
      </w:r>
    </w:p>
    <w:p w14:paraId="651150FF" w14:textId="77777777" w:rsidR="002B14E4" w:rsidRPr="002B14E4" w:rsidRDefault="002B14E4" w:rsidP="00643949">
      <w:pPr>
        <w:spacing w:line="360" w:lineRule="auto"/>
        <w:jc w:val="both"/>
        <w:rPr>
          <w:rFonts w:ascii="Arial" w:hAnsi="Arial" w:cs="Arial"/>
          <w:sz w:val="22"/>
          <w:szCs w:val="22"/>
        </w:rPr>
      </w:pPr>
    </w:p>
    <w:p w14:paraId="67442EEF" w14:textId="77777777" w:rsidR="0033429C" w:rsidRPr="00643949" w:rsidRDefault="0033429C" w:rsidP="00643949">
      <w:pPr>
        <w:spacing w:line="360" w:lineRule="auto"/>
        <w:jc w:val="both"/>
        <w:rPr>
          <w:rFonts w:ascii="Arial" w:hAnsi="Arial" w:cs="Arial"/>
          <w:b/>
          <w:bCs/>
          <w:sz w:val="22"/>
          <w:szCs w:val="22"/>
        </w:rPr>
      </w:pPr>
      <w:r w:rsidRPr="00643949">
        <w:rPr>
          <w:rFonts w:ascii="Arial" w:hAnsi="Arial" w:cs="Arial"/>
          <w:b/>
          <w:bCs/>
          <w:sz w:val="22"/>
          <w:szCs w:val="22"/>
        </w:rPr>
        <w:t>4. Communication Challenges and Solutions</w:t>
      </w:r>
    </w:p>
    <w:p w14:paraId="3DC98574" w14:textId="77777777" w:rsidR="0033429C" w:rsidRPr="00643949" w:rsidRDefault="0033429C" w:rsidP="00643949">
      <w:pPr>
        <w:spacing w:line="360" w:lineRule="auto"/>
        <w:jc w:val="both"/>
        <w:rPr>
          <w:rFonts w:ascii="Arial" w:hAnsi="Arial" w:cs="Arial"/>
          <w:b/>
          <w:bCs/>
          <w:sz w:val="22"/>
          <w:szCs w:val="22"/>
        </w:rPr>
      </w:pPr>
      <w:r w:rsidRPr="00643949">
        <w:rPr>
          <w:rFonts w:ascii="Arial" w:hAnsi="Arial" w:cs="Arial"/>
          <w:b/>
          <w:bCs/>
          <w:sz w:val="22"/>
          <w:szCs w:val="22"/>
        </w:rPr>
        <w:t>4.1 Strategic Decision-Making Processes</w:t>
      </w:r>
    </w:p>
    <w:p w14:paraId="153E5FC8" w14:textId="2329AE14" w:rsidR="00413DA6" w:rsidRDefault="0078026C" w:rsidP="008D028C">
      <w:pPr>
        <w:spacing w:line="360" w:lineRule="auto"/>
        <w:rPr>
          <w:rFonts w:ascii="Arial" w:hAnsi="Arial" w:cs="Arial"/>
          <w:color w:val="000000" w:themeColor="text1"/>
          <w:sz w:val="22"/>
          <w:szCs w:val="22"/>
        </w:rPr>
      </w:pPr>
      <w:r w:rsidRPr="00643949">
        <w:rPr>
          <w:rFonts w:ascii="Arial" w:hAnsi="Arial" w:cs="Arial"/>
          <w:color w:val="000000" w:themeColor="text1"/>
          <w:sz w:val="22"/>
          <w:szCs w:val="22"/>
        </w:rPr>
        <w:t xml:space="preserve">Problems with communication in strategic decision-making </w:t>
      </w:r>
      <w:r w:rsidR="00413DA6" w:rsidRPr="00643949">
        <w:rPr>
          <w:rFonts w:ascii="Arial" w:hAnsi="Arial" w:cs="Arial"/>
          <w:color w:val="000000" w:themeColor="text1"/>
          <w:sz w:val="22"/>
          <w:szCs w:val="22"/>
        </w:rPr>
        <w:t>reflect</w:t>
      </w:r>
      <w:r w:rsidRPr="00643949">
        <w:rPr>
          <w:rFonts w:ascii="Arial" w:hAnsi="Arial" w:cs="Arial"/>
          <w:color w:val="000000" w:themeColor="text1"/>
          <w:sz w:val="22"/>
          <w:szCs w:val="22"/>
        </w:rPr>
        <w:t xml:space="preserve"> ingrained cultural variations in methodology and implementation. Careful consideration of both cultural frameworks has been necessary for the integration of various decision-making styles: </w:t>
      </w:r>
      <w:r w:rsidRPr="00643949">
        <w:rPr>
          <w:rFonts w:ascii="Arial" w:hAnsi="Arial" w:cs="Arial"/>
          <w:color w:val="000000" w:themeColor="text1"/>
          <w:sz w:val="22"/>
          <w:szCs w:val="22"/>
        </w:rPr>
        <w:br/>
        <w:t>Integration of Strategic Planning: Takeda's bottom-up consensus-building methodology frequently clashes with GSK's top-down strategic planning procedure. A hybrid model that combines the two approaches has been created, enabling thorough stakeholder participation in addition to effective decision-making.</w:t>
      </w:r>
      <w:r w:rsidRPr="00643949">
        <w:rPr>
          <w:rFonts w:ascii="Arial" w:hAnsi="Arial" w:cs="Arial"/>
          <w:color w:val="000000" w:themeColor="text1"/>
          <w:sz w:val="22"/>
          <w:szCs w:val="22"/>
        </w:rPr>
        <w:br/>
        <w:t xml:space="preserve">Procedures for Risk Assessment: The creation of integrated risk evaluation frameworks that </w:t>
      </w:r>
      <w:r w:rsidR="00413DA6" w:rsidRPr="00643949">
        <w:rPr>
          <w:rFonts w:ascii="Arial" w:hAnsi="Arial" w:cs="Arial"/>
          <w:color w:val="000000" w:themeColor="text1"/>
          <w:sz w:val="22"/>
          <w:szCs w:val="22"/>
        </w:rPr>
        <w:t>consider</w:t>
      </w:r>
      <w:r w:rsidRPr="00643949">
        <w:rPr>
          <w:rFonts w:ascii="Arial" w:hAnsi="Arial" w:cs="Arial"/>
          <w:color w:val="000000" w:themeColor="text1"/>
          <w:sz w:val="22"/>
          <w:szCs w:val="22"/>
        </w:rPr>
        <w:t xml:space="preserve"> both Japanese holistic approaches and British analytical methodologies has become necessary due to differing cultural approaches to risk assessment</w:t>
      </w:r>
      <w:r w:rsidR="00413DA6">
        <w:rPr>
          <w:rFonts w:ascii="Arial" w:hAnsi="Arial" w:cs="Arial"/>
          <w:color w:val="000000" w:themeColor="text1"/>
          <w:sz w:val="22"/>
          <w:szCs w:val="22"/>
        </w:rPr>
        <w:t xml:space="preserve"> (Marinescu,2022).</w:t>
      </w:r>
    </w:p>
    <w:p w14:paraId="255FCB28" w14:textId="146A4310" w:rsidR="0078026C" w:rsidRPr="00643949" w:rsidRDefault="0078026C" w:rsidP="00643949">
      <w:pPr>
        <w:spacing w:line="360" w:lineRule="auto"/>
        <w:rPr>
          <w:rFonts w:ascii="Arial" w:hAnsi="Arial" w:cs="Arial"/>
          <w:color w:val="000000" w:themeColor="text1"/>
          <w:sz w:val="22"/>
          <w:szCs w:val="22"/>
        </w:rPr>
      </w:pPr>
    </w:p>
    <w:p w14:paraId="571C9C16" w14:textId="77777777" w:rsidR="0078026C" w:rsidRPr="00643949" w:rsidRDefault="0078026C" w:rsidP="00643949">
      <w:pPr>
        <w:spacing w:line="360" w:lineRule="auto"/>
        <w:jc w:val="both"/>
        <w:rPr>
          <w:rFonts w:ascii="Arial" w:hAnsi="Arial" w:cs="Arial"/>
          <w:b/>
          <w:bCs/>
          <w:sz w:val="22"/>
          <w:szCs w:val="22"/>
        </w:rPr>
      </w:pPr>
      <w:r w:rsidRPr="00643949">
        <w:rPr>
          <w:rFonts w:ascii="Arial" w:hAnsi="Arial" w:cs="Arial"/>
          <w:b/>
          <w:bCs/>
          <w:sz w:val="22"/>
          <w:szCs w:val="22"/>
        </w:rPr>
        <w:t>4.2 Operational Communication</w:t>
      </w:r>
    </w:p>
    <w:p w14:paraId="44AF8383" w14:textId="4EEC156D" w:rsidR="0078026C" w:rsidRPr="00643949" w:rsidRDefault="0078026C" w:rsidP="00C978B2">
      <w:pPr>
        <w:spacing w:line="360" w:lineRule="auto"/>
        <w:rPr>
          <w:rFonts w:ascii="Arial" w:hAnsi="Arial" w:cs="Arial"/>
          <w:color w:val="000000" w:themeColor="text1"/>
          <w:sz w:val="22"/>
          <w:szCs w:val="22"/>
        </w:rPr>
      </w:pPr>
      <w:r w:rsidRPr="00643949">
        <w:rPr>
          <w:rFonts w:ascii="Arial" w:hAnsi="Arial" w:cs="Arial"/>
          <w:color w:val="000000" w:themeColor="text1"/>
          <w:sz w:val="22"/>
          <w:szCs w:val="22"/>
        </w:rPr>
        <w:t xml:space="preserve">The issues of daily operational communication are persistent and call for methodical solutions: </w:t>
      </w:r>
      <w:r w:rsidRPr="00643949">
        <w:rPr>
          <w:rFonts w:ascii="Arial" w:hAnsi="Arial" w:cs="Arial"/>
          <w:color w:val="000000" w:themeColor="text1"/>
          <w:sz w:val="22"/>
          <w:szCs w:val="22"/>
        </w:rPr>
        <w:br/>
        <w:t>To capture complex meanings and cultural context in communications, cultural interpretation services have been used in addition to basic translation.</w:t>
      </w:r>
      <w:r w:rsidR="00C978B2">
        <w:rPr>
          <w:rFonts w:ascii="Arial" w:hAnsi="Arial" w:cs="Arial"/>
          <w:color w:val="000000" w:themeColor="text1"/>
          <w:sz w:val="22"/>
          <w:szCs w:val="22"/>
        </w:rPr>
        <w:t xml:space="preserve"> </w:t>
      </w:r>
      <w:r w:rsidRPr="00643949">
        <w:rPr>
          <w:rFonts w:ascii="Arial" w:hAnsi="Arial" w:cs="Arial"/>
          <w:color w:val="000000" w:themeColor="text1"/>
          <w:sz w:val="22"/>
          <w:szCs w:val="22"/>
        </w:rPr>
        <w:t>Systems of hybrid documentation have been created to meet the needs of the Japanese for contextual information and the British for clear</w:t>
      </w:r>
      <w:r w:rsidR="00C978B2">
        <w:rPr>
          <w:rFonts w:ascii="Arial" w:hAnsi="Arial" w:cs="Arial"/>
          <w:color w:val="000000" w:themeColor="text1"/>
          <w:sz w:val="22"/>
          <w:szCs w:val="22"/>
        </w:rPr>
        <w:t xml:space="preserve"> </w:t>
      </w:r>
      <w:r w:rsidRPr="00643949">
        <w:rPr>
          <w:rFonts w:ascii="Arial" w:hAnsi="Arial" w:cs="Arial"/>
          <w:color w:val="000000" w:themeColor="text1"/>
          <w:sz w:val="22"/>
          <w:szCs w:val="22"/>
        </w:rPr>
        <w:t xml:space="preserve">detail. </w:t>
      </w:r>
      <w:r w:rsidRPr="00643949">
        <w:rPr>
          <w:rFonts w:ascii="Arial" w:hAnsi="Arial" w:cs="Arial"/>
          <w:color w:val="000000" w:themeColor="text1"/>
          <w:sz w:val="22"/>
          <w:szCs w:val="22"/>
        </w:rPr>
        <w:br/>
      </w:r>
    </w:p>
    <w:p w14:paraId="52D77F74" w14:textId="4EE2CA53" w:rsidR="00452AC1" w:rsidRPr="00643949" w:rsidRDefault="0078026C" w:rsidP="00643949">
      <w:pPr>
        <w:spacing w:line="360" w:lineRule="auto"/>
        <w:jc w:val="both"/>
        <w:rPr>
          <w:rFonts w:ascii="Arial" w:hAnsi="Arial" w:cs="Arial"/>
          <w:b/>
          <w:bCs/>
          <w:sz w:val="22"/>
          <w:szCs w:val="22"/>
        </w:rPr>
      </w:pPr>
      <w:r w:rsidRPr="00643949">
        <w:rPr>
          <w:rFonts w:ascii="Arial" w:hAnsi="Arial" w:cs="Arial"/>
          <w:b/>
          <w:bCs/>
          <w:sz w:val="22"/>
          <w:szCs w:val="22"/>
        </w:rPr>
        <w:t>4.3 Research and Development Collaboration</w:t>
      </w:r>
    </w:p>
    <w:p w14:paraId="4B84423D" w14:textId="371F6B9C" w:rsidR="000D4DC7" w:rsidRPr="008D028C" w:rsidRDefault="0078026C" w:rsidP="008D028C">
      <w:pPr>
        <w:spacing w:line="360" w:lineRule="auto"/>
        <w:rPr>
          <w:rFonts w:ascii="Arial" w:hAnsi="Arial" w:cs="Arial"/>
          <w:color w:val="000000" w:themeColor="text1"/>
          <w:sz w:val="22"/>
          <w:szCs w:val="22"/>
        </w:rPr>
      </w:pPr>
      <w:r w:rsidRPr="00643949">
        <w:rPr>
          <w:rFonts w:ascii="Arial" w:hAnsi="Arial" w:cs="Arial"/>
          <w:color w:val="000000" w:themeColor="text1"/>
          <w:sz w:val="22"/>
          <w:szCs w:val="22"/>
        </w:rPr>
        <w:t xml:space="preserve">Different methods to scientific research and development provide special obstacles when it comes to collaboration in R&amp;D activities: </w:t>
      </w:r>
      <w:r w:rsidRPr="00643949">
        <w:rPr>
          <w:rFonts w:ascii="Arial" w:hAnsi="Arial" w:cs="Arial"/>
          <w:color w:val="000000" w:themeColor="text1"/>
          <w:sz w:val="22"/>
          <w:szCs w:val="22"/>
        </w:rPr>
        <w:br/>
        <w:t>Integration of Research Methodologies: Japanese kaizen-based improvement methodologies have been carefully combined with British empirical approaches.</w:t>
      </w:r>
      <w:r w:rsidRPr="00643949">
        <w:rPr>
          <w:rFonts w:ascii="Arial" w:hAnsi="Arial" w:cs="Arial"/>
          <w:color w:val="000000" w:themeColor="text1"/>
          <w:sz w:val="22"/>
          <w:szCs w:val="22"/>
        </w:rPr>
        <w:br/>
        <w:t xml:space="preserve">Innovation Management: As a result of diverse cultural perspectives on innovation, hybrid research management systems that reward both ground-breaking discoveries and small-scale </w:t>
      </w:r>
      <w:r w:rsidRPr="00643949">
        <w:rPr>
          <w:rFonts w:ascii="Arial" w:hAnsi="Arial" w:cs="Arial"/>
          <w:color w:val="000000" w:themeColor="text1"/>
          <w:sz w:val="22"/>
          <w:szCs w:val="22"/>
        </w:rPr>
        <w:lastRenderedPageBreak/>
        <w:t>advancements have emerged</w:t>
      </w:r>
      <w:r w:rsidR="00C978B2">
        <w:rPr>
          <w:rFonts w:ascii="Arial" w:hAnsi="Arial" w:cs="Arial"/>
          <w:color w:val="000000" w:themeColor="text1"/>
          <w:sz w:val="22"/>
          <w:szCs w:val="22"/>
        </w:rPr>
        <w:t xml:space="preserve"> ( Takeda,2025).</w:t>
      </w:r>
      <w:r w:rsidRPr="00643949">
        <w:rPr>
          <w:rFonts w:ascii="Arial" w:hAnsi="Arial" w:cs="Arial"/>
          <w:color w:val="000000" w:themeColor="text1"/>
          <w:sz w:val="22"/>
          <w:szCs w:val="22"/>
        </w:rPr>
        <w:br/>
      </w:r>
    </w:p>
    <w:p w14:paraId="66211507" w14:textId="49B1F802" w:rsidR="000D4DC7" w:rsidRPr="00643949" w:rsidRDefault="000D4DC7" w:rsidP="00643949">
      <w:pPr>
        <w:spacing w:line="360" w:lineRule="auto"/>
        <w:jc w:val="both"/>
        <w:rPr>
          <w:rFonts w:ascii="Arial" w:hAnsi="Arial" w:cs="Arial"/>
          <w:b/>
          <w:bCs/>
          <w:sz w:val="22"/>
          <w:szCs w:val="22"/>
        </w:rPr>
      </w:pPr>
      <w:r w:rsidRPr="00643949">
        <w:rPr>
          <w:rFonts w:ascii="Arial" w:hAnsi="Arial" w:cs="Arial"/>
          <w:b/>
          <w:bCs/>
          <w:sz w:val="22"/>
          <w:szCs w:val="22"/>
        </w:rPr>
        <w:t>4.4 Technology and Virtual Collaboration</w:t>
      </w:r>
    </w:p>
    <w:p w14:paraId="12778951" w14:textId="3D6CDCCD" w:rsidR="00D26483" w:rsidRPr="00643949" w:rsidRDefault="000D4DC7" w:rsidP="00643949">
      <w:pPr>
        <w:spacing w:line="360" w:lineRule="auto"/>
        <w:rPr>
          <w:rFonts w:ascii="Arial" w:hAnsi="Arial" w:cs="Arial"/>
          <w:color w:val="000000" w:themeColor="text1"/>
          <w:sz w:val="22"/>
          <w:szCs w:val="22"/>
        </w:rPr>
      </w:pPr>
      <w:r w:rsidRPr="00643949">
        <w:rPr>
          <w:rFonts w:ascii="Arial" w:hAnsi="Arial" w:cs="Arial"/>
          <w:color w:val="000000" w:themeColor="text1"/>
          <w:sz w:val="22"/>
          <w:szCs w:val="22"/>
        </w:rPr>
        <w:t xml:space="preserve">Cross-cultural communication has become even more complicated as a result of the growing use of virtual collaboration tools: </w:t>
      </w:r>
      <w:r w:rsidRPr="00643949">
        <w:rPr>
          <w:rFonts w:ascii="Arial" w:hAnsi="Arial" w:cs="Arial"/>
          <w:color w:val="000000" w:themeColor="text1"/>
          <w:sz w:val="22"/>
          <w:szCs w:val="22"/>
        </w:rPr>
        <w:br/>
        <w:t>Digital Platform Selection: To take into account the preferences of both cultures for official and informal communication channels, communication platforms have been carefully chosen.</w:t>
      </w:r>
      <w:r w:rsidRPr="00643949">
        <w:rPr>
          <w:rFonts w:ascii="Arial" w:hAnsi="Arial" w:cs="Arial"/>
          <w:color w:val="000000" w:themeColor="text1"/>
          <w:sz w:val="22"/>
          <w:szCs w:val="22"/>
        </w:rPr>
        <w:br/>
        <w:t>Protocols for Virtual Meetings: Particular rules have been created for virtual meetings that honor the communication preferences and meeting requirements of both cultures</w:t>
      </w:r>
      <w:r w:rsidR="00413DA6">
        <w:rPr>
          <w:rFonts w:ascii="Arial" w:hAnsi="Arial" w:cs="Arial"/>
          <w:color w:val="000000" w:themeColor="text1"/>
          <w:sz w:val="22"/>
          <w:szCs w:val="22"/>
        </w:rPr>
        <w:t xml:space="preserve"> </w:t>
      </w:r>
      <w:r w:rsidR="00413DA6" w:rsidRPr="00413DA6">
        <w:rPr>
          <w:rFonts w:ascii="Arial" w:hAnsi="Arial" w:cs="Arial"/>
          <w:color w:val="000000" w:themeColor="text1"/>
          <w:sz w:val="22"/>
          <w:szCs w:val="22"/>
        </w:rPr>
        <w:t>(Ordorica, 2024)</w:t>
      </w:r>
      <w:r w:rsidR="00413DA6">
        <w:rPr>
          <w:rFonts w:ascii="Arial" w:hAnsi="Arial" w:cs="Arial"/>
          <w:color w:val="000000" w:themeColor="text1"/>
          <w:sz w:val="22"/>
          <w:szCs w:val="22"/>
        </w:rPr>
        <w:t>.</w:t>
      </w:r>
      <w:r w:rsidRPr="00643949">
        <w:rPr>
          <w:rFonts w:ascii="Arial" w:hAnsi="Arial" w:cs="Arial"/>
          <w:color w:val="000000" w:themeColor="text1"/>
          <w:sz w:val="22"/>
          <w:szCs w:val="22"/>
        </w:rPr>
        <w:br/>
      </w:r>
    </w:p>
    <w:p w14:paraId="113C1EA2" w14:textId="67BE8169" w:rsidR="00D26483" w:rsidRPr="00643949" w:rsidRDefault="00D26483" w:rsidP="00643949">
      <w:pPr>
        <w:spacing w:line="360" w:lineRule="auto"/>
        <w:jc w:val="both"/>
        <w:rPr>
          <w:rFonts w:ascii="Arial" w:hAnsi="Arial" w:cs="Arial"/>
          <w:b/>
          <w:bCs/>
          <w:color w:val="000000" w:themeColor="text1"/>
          <w:sz w:val="22"/>
          <w:szCs w:val="22"/>
        </w:rPr>
      </w:pPr>
      <w:r w:rsidRPr="00643949">
        <w:rPr>
          <w:rFonts w:ascii="Arial" w:hAnsi="Arial" w:cs="Arial"/>
          <w:b/>
          <w:bCs/>
          <w:color w:val="000000" w:themeColor="text1"/>
          <w:sz w:val="22"/>
          <w:szCs w:val="22"/>
        </w:rPr>
        <w:t>Conclusion:</w:t>
      </w:r>
    </w:p>
    <w:p w14:paraId="69E1A01F" w14:textId="3AE0899F" w:rsidR="00D26483" w:rsidRPr="00643949" w:rsidRDefault="00D26483"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 xml:space="preserve">An examination of the cultural aspects and communication difficulties between GSK and Takeda provides important new information on </w:t>
      </w:r>
      <w:r w:rsidR="00903BA4" w:rsidRPr="00643949">
        <w:rPr>
          <w:rFonts w:ascii="Arial" w:hAnsi="Arial" w:cs="Arial"/>
          <w:color w:val="000000" w:themeColor="text1"/>
          <w:sz w:val="22"/>
          <w:szCs w:val="22"/>
        </w:rPr>
        <w:t>British Japanese</w:t>
      </w:r>
      <w:r w:rsidRPr="00643949">
        <w:rPr>
          <w:rFonts w:ascii="Arial" w:hAnsi="Arial" w:cs="Arial"/>
          <w:color w:val="000000" w:themeColor="text1"/>
          <w:sz w:val="22"/>
          <w:szCs w:val="22"/>
        </w:rPr>
        <w:t xml:space="preserve"> corporate cooperation in the pharmaceutical industry. The analysis shows how deeply ingrained cultural variations show up in research, strategy, and operations. While Hall's context theory reveals the essential distinctions in communication strategies between the two organizations, Hofstede's cultural dimensions draw attention to significant discrepancies in power distance, uncertainty avoidance, and individualism-collectivism orientations.</w:t>
      </w:r>
    </w:p>
    <w:p w14:paraId="343E55D4" w14:textId="7A68D091" w:rsidR="00D26483" w:rsidRPr="00643949" w:rsidRDefault="00D26483" w:rsidP="00643949">
      <w:pPr>
        <w:spacing w:line="360" w:lineRule="auto"/>
        <w:rPr>
          <w:rFonts w:ascii="Arial" w:hAnsi="Arial" w:cs="Arial"/>
          <w:sz w:val="22"/>
          <w:szCs w:val="22"/>
        </w:rPr>
      </w:pPr>
      <w:r w:rsidRPr="00643949">
        <w:rPr>
          <w:rFonts w:ascii="Arial" w:hAnsi="Arial" w:cs="Arial"/>
          <w:sz w:val="22"/>
          <w:szCs w:val="22"/>
        </w:rPr>
        <w:t>The creation of hybrid systems in several operational domains, such as documentation standards, decision-making procedures, and research methodologies, has been necessary for the effective integration of these disparate cultural approaches. These modifications highlight how crucial cultural sensitivity is to global corporate collaborations. In the future, cross-cultural communication will face both opportunities and challenges due to the growing dependence on virtual collaboration platforms. According to the case study, effective global pharmaceutical collaborations necessitate the methodical assessment of cultural variances and the application of thoughtfully crafted hybrid strategies that honor and incorporate both cultural frameworks.</w:t>
      </w:r>
    </w:p>
    <w:p w14:paraId="21718F16" w14:textId="77777777" w:rsidR="004C73DE" w:rsidRPr="00643949" w:rsidRDefault="004C73DE" w:rsidP="00643949">
      <w:pPr>
        <w:spacing w:line="360" w:lineRule="auto"/>
        <w:jc w:val="both"/>
        <w:rPr>
          <w:rFonts w:ascii="Arial" w:hAnsi="Arial" w:cs="Arial"/>
          <w:sz w:val="22"/>
          <w:szCs w:val="22"/>
        </w:rPr>
      </w:pPr>
    </w:p>
    <w:p w14:paraId="4208F594" w14:textId="6D8A14F7" w:rsidR="00F70B5E" w:rsidRPr="00643949" w:rsidRDefault="00F70B5E" w:rsidP="00643949">
      <w:pPr>
        <w:pStyle w:val="Heading1"/>
        <w:spacing w:line="360" w:lineRule="auto"/>
        <w:rPr>
          <w:rFonts w:ascii="Arial" w:hAnsi="Arial" w:cs="Arial"/>
          <w:b/>
          <w:bCs/>
          <w:color w:val="auto"/>
          <w:sz w:val="22"/>
          <w:szCs w:val="22"/>
        </w:rPr>
      </w:pPr>
      <w:r w:rsidRPr="00643949">
        <w:rPr>
          <w:rFonts w:ascii="Arial" w:hAnsi="Arial" w:cs="Arial"/>
          <w:b/>
          <w:bCs/>
          <w:color w:val="auto"/>
          <w:sz w:val="22"/>
          <w:szCs w:val="22"/>
        </w:rPr>
        <w:lastRenderedPageBreak/>
        <w:t>References:</w:t>
      </w:r>
    </w:p>
    <w:p w14:paraId="30FA0686" w14:textId="38C59902" w:rsidR="00106EE0" w:rsidRPr="00643949" w:rsidRDefault="00106EE0" w:rsidP="00643949">
      <w:pPr>
        <w:spacing w:line="360" w:lineRule="auto"/>
        <w:jc w:val="both"/>
        <w:rPr>
          <w:rFonts w:ascii="Arial" w:hAnsi="Arial" w:cs="Arial"/>
          <w:sz w:val="22"/>
          <w:szCs w:val="22"/>
        </w:rPr>
      </w:pPr>
      <w:r w:rsidRPr="00643949">
        <w:rPr>
          <w:rFonts w:ascii="Arial" w:hAnsi="Arial" w:cs="Arial"/>
          <w:sz w:val="22"/>
          <w:szCs w:val="22"/>
        </w:rPr>
        <w:t xml:space="preserve">ABPI (2024). </w:t>
      </w:r>
      <w:r w:rsidRPr="00643949">
        <w:rPr>
          <w:rFonts w:ascii="Arial" w:hAnsi="Arial" w:cs="Arial"/>
          <w:i/>
          <w:iCs/>
          <w:sz w:val="22"/>
          <w:szCs w:val="22"/>
        </w:rPr>
        <w:t xml:space="preserve">Making the UK the best place in the world to </w:t>
      </w:r>
      <w:r w:rsidR="008D6461" w:rsidRPr="00643949">
        <w:rPr>
          <w:rFonts w:ascii="Arial" w:hAnsi="Arial" w:cs="Arial"/>
          <w:i/>
          <w:iCs/>
          <w:sz w:val="22"/>
          <w:szCs w:val="22"/>
        </w:rPr>
        <w:t>research.</w:t>
      </w:r>
      <w:r w:rsidR="008D6461" w:rsidRPr="00643949">
        <w:rPr>
          <w:rFonts w:ascii="Arial" w:hAnsi="Arial" w:cs="Arial"/>
          <w:sz w:val="22"/>
          <w:szCs w:val="22"/>
        </w:rPr>
        <w:t xml:space="preserve"> Available</w:t>
      </w:r>
      <w:r w:rsidRPr="00643949">
        <w:rPr>
          <w:rFonts w:ascii="Arial" w:hAnsi="Arial" w:cs="Arial"/>
          <w:sz w:val="22"/>
          <w:szCs w:val="22"/>
        </w:rPr>
        <w:t xml:space="preserve"> at: https://www.abpi.org.uk/media/4olh31io/abp004_medicines-manifesto_digital_june-2024.pdf (Accessed: 24 February 2025). </w:t>
      </w:r>
    </w:p>
    <w:p w14:paraId="5EA87983" w14:textId="6BD113F4" w:rsidR="008D6461" w:rsidRDefault="008D6461" w:rsidP="00643949">
      <w:pPr>
        <w:spacing w:line="360" w:lineRule="auto"/>
        <w:jc w:val="both"/>
        <w:rPr>
          <w:rFonts w:ascii="Arial" w:hAnsi="Arial" w:cs="Arial"/>
          <w:sz w:val="22"/>
          <w:szCs w:val="22"/>
        </w:rPr>
      </w:pPr>
      <w:r w:rsidRPr="00643949">
        <w:rPr>
          <w:rFonts w:ascii="Arial" w:hAnsi="Arial" w:cs="Arial"/>
          <w:sz w:val="22"/>
          <w:szCs w:val="22"/>
        </w:rPr>
        <w:t xml:space="preserve">GSK (2023). </w:t>
      </w:r>
      <w:r w:rsidRPr="00643949">
        <w:rPr>
          <w:rFonts w:ascii="Arial" w:hAnsi="Arial" w:cs="Arial"/>
          <w:i/>
          <w:iCs/>
          <w:sz w:val="22"/>
          <w:szCs w:val="22"/>
        </w:rPr>
        <w:t>Annual Report</w:t>
      </w:r>
      <w:r w:rsidRPr="00643949">
        <w:rPr>
          <w:rFonts w:ascii="Arial" w:hAnsi="Arial" w:cs="Arial"/>
          <w:sz w:val="22"/>
          <w:szCs w:val="22"/>
        </w:rPr>
        <w:t xml:space="preserve">. Available at: </w:t>
      </w:r>
      <w:hyperlink r:id="rId8" w:history="1">
        <w:r w:rsidRPr="00643949">
          <w:rPr>
            <w:rStyle w:val="Hyperlink"/>
            <w:rFonts w:ascii="Arial" w:hAnsi="Arial" w:cs="Arial"/>
            <w:sz w:val="22"/>
            <w:szCs w:val="22"/>
          </w:rPr>
          <w:t>https://www.gsk.com/media/11009/esg-performance-report-2023.pdf</w:t>
        </w:r>
      </w:hyperlink>
      <w:r w:rsidRPr="00643949">
        <w:rPr>
          <w:rFonts w:ascii="Arial" w:hAnsi="Arial" w:cs="Arial"/>
          <w:sz w:val="22"/>
          <w:szCs w:val="22"/>
        </w:rPr>
        <w:t xml:space="preserve"> (Accessed: 24 February 2025).</w:t>
      </w:r>
    </w:p>
    <w:p w14:paraId="0BDCC921" w14:textId="77777777" w:rsidR="00413DA6" w:rsidRPr="00643949" w:rsidRDefault="00413DA6" w:rsidP="00413DA6">
      <w:pPr>
        <w:spacing w:line="360" w:lineRule="auto"/>
        <w:jc w:val="both"/>
        <w:rPr>
          <w:rFonts w:ascii="Arial" w:hAnsi="Arial" w:cs="Arial"/>
          <w:sz w:val="22"/>
          <w:szCs w:val="22"/>
        </w:rPr>
      </w:pPr>
      <w:r w:rsidRPr="00413DA6">
        <w:rPr>
          <w:rFonts w:ascii="Arial" w:hAnsi="Arial" w:cs="Arial"/>
          <w:sz w:val="22"/>
          <w:szCs w:val="22"/>
        </w:rPr>
        <w:t xml:space="preserve">Ordorica, S. (2024). Council Post: Best Practices For Enhancing Cross-Cultural Communication In Virtual Teams. </w:t>
      </w:r>
      <w:r w:rsidRPr="00413DA6">
        <w:rPr>
          <w:rFonts w:ascii="Arial" w:hAnsi="Arial" w:cs="Arial"/>
          <w:i/>
          <w:iCs/>
          <w:sz w:val="22"/>
          <w:szCs w:val="22"/>
        </w:rPr>
        <w:t>Forbes</w:t>
      </w:r>
      <w:r w:rsidRPr="00413DA6">
        <w:rPr>
          <w:rFonts w:ascii="Arial" w:hAnsi="Arial" w:cs="Arial"/>
          <w:sz w:val="22"/>
          <w:szCs w:val="22"/>
        </w:rPr>
        <w:t>.</w:t>
      </w:r>
      <w:r>
        <w:rPr>
          <w:rFonts w:ascii="Arial" w:hAnsi="Arial" w:cs="Arial"/>
          <w:sz w:val="22"/>
          <w:szCs w:val="22"/>
        </w:rPr>
        <w:t xml:space="preserve"> </w:t>
      </w:r>
      <w:r w:rsidRPr="00643949">
        <w:rPr>
          <w:rFonts w:ascii="Arial" w:hAnsi="Arial" w:cs="Arial"/>
          <w:sz w:val="22"/>
          <w:szCs w:val="22"/>
        </w:rPr>
        <w:t>(Accessed: 24 February 2025).</w:t>
      </w:r>
    </w:p>
    <w:p w14:paraId="4A955E2F" w14:textId="2AD0D883" w:rsidR="00413DA6" w:rsidRDefault="00413DA6" w:rsidP="00413DA6">
      <w:pPr>
        <w:spacing w:line="360" w:lineRule="auto"/>
        <w:jc w:val="both"/>
        <w:rPr>
          <w:rFonts w:ascii="Arial" w:hAnsi="Arial" w:cs="Arial"/>
          <w:sz w:val="22"/>
          <w:szCs w:val="22"/>
        </w:rPr>
      </w:pPr>
      <w:r w:rsidRPr="00413DA6">
        <w:rPr>
          <w:rFonts w:ascii="Arial" w:hAnsi="Arial" w:cs="Arial"/>
          <w:sz w:val="22"/>
          <w:szCs w:val="22"/>
        </w:rPr>
        <w:t xml:space="preserve">Available at: </w:t>
      </w:r>
      <w:hyperlink r:id="rId9" w:history="1">
        <w:r w:rsidRPr="00413DA6">
          <w:rPr>
            <w:rStyle w:val="Hyperlink"/>
            <w:rFonts w:ascii="Arial" w:hAnsi="Arial" w:cs="Arial"/>
            <w:sz w:val="22"/>
            <w:szCs w:val="22"/>
          </w:rPr>
          <w:t>https://www.forbes.com/councils/forbesbusinesscouncil/2024/04/01/best-practices-for-enhancing-cross-cultural-communication-in-virtual-teams/</w:t>
        </w:r>
      </w:hyperlink>
      <w:r w:rsidRPr="00413DA6">
        <w:rPr>
          <w:rFonts w:ascii="Arial" w:hAnsi="Arial" w:cs="Arial"/>
          <w:sz w:val="22"/>
          <w:szCs w:val="22"/>
        </w:rPr>
        <w:t>.</w:t>
      </w:r>
      <w:r>
        <w:rPr>
          <w:rFonts w:ascii="Arial" w:hAnsi="Arial" w:cs="Arial"/>
          <w:sz w:val="22"/>
          <w:szCs w:val="22"/>
        </w:rPr>
        <w:t xml:space="preserve"> </w:t>
      </w:r>
    </w:p>
    <w:p w14:paraId="06D27481" w14:textId="0E3AB8EF" w:rsidR="00413DA6" w:rsidRPr="00643949" w:rsidRDefault="008D028C" w:rsidP="00643949">
      <w:pPr>
        <w:spacing w:line="360" w:lineRule="auto"/>
        <w:jc w:val="both"/>
        <w:rPr>
          <w:rFonts w:ascii="Arial" w:hAnsi="Arial" w:cs="Arial"/>
          <w:sz w:val="22"/>
          <w:szCs w:val="22"/>
        </w:rPr>
      </w:pPr>
      <w:r w:rsidRPr="00413DA6">
        <w:rPr>
          <w:rFonts w:ascii="Arial" w:hAnsi="Arial" w:cs="Arial"/>
          <w:color w:val="000000" w:themeColor="text1"/>
          <w:sz w:val="22"/>
          <w:szCs w:val="22"/>
        </w:rPr>
        <w:t>Marinescu, C. (2022)</w:t>
      </w:r>
      <w:r>
        <w:rPr>
          <w:rFonts w:ascii="Arial" w:hAnsi="Arial" w:cs="Arial"/>
          <w:color w:val="000000" w:themeColor="text1"/>
          <w:sz w:val="22"/>
          <w:szCs w:val="22"/>
        </w:rPr>
        <w:t>.</w:t>
      </w:r>
      <w:r w:rsidRPr="008D028C">
        <w:rPr>
          <w:rFonts w:ascii="Arial" w:hAnsi="Arial" w:cs="Arial"/>
          <w:i/>
          <w:iCs/>
          <w:color w:val="000000" w:themeColor="text1"/>
          <w:sz w:val="22"/>
          <w:szCs w:val="22"/>
        </w:rPr>
        <w:t xml:space="preserve"> Organizational Culture in Different Environments: Evidence from Japan</w:t>
      </w:r>
      <w:r>
        <w:rPr>
          <w:rFonts w:ascii="Arial" w:hAnsi="Arial" w:cs="Arial"/>
          <w:i/>
          <w:iCs/>
          <w:color w:val="000000" w:themeColor="text1"/>
          <w:sz w:val="22"/>
          <w:szCs w:val="22"/>
        </w:rPr>
        <w:t>.</w:t>
      </w:r>
      <w:r w:rsidRPr="00413DA6">
        <w:rPr>
          <w:rFonts w:ascii="Arial" w:hAnsi="Arial" w:cs="Arial"/>
          <w:color w:val="000000" w:themeColor="text1"/>
          <w:sz w:val="22"/>
          <w:szCs w:val="22"/>
        </w:rPr>
        <w:t xml:space="preserve"> Proceedings of the International Management Conference. Proceedings of the International Management Conference.</w:t>
      </w:r>
    </w:p>
    <w:p w14:paraId="1E2FF5EB" w14:textId="143F32E8" w:rsidR="00106EE0" w:rsidRPr="00643949" w:rsidRDefault="00AD6DAE" w:rsidP="00643949">
      <w:pPr>
        <w:spacing w:line="360" w:lineRule="auto"/>
        <w:jc w:val="both"/>
        <w:rPr>
          <w:rFonts w:ascii="Arial" w:hAnsi="Arial" w:cs="Arial"/>
          <w:sz w:val="22"/>
          <w:szCs w:val="22"/>
        </w:rPr>
      </w:pPr>
      <w:r w:rsidRPr="00643949">
        <w:rPr>
          <w:rFonts w:ascii="Arial" w:hAnsi="Arial" w:cs="Arial"/>
          <w:sz w:val="22"/>
          <w:szCs w:val="22"/>
        </w:rPr>
        <w:t xml:space="preserve">MarketLine Advantage (2025). </w:t>
      </w:r>
      <w:r w:rsidRPr="00643949">
        <w:rPr>
          <w:rFonts w:ascii="Arial" w:hAnsi="Arial" w:cs="Arial"/>
          <w:i/>
          <w:iCs/>
          <w:sz w:val="22"/>
          <w:szCs w:val="22"/>
        </w:rPr>
        <w:t xml:space="preserve">GSK plc. </w:t>
      </w:r>
      <w:r w:rsidRPr="00643949">
        <w:rPr>
          <w:rFonts w:ascii="Arial" w:hAnsi="Arial" w:cs="Arial"/>
          <w:sz w:val="22"/>
          <w:szCs w:val="22"/>
        </w:rPr>
        <w:t xml:space="preserve">Available at: </w:t>
      </w:r>
      <w:hyperlink r:id="rId10" w:history="1">
        <w:r w:rsidRPr="00643949">
          <w:rPr>
            <w:rStyle w:val="Hyperlink"/>
            <w:rFonts w:ascii="Arial" w:hAnsi="Arial" w:cs="Arial"/>
            <w:sz w:val="22"/>
            <w:szCs w:val="22"/>
          </w:rPr>
          <w:t>https://advantage-marketline-com.ezproxy.uwtsd.ac.uk/Company/Summary/glaxosmithkline_plc</w:t>
        </w:r>
      </w:hyperlink>
      <w:r w:rsidRPr="00643949">
        <w:rPr>
          <w:rFonts w:ascii="Arial" w:hAnsi="Arial" w:cs="Arial"/>
          <w:sz w:val="22"/>
          <w:szCs w:val="22"/>
        </w:rPr>
        <w:t xml:space="preserve"> (Accessed: 24 February 2025).</w:t>
      </w:r>
    </w:p>
    <w:p w14:paraId="3AA84E0B" w14:textId="2F25741F" w:rsidR="00C84394" w:rsidRPr="00643949" w:rsidRDefault="00C84394"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 xml:space="preserve">MarketLine Advantage (2024) </w:t>
      </w:r>
      <w:r w:rsidRPr="00643949">
        <w:rPr>
          <w:rFonts w:ascii="Arial" w:hAnsi="Arial" w:cs="Arial"/>
          <w:i/>
          <w:iCs/>
          <w:color w:val="000000" w:themeColor="text1"/>
          <w:sz w:val="22"/>
          <w:szCs w:val="22"/>
        </w:rPr>
        <w:t>Pharmaceuticals in Japan</w:t>
      </w:r>
      <w:r w:rsidRPr="00643949">
        <w:rPr>
          <w:rFonts w:ascii="Arial" w:hAnsi="Arial" w:cs="Arial"/>
          <w:color w:val="000000" w:themeColor="text1"/>
          <w:sz w:val="22"/>
          <w:szCs w:val="22"/>
        </w:rPr>
        <w:t xml:space="preserve">, </w:t>
      </w:r>
      <w:r w:rsidRPr="00643949">
        <w:rPr>
          <w:rFonts w:ascii="Arial" w:hAnsi="Arial" w:cs="Arial"/>
          <w:i/>
          <w:iCs/>
          <w:color w:val="000000" w:themeColor="text1"/>
          <w:sz w:val="22"/>
          <w:szCs w:val="22"/>
        </w:rPr>
        <w:t>MarketLine Intelligence Center</w:t>
      </w:r>
      <w:r w:rsidRPr="00643949">
        <w:rPr>
          <w:rFonts w:ascii="Arial" w:hAnsi="Arial" w:cs="Arial"/>
          <w:color w:val="000000" w:themeColor="text1"/>
          <w:sz w:val="22"/>
          <w:szCs w:val="22"/>
        </w:rPr>
        <w:t xml:space="preserve">. Available at: </w:t>
      </w:r>
      <w:hyperlink r:id="rId11" w:history="1">
        <w:r w:rsidRPr="00643949">
          <w:rPr>
            <w:rStyle w:val="Hyperlink"/>
            <w:rFonts w:ascii="Arial" w:hAnsi="Arial" w:cs="Arial"/>
            <w:sz w:val="22"/>
            <w:szCs w:val="22"/>
          </w:rPr>
          <w:t>https://advantage-marketline-com.ezproxy.uwtsd.ac.uk/Analysis/ViewasPDF/japan-pharmaceuticals-ml-220941</w:t>
        </w:r>
      </w:hyperlink>
      <w:r w:rsidRPr="00643949">
        <w:rPr>
          <w:rFonts w:ascii="Arial" w:hAnsi="Arial" w:cs="Arial"/>
          <w:color w:val="000000" w:themeColor="text1"/>
          <w:sz w:val="22"/>
          <w:szCs w:val="22"/>
        </w:rPr>
        <w:t xml:space="preserve">  (Accessed: 24 February 2025). </w:t>
      </w:r>
    </w:p>
    <w:p w14:paraId="1C90CB00" w14:textId="53A6E173" w:rsidR="00AD6DAE" w:rsidRDefault="00AD6DAE" w:rsidP="00643949">
      <w:pPr>
        <w:spacing w:line="360" w:lineRule="auto"/>
        <w:jc w:val="both"/>
        <w:rPr>
          <w:rFonts w:ascii="Arial" w:hAnsi="Arial" w:cs="Arial"/>
          <w:sz w:val="22"/>
          <w:szCs w:val="22"/>
        </w:rPr>
      </w:pPr>
      <w:r w:rsidRPr="00643949">
        <w:rPr>
          <w:rFonts w:ascii="Arial" w:hAnsi="Arial" w:cs="Arial"/>
          <w:sz w:val="22"/>
          <w:szCs w:val="22"/>
        </w:rPr>
        <w:t>MarketLine Advantage (2025).</w:t>
      </w:r>
      <w:r w:rsidRPr="00643949">
        <w:rPr>
          <w:rFonts w:ascii="Arial" w:hAnsi="Arial" w:cs="Arial"/>
          <w:color w:val="2F283D"/>
          <w:sz w:val="22"/>
          <w:szCs w:val="22"/>
          <w:shd w:val="clear" w:color="auto" w:fill="FFFFFF"/>
        </w:rPr>
        <w:t xml:space="preserve"> </w:t>
      </w:r>
      <w:r w:rsidRPr="00643949">
        <w:rPr>
          <w:rFonts w:ascii="Arial" w:hAnsi="Arial" w:cs="Arial"/>
          <w:sz w:val="22"/>
          <w:szCs w:val="22"/>
        </w:rPr>
        <w:t xml:space="preserve">Takeda Pharmaceutical Co Ltd. Available at: </w:t>
      </w:r>
      <w:hyperlink r:id="rId12" w:history="1">
        <w:r w:rsidRPr="00643949">
          <w:rPr>
            <w:rStyle w:val="Hyperlink"/>
            <w:rFonts w:ascii="Arial" w:hAnsi="Arial" w:cs="Arial"/>
            <w:sz w:val="22"/>
            <w:szCs w:val="22"/>
          </w:rPr>
          <w:t>https://advantage-marketline-com.ezproxy.uwtsd.ac.uk/Company/Summary/glaxosmithkline_plc</w:t>
        </w:r>
      </w:hyperlink>
      <w:r w:rsidRPr="00643949">
        <w:rPr>
          <w:rFonts w:ascii="Arial" w:hAnsi="Arial" w:cs="Arial"/>
          <w:sz w:val="22"/>
          <w:szCs w:val="22"/>
        </w:rPr>
        <w:t xml:space="preserve"> (Accessed: 24 February 2025).</w:t>
      </w:r>
    </w:p>
    <w:p w14:paraId="26CD1A01" w14:textId="3D1F9F31" w:rsidR="008D028C" w:rsidRPr="008D028C" w:rsidRDefault="008D028C" w:rsidP="008D028C">
      <w:pPr>
        <w:rPr>
          <w:rFonts w:ascii="Arial" w:hAnsi="Arial" w:cs="Arial"/>
          <w:color w:val="000000" w:themeColor="text1"/>
          <w:sz w:val="22"/>
          <w:szCs w:val="22"/>
        </w:rPr>
      </w:pPr>
    </w:p>
    <w:p w14:paraId="69B33A36" w14:textId="4423DEC1" w:rsidR="00F70B5E" w:rsidRPr="00643949" w:rsidRDefault="00F70B5E" w:rsidP="00643949">
      <w:pPr>
        <w:spacing w:line="360" w:lineRule="auto"/>
        <w:jc w:val="both"/>
        <w:rPr>
          <w:rFonts w:ascii="Arial" w:hAnsi="Arial" w:cs="Arial"/>
          <w:sz w:val="22"/>
          <w:szCs w:val="22"/>
        </w:rPr>
      </w:pPr>
      <w:r w:rsidRPr="00643949">
        <w:rPr>
          <w:rFonts w:ascii="Arial" w:hAnsi="Arial" w:cs="Arial"/>
          <w:sz w:val="22"/>
          <w:szCs w:val="22"/>
        </w:rPr>
        <w:t>Meyerding, S.G.H. and Trinh, B.H. (</w:t>
      </w:r>
      <w:r w:rsidR="00106EE0" w:rsidRPr="00643949">
        <w:rPr>
          <w:rFonts w:ascii="Arial" w:hAnsi="Arial" w:cs="Arial"/>
          <w:sz w:val="22"/>
          <w:szCs w:val="22"/>
        </w:rPr>
        <w:t xml:space="preserve">2025) </w:t>
      </w:r>
      <w:r w:rsidRPr="00643949">
        <w:rPr>
          <w:rFonts w:ascii="Arial" w:hAnsi="Arial" w:cs="Arial"/>
          <w:sz w:val="22"/>
          <w:szCs w:val="22"/>
        </w:rPr>
        <w:t xml:space="preserve">A cross-cultural study: How product attributes and cultural values influence chocolate preferences’, </w:t>
      </w:r>
      <w:r w:rsidRPr="00643949">
        <w:rPr>
          <w:rFonts w:ascii="Arial" w:hAnsi="Arial" w:cs="Arial"/>
          <w:i/>
          <w:iCs/>
          <w:sz w:val="22"/>
          <w:szCs w:val="22"/>
        </w:rPr>
        <w:t>Journal of agriculture and food research</w:t>
      </w:r>
      <w:r w:rsidRPr="00643949">
        <w:rPr>
          <w:rFonts w:ascii="Arial" w:hAnsi="Arial" w:cs="Arial"/>
          <w:sz w:val="22"/>
          <w:szCs w:val="22"/>
        </w:rPr>
        <w:t>, 19, pp. 101579-. Available at: https://doi.org/10.1016/j.jafr.2024.101579.</w:t>
      </w:r>
    </w:p>
    <w:p w14:paraId="056D01E8" w14:textId="3F0B0670" w:rsidR="000D58F0" w:rsidRPr="00643949" w:rsidRDefault="006466EC" w:rsidP="00643949">
      <w:pPr>
        <w:spacing w:line="360" w:lineRule="auto"/>
        <w:jc w:val="both"/>
        <w:rPr>
          <w:rFonts w:ascii="Arial" w:hAnsi="Arial" w:cs="Arial"/>
          <w:sz w:val="22"/>
          <w:szCs w:val="22"/>
        </w:rPr>
      </w:pPr>
      <w:r w:rsidRPr="00643949">
        <w:rPr>
          <w:rFonts w:ascii="Arial" w:hAnsi="Arial" w:cs="Arial"/>
          <w:sz w:val="22"/>
          <w:szCs w:val="22"/>
        </w:rPr>
        <w:t>Messner, W. (</w:t>
      </w:r>
      <w:r w:rsidR="00096243" w:rsidRPr="00643949">
        <w:rPr>
          <w:rFonts w:ascii="Arial" w:hAnsi="Arial" w:cs="Arial"/>
          <w:sz w:val="22"/>
          <w:szCs w:val="22"/>
        </w:rPr>
        <w:t xml:space="preserve">2025) </w:t>
      </w:r>
      <w:r w:rsidRPr="00643949">
        <w:rPr>
          <w:rFonts w:ascii="Arial" w:hAnsi="Arial" w:cs="Arial"/>
          <w:sz w:val="22"/>
          <w:szCs w:val="22"/>
        </w:rPr>
        <w:t xml:space="preserve">Quantification of cultural practices and diversity: An empirical experiment with generative artificial intelligence’, </w:t>
      </w:r>
      <w:r w:rsidRPr="00643949">
        <w:rPr>
          <w:rFonts w:ascii="Arial" w:hAnsi="Arial" w:cs="Arial"/>
          <w:i/>
          <w:iCs/>
          <w:sz w:val="22"/>
          <w:szCs w:val="22"/>
        </w:rPr>
        <w:t>Journal of world business : JWB</w:t>
      </w:r>
      <w:r w:rsidRPr="00643949">
        <w:rPr>
          <w:rFonts w:ascii="Arial" w:hAnsi="Arial" w:cs="Arial"/>
          <w:sz w:val="22"/>
          <w:szCs w:val="22"/>
        </w:rPr>
        <w:t xml:space="preserve">, 60(3), pp. 101622-. Available at: </w:t>
      </w:r>
      <w:hyperlink r:id="rId13" w:history="1">
        <w:r w:rsidR="00F70B5E" w:rsidRPr="00643949">
          <w:rPr>
            <w:rStyle w:val="Hyperlink"/>
            <w:rFonts w:ascii="Arial" w:hAnsi="Arial" w:cs="Arial"/>
            <w:sz w:val="22"/>
            <w:szCs w:val="22"/>
          </w:rPr>
          <w:t>https://doi.org/10.1016/j.jwb.2025.101622</w:t>
        </w:r>
      </w:hyperlink>
      <w:r w:rsidRPr="00643949">
        <w:rPr>
          <w:rFonts w:ascii="Arial" w:hAnsi="Arial" w:cs="Arial"/>
          <w:sz w:val="22"/>
          <w:szCs w:val="22"/>
        </w:rPr>
        <w:t>.</w:t>
      </w:r>
      <w:r w:rsidR="00F70B5E" w:rsidRPr="00643949">
        <w:rPr>
          <w:rFonts w:ascii="Arial" w:hAnsi="Arial" w:cs="Arial"/>
          <w:sz w:val="22"/>
          <w:szCs w:val="22"/>
        </w:rPr>
        <w:t xml:space="preserve"> </w:t>
      </w:r>
    </w:p>
    <w:p w14:paraId="518A8DD4" w14:textId="462F9338" w:rsidR="00452AC1" w:rsidRDefault="00452AC1" w:rsidP="00643949">
      <w:pPr>
        <w:spacing w:line="360" w:lineRule="auto"/>
        <w:jc w:val="both"/>
        <w:rPr>
          <w:rFonts w:ascii="Arial" w:hAnsi="Arial" w:cs="Arial"/>
          <w:sz w:val="22"/>
          <w:szCs w:val="22"/>
        </w:rPr>
      </w:pPr>
      <w:r w:rsidRPr="00643949">
        <w:rPr>
          <w:rFonts w:ascii="Arial" w:hAnsi="Arial" w:cs="Arial"/>
          <w:color w:val="000000" w:themeColor="text1"/>
          <w:sz w:val="22"/>
          <w:szCs w:val="22"/>
        </w:rPr>
        <w:lastRenderedPageBreak/>
        <w:t xml:space="preserve">Naraoka, H. </w:t>
      </w:r>
      <w:r w:rsidRPr="00643949">
        <w:rPr>
          <w:rFonts w:ascii="Arial" w:hAnsi="Arial" w:cs="Arial"/>
          <w:i/>
          <w:iCs/>
          <w:color w:val="000000" w:themeColor="text1"/>
          <w:sz w:val="22"/>
          <w:szCs w:val="22"/>
        </w:rPr>
        <w:t>et al.</w:t>
      </w:r>
      <w:r w:rsidRPr="00643949">
        <w:rPr>
          <w:rFonts w:ascii="Arial" w:hAnsi="Arial" w:cs="Arial"/>
          <w:color w:val="000000" w:themeColor="text1"/>
          <w:sz w:val="22"/>
          <w:szCs w:val="22"/>
        </w:rPr>
        <w:t xml:space="preserve"> (2025) ‘Opportunities for micro physiological systems from the view of Japanese industries’, </w:t>
      </w:r>
      <w:r w:rsidRPr="00643949">
        <w:rPr>
          <w:rFonts w:ascii="Arial" w:hAnsi="Arial" w:cs="Arial"/>
          <w:i/>
          <w:iCs/>
          <w:color w:val="000000" w:themeColor="text1"/>
          <w:sz w:val="22"/>
          <w:szCs w:val="22"/>
        </w:rPr>
        <w:t>Drug Metabolism and Pharmacokinetics</w:t>
      </w:r>
      <w:r w:rsidRPr="00643949">
        <w:rPr>
          <w:rFonts w:ascii="Arial" w:hAnsi="Arial" w:cs="Arial"/>
          <w:color w:val="000000" w:themeColor="text1"/>
          <w:sz w:val="22"/>
          <w:szCs w:val="22"/>
        </w:rPr>
        <w:t xml:space="preserve">, 60, p. 101034. doi:10.1016/j.dmpk.2024.101034. </w:t>
      </w:r>
      <w:r w:rsidRPr="00643949">
        <w:rPr>
          <w:rFonts w:ascii="Arial" w:hAnsi="Arial" w:cs="Arial"/>
          <w:sz w:val="22"/>
          <w:szCs w:val="22"/>
        </w:rPr>
        <w:t>(Accessed: 24 February 2025).</w:t>
      </w:r>
    </w:p>
    <w:p w14:paraId="2A76C79C" w14:textId="2DDD3AF9" w:rsidR="002B14E4" w:rsidRPr="00643949" w:rsidRDefault="002B14E4" w:rsidP="00643949">
      <w:pPr>
        <w:spacing w:line="360" w:lineRule="auto"/>
        <w:jc w:val="both"/>
        <w:rPr>
          <w:rFonts w:ascii="Arial" w:hAnsi="Arial" w:cs="Arial"/>
          <w:sz w:val="22"/>
          <w:szCs w:val="22"/>
        </w:rPr>
      </w:pPr>
      <w:r w:rsidRPr="002B14E4">
        <w:rPr>
          <w:rFonts w:ascii="Arial" w:hAnsi="Arial" w:cs="Arial"/>
          <w:sz w:val="22"/>
          <w:szCs w:val="22"/>
        </w:rPr>
        <w:t xml:space="preserve">Statista. (2025). </w:t>
      </w:r>
      <w:r w:rsidRPr="002B14E4">
        <w:rPr>
          <w:rFonts w:ascii="Arial" w:hAnsi="Arial" w:cs="Arial"/>
          <w:i/>
          <w:iCs/>
          <w:sz w:val="22"/>
          <w:szCs w:val="22"/>
        </w:rPr>
        <w:t>Pharmaceuticals - Japan | Statista Market Forecast</w:t>
      </w:r>
      <w:r w:rsidRPr="002B14E4">
        <w:rPr>
          <w:rFonts w:ascii="Arial" w:hAnsi="Arial" w:cs="Arial"/>
          <w:sz w:val="22"/>
          <w:szCs w:val="22"/>
        </w:rPr>
        <w:t xml:space="preserve">. [online] Available at: </w:t>
      </w:r>
      <w:hyperlink r:id="rId14" w:history="1">
        <w:r w:rsidRPr="002B14E4">
          <w:rPr>
            <w:rStyle w:val="Hyperlink"/>
            <w:rFonts w:ascii="Arial" w:hAnsi="Arial" w:cs="Arial"/>
            <w:sz w:val="22"/>
            <w:szCs w:val="22"/>
          </w:rPr>
          <w:t>https://www.statista.com/outlook/hmo/pharmaceuticals/japan</w:t>
        </w:r>
      </w:hyperlink>
      <w:r w:rsidRPr="002B14E4">
        <w:rPr>
          <w:rFonts w:ascii="Arial" w:hAnsi="Arial" w:cs="Arial"/>
          <w:sz w:val="22"/>
          <w:szCs w:val="22"/>
        </w:rPr>
        <w:t>.</w:t>
      </w:r>
      <w:r>
        <w:rPr>
          <w:rFonts w:ascii="Arial" w:hAnsi="Arial" w:cs="Arial"/>
          <w:sz w:val="22"/>
          <w:szCs w:val="22"/>
        </w:rPr>
        <w:t xml:space="preserve"> </w:t>
      </w:r>
    </w:p>
    <w:p w14:paraId="613B0AF2" w14:textId="17E78B2A" w:rsidR="00096243" w:rsidRPr="00643949" w:rsidRDefault="00096243" w:rsidP="002B14E4">
      <w:pPr>
        <w:spacing w:line="360" w:lineRule="auto"/>
        <w:rPr>
          <w:rFonts w:ascii="Arial" w:hAnsi="Arial" w:cs="Arial"/>
          <w:color w:val="000000" w:themeColor="text1"/>
          <w:sz w:val="22"/>
          <w:szCs w:val="22"/>
        </w:rPr>
      </w:pPr>
      <w:r w:rsidRPr="00643949">
        <w:rPr>
          <w:rFonts w:ascii="Arial" w:hAnsi="Arial" w:cs="Arial"/>
          <w:color w:val="000000" w:themeColor="text1"/>
          <w:sz w:val="22"/>
          <w:szCs w:val="22"/>
        </w:rPr>
        <w:t xml:space="preserve">Takeda (2024) Form 20-F Annual Report Fiscal Year 2024, Takeda Pharmaceutical Company Limited, [Online]. Available at: </w:t>
      </w:r>
      <w:hyperlink r:id="rId15" w:history="1">
        <w:r w:rsidRPr="00643949">
          <w:rPr>
            <w:rStyle w:val="Hyperlink"/>
            <w:rFonts w:ascii="Arial" w:hAnsi="Arial" w:cs="Arial"/>
            <w:sz w:val="22"/>
            <w:szCs w:val="22"/>
          </w:rPr>
          <w:t>https://assets-dam.takeda.com/image/upload/Global/Investor/form20-f/E_FY2023_Form_20-F.pdf</w:t>
        </w:r>
      </w:hyperlink>
      <w:r w:rsidRPr="00643949">
        <w:rPr>
          <w:rFonts w:ascii="Arial" w:hAnsi="Arial" w:cs="Arial"/>
          <w:color w:val="000000" w:themeColor="text1"/>
          <w:sz w:val="22"/>
          <w:szCs w:val="22"/>
        </w:rPr>
        <w:t xml:space="preserve"> (Accessed: 24 February 2025).</w:t>
      </w:r>
    </w:p>
    <w:p w14:paraId="006B15E8" w14:textId="56D1EED5" w:rsidR="000D58F0" w:rsidRPr="00643949" w:rsidRDefault="002304D4" w:rsidP="00643949">
      <w:pPr>
        <w:spacing w:line="360" w:lineRule="auto"/>
        <w:jc w:val="both"/>
        <w:rPr>
          <w:rFonts w:ascii="Arial" w:hAnsi="Arial" w:cs="Arial"/>
          <w:sz w:val="22"/>
          <w:szCs w:val="22"/>
        </w:rPr>
      </w:pPr>
      <w:r w:rsidRPr="00643949">
        <w:rPr>
          <w:rFonts w:ascii="Arial" w:hAnsi="Arial" w:cs="Arial"/>
          <w:sz w:val="22"/>
          <w:szCs w:val="22"/>
        </w:rPr>
        <w:t>Takeda (2025).</w:t>
      </w:r>
      <w:r w:rsidRPr="00643949">
        <w:rPr>
          <w:rFonts w:ascii="Arial" w:hAnsi="Arial" w:cs="Arial"/>
          <w:i/>
          <w:iCs/>
          <w:sz w:val="22"/>
          <w:szCs w:val="22"/>
        </w:rPr>
        <w:t xml:space="preserve"> Corporate philosophy</w:t>
      </w:r>
      <w:r w:rsidRPr="00643949">
        <w:rPr>
          <w:rFonts w:ascii="Arial" w:hAnsi="Arial" w:cs="Arial"/>
          <w:sz w:val="22"/>
          <w:szCs w:val="22"/>
        </w:rPr>
        <w:t xml:space="preserve"> Available at: </w:t>
      </w:r>
      <w:hyperlink r:id="rId16" w:history="1">
        <w:r w:rsidRPr="00643949">
          <w:rPr>
            <w:rStyle w:val="Hyperlink"/>
            <w:rFonts w:ascii="Arial" w:hAnsi="Arial" w:cs="Arial"/>
            <w:sz w:val="22"/>
            <w:szCs w:val="22"/>
          </w:rPr>
          <w:t>https://www.takeda.com/en-us/who-we-are/corporate-philosophy/</w:t>
        </w:r>
      </w:hyperlink>
      <w:r w:rsidRPr="00643949">
        <w:rPr>
          <w:rFonts w:ascii="Arial" w:hAnsi="Arial" w:cs="Arial"/>
          <w:sz w:val="22"/>
          <w:szCs w:val="22"/>
        </w:rPr>
        <w:t xml:space="preserve">  (Accessed: 24 February 2025).</w:t>
      </w:r>
    </w:p>
    <w:p w14:paraId="44062C60" w14:textId="77777777" w:rsidR="00F92D4E" w:rsidRPr="00643949" w:rsidRDefault="00F92D4E" w:rsidP="00643949">
      <w:pPr>
        <w:spacing w:line="360" w:lineRule="auto"/>
        <w:jc w:val="both"/>
        <w:rPr>
          <w:rFonts w:ascii="Arial" w:hAnsi="Arial" w:cs="Arial"/>
          <w:color w:val="000000" w:themeColor="text1"/>
          <w:sz w:val="22"/>
          <w:szCs w:val="22"/>
        </w:rPr>
      </w:pPr>
      <w:r w:rsidRPr="00643949">
        <w:rPr>
          <w:rFonts w:ascii="Arial" w:hAnsi="Arial" w:cs="Arial"/>
          <w:color w:val="000000" w:themeColor="text1"/>
          <w:sz w:val="22"/>
          <w:szCs w:val="22"/>
        </w:rPr>
        <w:t xml:space="preserve">Tong, L. and Yuqing, T. (2020) ‘Applying Hall’s High Context and Low Context Cultures Model to Analysis the Implications of Cultural Differences on Functioning in Cross-cultural Groups’, </w:t>
      </w:r>
      <w:r w:rsidRPr="00643949">
        <w:rPr>
          <w:rFonts w:ascii="Arial" w:hAnsi="Arial" w:cs="Arial"/>
          <w:i/>
          <w:iCs/>
          <w:color w:val="000000" w:themeColor="text1"/>
          <w:sz w:val="22"/>
          <w:szCs w:val="22"/>
        </w:rPr>
        <w:t>Academic Journal of Humanities &amp; Social Sciences</w:t>
      </w:r>
      <w:r w:rsidRPr="00643949">
        <w:rPr>
          <w:rFonts w:ascii="Arial" w:hAnsi="Arial" w:cs="Arial"/>
          <w:color w:val="000000" w:themeColor="text1"/>
          <w:sz w:val="22"/>
          <w:szCs w:val="22"/>
        </w:rPr>
        <w:t xml:space="preserve">, 3(8). doi:10.25236/AJHSS.2020.030813. </w:t>
      </w:r>
    </w:p>
    <w:p w14:paraId="35777D14" w14:textId="77777777" w:rsidR="00F92D4E" w:rsidRPr="00643949" w:rsidRDefault="00F92D4E" w:rsidP="00643949">
      <w:pPr>
        <w:spacing w:line="360" w:lineRule="auto"/>
        <w:jc w:val="both"/>
        <w:rPr>
          <w:rFonts w:ascii="Arial" w:hAnsi="Arial" w:cs="Arial"/>
          <w:sz w:val="22"/>
          <w:szCs w:val="22"/>
        </w:rPr>
      </w:pPr>
    </w:p>
    <w:sectPr w:rsidR="00F92D4E" w:rsidRPr="00643949">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F338B" w14:textId="77777777" w:rsidR="00194057" w:rsidRDefault="00194057" w:rsidP="00881D6B">
      <w:pPr>
        <w:spacing w:after="0" w:line="240" w:lineRule="auto"/>
      </w:pPr>
      <w:r>
        <w:separator/>
      </w:r>
    </w:p>
  </w:endnote>
  <w:endnote w:type="continuationSeparator" w:id="0">
    <w:p w14:paraId="535BE139" w14:textId="77777777" w:rsidR="00194057" w:rsidRDefault="00194057" w:rsidP="00881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CC13C" w14:textId="77777777" w:rsidR="00881D6B" w:rsidRDefault="00881D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236613"/>
      <w:docPartObj>
        <w:docPartGallery w:val="Page Numbers (Bottom of Page)"/>
        <w:docPartUnique/>
      </w:docPartObj>
    </w:sdtPr>
    <w:sdtContent>
      <w:p w14:paraId="690F50C0" w14:textId="3F24FEB3" w:rsidR="00881D6B" w:rsidRDefault="00881D6B">
        <w:pPr>
          <w:pStyle w:val="Footer"/>
          <w:jc w:val="center"/>
        </w:pPr>
        <w:r>
          <w:fldChar w:fldCharType="begin"/>
        </w:r>
        <w:r>
          <w:instrText>PAGE   \* MERGEFORMAT</w:instrText>
        </w:r>
        <w:r>
          <w:fldChar w:fldCharType="separate"/>
        </w:r>
        <w:r>
          <w:rPr>
            <w:lang w:val="en-GB"/>
          </w:rPr>
          <w:t>2</w:t>
        </w:r>
        <w:r>
          <w:fldChar w:fldCharType="end"/>
        </w:r>
      </w:p>
    </w:sdtContent>
  </w:sdt>
  <w:p w14:paraId="10447D46" w14:textId="77777777" w:rsidR="00881D6B" w:rsidRDefault="00881D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BD311" w14:textId="77777777" w:rsidR="00881D6B" w:rsidRDefault="00881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4E18E" w14:textId="77777777" w:rsidR="00194057" w:rsidRDefault="00194057" w:rsidP="00881D6B">
      <w:pPr>
        <w:spacing w:after="0" w:line="240" w:lineRule="auto"/>
      </w:pPr>
      <w:r>
        <w:separator/>
      </w:r>
    </w:p>
  </w:footnote>
  <w:footnote w:type="continuationSeparator" w:id="0">
    <w:p w14:paraId="150B7B50" w14:textId="77777777" w:rsidR="00194057" w:rsidRDefault="00194057" w:rsidP="00881D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CA5B6" w14:textId="77777777" w:rsidR="00881D6B" w:rsidRDefault="00881D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7BDA" w14:textId="77777777" w:rsidR="00881D6B" w:rsidRDefault="00881D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B716B" w14:textId="77777777" w:rsidR="00881D6B" w:rsidRDefault="00881D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506A1"/>
    <w:multiLevelType w:val="hybridMultilevel"/>
    <w:tmpl w:val="F19C9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A346DA"/>
    <w:multiLevelType w:val="multilevel"/>
    <w:tmpl w:val="AF98C56C"/>
    <w:lvl w:ilvl="0">
      <w:start w:val="2"/>
      <w:numFmt w:val="decimal"/>
      <w:lvlText w:val="%1"/>
      <w:lvlJc w:val="left"/>
      <w:pPr>
        <w:ind w:left="384" w:hanging="384"/>
      </w:pPr>
      <w:rPr>
        <w:rFonts w:hint="default"/>
      </w:rPr>
    </w:lvl>
    <w:lvl w:ilvl="1">
      <w:start w:val="1"/>
      <w:numFmt w:val="decimal"/>
      <w:lvlText w:val="%1.%2"/>
      <w:lvlJc w:val="left"/>
      <w:pPr>
        <w:ind w:left="1032" w:hanging="720"/>
      </w:pPr>
      <w:rPr>
        <w:rFonts w:hint="default"/>
      </w:rPr>
    </w:lvl>
    <w:lvl w:ilvl="2">
      <w:start w:val="1"/>
      <w:numFmt w:val="decimal"/>
      <w:lvlText w:val="%1.%2.%3"/>
      <w:lvlJc w:val="left"/>
      <w:pPr>
        <w:ind w:left="1344" w:hanging="720"/>
      </w:pPr>
      <w:rPr>
        <w:rFonts w:hint="default"/>
      </w:rPr>
    </w:lvl>
    <w:lvl w:ilvl="3">
      <w:start w:val="1"/>
      <w:numFmt w:val="decimal"/>
      <w:lvlText w:val="%1.%2.%3.%4"/>
      <w:lvlJc w:val="left"/>
      <w:pPr>
        <w:ind w:left="2016" w:hanging="1080"/>
      </w:pPr>
      <w:rPr>
        <w:rFonts w:hint="default"/>
      </w:rPr>
    </w:lvl>
    <w:lvl w:ilvl="4">
      <w:start w:val="1"/>
      <w:numFmt w:val="decimal"/>
      <w:lvlText w:val="%1.%2.%3.%4.%5"/>
      <w:lvlJc w:val="left"/>
      <w:pPr>
        <w:ind w:left="2688" w:hanging="1440"/>
      </w:pPr>
      <w:rPr>
        <w:rFonts w:hint="default"/>
      </w:rPr>
    </w:lvl>
    <w:lvl w:ilvl="5">
      <w:start w:val="1"/>
      <w:numFmt w:val="decimal"/>
      <w:lvlText w:val="%1.%2.%3.%4.%5.%6"/>
      <w:lvlJc w:val="left"/>
      <w:pPr>
        <w:ind w:left="3000" w:hanging="1440"/>
      </w:pPr>
      <w:rPr>
        <w:rFonts w:hint="default"/>
      </w:rPr>
    </w:lvl>
    <w:lvl w:ilvl="6">
      <w:start w:val="1"/>
      <w:numFmt w:val="decimal"/>
      <w:lvlText w:val="%1.%2.%3.%4.%5.%6.%7"/>
      <w:lvlJc w:val="left"/>
      <w:pPr>
        <w:ind w:left="3672" w:hanging="1800"/>
      </w:pPr>
      <w:rPr>
        <w:rFonts w:hint="default"/>
      </w:rPr>
    </w:lvl>
    <w:lvl w:ilvl="7">
      <w:start w:val="1"/>
      <w:numFmt w:val="decimal"/>
      <w:lvlText w:val="%1.%2.%3.%4.%5.%6.%7.%8"/>
      <w:lvlJc w:val="left"/>
      <w:pPr>
        <w:ind w:left="3984" w:hanging="1800"/>
      </w:pPr>
      <w:rPr>
        <w:rFonts w:hint="default"/>
      </w:rPr>
    </w:lvl>
    <w:lvl w:ilvl="8">
      <w:start w:val="1"/>
      <w:numFmt w:val="decimal"/>
      <w:lvlText w:val="%1.%2.%3.%4.%5.%6.%7.%8.%9"/>
      <w:lvlJc w:val="left"/>
      <w:pPr>
        <w:ind w:left="4656" w:hanging="2160"/>
      </w:pPr>
      <w:rPr>
        <w:rFonts w:hint="default"/>
      </w:rPr>
    </w:lvl>
  </w:abstractNum>
  <w:abstractNum w:abstractNumId="2" w15:restartNumberingAfterBreak="0">
    <w:nsid w:val="20016B3E"/>
    <w:multiLevelType w:val="multilevel"/>
    <w:tmpl w:val="146EFFAE"/>
    <w:lvl w:ilvl="0">
      <w:start w:val="3"/>
      <w:numFmt w:val="decimal"/>
      <w:lvlText w:val="%1"/>
      <w:lvlJc w:val="left"/>
      <w:pPr>
        <w:ind w:left="384" w:hanging="38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63A1162"/>
    <w:multiLevelType w:val="multilevel"/>
    <w:tmpl w:val="2A44B6CE"/>
    <w:lvl w:ilvl="0">
      <w:start w:val="4"/>
      <w:numFmt w:val="decimal"/>
      <w:lvlText w:val="%1"/>
      <w:lvlJc w:val="left"/>
      <w:pPr>
        <w:ind w:left="384" w:hanging="38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F774232"/>
    <w:multiLevelType w:val="multilevel"/>
    <w:tmpl w:val="969A3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C10E24"/>
    <w:multiLevelType w:val="hybridMultilevel"/>
    <w:tmpl w:val="CFEAD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2142560">
    <w:abstractNumId w:val="5"/>
  </w:num>
  <w:num w:numId="2" w16cid:durableId="230624766">
    <w:abstractNumId w:val="0"/>
  </w:num>
  <w:num w:numId="3" w16cid:durableId="804085881">
    <w:abstractNumId w:val="4"/>
  </w:num>
  <w:num w:numId="4" w16cid:durableId="488404893">
    <w:abstractNumId w:val="1"/>
  </w:num>
  <w:num w:numId="5" w16cid:durableId="624430821">
    <w:abstractNumId w:val="2"/>
  </w:num>
  <w:num w:numId="6" w16cid:durableId="1206720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035"/>
    <w:rsid w:val="0002153F"/>
    <w:rsid w:val="00036927"/>
    <w:rsid w:val="00045169"/>
    <w:rsid w:val="00093832"/>
    <w:rsid w:val="00096243"/>
    <w:rsid w:val="000D4DC7"/>
    <w:rsid w:val="000D58F0"/>
    <w:rsid w:val="000E682E"/>
    <w:rsid w:val="00106EE0"/>
    <w:rsid w:val="001078DA"/>
    <w:rsid w:val="00133DEE"/>
    <w:rsid w:val="00175FC2"/>
    <w:rsid w:val="00194057"/>
    <w:rsid w:val="001B118B"/>
    <w:rsid w:val="001C7EF8"/>
    <w:rsid w:val="001F2A95"/>
    <w:rsid w:val="002304D4"/>
    <w:rsid w:val="00270B79"/>
    <w:rsid w:val="00284253"/>
    <w:rsid w:val="002B14E4"/>
    <w:rsid w:val="00315A46"/>
    <w:rsid w:val="0033429C"/>
    <w:rsid w:val="00384892"/>
    <w:rsid w:val="003C5C5F"/>
    <w:rsid w:val="00413DA6"/>
    <w:rsid w:val="00452AC1"/>
    <w:rsid w:val="00492FEE"/>
    <w:rsid w:val="004C73DE"/>
    <w:rsid w:val="00540BD1"/>
    <w:rsid w:val="005B5FE3"/>
    <w:rsid w:val="00643949"/>
    <w:rsid w:val="006466EC"/>
    <w:rsid w:val="0066207B"/>
    <w:rsid w:val="0078026C"/>
    <w:rsid w:val="007E3203"/>
    <w:rsid w:val="00851E86"/>
    <w:rsid w:val="00857959"/>
    <w:rsid w:val="00881D6B"/>
    <w:rsid w:val="008D028C"/>
    <w:rsid w:val="008D6461"/>
    <w:rsid w:val="00903BA4"/>
    <w:rsid w:val="00933163"/>
    <w:rsid w:val="00967164"/>
    <w:rsid w:val="00A20035"/>
    <w:rsid w:val="00A251FE"/>
    <w:rsid w:val="00AD6DAE"/>
    <w:rsid w:val="00AE1722"/>
    <w:rsid w:val="00B62704"/>
    <w:rsid w:val="00B64F36"/>
    <w:rsid w:val="00B70FBD"/>
    <w:rsid w:val="00C32E06"/>
    <w:rsid w:val="00C57BA0"/>
    <w:rsid w:val="00C84394"/>
    <w:rsid w:val="00C978B2"/>
    <w:rsid w:val="00CC2A79"/>
    <w:rsid w:val="00D0074D"/>
    <w:rsid w:val="00D042E7"/>
    <w:rsid w:val="00D26483"/>
    <w:rsid w:val="00D3055F"/>
    <w:rsid w:val="00EE0494"/>
    <w:rsid w:val="00F1759D"/>
    <w:rsid w:val="00F40B88"/>
    <w:rsid w:val="00F70B5E"/>
    <w:rsid w:val="00F92D4E"/>
    <w:rsid w:val="00FA7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BB290"/>
  <w15:chartTrackingRefBased/>
  <w15:docId w15:val="{B657AF40-ED96-49F4-B5E1-35683CFE2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00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00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00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00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00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00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00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00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00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0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00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00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00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00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0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0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0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0035"/>
    <w:rPr>
      <w:rFonts w:eastAsiaTheme="majorEastAsia" w:cstheme="majorBidi"/>
      <w:color w:val="272727" w:themeColor="text1" w:themeTint="D8"/>
    </w:rPr>
  </w:style>
  <w:style w:type="paragraph" w:styleId="Title">
    <w:name w:val="Title"/>
    <w:basedOn w:val="Normal"/>
    <w:next w:val="Normal"/>
    <w:link w:val="TitleChar"/>
    <w:uiPriority w:val="10"/>
    <w:qFormat/>
    <w:rsid w:val="00A20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0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00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0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0035"/>
    <w:pPr>
      <w:spacing w:before="160"/>
      <w:jc w:val="center"/>
    </w:pPr>
    <w:rPr>
      <w:i/>
      <w:iCs/>
      <w:color w:val="404040" w:themeColor="text1" w:themeTint="BF"/>
    </w:rPr>
  </w:style>
  <w:style w:type="character" w:customStyle="1" w:styleId="QuoteChar">
    <w:name w:val="Quote Char"/>
    <w:basedOn w:val="DefaultParagraphFont"/>
    <w:link w:val="Quote"/>
    <w:uiPriority w:val="29"/>
    <w:rsid w:val="00A20035"/>
    <w:rPr>
      <w:i/>
      <w:iCs/>
      <w:color w:val="404040" w:themeColor="text1" w:themeTint="BF"/>
    </w:rPr>
  </w:style>
  <w:style w:type="paragraph" w:styleId="ListParagraph">
    <w:name w:val="List Paragraph"/>
    <w:basedOn w:val="Normal"/>
    <w:uiPriority w:val="34"/>
    <w:qFormat/>
    <w:rsid w:val="00A20035"/>
    <w:pPr>
      <w:ind w:left="720"/>
      <w:contextualSpacing/>
    </w:pPr>
  </w:style>
  <w:style w:type="character" w:styleId="IntenseEmphasis">
    <w:name w:val="Intense Emphasis"/>
    <w:basedOn w:val="DefaultParagraphFont"/>
    <w:uiPriority w:val="21"/>
    <w:qFormat/>
    <w:rsid w:val="00A20035"/>
    <w:rPr>
      <w:i/>
      <w:iCs/>
      <w:color w:val="0F4761" w:themeColor="accent1" w:themeShade="BF"/>
    </w:rPr>
  </w:style>
  <w:style w:type="paragraph" w:styleId="IntenseQuote">
    <w:name w:val="Intense Quote"/>
    <w:basedOn w:val="Normal"/>
    <w:next w:val="Normal"/>
    <w:link w:val="IntenseQuoteChar"/>
    <w:uiPriority w:val="30"/>
    <w:qFormat/>
    <w:rsid w:val="00A200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0035"/>
    <w:rPr>
      <w:i/>
      <w:iCs/>
      <w:color w:val="0F4761" w:themeColor="accent1" w:themeShade="BF"/>
    </w:rPr>
  </w:style>
  <w:style w:type="character" w:styleId="IntenseReference">
    <w:name w:val="Intense Reference"/>
    <w:basedOn w:val="DefaultParagraphFont"/>
    <w:uiPriority w:val="32"/>
    <w:qFormat/>
    <w:rsid w:val="00A20035"/>
    <w:rPr>
      <w:b/>
      <w:bCs/>
      <w:smallCaps/>
      <w:color w:val="0F4761" w:themeColor="accent1" w:themeShade="BF"/>
      <w:spacing w:val="5"/>
    </w:rPr>
  </w:style>
  <w:style w:type="character" w:styleId="Hyperlink">
    <w:name w:val="Hyperlink"/>
    <w:basedOn w:val="DefaultParagraphFont"/>
    <w:uiPriority w:val="99"/>
    <w:unhideWhenUsed/>
    <w:rsid w:val="00D042E7"/>
    <w:rPr>
      <w:color w:val="467886" w:themeColor="hyperlink"/>
      <w:u w:val="single"/>
    </w:rPr>
  </w:style>
  <w:style w:type="character" w:styleId="UnresolvedMention">
    <w:name w:val="Unresolved Mention"/>
    <w:basedOn w:val="DefaultParagraphFont"/>
    <w:uiPriority w:val="99"/>
    <w:semiHidden/>
    <w:unhideWhenUsed/>
    <w:rsid w:val="00D042E7"/>
    <w:rPr>
      <w:color w:val="605E5C"/>
      <w:shd w:val="clear" w:color="auto" w:fill="E1DFDD"/>
    </w:rPr>
  </w:style>
  <w:style w:type="character" w:styleId="FollowedHyperlink">
    <w:name w:val="FollowedHyperlink"/>
    <w:basedOn w:val="DefaultParagraphFont"/>
    <w:uiPriority w:val="99"/>
    <w:semiHidden/>
    <w:unhideWhenUsed/>
    <w:rsid w:val="00106EE0"/>
    <w:rPr>
      <w:color w:val="96607D" w:themeColor="followedHyperlink"/>
      <w:u w:val="single"/>
    </w:rPr>
  </w:style>
  <w:style w:type="paragraph" w:styleId="TOCHeading">
    <w:name w:val="TOC Heading"/>
    <w:basedOn w:val="Heading1"/>
    <w:next w:val="Normal"/>
    <w:uiPriority w:val="39"/>
    <w:unhideWhenUsed/>
    <w:qFormat/>
    <w:rsid w:val="00F40B88"/>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F40B88"/>
    <w:pPr>
      <w:spacing w:after="100" w:line="259" w:lineRule="auto"/>
      <w:ind w:left="22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F40B88"/>
    <w:pPr>
      <w:spacing w:after="100" w:line="259" w:lineRule="auto"/>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F40B88"/>
    <w:pPr>
      <w:spacing w:after="100" w:line="259" w:lineRule="auto"/>
      <w:ind w:left="440"/>
    </w:pPr>
    <w:rPr>
      <w:rFonts w:eastAsiaTheme="minorEastAsia" w:cs="Times New Roman"/>
      <w:kern w:val="0"/>
      <w:sz w:val="22"/>
      <w:szCs w:val="22"/>
      <w14:ligatures w14:val="none"/>
    </w:rPr>
  </w:style>
  <w:style w:type="paragraph" w:styleId="NoSpacing">
    <w:name w:val="No Spacing"/>
    <w:uiPriority w:val="1"/>
    <w:qFormat/>
    <w:rsid w:val="00F40B88"/>
    <w:pPr>
      <w:spacing w:after="0" w:line="240" w:lineRule="auto"/>
    </w:pPr>
  </w:style>
  <w:style w:type="character" w:styleId="Strong">
    <w:name w:val="Strong"/>
    <w:basedOn w:val="DefaultParagraphFont"/>
    <w:uiPriority w:val="22"/>
    <w:qFormat/>
    <w:rsid w:val="00F40B88"/>
    <w:rPr>
      <w:b/>
      <w:bCs/>
    </w:rPr>
  </w:style>
  <w:style w:type="paragraph" w:styleId="Header">
    <w:name w:val="header"/>
    <w:basedOn w:val="Normal"/>
    <w:link w:val="HeaderChar"/>
    <w:uiPriority w:val="99"/>
    <w:unhideWhenUsed/>
    <w:rsid w:val="00881D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D6B"/>
  </w:style>
  <w:style w:type="paragraph" w:styleId="Footer">
    <w:name w:val="footer"/>
    <w:basedOn w:val="Normal"/>
    <w:link w:val="FooterChar"/>
    <w:uiPriority w:val="99"/>
    <w:unhideWhenUsed/>
    <w:rsid w:val="00881D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D6B"/>
  </w:style>
  <w:style w:type="paragraph" w:styleId="NormalWeb">
    <w:name w:val="Normal (Web)"/>
    <w:basedOn w:val="Normal"/>
    <w:uiPriority w:val="99"/>
    <w:semiHidden/>
    <w:unhideWhenUsed/>
    <w:rsid w:val="00413DA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9458">
      <w:bodyDiv w:val="1"/>
      <w:marLeft w:val="0"/>
      <w:marRight w:val="0"/>
      <w:marTop w:val="0"/>
      <w:marBottom w:val="0"/>
      <w:divBdr>
        <w:top w:val="none" w:sz="0" w:space="0" w:color="auto"/>
        <w:left w:val="none" w:sz="0" w:space="0" w:color="auto"/>
        <w:bottom w:val="none" w:sz="0" w:space="0" w:color="auto"/>
        <w:right w:val="none" w:sz="0" w:space="0" w:color="auto"/>
      </w:divBdr>
    </w:div>
    <w:div w:id="39938389">
      <w:bodyDiv w:val="1"/>
      <w:marLeft w:val="0"/>
      <w:marRight w:val="0"/>
      <w:marTop w:val="0"/>
      <w:marBottom w:val="0"/>
      <w:divBdr>
        <w:top w:val="none" w:sz="0" w:space="0" w:color="auto"/>
        <w:left w:val="none" w:sz="0" w:space="0" w:color="auto"/>
        <w:bottom w:val="none" w:sz="0" w:space="0" w:color="auto"/>
        <w:right w:val="none" w:sz="0" w:space="0" w:color="auto"/>
      </w:divBdr>
    </w:div>
    <w:div w:id="62991465">
      <w:bodyDiv w:val="1"/>
      <w:marLeft w:val="0"/>
      <w:marRight w:val="0"/>
      <w:marTop w:val="0"/>
      <w:marBottom w:val="0"/>
      <w:divBdr>
        <w:top w:val="none" w:sz="0" w:space="0" w:color="auto"/>
        <w:left w:val="none" w:sz="0" w:space="0" w:color="auto"/>
        <w:bottom w:val="none" w:sz="0" w:space="0" w:color="auto"/>
        <w:right w:val="none" w:sz="0" w:space="0" w:color="auto"/>
      </w:divBdr>
    </w:div>
    <w:div w:id="67198022">
      <w:bodyDiv w:val="1"/>
      <w:marLeft w:val="0"/>
      <w:marRight w:val="0"/>
      <w:marTop w:val="0"/>
      <w:marBottom w:val="0"/>
      <w:divBdr>
        <w:top w:val="none" w:sz="0" w:space="0" w:color="auto"/>
        <w:left w:val="none" w:sz="0" w:space="0" w:color="auto"/>
        <w:bottom w:val="none" w:sz="0" w:space="0" w:color="auto"/>
        <w:right w:val="none" w:sz="0" w:space="0" w:color="auto"/>
      </w:divBdr>
    </w:div>
    <w:div w:id="72096319">
      <w:bodyDiv w:val="1"/>
      <w:marLeft w:val="0"/>
      <w:marRight w:val="0"/>
      <w:marTop w:val="0"/>
      <w:marBottom w:val="0"/>
      <w:divBdr>
        <w:top w:val="none" w:sz="0" w:space="0" w:color="auto"/>
        <w:left w:val="none" w:sz="0" w:space="0" w:color="auto"/>
        <w:bottom w:val="none" w:sz="0" w:space="0" w:color="auto"/>
        <w:right w:val="none" w:sz="0" w:space="0" w:color="auto"/>
      </w:divBdr>
    </w:div>
    <w:div w:id="91560034">
      <w:bodyDiv w:val="1"/>
      <w:marLeft w:val="0"/>
      <w:marRight w:val="0"/>
      <w:marTop w:val="0"/>
      <w:marBottom w:val="0"/>
      <w:divBdr>
        <w:top w:val="none" w:sz="0" w:space="0" w:color="auto"/>
        <w:left w:val="none" w:sz="0" w:space="0" w:color="auto"/>
        <w:bottom w:val="none" w:sz="0" w:space="0" w:color="auto"/>
        <w:right w:val="none" w:sz="0" w:space="0" w:color="auto"/>
      </w:divBdr>
    </w:div>
    <w:div w:id="97526579">
      <w:bodyDiv w:val="1"/>
      <w:marLeft w:val="0"/>
      <w:marRight w:val="0"/>
      <w:marTop w:val="0"/>
      <w:marBottom w:val="0"/>
      <w:divBdr>
        <w:top w:val="none" w:sz="0" w:space="0" w:color="auto"/>
        <w:left w:val="none" w:sz="0" w:space="0" w:color="auto"/>
        <w:bottom w:val="none" w:sz="0" w:space="0" w:color="auto"/>
        <w:right w:val="none" w:sz="0" w:space="0" w:color="auto"/>
      </w:divBdr>
    </w:div>
    <w:div w:id="207228516">
      <w:bodyDiv w:val="1"/>
      <w:marLeft w:val="0"/>
      <w:marRight w:val="0"/>
      <w:marTop w:val="0"/>
      <w:marBottom w:val="0"/>
      <w:divBdr>
        <w:top w:val="none" w:sz="0" w:space="0" w:color="auto"/>
        <w:left w:val="none" w:sz="0" w:space="0" w:color="auto"/>
        <w:bottom w:val="none" w:sz="0" w:space="0" w:color="auto"/>
        <w:right w:val="none" w:sz="0" w:space="0" w:color="auto"/>
      </w:divBdr>
    </w:div>
    <w:div w:id="282929155">
      <w:bodyDiv w:val="1"/>
      <w:marLeft w:val="0"/>
      <w:marRight w:val="0"/>
      <w:marTop w:val="0"/>
      <w:marBottom w:val="0"/>
      <w:divBdr>
        <w:top w:val="none" w:sz="0" w:space="0" w:color="auto"/>
        <w:left w:val="none" w:sz="0" w:space="0" w:color="auto"/>
        <w:bottom w:val="none" w:sz="0" w:space="0" w:color="auto"/>
        <w:right w:val="none" w:sz="0" w:space="0" w:color="auto"/>
      </w:divBdr>
    </w:div>
    <w:div w:id="311103960">
      <w:bodyDiv w:val="1"/>
      <w:marLeft w:val="0"/>
      <w:marRight w:val="0"/>
      <w:marTop w:val="0"/>
      <w:marBottom w:val="0"/>
      <w:divBdr>
        <w:top w:val="none" w:sz="0" w:space="0" w:color="auto"/>
        <w:left w:val="none" w:sz="0" w:space="0" w:color="auto"/>
        <w:bottom w:val="none" w:sz="0" w:space="0" w:color="auto"/>
        <w:right w:val="none" w:sz="0" w:space="0" w:color="auto"/>
      </w:divBdr>
    </w:div>
    <w:div w:id="329912345">
      <w:bodyDiv w:val="1"/>
      <w:marLeft w:val="0"/>
      <w:marRight w:val="0"/>
      <w:marTop w:val="0"/>
      <w:marBottom w:val="0"/>
      <w:divBdr>
        <w:top w:val="none" w:sz="0" w:space="0" w:color="auto"/>
        <w:left w:val="none" w:sz="0" w:space="0" w:color="auto"/>
        <w:bottom w:val="none" w:sz="0" w:space="0" w:color="auto"/>
        <w:right w:val="none" w:sz="0" w:space="0" w:color="auto"/>
      </w:divBdr>
    </w:div>
    <w:div w:id="350421396">
      <w:bodyDiv w:val="1"/>
      <w:marLeft w:val="0"/>
      <w:marRight w:val="0"/>
      <w:marTop w:val="0"/>
      <w:marBottom w:val="0"/>
      <w:divBdr>
        <w:top w:val="none" w:sz="0" w:space="0" w:color="auto"/>
        <w:left w:val="none" w:sz="0" w:space="0" w:color="auto"/>
        <w:bottom w:val="none" w:sz="0" w:space="0" w:color="auto"/>
        <w:right w:val="none" w:sz="0" w:space="0" w:color="auto"/>
      </w:divBdr>
    </w:div>
    <w:div w:id="394281284">
      <w:bodyDiv w:val="1"/>
      <w:marLeft w:val="0"/>
      <w:marRight w:val="0"/>
      <w:marTop w:val="0"/>
      <w:marBottom w:val="0"/>
      <w:divBdr>
        <w:top w:val="none" w:sz="0" w:space="0" w:color="auto"/>
        <w:left w:val="none" w:sz="0" w:space="0" w:color="auto"/>
        <w:bottom w:val="none" w:sz="0" w:space="0" w:color="auto"/>
        <w:right w:val="none" w:sz="0" w:space="0" w:color="auto"/>
      </w:divBdr>
    </w:div>
    <w:div w:id="407579885">
      <w:bodyDiv w:val="1"/>
      <w:marLeft w:val="0"/>
      <w:marRight w:val="0"/>
      <w:marTop w:val="0"/>
      <w:marBottom w:val="0"/>
      <w:divBdr>
        <w:top w:val="none" w:sz="0" w:space="0" w:color="auto"/>
        <w:left w:val="none" w:sz="0" w:space="0" w:color="auto"/>
        <w:bottom w:val="none" w:sz="0" w:space="0" w:color="auto"/>
        <w:right w:val="none" w:sz="0" w:space="0" w:color="auto"/>
      </w:divBdr>
    </w:div>
    <w:div w:id="443964329">
      <w:bodyDiv w:val="1"/>
      <w:marLeft w:val="0"/>
      <w:marRight w:val="0"/>
      <w:marTop w:val="0"/>
      <w:marBottom w:val="0"/>
      <w:divBdr>
        <w:top w:val="none" w:sz="0" w:space="0" w:color="auto"/>
        <w:left w:val="none" w:sz="0" w:space="0" w:color="auto"/>
        <w:bottom w:val="none" w:sz="0" w:space="0" w:color="auto"/>
        <w:right w:val="none" w:sz="0" w:space="0" w:color="auto"/>
      </w:divBdr>
    </w:div>
    <w:div w:id="486750785">
      <w:bodyDiv w:val="1"/>
      <w:marLeft w:val="0"/>
      <w:marRight w:val="0"/>
      <w:marTop w:val="0"/>
      <w:marBottom w:val="0"/>
      <w:divBdr>
        <w:top w:val="none" w:sz="0" w:space="0" w:color="auto"/>
        <w:left w:val="none" w:sz="0" w:space="0" w:color="auto"/>
        <w:bottom w:val="none" w:sz="0" w:space="0" w:color="auto"/>
        <w:right w:val="none" w:sz="0" w:space="0" w:color="auto"/>
      </w:divBdr>
    </w:div>
    <w:div w:id="510489295">
      <w:bodyDiv w:val="1"/>
      <w:marLeft w:val="0"/>
      <w:marRight w:val="0"/>
      <w:marTop w:val="0"/>
      <w:marBottom w:val="0"/>
      <w:divBdr>
        <w:top w:val="none" w:sz="0" w:space="0" w:color="auto"/>
        <w:left w:val="none" w:sz="0" w:space="0" w:color="auto"/>
        <w:bottom w:val="none" w:sz="0" w:space="0" w:color="auto"/>
        <w:right w:val="none" w:sz="0" w:space="0" w:color="auto"/>
      </w:divBdr>
    </w:div>
    <w:div w:id="512383449">
      <w:bodyDiv w:val="1"/>
      <w:marLeft w:val="0"/>
      <w:marRight w:val="0"/>
      <w:marTop w:val="0"/>
      <w:marBottom w:val="0"/>
      <w:divBdr>
        <w:top w:val="none" w:sz="0" w:space="0" w:color="auto"/>
        <w:left w:val="none" w:sz="0" w:space="0" w:color="auto"/>
        <w:bottom w:val="none" w:sz="0" w:space="0" w:color="auto"/>
        <w:right w:val="none" w:sz="0" w:space="0" w:color="auto"/>
      </w:divBdr>
    </w:div>
    <w:div w:id="514924751">
      <w:bodyDiv w:val="1"/>
      <w:marLeft w:val="0"/>
      <w:marRight w:val="0"/>
      <w:marTop w:val="0"/>
      <w:marBottom w:val="0"/>
      <w:divBdr>
        <w:top w:val="none" w:sz="0" w:space="0" w:color="auto"/>
        <w:left w:val="none" w:sz="0" w:space="0" w:color="auto"/>
        <w:bottom w:val="none" w:sz="0" w:space="0" w:color="auto"/>
        <w:right w:val="none" w:sz="0" w:space="0" w:color="auto"/>
      </w:divBdr>
    </w:div>
    <w:div w:id="531892012">
      <w:bodyDiv w:val="1"/>
      <w:marLeft w:val="0"/>
      <w:marRight w:val="0"/>
      <w:marTop w:val="0"/>
      <w:marBottom w:val="0"/>
      <w:divBdr>
        <w:top w:val="none" w:sz="0" w:space="0" w:color="auto"/>
        <w:left w:val="none" w:sz="0" w:space="0" w:color="auto"/>
        <w:bottom w:val="none" w:sz="0" w:space="0" w:color="auto"/>
        <w:right w:val="none" w:sz="0" w:space="0" w:color="auto"/>
      </w:divBdr>
      <w:divsChild>
        <w:div w:id="223568407">
          <w:marLeft w:val="0"/>
          <w:marRight w:val="0"/>
          <w:marTop w:val="0"/>
          <w:marBottom w:val="0"/>
          <w:divBdr>
            <w:top w:val="none" w:sz="0" w:space="0" w:color="auto"/>
            <w:left w:val="none" w:sz="0" w:space="0" w:color="auto"/>
            <w:bottom w:val="none" w:sz="0" w:space="0" w:color="auto"/>
            <w:right w:val="none" w:sz="0" w:space="0" w:color="auto"/>
          </w:divBdr>
        </w:div>
      </w:divsChild>
    </w:div>
    <w:div w:id="538782045">
      <w:bodyDiv w:val="1"/>
      <w:marLeft w:val="0"/>
      <w:marRight w:val="0"/>
      <w:marTop w:val="0"/>
      <w:marBottom w:val="0"/>
      <w:divBdr>
        <w:top w:val="none" w:sz="0" w:space="0" w:color="auto"/>
        <w:left w:val="none" w:sz="0" w:space="0" w:color="auto"/>
        <w:bottom w:val="none" w:sz="0" w:space="0" w:color="auto"/>
        <w:right w:val="none" w:sz="0" w:space="0" w:color="auto"/>
      </w:divBdr>
    </w:div>
    <w:div w:id="542403165">
      <w:bodyDiv w:val="1"/>
      <w:marLeft w:val="0"/>
      <w:marRight w:val="0"/>
      <w:marTop w:val="0"/>
      <w:marBottom w:val="0"/>
      <w:divBdr>
        <w:top w:val="none" w:sz="0" w:space="0" w:color="auto"/>
        <w:left w:val="none" w:sz="0" w:space="0" w:color="auto"/>
        <w:bottom w:val="none" w:sz="0" w:space="0" w:color="auto"/>
        <w:right w:val="none" w:sz="0" w:space="0" w:color="auto"/>
      </w:divBdr>
      <w:divsChild>
        <w:div w:id="748040636">
          <w:marLeft w:val="0"/>
          <w:marRight w:val="0"/>
          <w:marTop w:val="0"/>
          <w:marBottom w:val="0"/>
          <w:divBdr>
            <w:top w:val="none" w:sz="0" w:space="0" w:color="auto"/>
            <w:left w:val="none" w:sz="0" w:space="0" w:color="auto"/>
            <w:bottom w:val="none" w:sz="0" w:space="0" w:color="auto"/>
            <w:right w:val="none" w:sz="0" w:space="0" w:color="auto"/>
          </w:divBdr>
          <w:divsChild>
            <w:div w:id="192305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312655">
      <w:bodyDiv w:val="1"/>
      <w:marLeft w:val="0"/>
      <w:marRight w:val="0"/>
      <w:marTop w:val="0"/>
      <w:marBottom w:val="0"/>
      <w:divBdr>
        <w:top w:val="none" w:sz="0" w:space="0" w:color="auto"/>
        <w:left w:val="none" w:sz="0" w:space="0" w:color="auto"/>
        <w:bottom w:val="none" w:sz="0" w:space="0" w:color="auto"/>
        <w:right w:val="none" w:sz="0" w:space="0" w:color="auto"/>
      </w:divBdr>
      <w:divsChild>
        <w:div w:id="1783528624">
          <w:marLeft w:val="0"/>
          <w:marRight w:val="0"/>
          <w:marTop w:val="0"/>
          <w:marBottom w:val="0"/>
          <w:divBdr>
            <w:top w:val="none" w:sz="0" w:space="0" w:color="auto"/>
            <w:left w:val="none" w:sz="0" w:space="0" w:color="auto"/>
            <w:bottom w:val="none" w:sz="0" w:space="0" w:color="auto"/>
            <w:right w:val="none" w:sz="0" w:space="0" w:color="auto"/>
          </w:divBdr>
          <w:divsChild>
            <w:div w:id="203692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24162">
      <w:bodyDiv w:val="1"/>
      <w:marLeft w:val="0"/>
      <w:marRight w:val="0"/>
      <w:marTop w:val="0"/>
      <w:marBottom w:val="0"/>
      <w:divBdr>
        <w:top w:val="none" w:sz="0" w:space="0" w:color="auto"/>
        <w:left w:val="none" w:sz="0" w:space="0" w:color="auto"/>
        <w:bottom w:val="none" w:sz="0" w:space="0" w:color="auto"/>
        <w:right w:val="none" w:sz="0" w:space="0" w:color="auto"/>
      </w:divBdr>
      <w:divsChild>
        <w:div w:id="456994710">
          <w:marLeft w:val="0"/>
          <w:marRight w:val="0"/>
          <w:marTop w:val="0"/>
          <w:marBottom w:val="0"/>
          <w:divBdr>
            <w:top w:val="none" w:sz="0" w:space="0" w:color="auto"/>
            <w:left w:val="none" w:sz="0" w:space="0" w:color="auto"/>
            <w:bottom w:val="none" w:sz="0" w:space="0" w:color="auto"/>
            <w:right w:val="none" w:sz="0" w:space="0" w:color="auto"/>
          </w:divBdr>
          <w:divsChild>
            <w:div w:id="49214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91857">
      <w:bodyDiv w:val="1"/>
      <w:marLeft w:val="0"/>
      <w:marRight w:val="0"/>
      <w:marTop w:val="0"/>
      <w:marBottom w:val="0"/>
      <w:divBdr>
        <w:top w:val="none" w:sz="0" w:space="0" w:color="auto"/>
        <w:left w:val="none" w:sz="0" w:space="0" w:color="auto"/>
        <w:bottom w:val="none" w:sz="0" w:space="0" w:color="auto"/>
        <w:right w:val="none" w:sz="0" w:space="0" w:color="auto"/>
      </w:divBdr>
    </w:div>
    <w:div w:id="682705507">
      <w:bodyDiv w:val="1"/>
      <w:marLeft w:val="0"/>
      <w:marRight w:val="0"/>
      <w:marTop w:val="0"/>
      <w:marBottom w:val="0"/>
      <w:divBdr>
        <w:top w:val="none" w:sz="0" w:space="0" w:color="auto"/>
        <w:left w:val="none" w:sz="0" w:space="0" w:color="auto"/>
        <w:bottom w:val="none" w:sz="0" w:space="0" w:color="auto"/>
        <w:right w:val="none" w:sz="0" w:space="0" w:color="auto"/>
      </w:divBdr>
    </w:div>
    <w:div w:id="700010018">
      <w:bodyDiv w:val="1"/>
      <w:marLeft w:val="0"/>
      <w:marRight w:val="0"/>
      <w:marTop w:val="0"/>
      <w:marBottom w:val="0"/>
      <w:divBdr>
        <w:top w:val="none" w:sz="0" w:space="0" w:color="auto"/>
        <w:left w:val="none" w:sz="0" w:space="0" w:color="auto"/>
        <w:bottom w:val="none" w:sz="0" w:space="0" w:color="auto"/>
        <w:right w:val="none" w:sz="0" w:space="0" w:color="auto"/>
      </w:divBdr>
    </w:div>
    <w:div w:id="710612659">
      <w:bodyDiv w:val="1"/>
      <w:marLeft w:val="0"/>
      <w:marRight w:val="0"/>
      <w:marTop w:val="0"/>
      <w:marBottom w:val="0"/>
      <w:divBdr>
        <w:top w:val="none" w:sz="0" w:space="0" w:color="auto"/>
        <w:left w:val="none" w:sz="0" w:space="0" w:color="auto"/>
        <w:bottom w:val="none" w:sz="0" w:space="0" w:color="auto"/>
        <w:right w:val="none" w:sz="0" w:space="0" w:color="auto"/>
      </w:divBdr>
    </w:div>
    <w:div w:id="740831977">
      <w:bodyDiv w:val="1"/>
      <w:marLeft w:val="0"/>
      <w:marRight w:val="0"/>
      <w:marTop w:val="0"/>
      <w:marBottom w:val="0"/>
      <w:divBdr>
        <w:top w:val="none" w:sz="0" w:space="0" w:color="auto"/>
        <w:left w:val="none" w:sz="0" w:space="0" w:color="auto"/>
        <w:bottom w:val="none" w:sz="0" w:space="0" w:color="auto"/>
        <w:right w:val="none" w:sz="0" w:space="0" w:color="auto"/>
      </w:divBdr>
    </w:div>
    <w:div w:id="760297262">
      <w:bodyDiv w:val="1"/>
      <w:marLeft w:val="0"/>
      <w:marRight w:val="0"/>
      <w:marTop w:val="0"/>
      <w:marBottom w:val="0"/>
      <w:divBdr>
        <w:top w:val="none" w:sz="0" w:space="0" w:color="auto"/>
        <w:left w:val="none" w:sz="0" w:space="0" w:color="auto"/>
        <w:bottom w:val="none" w:sz="0" w:space="0" w:color="auto"/>
        <w:right w:val="none" w:sz="0" w:space="0" w:color="auto"/>
      </w:divBdr>
    </w:div>
    <w:div w:id="761296927">
      <w:bodyDiv w:val="1"/>
      <w:marLeft w:val="0"/>
      <w:marRight w:val="0"/>
      <w:marTop w:val="0"/>
      <w:marBottom w:val="0"/>
      <w:divBdr>
        <w:top w:val="none" w:sz="0" w:space="0" w:color="auto"/>
        <w:left w:val="none" w:sz="0" w:space="0" w:color="auto"/>
        <w:bottom w:val="none" w:sz="0" w:space="0" w:color="auto"/>
        <w:right w:val="none" w:sz="0" w:space="0" w:color="auto"/>
      </w:divBdr>
    </w:div>
    <w:div w:id="770442478">
      <w:bodyDiv w:val="1"/>
      <w:marLeft w:val="0"/>
      <w:marRight w:val="0"/>
      <w:marTop w:val="0"/>
      <w:marBottom w:val="0"/>
      <w:divBdr>
        <w:top w:val="none" w:sz="0" w:space="0" w:color="auto"/>
        <w:left w:val="none" w:sz="0" w:space="0" w:color="auto"/>
        <w:bottom w:val="none" w:sz="0" w:space="0" w:color="auto"/>
        <w:right w:val="none" w:sz="0" w:space="0" w:color="auto"/>
      </w:divBdr>
    </w:div>
    <w:div w:id="847016755">
      <w:bodyDiv w:val="1"/>
      <w:marLeft w:val="0"/>
      <w:marRight w:val="0"/>
      <w:marTop w:val="0"/>
      <w:marBottom w:val="0"/>
      <w:divBdr>
        <w:top w:val="none" w:sz="0" w:space="0" w:color="auto"/>
        <w:left w:val="none" w:sz="0" w:space="0" w:color="auto"/>
        <w:bottom w:val="none" w:sz="0" w:space="0" w:color="auto"/>
        <w:right w:val="none" w:sz="0" w:space="0" w:color="auto"/>
      </w:divBdr>
    </w:div>
    <w:div w:id="890337530">
      <w:bodyDiv w:val="1"/>
      <w:marLeft w:val="0"/>
      <w:marRight w:val="0"/>
      <w:marTop w:val="0"/>
      <w:marBottom w:val="0"/>
      <w:divBdr>
        <w:top w:val="none" w:sz="0" w:space="0" w:color="auto"/>
        <w:left w:val="none" w:sz="0" w:space="0" w:color="auto"/>
        <w:bottom w:val="none" w:sz="0" w:space="0" w:color="auto"/>
        <w:right w:val="none" w:sz="0" w:space="0" w:color="auto"/>
      </w:divBdr>
    </w:div>
    <w:div w:id="941188118">
      <w:bodyDiv w:val="1"/>
      <w:marLeft w:val="0"/>
      <w:marRight w:val="0"/>
      <w:marTop w:val="0"/>
      <w:marBottom w:val="0"/>
      <w:divBdr>
        <w:top w:val="none" w:sz="0" w:space="0" w:color="auto"/>
        <w:left w:val="none" w:sz="0" w:space="0" w:color="auto"/>
        <w:bottom w:val="none" w:sz="0" w:space="0" w:color="auto"/>
        <w:right w:val="none" w:sz="0" w:space="0" w:color="auto"/>
      </w:divBdr>
    </w:div>
    <w:div w:id="948858719">
      <w:bodyDiv w:val="1"/>
      <w:marLeft w:val="0"/>
      <w:marRight w:val="0"/>
      <w:marTop w:val="0"/>
      <w:marBottom w:val="0"/>
      <w:divBdr>
        <w:top w:val="none" w:sz="0" w:space="0" w:color="auto"/>
        <w:left w:val="none" w:sz="0" w:space="0" w:color="auto"/>
        <w:bottom w:val="none" w:sz="0" w:space="0" w:color="auto"/>
        <w:right w:val="none" w:sz="0" w:space="0" w:color="auto"/>
      </w:divBdr>
    </w:div>
    <w:div w:id="965311669">
      <w:bodyDiv w:val="1"/>
      <w:marLeft w:val="0"/>
      <w:marRight w:val="0"/>
      <w:marTop w:val="0"/>
      <w:marBottom w:val="0"/>
      <w:divBdr>
        <w:top w:val="none" w:sz="0" w:space="0" w:color="auto"/>
        <w:left w:val="none" w:sz="0" w:space="0" w:color="auto"/>
        <w:bottom w:val="none" w:sz="0" w:space="0" w:color="auto"/>
        <w:right w:val="none" w:sz="0" w:space="0" w:color="auto"/>
      </w:divBdr>
    </w:div>
    <w:div w:id="982733336">
      <w:bodyDiv w:val="1"/>
      <w:marLeft w:val="0"/>
      <w:marRight w:val="0"/>
      <w:marTop w:val="0"/>
      <w:marBottom w:val="0"/>
      <w:divBdr>
        <w:top w:val="none" w:sz="0" w:space="0" w:color="auto"/>
        <w:left w:val="none" w:sz="0" w:space="0" w:color="auto"/>
        <w:bottom w:val="none" w:sz="0" w:space="0" w:color="auto"/>
        <w:right w:val="none" w:sz="0" w:space="0" w:color="auto"/>
      </w:divBdr>
      <w:divsChild>
        <w:div w:id="1104492699">
          <w:marLeft w:val="0"/>
          <w:marRight w:val="0"/>
          <w:marTop w:val="0"/>
          <w:marBottom w:val="0"/>
          <w:divBdr>
            <w:top w:val="none" w:sz="0" w:space="0" w:color="auto"/>
            <w:left w:val="none" w:sz="0" w:space="0" w:color="auto"/>
            <w:bottom w:val="none" w:sz="0" w:space="0" w:color="auto"/>
            <w:right w:val="none" w:sz="0" w:space="0" w:color="auto"/>
          </w:divBdr>
          <w:divsChild>
            <w:div w:id="120444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51938">
      <w:bodyDiv w:val="1"/>
      <w:marLeft w:val="0"/>
      <w:marRight w:val="0"/>
      <w:marTop w:val="0"/>
      <w:marBottom w:val="0"/>
      <w:divBdr>
        <w:top w:val="none" w:sz="0" w:space="0" w:color="auto"/>
        <w:left w:val="none" w:sz="0" w:space="0" w:color="auto"/>
        <w:bottom w:val="none" w:sz="0" w:space="0" w:color="auto"/>
        <w:right w:val="none" w:sz="0" w:space="0" w:color="auto"/>
      </w:divBdr>
      <w:divsChild>
        <w:div w:id="1991321397">
          <w:marLeft w:val="0"/>
          <w:marRight w:val="0"/>
          <w:marTop w:val="0"/>
          <w:marBottom w:val="0"/>
          <w:divBdr>
            <w:top w:val="none" w:sz="0" w:space="0" w:color="auto"/>
            <w:left w:val="none" w:sz="0" w:space="0" w:color="auto"/>
            <w:bottom w:val="none" w:sz="0" w:space="0" w:color="auto"/>
            <w:right w:val="none" w:sz="0" w:space="0" w:color="auto"/>
          </w:divBdr>
          <w:divsChild>
            <w:div w:id="139909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794599">
      <w:bodyDiv w:val="1"/>
      <w:marLeft w:val="0"/>
      <w:marRight w:val="0"/>
      <w:marTop w:val="0"/>
      <w:marBottom w:val="0"/>
      <w:divBdr>
        <w:top w:val="none" w:sz="0" w:space="0" w:color="auto"/>
        <w:left w:val="none" w:sz="0" w:space="0" w:color="auto"/>
        <w:bottom w:val="none" w:sz="0" w:space="0" w:color="auto"/>
        <w:right w:val="none" w:sz="0" w:space="0" w:color="auto"/>
      </w:divBdr>
    </w:div>
    <w:div w:id="999843648">
      <w:bodyDiv w:val="1"/>
      <w:marLeft w:val="0"/>
      <w:marRight w:val="0"/>
      <w:marTop w:val="0"/>
      <w:marBottom w:val="0"/>
      <w:divBdr>
        <w:top w:val="none" w:sz="0" w:space="0" w:color="auto"/>
        <w:left w:val="none" w:sz="0" w:space="0" w:color="auto"/>
        <w:bottom w:val="none" w:sz="0" w:space="0" w:color="auto"/>
        <w:right w:val="none" w:sz="0" w:space="0" w:color="auto"/>
      </w:divBdr>
    </w:div>
    <w:div w:id="1013335918">
      <w:bodyDiv w:val="1"/>
      <w:marLeft w:val="0"/>
      <w:marRight w:val="0"/>
      <w:marTop w:val="0"/>
      <w:marBottom w:val="0"/>
      <w:divBdr>
        <w:top w:val="none" w:sz="0" w:space="0" w:color="auto"/>
        <w:left w:val="none" w:sz="0" w:space="0" w:color="auto"/>
        <w:bottom w:val="none" w:sz="0" w:space="0" w:color="auto"/>
        <w:right w:val="none" w:sz="0" w:space="0" w:color="auto"/>
      </w:divBdr>
    </w:div>
    <w:div w:id="1023747227">
      <w:bodyDiv w:val="1"/>
      <w:marLeft w:val="0"/>
      <w:marRight w:val="0"/>
      <w:marTop w:val="0"/>
      <w:marBottom w:val="0"/>
      <w:divBdr>
        <w:top w:val="none" w:sz="0" w:space="0" w:color="auto"/>
        <w:left w:val="none" w:sz="0" w:space="0" w:color="auto"/>
        <w:bottom w:val="none" w:sz="0" w:space="0" w:color="auto"/>
        <w:right w:val="none" w:sz="0" w:space="0" w:color="auto"/>
      </w:divBdr>
    </w:div>
    <w:div w:id="1061750927">
      <w:bodyDiv w:val="1"/>
      <w:marLeft w:val="0"/>
      <w:marRight w:val="0"/>
      <w:marTop w:val="0"/>
      <w:marBottom w:val="0"/>
      <w:divBdr>
        <w:top w:val="none" w:sz="0" w:space="0" w:color="auto"/>
        <w:left w:val="none" w:sz="0" w:space="0" w:color="auto"/>
        <w:bottom w:val="none" w:sz="0" w:space="0" w:color="auto"/>
        <w:right w:val="none" w:sz="0" w:space="0" w:color="auto"/>
      </w:divBdr>
    </w:div>
    <w:div w:id="1095903558">
      <w:bodyDiv w:val="1"/>
      <w:marLeft w:val="0"/>
      <w:marRight w:val="0"/>
      <w:marTop w:val="0"/>
      <w:marBottom w:val="0"/>
      <w:divBdr>
        <w:top w:val="none" w:sz="0" w:space="0" w:color="auto"/>
        <w:left w:val="none" w:sz="0" w:space="0" w:color="auto"/>
        <w:bottom w:val="none" w:sz="0" w:space="0" w:color="auto"/>
        <w:right w:val="none" w:sz="0" w:space="0" w:color="auto"/>
      </w:divBdr>
      <w:divsChild>
        <w:div w:id="1243414626">
          <w:marLeft w:val="0"/>
          <w:marRight w:val="0"/>
          <w:marTop w:val="0"/>
          <w:marBottom w:val="0"/>
          <w:divBdr>
            <w:top w:val="none" w:sz="0" w:space="0" w:color="auto"/>
            <w:left w:val="none" w:sz="0" w:space="0" w:color="auto"/>
            <w:bottom w:val="none" w:sz="0" w:space="0" w:color="auto"/>
            <w:right w:val="none" w:sz="0" w:space="0" w:color="auto"/>
          </w:divBdr>
        </w:div>
      </w:divsChild>
    </w:div>
    <w:div w:id="1106730667">
      <w:bodyDiv w:val="1"/>
      <w:marLeft w:val="0"/>
      <w:marRight w:val="0"/>
      <w:marTop w:val="0"/>
      <w:marBottom w:val="0"/>
      <w:divBdr>
        <w:top w:val="none" w:sz="0" w:space="0" w:color="auto"/>
        <w:left w:val="none" w:sz="0" w:space="0" w:color="auto"/>
        <w:bottom w:val="none" w:sz="0" w:space="0" w:color="auto"/>
        <w:right w:val="none" w:sz="0" w:space="0" w:color="auto"/>
      </w:divBdr>
    </w:div>
    <w:div w:id="1122190678">
      <w:bodyDiv w:val="1"/>
      <w:marLeft w:val="0"/>
      <w:marRight w:val="0"/>
      <w:marTop w:val="0"/>
      <w:marBottom w:val="0"/>
      <w:divBdr>
        <w:top w:val="none" w:sz="0" w:space="0" w:color="auto"/>
        <w:left w:val="none" w:sz="0" w:space="0" w:color="auto"/>
        <w:bottom w:val="none" w:sz="0" w:space="0" w:color="auto"/>
        <w:right w:val="none" w:sz="0" w:space="0" w:color="auto"/>
      </w:divBdr>
    </w:div>
    <w:div w:id="1171139152">
      <w:bodyDiv w:val="1"/>
      <w:marLeft w:val="0"/>
      <w:marRight w:val="0"/>
      <w:marTop w:val="0"/>
      <w:marBottom w:val="0"/>
      <w:divBdr>
        <w:top w:val="none" w:sz="0" w:space="0" w:color="auto"/>
        <w:left w:val="none" w:sz="0" w:space="0" w:color="auto"/>
        <w:bottom w:val="none" w:sz="0" w:space="0" w:color="auto"/>
        <w:right w:val="none" w:sz="0" w:space="0" w:color="auto"/>
      </w:divBdr>
    </w:div>
    <w:div w:id="1196967644">
      <w:bodyDiv w:val="1"/>
      <w:marLeft w:val="0"/>
      <w:marRight w:val="0"/>
      <w:marTop w:val="0"/>
      <w:marBottom w:val="0"/>
      <w:divBdr>
        <w:top w:val="none" w:sz="0" w:space="0" w:color="auto"/>
        <w:left w:val="none" w:sz="0" w:space="0" w:color="auto"/>
        <w:bottom w:val="none" w:sz="0" w:space="0" w:color="auto"/>
        <w:right w:val="none" w:sz="0" w:space="0" w:color="auto"/>
      </w:divBdr>
    </w:div>
    <w:div w:id="1224752252">
      <w:bodyDiv w:val="1"/>
      <w:marLeft w:val="0"/>
      <w:marRight w:val="0"/>
      <w:marTop w:val="0"/>
      <w:marBottom w:val="0"/>
      <w:divBdr>
        <w:top w:val="none" w:sz="0" w:space="0" w:color="auto"/>
        <w:left w:val="none" w:sz="0" w:space="0" w:color="auto"/>
        <w:bottom w:val="none" w:sz="0" w:space="0" w:color="auto"/>
        <w:right w:val="none" w:sz="0" w:space="0" w:color="auto"/>
      </w:divBdr>
    </w:div>
    <w:div w:id="1228538630">
      <w:bodyDiv w:val="1"/>
      <w:marLeft w:val="0"/>
      <w:marRight w:val="0"/>
      <w:marTop w:val="0"/>
      <w:marBottom w:val="0"/>
      <w:divBdr>
        <w:top w:val="none" w:sz="0" w:space="0" w:color="auto"/>
        <w:left w:val="none" w:sz="0" w:space="0" w:color="auto"/>
        <w:bottom w:val="none" w:sz="0" w:space="0" w:color="auto"/>
        <w:right w:val="none" w:sz="0" w:space="0" w:color="auto"/>
      </w:divBdr>
    </w:div>
    <w:div w:id="1249148750">
      <w:bodyDiv w:val="1"/>
      <w:marLeft w:val="0"/>
      <w:marRight w:val="0"/>
      <w:marTop w:val="0"/>
      <w:marBottom w:val="0"/>
      <w:divBdr>
        <w:top w:val="none" w:sz="0" w:space="0" w:color="auto"/>
        <w:left w:val="none" w:sz="0" w:space="0" w:color="auto"/>
        <w:bottom w:val="none" w:sz="0" w:space="0" w:color="auto"/>
        <w:right w:val="none" w:sz="0" w:space="0" w:color="auto"/>
      </w:divBdr>
    </w:div>
    <w:div w:id="1264847072">
      <w:bodyDiv w:val="1"/>
      <w:marLeft w:val="0"/>
      <w:marRight w:val="0"/>
      <w:marTop w:val="0"/>
      <w:marBottom w:val="0"/>
      <w:divBdr>
        <w:top w:val="none" w:sz="0" w:space="0" w:color="auto"/>
        <w:left w:val="none" w:sz="0" w:space="0" w:color="auto"/>
        <w:bottom w:val="none" w:sz="0" w:space="0" w:color="auto"/>
        <w:right w:val="none" w:sz="0" w:space="0" w:color="auto"/>
      </w:divBdr>
    </w:div>
    <w:div w:id="1271202454">
      <w:bodyDiv w:val="1"/>
      <w:marLeft w:val="0"/>
      <w:marRight w:val="0"/>
      <w:marTop w:val="0"/>
      <w:marBottom w:val="0"/>
      <w:divBdr>
        <w:top w:val="none" w:sz="0" w:space="0" w:color="auto"/>
        <w:left w:val="none" w:sz="0" w:space="0" w:color="auto"/>
        <w:bottom w:val="none" w:sz="0" w:space="0" w:color="auto"/>
        <w:right w:val="none" w:sz="0" w:space="0" w:color="auto"/>
      </w:divBdr>
    </w:div>
    <w:div w:id="1283457364">
      <w:bodyDiv w:val="1"/>
      <w:marLeft w:val="0"/>
      <w:marRight w:val="0"/>
      <w:marTop w:val="0"/>
      <w:marBottom w:val="0"/>
      <w:divBdr>
        <w:top w:val="none" w:sz="0" w:space="0" w:color="auto"/>
        <w:left w:val="none" w:sz="0" w:space="0" w:color="auto"/>
        <w:bottom w:val="none" w:sz="0" w:space="0" w:color="auto"/>
        <w:right w:val="none" w:sz="0" w:space="0" w:color="auto"/>
      </w:divBdr>
      <w:divsChild>
        <w:div w:id="766732557">
          <w:marLeft w:val="0"/>
          <w:marRight w:val="0"/>
          <w:marTop w:val="0"/>
          <w:marBottom w:val="0"/>
          <w:divBdr>
            <w:top w:val="none" w:sz="0" w:space="0" w:color="auto"/>
            <w:left w:val="none" w:sz="0" w:space="0" w:color="auto"/>
            <w:bottom w:val="none" w:sz="0" w:space="0" w:color="auto"/>
            <w:right w:val="none" w:sz="0" w:space="0" w:color="auto"/>
          </w:divBdr>
        </w:div>
      </w:divsChild>
    </w:div>
    <w:div w:id="1294672477">
      <w:bodyDiv w:val="1"/>
      <w:marLeft w:val="0"/>
      <w:marRight w:val="0"/>
      <w:marTop w:val="0"/>
      <w:marBottom w:val="0"/>
      <w:divBdr>
        <w:top w:val="none" w:sz="0" w:space="0" w:color="auto"/>
        <w:left w:val="none" w:sz="0" w:space="0" w:color="auto"/>
        <w:bottom w:val="none" w:sz="0" w:space="0" w:color="auto"/>
        <w:right w:val="none" w:sz="0" w:space="0" w:color="auto"/>
      </w:divBdr>
    </w:div>
    <w:div w:id="1381243620">
      <w:bodyDiv w:val="1"/>
      <w:marLeft w:val="0"/>
      <w:marRight w:val="0"/>
      <w:marTop w:val="0"/>
      <w:marBottom w:val="0"/>
      <w:divBdr>
        <w:top w:val="none" w:sz="0" w:space="0" w:color="auto"/>
        <w:left w:val="none" w:sz="0" w:space="0" w:color="auto"/>
        <w:bottom w:val="none" w:sz="0" w:space="0" w:color="auto"/>
        <w:right w:val="none" w:sz="0" w:space="0" w:color="auto"/>
      </w:divBdr>
    </w:div>
    <w:div w:id="1434276461">
      <w:bodyDiv w:val="1"/>
      <w:marLeft w:val="0"/>
      <w:marRight w:val="0"/>
      <w:marTop w:val="0"/>
      <w:marBottom w:val="0"/>
      <w:divBdr>
        <w:top w:val="none" w:sz="0" w:space="0" w:color="auto"/>
        <w:left w:val="none" w:sz="0" w:space="0" w:color="auto"/>
        <w:bottom w:val="none" w:sz="0" w:space="0" w:color="auto"/>
        <w:right w:val="none" w:sz="0" w:space="0" w:color="auto"/>
      </w:divBdr>
    </w:div>
    <w:div w:id="1451239880">
      <w:bodyDiv w:val="1"/>
      <w:marLeft w:val="0"/>
      <w:marRight w:val="0"/>
      <w:marTop w:val="0"/>
      <w:marBottom w:val="0"/>
      <w:divBdr>
        <w:top w:val="none" w:sz="0" w:space="0" w:color="auto"/>
        <w:left w:val="none" w:sz="0" w:space="0" w:color="auto"/>
        <w:bottom w:val="none" w:sz="0" w:space="0" w:color="auto"/>
        <w:right w:val="none" w:sz="0" w:space="0" w:color="auto"/>
      </w:divBdr>
    </w:div>
    <w:div w:id="1509560014">
      <w:bodyDiv w:val="1"/>
      <w:marLeft w:val="0"/>
      <w:marRight w:val="0"/>
      <w:marTop w:val="0"/>
      <w:marBottom w:val="0"/>
      <w:divBdr>
        <w:top w:val="none" w:sz="0" w:space="0" w:color="auto"/>
        <w:left w:val="none" w:sz="0" w:space="0" w:color="auto"/>
        <w:bottom w:val="none" w:sz="0" w:space="0" w:color="auto"/>
        <w:right w:val="none" w:sz="0" w:space="0" w:color="auto"/>
      </w:divBdr>
    </w:div>
    <w:div w:id="1510560067">
      <w:bodyDiv w:val="1"/>
      <w:marLeft w:val="0"/>
      <w:marRight w:val="0"/>
      <w:marTop w:val="0"/>
      <w:marBottom w:val="0"/>
      <w:divBdr>
        <w:top w:val="none" w:sz="0" w:space="0" w:color="auto"/>
        <w:left w:val="none" w:sz="0" w:space="0" w:color="auto"/>
        <w:bottom w:val="none" w:sz="0" w:space="0" w:color="auto"/>
        <w:right w:val="none" w:sz="0" w:space="0" w:color="auto"/>
      </w:divBdr>
    </w:div>
    <w:div w:id="1525710508">
      <w:bodyDiv w:val="1"/>
      <w:marLeft w:val="0"/>
      <w:marRight w:val="0"/>
      <w:marTop w:val="0"/>
      <w:marBottom w:val="0"/>
      <w:divBdr>
        <w:top w:val="none" w:sz="0" w:space="0" w:color="auto"/>
        <w:left w:val="none" w:sz="0" w:space="0" w:color="auto"/>
        <w:bottom w:val="none" w:sz="0" w:space="0" w:color="auto"/>
        <w:right w:val="none" w:sz="0" w:space="0" w:color="auto"/>
      </w:divBdr>
    </w:div>
    <w:div w:id="1576549037">
      <w:bodyDiv w:val="1"/>
      <w:marLeft w:val="0"/>
      <w:marRight w:val="0"/>
      <w:marTop w:val="0"/>
      <w:marBottom w:val="0"/>
      <w:divBdr>
        <w:top w:val="none" w:sz="0" w:space="0" w:color="auto"/>
        <w:left w:val="none" w:sz="0" w:space="0" w:color="auto"/>
        <w:bottom w:val="none" w:sz="0" w:space="0" w:color="auto"/>
        <w:right w:val="none" w:sz="0" w:space="0" w:color="auto"/>
      </w:divBdr>
    </w:div>
    <w:div w:id="1576819436">
      <w:bodyDiv w:val="1"/>
      <w:marLeft w:val="0"/>
      <w:marRight w:val="0"/>
      <w:marTop w:val="0"/>
      <w:marBottom w:val="0"/>
      <w:divBdr>
        <w:top w:val="none" w:sz="0" w:space="0" w:color="auto"/>
        <w:left w:val="none" w:sz="0" w:space="0" w:color="auto"/>
        <w:bottom w:val="none" w:sz="0" w:space="0" w:color="auto"/>
        <w:right w:val="none" w:sz="0" w:space="0" w:color="auto"/>
      </w:divBdr>
    </w:div>
    <w:div w:id="1619681160">
      <w:bodyDiv w:val="1"/>
      <w:marLeft w:val="0"/>
      <w:marRight w:val="0"/>
      <w:marTop w:val="0"/>
      <w:marBottom w:val="0"/>
      <w:divBdr>
        <w:top w:val="none" w:sz="0" w:space="0" w:color="auto"/>
        <w:left w:val="none" w:sz="0" w:space="0" w:color="auto"/>
        <w:bottom w:val="none" w:sz="0" w:space="0" w:color="auto"/>
        <w:right w:val="none" w:sz="0" w:space="0" w:color="auto"/>
      </w:divBdr>
    </w:div>
    <w:div w:id="1619793669">
      <w:bodyDiv w:val="1"/>
      <w:marLeft w:val="0"/>
      <w:marRight w:val="0"/>
      <w:marTop w:val="0"/>
      <w:marBottom w:val="0"/>
      <w:divBdr>
        <w:top w:val="none" w:sz="0" w:space="0" w:color="auto"/>
        <w:left w:val="none" w:sz="0" w:space="0" w:color="auto"/>
        <w:bottom w:val="none" w:sz="0" w:space="0" w:color="auto"/>
        <w:right w:val="none" w:sz="0" w:space="0" w:color="auto"/>
      </w:divBdr>
    </w:div>
    <w:div w:id="1644775373">
      <w:bodyDiv w:val="1"/>
      <w:marLeft w:val="0"/>
      <w:marRight w:val="0"/>
      <w:marTop w:val="0"/>
      <w:marBottom w:val="0"/>
      <w:divBdr>
        <w:top w:val="none" w:sz="0" w:space="0" w:color="auto"/>
        <w:left w:val="none" w:sz="0" w:space="0" w:color="auto"/>
        <w:bottom w:val="none" w:sz="0" w:space="0" w:color="auto"/>
        <w:right w:val="none" w:sz="0" w:space="0" w:color="auto"/>
      </w:divBdr>
    </w:div>
    <w:div w:id="1647205391">
      <w:bodyDiv w:val="1"/>
      <w:marLeft w:val="0"/>
      <w:marRight w:val="0"/>
      <w:marTop w:val="0"/>
      <w:marBottom w:val="0"/>
      <w:divBdr>
        <w:top w:val="none" w:sz="0" w:space="0" w:color="auto"/>
        <w:left w:val="none" w:sz="0" w:space="0" w:color="auto"/>
        <w:bottom w:val="none" w:sz="0" w:space="0" w:color="auto"/>
        <w:right w:val="none" w:sz="0" w:space="0" w:color="auto"/>
      </w:divBdr>
    </w:div>
    <w:div w:id="1696536351">
      <w:bodyDiv w:val="1"/>
      <w:marLeft w:val="0"/>
      <w:marRight w:val="0"/>
      <w:marTop w:val="0"/>
      <w:marBottom w:val="0"/>
      <w:divBdr>
        <w:top w:val="none" w:sz="0" w:space="0" w:color="auto"/>
        <w:left w:val="none" w:sz="0" w:space="0" w:color="auto"/>
        <w:bottom w:val="none" w:sz="0" w:space="0" w:color="auto"/>
        <w:right w:val="none" w:sz="0" w:space="0" w:color="auto"/>
      </w:divBdr>
    </w:div>
    <w:div w:id="1707876817">
      <w:bodyDiv w:val="1"/>
      <w:marLeft w:val="0"/>
      <w:marRight w:val="0"/>
      <w:marTop w:val="0"/>
      <w:marBottom w:val="0"/>
      <w:divBdr>
        <w:top w:val="none" w:sz="0" w:space="0" w:color="auto"/>
        <w:left w:val="none" w:sz="0" w:space="0" w:color="auto"/>
        <w:bottom w:val="none" w:sz="0" w:space="0" w:color="auto"/>
        <w:right w:val="none" w:sz="0" w:space="0" w:color="auto"/>
      </w:divBdr>
      <w:divsChild>
        <w:div w:id="2010061775">
          <w:marLeft w:val="0"/>
          <w:marRight w:val="0"/>
          <w:marTop w:val="0"/>
          <w:marBottom w:val="0"/>
          <w:divBdr>
            <w:top w:val="none" w:sz="0" w:space="0" w:color="auto"/>
            <w:left w:val="none" w:sz="0" w:space="0" w:color="auto"/>
            <w:bottom w:val="none" w:sz="0" w:space="0" w:color="auto"/>
            <w:right w:val="none" w:sz="0" w:space="0" w:color="auto"/>
          </w:divBdr>
        </w:div>
      </w:divsChild>
    </w:div>
    <w:div w:id="1731462869">
      <w:bodyDiv w:val="1"/>
      <w:marLeft w:val="0"/>
      <w:marRight w:val="0"/>
      <w:marTop w:val="0"/>
      <w:marBottom w:val="0"/>
      <w:divBdr>
        <w:top w:val="none" w:sz="0" w:space="0" w:color="auto"/>
        <w:left w:val="none" w:sz="0" w:space="0" w:color="auto"/>
        <w:bottom w:val="none" w:sz="0" w:space="0" w:color="auto"/>
        <w:right w:val="none" w:sz="0" w:space="0" w:color="auto"/>
      </w:divBdr>
      <w:divsChild>
        <w:div w:id="941425163">
          <w:marLeft w:val="0"/>
          <w:marRight w:val="0"/>
          <w:marTop w:val="0"/>
          <w:marBottom w:val="0"/>
          <w:divBdr>
            <w:top w:val="none" w:sz="0" w:space="0" w:color="auto"/>
            <w:left w:val="none" w:sz="0" w:space="0" w:color="auto"/>
            <w:bottom w:val="none" w:sz="0" w:space="0" w:color="auto"/>
            <w:right w:val="none" w:sz="0" w:space="0" w:color="auto"/>
          </w:divBdr>
        </w:div>
      </w:divsChild>
    </w:div>
    <w:div w:id="1737390631">
      <w:bodyDiv w:val="1"/>
      <w:marLeft w:val="0"/>
      <w:marRight w:val="0"/>
      <w:marTop w:val="0"/>
      <w:marBottom w:val="0"/>
      <w:divBdr>
        <w:top w:val="none" w:sz="0" w:space="0" w:color="auto"/>
        <w:left w:val="none" w:sz="0" w:space="0" w:color="auto"/>
        <w:bottom w:val="none" w:sz="0" w:space="0" w:color="auto"/>
        <w:right w:val="none" w:sz="0" w:space="0" w:color="auto"/>
      </w:divBdr>
    </w:div>
    <w:div w:id="1767916832">
      <w:bodyDiv w:val="1"/>
      <w:marLeft w:val="0"/>
      <w:marRight w:val="0"/>
      <w:marTop w:val="0"/>
      <w:marBottom w:val="0"/>
      <w:divBdr>
        <w:top w:val="none" w:sz="0" w:space="0" w:color="auto"/>
        <w:left w:val="none" w:sz="0" w:space="0" w:color="auto"/>
        <w:bottom w:val="none" w:sz="0" w:space="0" w:color="auto"/>
        <w:right w:val="none" w:sz="0" w:space="0" w:color="auto"/>
      </w:divBdr>
    </w:div>
    <w:div w:id="1820733612">
      <w:bodyDiv w:val="1"/>
      <w:marLeft w:val="0"/>
      <w:marRight w:val="0"/>
      <w:marTop w:val="0"/>
      <w:marBottom w:val="0"/>
      <w:divBdr>
        <w:top w:val="none" w:sz="0" w:space="0" w:color="auto"/>
        <w:left w:val="none" w:sz="0" w:space="0" w:color="auto"/>
        <w:bottom w:val="none" w:sz="0" w:space="0" w:color="auto"/>
        <w:right w:val="none" w:sz="0" w:space="0" w:color="auto"/>
      </w:divBdr>
    </w:div>
    <w:div w:id="1823111610">
      <w:bodyDiv w:val="1"/>
      <w:marLeft w:val="0"/>
      <w:marRight w:val="0"/>
      <w:marTop w:val="0"/>
      <w:marBottom w:val="0"/>
      <w:divBdr>
        <w:top w:val="none" w:sz="0" w:space="0" w:color="auto"/>
        <w:left w:val="none" w:sz="0" w:space="0" w:color="auto"/>
        <w:bottom w:val="none" w:sz="0" w:space="0" w:color="auto"/>
        <w:right w:val="none" w:sz="0" w:space="0" w:color="auto"/>
      </w:divBdr>
    </w:div>
    <w:div w:id="1831485938">
      <w:bodyDiv w:val="1"/>
      <w:marLeft w:val="0"/>
      <w:marRight w:val="0"/>
      <w:marTop w:val="0"/>
      <w:marBottom w:val="0"/>
      <w:divBdr>
        <w:top w:val="none" w:sz="0" w:space="0" w:color="auto"/>
        <w:left w:val="none" w:sz="0" w:space="0" w:color="auto"/>
        <w:bottom w:val="none" w:sz="0" w:space="0" w:color="auto"/>
        <w:right w:val="none" w:sz="0" w:space="0" w:color="auto"/>
      </w:divBdr>
      <w:divsChild>
        <w:div w:id="808593447">
          <w:marLeft w:val="0"/>
          <w:marRight w:val="0"/>
          <w:marTop w:val="0"/>
          <w:marBottom w:val="0"/>
          <w:divBdr>
            <w:top w:val="none" w:sz="0" w:space="0" w:color="auto"/>
            <w:left w:val="none" w:sz="0" w:space="0" w:color="auto"/>
            <w:bottom w:val="none" w:sz="0" w:space="0" w:color="auto"/>
            <w:right w:val="none" w:sz="0" w:space="0" w:color="auto"/>
          </w:divBdr>
        </w:div>
      </w:divsChild>
    </w:div>
    <w:div w:id="1847816676">
      <w:bodyDiv w:val="1"/>
      <w:marLeft w:val="0"/>
      <w:marRight w:val="0"/>
      <w:marTop w:val="0"/>
      <w:marBottom w:val="0"/>
      <w:divBdr>
        <w:top w:val="none" w:sz="0" w:space="0" w:color="auto"/>
        <w:left w:val="none" w:sz="0" w:space="0" w:color="auto"/>
        <w:bottom w:val="none" w:sz="0" w:space="0" w:color="auto"/>
        <w:right w:val="none" w:sz="0" w:space="0" w:color="auto"/>
      </w:divBdr>
    </w:div>
    <w:div w:id="1849516286">
      <w:bodyDiv w:val="1"/>
      <w:marLeft w:val="0"/>
      <w:marRight w:val="0"/>
      <w:marTop w:val="0"/>
      <w:marBottom w:val="0"/>
      <w:divBdr>
        <w:top w:val="none" w:sz="0" w:space="0" w:color="auto"/>
        <w:left w:val="none" w:sz="0" w:space="0" w:color="auto"/>
        <w:bottom w:val="none" w:sz="0" w:space="0" w:color="auto"/>
        <w:right w:val="none" w:sz="0" w:space="0" w:color="auto"/>
      </w:divBdr>
    </w:div>
    <w:div w:id="1858696209">
      <w:bodyDiv w:val="1"/>
      <w:marLeft w:val="0"/>
      <w:marRight w:val="0"/>
      <w:marTop w:val="0"/>
      <w:marBottom w:val="0"/>
      <w:divBdr>
        <w:top w:val="none" w:sz="0" w:space="0" w:color="auto"/>
        <w:left w:val="none" w:sz="0" w:space="0" w:color="auto"/>
        <w:bottom w:val="none" w:sz="0" w:space="0" w:color="auto"/>
        <w:right w:val="none" w:sz="0" w:space="0" w:color="auto"/>
      </w:divBdr>
    </w:div>
    <w:div w:id="1879005193">
      <w:bodyDiv w:val="1"/>
      <w:marLeft w:val="0"/>
      <w:marRight w:val="0"/>
      <w:marTop w:val="0"/>
      <w:marBottom w:val="0"/>
      <w:divBdr>
        <w:top w:val="none" w:sz="0" w:space="0" w:color="auto"/>
        <w:left w:val="none" w:sz="0" w:space="0" w:color="auto"/>
        <w:bottom w:val="none" w:sz="0" w:space="0" w:color="auto"/>
        <w:right w:val="none" w:sz="0" w:space="0" w:color="auto"/>
      </w:divBdr>
    </w:div>
    <w:div w:id="1909419197">
      <w:bodyDiv w:val="1"/>
      <w:marLeft w:val="0"/>
      <w:marRight w:val="0"/>
      <w:marTop w:val="0"/>
      <w:marBottom w:val="0"/>
      <w:divBdr>
        <w:top w:val="none" w:sz="0" w:space="0" w:color="auto"/>
        <w:left w:val="none" w:sz="0" w:space="0" w:color="auto"/>
        <w:bottom w:val="none" w:sz="0" w:space="0" w:color="auto"/>
        <w:right w:val="none" w:sz="0" w:space="0" w:color="auto"/>
      </w:divBdr>
    </w:div>
    <w:div w:id="1929541066">
      <w:bodyDiv w:val="1"/>
      <w:marLeft w:val="0"/>
      <w:marRight w:val="0"/>
      <w:marTop w:val="0"/>
      <w:marBottom w:val="0"/>
      <w:divBdr>
        <w:top w:val="none" w:sz="0" w:space="0" w:color="auto"/>
        <w:left w:val="none" w:sz="0" w:space="0" w:color="auto"/>
        <w:bottom w:val="none" w:sz="0" w:space="0" w:color="auto"/>
        <w:right w:val="none" w:sz="0" w:space="0" w:color="auto"/>
      </w:divBdr>
    </w:div>
    <w:div w:id="1937975362">
      <w:bodyDiv w:val="1"/>
      <w:marLeft w:val="0"/>
      <w:marRight w:val="0"/>
      <w:marTop w:val="0"/>
      <w:marBottom w:val="0"/>
      <w:divBdr>
        <w:top w:val="none" w:sz="0" w:space="0" w:color="auto"/>
        <w:left w:val="none" w:sz="0" w:space="0" w:color="auto"/>
        <w:bottom w:val="none" w:sz="0" w:space="0" w:color="auto"/>
        <w:right w:val="none" w:sz="0" w:space="0" w:color="auto"/>
      </w:divBdr>
    </w:div>
    <w:div w:id="2009744345">
      <w:bodyDiv w:val="1"/>
      <w:marLeft w:val="0"/>
      <w:marRight w:val="0"/>
      <w:marTop w:val="0"/>
      <w:marBottom w:val="0"/>
      <w:divBdr>
        <w:top w:val="none" w:sz="0" w:space="0" w:color="auto"/>
        <w:left w:val="none" w:sz="0" w:space="0" w:color="auto"/>
        <w:bottom w:val="none" w:sz="0" w:space="0" w:color="auto"/>
        <w:right w:val="none" w:sz="0" w:space="0" w:color="auto"/>
      </w:divBdr>
    </w:div>
    <w:div w:id="2037999366">
      <w:bodyDiv w:val="1"/>
      <w:marLeft w:val="0"/>
      <w:marRight w:val="0"/>
      <w:marTop w:val="0"/>
      <w:marBottom w:val="0"/>
      <w:divBdr>
        <w:top w:val="none" w:sz="0" w:space="0" w:color="auto"/>
        <w:left w:val="none" w:sz="0" w:space="0" w:color="auto"/>
        <w:bottom w:val="none" w:sz="0" w:space="0" w:color="auto"/>
        <w:right w:val="none" w:sz="0" w:space="0" w:color="auto"/>
      </w:divBdr>
    </w:div>
    <w:div w:id="2041735203">
      <w:bodyDiv w:val="1"/>
      <w:marLeft w:val="0"/>
      <w:marRight w:val="0"/>
      <w:marTop w:val="0"/>
      <w:marBottom w:val="0"/>
      <w:divBdr>
        <w:top w:val="none" w:sz="0" w:space="0" w:color="auto"/>
        <w:left w:val="none" w:sz="0" w:space="0" w:color="auto"/>
        <w:bottom w:val="none" w:sz="0" w:space="0" w:color="auto"/>
        <w:right w:val="none" w:sz="0" w:space="0" w:color="auto"/>
      </w:divBdr>
    </w:div>
    <w:div w:id="2058698135">
      <w:bodyDiv w:val="1"/>
      <w:marLeft w:val="0"/>
      <w:marRight w:val="0"/>
      <w:marTop w:val="0"/>
      <w:marBottom w:val="0"/>
      <w:divBdr>
        <w:top w:val="none" w:sz="0" w:space="0" w:color="auto"/>
        <w:left w:val="none" w:sz="0" w:space="0" w:color="auto"/>
        <w:bottom w:val="none" w:sz="0" w:space="0" w:color="auto"/>
        <w:right w:val="none" w:sz="0" w:space="0" w:color="auto"/>
      </w:divBdr>
    </w:div>
    <w:div w:id="2080902989">
      <w:bodyDiv w:val="1"/>
      <w:marLeft w:val="0"/>
      <w:marRight w:val="0"/>
      <w:marTop w:val="0"/>
      <w:marBottom w:val="0"/>
      <w:divBdr>
        <w:top w:val="none" w:sz="0" w:space="0" w:color="auto"/>
        <w:left w:val="none" w:sz="0" w:space="0" w:color="auto"/>
        <w:bottom w:val="none" w:sz="0" w:space="0" w:color="auto"/>
        <w:right w:val="none" w:sz="0" w:space="0" w:color="auto"/>
      </w:divBdr>
    </w:div>
    <w:div w:id="2081781443">
      <w:bodyDiv w:val="1"/>
      <w:marLeft w:val="0"/>
      <w:marRight w:val="0"/>
      <w:marTop w:val="0"/>
      <w:marBottom w:val="0"/>
      <w:divBdr>
        <w:top w:val="none" w:sz="0" w:space="0" w:color="auto"/>
        <w:left w:val="none" w:sz="0" w:space="0" w:color="auto"/>
        <w:bottom w:val="none" w:sz="0" w:space="0" w:color="auto"/>
        <w:right w:val="none" w:sz="0" w:space="0" w:color="auto"/>
      </w:divBdr>
    </w:div>
    <w:div w:id="2093121441">
      <w:bodyDiv w:val="1"/>
      <w:marLeft w:val="0"/>
      <w:marRight w:val="0"/>
      <w:marTop w:val="0"/>
      <w:marBottom w:val="0"/>
      <w:divBdr>
        <w:top w:val="none" w:sz="0" w:space="0" w:color="auto"/>
        <w:left w:val="none" w:sz="0" w:space="0" w:color="auto"/>
        <w:bottom w:val="none" w:sz="0" w:space="0" w:color="auto"/>
        <w:right w:val="none" w:sz="0" w:space="0" w:color="auto"/>
      </w:divBdr>
      <w:divsChild>
        <w:div w:id="1861317813">
          <w:marLeft w:val="0"/>
          <w:marRight w:val="0"/>
          <w:marTop w:val="0"/>
          <w:marBottom w:val="0"/>
          <w:divBdr>
            <w:top w:val="none" w:sz="0" w:space="0" w:color="auto"/>
            <w:left w:val="none" w:sz="0" w:space="0" w:color="auto"/>
            <w:bottom w:val="none" w:sz="0" w:space="0" w:color="auto"/>
            <w:right w:val="none" w:sz="0" w:space="0" w:color="auto"/>
          </w:divBdr>
          <w:divsChild>
            <w:div w:id="135669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sk.com/media/11009/esg-performance-report-2023.pdf" TargetMode="External"/><Relationship Id="rId13" Type="http://schemas.openxmlformats.org/officeDocument/2006/relationships/hyperlink" Target="https://doi.org/10.1016/j.jwb.2025.10162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advantage-marketline-com.ezproxy.uwtsd.ac.uk/Company/Summary/glaxosmithkline_plc"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akeda.com/en-us/who-we-are/corporate-philosophy/"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vantage-marketline-com.ezproxy.uwtsd.ac.uk/Analysis/ViewasPDF/japan-pharmaceuticals-ml-22094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sets-dam.takeda.com/image/upload/Global/Investor/form20-f/E_FY2023_Form_20-F.pdf" TargetMode="External"/><Relationship Id="rId23" Type="http://schemas.openxmlformats.org/officeDocument/2006/relationships/fontTable" Target="fontTable.xml"/><Relationship Id="rId10" Type="http://schemas.openxmlformats.org/officeDocument/2006/relationships/hyperlink" Target="https://advantage-marketline-com.ezproxy.uwtsd.ac.uk/Company/Summary/glaxosmithkline_plc"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orbes.com/councils/forbesbusinesscouncil/2024/04/01/best-practices-for-enhancing-cross-cultural-communication-in-virtual-teams/" TargetMode="External"/><Relationship Id="rId14" Type="http://schemas.openxmlformats.org/officeDocument/2006/relationships/hyperlink" Target="https://www.statista.com/outlook/hmo/pharmaceuticals/japan"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1436</TotalTime>
  <Pages>12</Pages>
  <Words>3552</Words>
  <Characters>20253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 (2236843)</cp:lastModifiedBy>
  <cp:revision>42</cp:revision>
  <dcterms:created xsi:type="dcterms:W3CDTF">2025-02-20T16:32:00Z</dcterms:created>
  <dcterms:modified xsi:type="dcterms:W3CDTF">2025-03-18T08:55:00Z</dcterms:modified>
</cp:coreProperties>
</file>