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000000"/>
          <w:spacing w:val="-10"/>
          <w:position w:val="0"/>
          <w:sz w:val="36"/>
          <w:u w:val="single"/>
          <w:shd w:fill="FFFFFF" w:val="clear"/>
        </w:rPr>
      </w:pPr>
    </w:p>
    <w:p>
      <w:pPr>
        <w:spacing w:before="0" w:after="0" w:line="360"/>
        <w:ind w:right="0" w:left="0" w:firstLine="0"/>
        <w:jc w:val="center"/>
        <w:rPr>
          <w:rFonts w:ascii="Times New Roman" w:hAnsi="Times New Roman" w:cs="Times New Roman" w:eastAsia="Times New Roman"/>
          <w:b/>
          <w:color w:val="000000"/>
          <w:spacing w:val="-10"/>
          <w:position w:val="0"/>
          <w:sz w:val="36"/>
          <w:u w:val="single"/>
          <w:shd w:fill="FFFFFF" w:val="clear"/>
        </w:rPr>
      </w:pPr>
    </w:p>
    <w:p>
      <w:pPr>
        <w:spacing w:before="0" w:after="0" w:line="360"/>
        <w:ind w:right="0" w:left="0" w:firstLine="0"/>
        <w:jc w:val="center"/>
        <w:rPr>
          <w:rFonts w:ascii="Times New Roman" w:hAnsi="Times New Roman" w:cs="Times New Roman" w:eastAsia="Times New Roman"/>
          <w:b/>
          <w:color w:val="000000"/>
          <w:spacing w:val="-10"/>
          <w:position w:val="0"/>
          <w:sz w:val="36"/>
          <w:u w:val="single"/>
          <w:shd w:fill="FFFFFF" w:val="clear"/>
        </w:rPr>
      </w:pPr>
    </w:p>
    <w:p>
      <w:pPr>
        <w:spacing w:before="0" w:after="0" w:line="360"/>
        <w:ind w:right="0" w:left="0" w:firstLine="0"/>
        <w:jc w:val="center"/>
        <w:rPr>
          <w:rFonts w:ascii="Times New Roman" w:hAnsi="Times New Roman" w:cs="Times New Roman" w:eastAsia="Times New Roman"/>
          <w:b/>
          <w:color w:val="000000"/>
          <w:spacing w:val="-10"/>
          <w:position w:val="0"/>
          <w:sz w:val="36"/>
          <w:u w:val="single"/>
          <w:shd w:fill="FFFFFF" w:val="clear"/>
        </w:rPr>
      </w:pPr>
    </w:p>
    <w:p>
      <w:pPr>
        <w:spacing w:before="0" w:after="0" w:line="360"/>
        <w:ind w:right="0" w:left="0" w:firstLine="0"/>
        <w:jc w:val="center"/>
        <w:rPr>
          <w:rFonts w:ascii="Times New Roman" w:hAnsi="Times New Roman" w:cs="Times New Roman" w:eastAsia="Times New Roman"/>
          <w:b/>
          <w:color w:val="000000"/>
          <w:spacing w:val="-10"/>
          <w:position w:val="0"/>
          <w:sz w:val="36"/>
          <w:u w:val="single"/>
          <w:shd w:fill="FFFFFF" w:val="clear"/>
        </w:rPr>
      </w:pPr>
    </w:p>
    <w:p>
      <w:pPr>
        <w:spacing w:before="0" w:after="0" w:line="360"/>
        <w:ind w:right="0" w:left="0" w:firstLine="0"/>
        <w:jc w:val="center"/>
        <w:rPr>
          <w:rFonts w:ascii="Times New Roman" w:hAnsi="Times New Roman" w:cs="Times New Roman" w:eastAsia="Times New Roman"/>
          <w:b/>
          <w:color w:val="000000"/>
          <w:spacing w:val="-10"/>
          <w:position w:val="0"/>
          <w:sz w:val="36"/>
          <w:u w:val="single"/>
          <w:shd w:fill="FFFFFF" w:val="clear"/>
        </w:rPr>
      </w:pPr>
    </w:p>
    <w:p>
      <w:pPr>
        <w:spacing w:before="0" w:after="0" w:line="360"/>
        <w:ind w:right="0" w:left="0" w:firstLine="0"/>
        <w:jc w:val="center"/>
        <w:rPr>
          <w:rFonts w:ascii="Times New Roman" w:hAnsi="Times New Roman" w:cs="Times New Roman" w:eastAsia="Times New Roman"/>
          <w:b/>
          <w:color w:val="000000"/>
          <w:spacing w:val="-10"/>
          <w:position w:val="0"/>
          <w:sz w:val="36"/>
          <w:u w:val="single"/>
          <w:shd w:fill="FFFFFF" w:val="clear"/>
        </w:rPr>
      </w:pPr>
      <w:r>
        <w:rPr>
          <w:rFonts w:ascii="Times New Roman" w:hAnsi="Times New Roman" w:cs="Times New Roman" w:eastAsia="Times New Roman"/>
          <w:b/>
          <w:color w:val="000000"/>
          <w:spacing w:val="-10"/>
          <w:position w:val="0"/>
          <w:sz w:val="36"/>
          <w:u w:val="single"/>
          <w:shd w:fill="FFFFFF" w:val="clear"/>
        </w:rPr>
        <w:t xml:space="preserve">CRIMINAL LAW</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 2209098 Elena Galban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a discussion about the diminished responsibility that has been described in the term of section 2 under the homicide act 1957. Which was not found to be so accurate when it emanates to the description of the diminished responsibility and their further requirements when it has to be obeyed on grounds of the enforcement of the law. Also, it has described the changes that were brought under section 52 of the coroners and justice act 2009. Whereas the advantages and disadvantages of the act have to be reformed in a way that can out some changes in the active pattern and also active pattern and will discuss some recommendations within the area of law. </w:t>
        <w:t xml:space="preserve"> </w:t>
      </w:r>
    </w:p>
    <w:p>
      <w:pPr>
        <w:spacing w:before="0" w:after="160" w:line="360"/>
        <w:ind w:right="0" w:left="0" w:firstLine="0"/>
        <w:jc w:val="both"/>
        <w:rPr>
          <w:rFonts w:ascii="Times New Roman" w:hAnsi="Times New Roman" w:cs="Times New Roman" w:eastAsia="Times New Roman"/>
          <w:b/>
          <w:color w:val="000000"/>
          <w:spacing w:val="0"/>
          <w:position w:val="0"/>
          <w:sz w:val="28"/>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Main body </w:t>
      </w:r>
    </w:p>
    <w:p>
      <w:pPr>
        <w:spacing w:before="0" w:after="16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What changes did the Coroners and Justice Act (2009) make to the defence of diminished responsibility? Did these amendments change the law in this area for the better?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coroners and justice act 2009 are denoted as an act of the parliament of the United Kingdom. It has brought changes in the law regarding coroners and criminal justice in England and Wales. The aim of the act 2009 was to address the needs of grieving people at the heart of the coroner service and also to take a look at the coroner services that can be delivered locally following the national standards framework. Also, have to be more active to enable a more efficient system of investigation along with the inquests. The resistance of diminished responsibility was denoted in section 2 of the homicide Act 1957 which was later modified in section 52 of the coroners and justice act 2009. Diminish responsibility has been considered a partial defence to murder. It has described the meaning as the relevant accused is considered to be suffering from an abnormality of mental functioning that is at the level where they are not in the governor of their movements. Where if the jury has acknowledged the defence then the murder charge that has been put on will be downgraded to voluntary manslaughter (</w:t>
      </w:r>
      <w:r>
        <w:rPr>
          <w:rFonts w:ascii="Times New Roman" w:hAnsi="Times New Roman" w:cs="Times New Roman" w:eastAsia="Times New Roman"/>
          <w:i/>
          <w:color w:val="auto"/>
          <w:spacing w:val="0"/>
          <w:position w:val="0"/>
          <w:sz w:val="24"/>
          <w:shd w:fill="auto" w:val="clear"/>
        </w:rPr>
        <w:t xml:space="preserve">Coroners and Justice Act 2009).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Section 2</w:t>
      </w:r>
      <w:r>
        <w:rPr>
          <w:rFonts w:ascii="Times New Roman" w:hAnsi="Times New Roman" w:cs="Times New Roman" w:eastAsia="Times New Roman"/>
          <w:color w:val="auto"/>
          <w:spacing w:val="0"/>
          <w:position w:val="0"/>
          <w:sz w:val="24"/>
          <w:shd w:fill="auto" w:val="clear"/>
        </w:rPr>
        <w:t xml:space="preserve"> of the </w:t>
      </w:r>
      <w:r>
        <w:rPr>
          <w:rFonts w:ascii="Times New Roman" w:hAnsi="Times New Roman" w:cs="Times New Roman" w:eastAsia="Times New Roman"/>
          <w:b/>
          <w:i/>
          <w:color w:val="auto"/>
          <w:spacing w:val="0"/>
          <w:position w:val="0"/>
          <w:sz w:val="24"/>
          <w:shd w:fill="auto" w:val="clear"/>
        </w:rPr>
        <w:t xml:space="preserve">homicide act 1957</w:t>
      </w:r>
      <w:r>
        <w:rPr>
          <w:rFonts w:ascii="Times New Roman" w:hAnsi="Times New Roman" w:cs="Times New Roman" w:eastAsia="Times New Roman"/>
          <w:color w:val="auto"/>
          <w:spacing w:val="0"/>
          <w:position w:val="0"/>
          <w:sz w:val="24"/>
          <w:shd w:fill="auto" w:val="clear"/>
        </w:rPr>
        <w:t xml:space="preserve"> holds four elements regarding the defence which explains the necessities for diminished responsibility justifying the defence</w:t>
      </w:r>
      <w:r>
        <w:rPr>
          <w:rFonts w:ascii="Times New Roman" w:hAnsi="Times New Roman" w:cs="Times New Roman" w:eastAsia="Times New Roman"/>
          <w:i/>
          <w:color w:val="auto"/>
          <w:spacing w:val="0"/>
          <w:position w:val="0"/>
          <w:sz w:val="24"/>
          <w:shd w:fill="auto" w:val="clear"/>
        </w:rPr>
        <w:t xml:space="preserve"> (Homicide Act 1957</w:t>
      </w:r>
      <w:r>
        <w:rPr>
          <w:rFonts w:ascii="Times New Roman" w:hAnsi="Times New Roman" w:cs="Times New Roman" w:eastAsia="Times New Roman"/>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Element 1: Abnormality regarding the mental functioning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Which states that when any person kills or belongs to a party in the killing of another if he has been found suffering from the abnormality of the mind, in that case, will not be convicted of any murder. It could be rectified from a condition of arrested or can be retarred development related to the mind that defines the inherent causes apart from that cause induced by disease or might be in regards to any kind of injury. It considerably impaired the mental responsibility regarding the acts along with the errors in doing or the existence of a party to the killing (</w:t>
      </w:r>
      <w:r>
        <w:rPr>
          <w:rFonts w:ascii="Times New Roman" w:hAnsi="Times New Roman" w:cs="Times New Roman" w:eastAsia="Times New Roman"/>
          <w:color w:val="auto"/>
          <w:spacing w:val="0"/>
          <w:position w:val="0"/>
          <w:sz w:val="24"/>
          <w:shd w:fill="FFFFFF" w:val="clear"/>
        </w:rPr>
        <w:t xml:space="preserve">Flynn et al., 2021).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 v Byrne (1960) 2 QB 396</w:t>
      </w:r>
      <w:r>
        <w:rPr>
          <w:rFonts w:ascii="Times New Roman" w:hAnsi="Times New Roman" w:cs="Times New Roman" w:eastAsia="Times New Roman"/>
          <w:color w:val="auto"/>
          <w:spacing w:val="0"/>
          <w:position w:val="0"/>
          <w:sz w:val="24"/>
          <w:shd w:fill="auto" w:val="clear"/>
        </w:rPr>
        <w:t xml:space="preserve"> In this case the appellant assassinated one young girl and after that mutilated the body. As per the report, he did that because he was suffering from a kind of irresistible impulse and he was impotent to rheostat them. The court held that the oddity of the mind was considered wide adequate to cover the mind’s activities in all aspect, that include the ability to exercise the talked determination to control any kind of carnal that justify the rational judgments. Hence further it was decided that allowed in the resistance to reduce the murder convicted to manslaughter. </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Element 2: Recognition of the mental condition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defined term has been stabilized under this can be considered a wide concept as it has not been defined in the statute. However, it is not related to any kind of influence on intoxication. Whenever the trial will be performed under the presence of any recognized medical condition that has to be presented with the help of the witness who could be considered to be prescribed by both prosecution and defence (</w:t>
      </w:r>
      <w:r>
        <w:rPr>
          <w:rFonts w:ascii="Times New Roman" w:hAnsi="Times New Roman" w:cs="Times New Roman" w:eastAsia="Times New Roman"/>
          <w:color w:val="auto"/>
          <w:spacing w:val="0"/>
          <w:position w:val="0"/>
          <w:sz w:val="24"/>
          <w:shd w:fill="FFFFFF" w:val="clear"/>
        </w:rPr>
        <w:t xml:space="preserve">Bettinson, 2019). </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 v Ahluwalia (1993) 96 Cr App R 133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appellant has used petrol along with the caustic soda on her napping spouse and after that set her husband on fire. She was suffering from domestic abuse and he was also having an affair. Under the trial, she has admitted the killing but has raised a ground form diminished responsibility. The judge’s direction on provocation is to be considered as correct. The judges have considered the Duffy direction as the good law and the jury has considered its effects on the verdicts. However, the appeal was permitted on the ground of diminished responsibility.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Element 3: substantial impairment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Once it has been cleared that the defendant has established under a form of a medical condition that has caused the ground for the abnormality. It has to be paired on the ground that was to understand the nature describing the conduct along with forming rational judgments under the influence of self-control. </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Element 4:  It has to explain the conduct.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Under this, it is very much necessary to prove the ground under which the abnormity has been caused due to some known medical condition. It is one of the new requirements for the defence that has been introduced in the coroners and justice act 2009.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Section 52</w:t>
      </w:r>
      <w:r>
        <w:rPr>
          <w:rFonts w:ascii="Times New Roman" w:hAnsi="Times New Roman" w:cs="Times New Roman" w:eastAsia="Times New Roman"/>
          <w:color w:val="auto"/>
          <w:spacing w:val="0"/>
          <w:position w:val="0"/>
          <w:sz w:val="24"/>
          <w:shd w:fill="auto" w:val="clear"/>
        </w:rPr>
        <w:t xml:space="preserve"> of the </w:t>
      </w:r>
      <w:r>
        <w:rPr>
          <w:rFonts w:ascii="Times New Roman" w:hAnsi="Times New Roman" w:cs="Times New Roman" w:eastAsia="Times New Roman"/>
          <w:b/>
          <w:i/>
          <w:color w:val="auto"/>
          <w:spacing w:val="0"/>
          <w:position w:val="0"/>
          <w:sz w:val="24"/>
          <w:shd w:fill="auto" w:val="clear"/>
        </w:rPr>
        <w:t xml:space="preserve">Coroners and Justice Act 2009,</w:t>
      </w:r>
      <w:r>
        <w:rPr>
          <w:rFonts w:ascii="Times New Roman" w:hAnsi="Times New Roman" w:cs="Times New Roman" w:eastAsia="Times New Roman"/>
          <w:color w:val="auto"/>
          <w:spacing w:val="0"/>
          <w:position w:val="0"/>
          <w:sz w:val="24"/>
          <w:shd w:fill="auto" w:val="clear"/>
        </w:rPr>
        <w:t xml:space="preserve"> has changed the laws that were relevant earlier. This section deals with the partial defence regarding the murder of diminished responsibility which could be applied in England and Wales. It has replaced section 2(1) mentioned in the homicide act 1957 with a new subsection as (1) following till (1B). There were no changes introduced in the successful pleading of any partial defence. In that way, it will continue to result in a verdict in regards to manslaughter in the place of murder belonging to a section of 2(3) of the predefined homicide acts 1957. (</w:t>
      </w:r>
      <w:r>
        <w:rPr>
          <w:rFonts w:ascii="Times New Roman" w:hAnsi="Times New Roman" w:cs="Times New Roman" w:eastAsia="Times New Roman"/>
          <w:i/>
          <w:color w:val="auto"/>
          <w:spacing w:val="0"/>
          <w:position w:val="0"/>
          <w:sz w:val="24"/>
          <w:shd w:fill="auto" w:val="clear"/>
        </w:rPr>
        <w:t xml:space="preserve">Ministry of justice circular (2010/13). </w:t>
      </w:r>
      <w:r>
        <w:rPr>
          <w:rFonts w:ascii="Times New Roman" w:hAnsi="Times New Roman" w:cs="Times New Roman" w:eastAsia="Times New Roman"/>
          <w:color w:val="auto"/>
          <w:spacing w:val="0"/>
          <w:position w:val="0"/>
          <w:sz w:val="24"/>
          <w:shd w:fill="auto" w:val="clear"/>
        </w:rPr>
        <w:t xml:space="preserve">These changes are required to differentiate between the saturation of the mind at the time of the commitment of the crime as it should not be a beneficial ground for the criminal to act and handle. The contrast is the position that in some of the definitions related to diminished responsibility which needs that the mental responsibility of any person should be substantially impaired but it has not specified in terms of what respect it should be (</w:t>
      </w:r>
      <w:r>
        <w:rPr>
          <w:rFonts w:ascii="Times New Roman" w:hAnsi="Times New Roman" w:cs="Times New Roman" w:eastAsia="Times New Roman"/>
          <w:color w:val="auto"/>
          <w:spacing w:val="0"/>
          <w:position w:val="0"/>
          <w:sz w:val="24"/>
          <w:shd w:fill="FFFFFF" w:val="clear"/>
        </w:rPr>
        <w:t xml:space="preserve">Crofts, T. and Wake, N, 2021).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act has brought some changes in the positive as well not in a negative way but could be considered as a neutral proposition to the fact act was highlighted with the help of the changes. It has made changes to the existing common law in partial defence of provocation. Where the murder committed by a person will be examined based on manslaughter instead of the murder directly. Another thing is when the fear of serious violence the so-called defendant has not have to prove that their fear is reasonable with the help of the proof whereas it is the jury that has to be decided whether the fear was genuine or not. It can be different in some terms as it might create an opportunity or can be completely dependent on the jury. Apart from that it has given ground to a thing or things that were done or said that caused the things to be out of control of the defendant's hand. As when any person has killed someone on the ground being unfaithful does not give any right to claim a partial defence. As it can be considered pre-decided by the jury and can be considered a ground for the fear of the loss of control. The homicide provision in the 2009 act will that are considered as the acts or could be the omissions as these things are considered and were not retrospective (UK civil liberties 2023).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Under </w:t>
      </w:r>
      <w:r>
        <w:rPr>
          <w:rFonts w:ascii="Times New Roman" w:hAnsi="Times New Roman" w:cs="Times New Roman" w:eastAsia="Times New Roman"/>
          <w:b/>
          <w:i/>
          <w:color w:val="auto"/>
          <w:spacing w:val="0"/>
          <w:position w:val="0"/>
          <w:sz w:val="24"/>
          <w:shd w:fill="auto" w:val="clear"/>
        </w:rPr>
        <w:t xml:space="preserve">R v Tandy [1989] 1 WLR 350 </w:t>
      </w:r>
      <w:r>
        <w:rPr>
          <w:rFonts w:ascii="Times New Roman" w:hAnsi="Times New Roman" w:cs="Times New Roman" w:eastAsia="Times New Roman"/>
          <w:color w:val="auto"/>
          <w:spacing w:val="0"/>
          <w:position w:val="0"/>
          <w:sz w:val="24"/>
          <w:shd w:fill="auto" w:val="clear"/>
        </w:rPr>
        <w:t xml:space="preserve">it has been found that the defendant was fermented as she killed her 11-year-old daughter after knowing that she was sexually abused by her stepfather.  The court held that she will be convicted of the murder. As she has demonstrated in her evidence that she was not completely out of the control or blank as she has been found that she had exercised control when to her drinking. She has chosen some activity that is completely different from the regular days as she has chosen to drink a different drink in comparison to the regular days. Also, she has no memory of the drunk day before and after 6:30 she has able to quit drinking as still there was some alcohol present in the bottle. This activity has been convicted to kill on valid grounds and is not to be considered under alcoholism.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Conclusion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has highlighted some point that has helped in understanding the changes that need to be brought in the homicide act 1957. It has mainly highlighted the diminished responsibility that was working on the different proportions of law which needed to be changed so that it can fulfill the genuine requirement of the act. Coroners and justice act 2009 have brought some changes in the additional form so that it can make a difference for the people who are proclaimed under this act. </w:t>
        <w:t xml:space="preserve"> </w:t>
      </w:r>
    </w:p>
    <w:p>
      <w:pPr>
        <w:spacing w:before="0" w:after="160" w:line="360"/>
        <w:ind w:right="0" w:left="0" w:firstLine="0"/>
        <w:jc w:val="both"/>
        <w:rPr>
          <w:rFonts w:ascii="Times New Roman" w:hAnsi="Times New Roman" w:cs="Times New Roman" w:eastAsia="Times New Roman"/>
          <w:b/>
          <w:color w:val="000000"/>
          <w:spacing w:val="0"/>
          <w:position w:val="0"/>
          <w:sz w:val="28"/>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References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Coroners and Justice Act 2009,</w:t>
      </w:r>
      <w:r>
        <w:rPr>
          <w:rFonts w:ascii="Times New Roman" w:hAnsi="Times New Roman" w:cs="Times New Roman" w:eastAsia="Times New Roman"/>
          <w:color w:val="auto"/>
          <w:spacing w:val="0"/>
          <w:position w:val="0"/>
          <w:sz w:val="24"/>
          <w:shd w:fill="auto" w:val="clear"/>
        </w:rPr>
        <w:t xml:space="preserve"> s.52.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https://www.legislation.gov.uk/ukpga/2009/25/part/2/chapter/1/crossheading/partial-defence-to-murder-diminished-responsibility</w:t>
        </w:r>
      </w:hyperlink>
      <w:r>
        <w:rPr>
          <w:rFonts w:ascii="Times New Roman" w:hAnsi="Times New Roman" w:cs="Times New Roman" w:eastAsia="Times New Roman"/>
          <w:color w:val="auto"/>
          <w:spacing w:val="0"/>
          <w:position w:val="0"/>
          <w:sz w:val="24"/>
          <w:shd w:fill="auto" w:val="clear"/>
        </w:rPr>
        <w:t xml:space="preserve"> (Accessed: 8 March 2023).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Ministry of justice circular (2010/13).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https://www.justice.gov.uk/downloads/legislation/bills-acts/circulars/moj/2010/circular-12-2010-coroners-justice-act-homicide-provisions.pdf</w:t>
        </w:r>
      </w:hyperlink>
      <w:r>
        <w:rPr>
          <w:rFonts w:ascii="Times New Roman" w:hAnsi="Times New Roman" w:cs="Times New Roman" w:eastAsia="Times New Roman"/>
          <w:color w:val="auto"/>
          <w:spacing w:val="0"/>
          <w:position w:val="0"/>
          <w:sz w:val="24"/>
          <w:shd w:fill="auto" w:val="clear"/>
        </w:rPr>
        <w:t xml:space="preserve"> (Accessed: 8 March 2023).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Homicide Act 1957</w:t>
      </w:r>
      <w:r>
        <w:rPr>
          <w:rFonts w:ascii="Times New Roman" w:hAnsi="Times New Roman" w:cs="Times New Roman" w:eastAsia="Times New Roman"/>
          <w:color w:val="auto"/>
          <w:spacing w:val="0"/>
          <w:position w:val="0"/>
          <w:sz w:val="24"/>
          <w:shd w:fill="auto" w:val="clear"/>
        </w:rPr>
        <w:t xml:space="preserve">, s.2.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https://www.legislation.gov.uk/ukpga/Eliz2/5-6/11/section/2/enacted</w:t>
        </w:r>
      </w:hyperlink>
      <w:r>
        <w:rPr>
          <w:rFonts w:ascii="Times New Roman" w:hAnsi="Times New Roman" w:cs="Times New Roman" w:eastAsia="Times New Roman"/>
          <w:color w:val="auto"/>
          <w:spacing w:val="0"/>
          <w:position w:val="0"/>
          <w:sz w:val="24"/>
          <w:shd w:fill="auto" w:val="clear"/>
        </w:rPr>
        <w:t xml:space="preserve"> (Accessed: 8 March 2023).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UK civil liberties. (2023). ‘Coroners and Justice Act 2009’ The Guardian, 8 March. </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Crofts, T. and Wake, N., (2021). Diminished responsibility determinations in England and Wales and New South Wales: whose role is it anyway? </w:t>
      </w:r>
      <w:r>
        <w:rPr>
          <w:rFonts w:ascii="Times New Roman" w:hAnsi="Times New Roman" w:cs="Times New Roman" w:eastAsia="Times New Roman"/>
          <w:i/>
          <w:color w:val="auto"/>
          <w:spacing w:val="0"/>
          <w:position w:val="0"/>
          <w:sz w:val="24"/>
          <w:shd w:fill="FFFFFF" w:val="clear"/>
        </w:rPr>
        <w:t xml:space="preserve">Northern Ireland Legal Quarterly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72</w:t>
      </w:r>
      <w:r>
        <w:rPr>
          <w:rFonts w:ascii="Times New Roman" w:hAnsi="Times New Roman" w:cs="Times New Roman" w:eastAsia="Times New Roman"/>
          <w:color w:val="auto"/>
          <w:spacing w:val="0"/>
          <w:position w:val="0"/>
          <w:sz w:val="24"/>
          <w:shd w:fill="FFFFFF" w:val="clear"/>
        </w:rPr>
        <w:t xml:space="preserve">(2), pp.324-362.</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Flynn, S., Ibrahim, S., Kapur, N., Appleby, L. and Shaw, J., (2021). Mental disorder in people convicted of homicide: long-term national trends in rates and court outcome. </w:t>
      </w:r>
      <w:r>
        <w:rPr>
          <w:rFonts w:ascii="Times New Roman" w:hAnsi="Times New Roman" w:cs="Times New Roman" w:eastAsia="Times New Roman"/>
          <w:i/>
          <w:color w:val="auto"/>
          <w:spacing w:val="0"/>
          <w:position w:val="0"/>
          <w:sz w:val="24"/>
          <w:shd w:fill="FFFFFF" w:val="clear"/>
        </w:rPr>
        <w:t xml:space="preserve">The British Journal of Psychiatry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218</w:t>
      </w:r>
      <w:r>
        <w:rPr>
          <w:rFonts w:ascii="Times New Roman" w:hAnsi="Times New Roman" w:cs="Times New Roman" w:eastAsia="Times New Roman"/>
          <w:color w:val="auto"/>
          <w:spacing w:val="0"/>
          <w:position w:val="0"/>
          <w:sz w:val="24"/>
          <w:shd w:fill="FFFFFF" w:val="clear"/>
        </w:rPr>
        <w:t xml:space="preserve">(4), pp.210-216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Bettinson, V., (2019). Aligning partial defences to murder with the offence of coercive or controlling behaviour. </w:t>
      </w:r>
      <w:r>
        <w:rPr>
          <w:rFonts w:ascii="Times New Roman" w:hAnsi="Times New Roman" w:cs="Times New Roman" w:eastAsia="Times New Roman"/>
          <w:i/>
          <w:color w:val="auto"/>
          <w:spacing w:val="0"/>
          <w:position w:val="0"/>
          <w:sz w:val="24"/>
          <w:shd w:fill="FFFFFF" w:val="clear"/>
        </w:rPr>
        <w:t xml:space="preserve">The Journal of Criminal Law</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83</w:t>
      </w:r>
      <w:r>
        <w:rPr>
          <w:rFonts w:ascii="Times New Roman" w:hAnsi="Times New Roman" w:cs="Times New Roman" w:eastAsia="Times New Roman"/>
          <w:color w:val="auto"/>
          <w:spacing w:val="0"/>
          <w:position w:val="0"/>
          <w:sz w:val="24"/>
          <w:shd w:fill="FFFFFF" w:val="clear"/>
        </w:rPr>
        <w:t xml:space="preserve">(1), pp.71-86.</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justice.gov.uk/downloads/legislation/bills-acts/circulars/moj/2010/circular-12-2010-coroners-justice-act-homicide-provisions.pdf" Id="docRId1" Type="http://schemas.openxmlformats.org/officeDocument/2006/relationships/hyperlink" /><Relationship Target="numbering.xml" Id="docRId3" Type="http://schemas.openxmlformats.org/officeDocument/2006/relationships/numbering" /><Relationship TargetMode="External" Target="https://www.legislation.gov.uk/ukpga/2009/25/part/2/chapter/1/crossheading/partial-defence-to-murder-diminished-responsibility" Id="docRId0" Type="http://schemas.openxmlformats.org/officeDocument/2006/relationships/hyperlink" /><Relationship TargetMode="External" Target="https://www.legislation.gov.uk/ukpga/Eliz2/5-6/11/section/2/enacted" Id="docRId2" Type="http://schemas.openxmlformats.org/officeDocument/2006/relationships/hyperlink" /><Relationship Target="styles.xml" Id="docRId4" Type="http://schemas.openxmlformats.org/officeDocument/2006/relationships/styles" /></Relationships>
</file>