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AB75E7" w14:textId="77777777" w:rsidR="00DA1195" w:rsidRPr="00214570" w:rsidRDefault="00DA1195" w:rsidP="00DA1195">
      <w:pPr>
        <w:pStyle w:val="Default"/>
        <w:ind w:left="720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It is argued that IR: </w:t>
      </w:r>
    </w:p>
    <w:p w14:paraId="25D6E295" w14:textId="77777777" w:rsidR="00DA1195" w:rsidRDefault="00DA1195" w:rsidP="00DA1195">
      <w:pPr>
        <w:pStyle w:val="Default"/>
        <w:numPr>
          <w:ilvl w:val="1"/>
          <w:numId w:val="2"/>
        </w:numPr>
        <w:spacing w:after="164"/>
        <w:ind w:left="700"/>
        <w:rPr>
          <w:rFonts w:ascii="Arial" w:hAnsi="Arial" w:cs="Arial"/>
        </w:rPr>
      </w:pPr>
      <w:r w:rsidRPr="00214570">
        <w:rPr>
          <w:rFonts w:ascii="Arial" w:hAnsi="Arial" w:cs="Arial"/>
        </w:rPr>
        <w:t>Provide</w:t>
      </w:r>
      <w:r>
        <w:rPr>
          <w:rFonts w:ascii="Arial" w:hAnsi="Arial" w:cs="Arial"/>
        </w:rPr>
        <w:t>s</w:t>
      </w:r>
      <w:r w:rsidRPr="0021457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Pr="00214570">
        <w:rPr>
          <w:rFonts w:ascii="Arial" w:hAnsi="Arial" w:cs="Arial"/>
        </w:rPr>
        <w:t xml:space="preserve">more cohesive and efficient approach to corporate </w:t>
      </w:r>
      <w:proofErr w:type="gramStart"/>
      <w:r w:rsidRPr="00214570">
        <w:rPr>
          <w:rFonts w:ascii="Arial" w:hAnsi="Arial" w:cs="Arial"/>
        </w:rPr>
        <w:t>reporting;</w:t>
      </w:r>
      <w:proofErr w:type="gramEnd"/>
      <w:r w:rsidRPr="00214570">
        <w:rPr>
          <w:rFonts w:ascii="Arial" w:hAnsi="Arial" w:cs="Arial"/>
        </w:rPr>
        <w:t xml:space="preserve"> </w:t>
      </w:r>
    </w:p>
    <w:p w14:paraId="3FBF226E" w14:textId="77777777" w:rsidR="00DA1195" w:rsidRDefault="00DA1195" w:rsidP="00DA1195">
      <w:pPr>
        <w:pStyle w:val="Default"/>
        <w:numPr>
          <w:ilvl w:val="1"/>
          <w:numId w:val="2"/>
        </w:numPr>
        <w:spacing w:after="164"/>
        <w:ind w:left="700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Supports integrated thinking and decision making focusing on value creation over short and long </w:t>
      </w:r>
      <w:proofErr w:type="gramStart"/>
      <w:r w:rsidRPr="00214570">
        <w:rPr>
          <w:rFonts w:ascii="Arial" w:hAnsi="Arial" w:cs="Arial"/>
        </w:rPr>
        <w:t>term;</w:t>
      </w:r>
      <w:proofErr w:type="gramEnd"/>
      <w:r w:rsidRPr="00214570">
        <w:rPr>
          <w:rFonts w:ascii="Arial" w:hAnsi="Arial" w:cs="Arial"/>
        </w:rPr>
        <w:t xml:space="preserve"> </w:t>
      </w:r>
    </w:p>
    <w:p w14:paraId="2298A78F" w14:textId="77777777" w:rsidR="00DA1195" w:rsidRDefault="00DA1195" w:rsidP="00DA1195">
      <w:pPr>
        <w:pStyle w:val="Default"/>
        <w:numPr>
          <w:ilvl w:val="1"/>
          <w:numId w:val="2"/>
        </w:numPr>
        <w:spacing w:after="164"/>
        <w:ind w:left="700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Benefits society through informed capital allocations, enhanced accountability and stewardship over six </w:t>
      </w:r>
      <w:proofErr w:type="gramStart"/>
      <w:r w:rsidRPr="00214570">
        <w:rPr>
          <w:rFonts w:ascii="Arial" w:hAnsi="Arial" w:cs="Arial"/>
        </w:rPr>
        <w:t>capitals;</w:t>
      </w:r>
      <w:proofErr w:type="gramEnd"/>
      <w:r w:rsidRPr="00214570">
        <w:rPr>
          <w:rFonts w:ascii="Arial" w:hAnsi="Arial" w:cs="Arial"/>
        </w:rPr>
        <w:t xml:space="preserve"> </w:t>
      </w:r>
    </w:p>
    <w:p w14:paraId="5560EB5F" w14:textId="77777777" w:rsidR="00DA1195" w:rsidRDefault="00DA1195" w:rsidP="00DA1195">
      <w:pPr>
        <w:pStyle w:val="Default"/>
        <w:numPr>
          <w:ilvl w:val="1"/>
          <w:numId w:val="2"/>
        </w:numPr>
        <w:spacing w:after="164"/>
        <w:ind w:left="700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Reduces cost of capital. </w:t>
      </w:r>
    </w:p>
    <w:p w14:paraId="02326DDD" w14:textId="77777777" w:rsidR="00DA1195" w:rsidRPr="00214570" w:rsidRDefault="00DA1195" w:rsidP="00DA1195">
      <w:pPr>
        <w:pStyle w:val="Default"/>
        <w:ind w:left="283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The IR Framework identifies six capitals upon which companies depend. The IR Framework (2013, p.11) defines capitals as </w:t>
      </w:r>
      <w:r w:rsidRPr="00214570">
        <w:rPr>
          <w:rFonts w:ascii="Arial" w:hAnsi="Arial" w:cs="Arial"/>
          <w:i/>
          <w:iCs/>
        </w:rPr>
        <w:t xml:space="preserve">“stocks of value that are increased, decreased or transformed through the activities and outputs of the organization”. </w:t>
      </w:r>
      <w:r w:rsidRPr="00214570">
        <w:rPr>
          <w:rFonts w:ascii="Arial" w:hAnsi="Arial" w:cs="Arial"/>
        </w:rPr>
        <w:t xml:space="preserve">For example, when company makes profit, company’s </w:t>
      </w:r>
      <w:r w:rsidRPr="00214570">
        <w:rPr>
          <w:rFonts w:ascii="Arial" w:hAnsi="Arial" w:cs="Arial"/>
          <w:i/>
          <w:iCs/>
        </w:rPr>
        <w:t xml:space="preserve">financial capital </w:t>
      </w:r>
      <w:r w:rsidRPr="00214570">
        <w:rPr>
          <w:rFonts w:ascii="Arial" w:hAnsi="Arial" w:cs="Arial"/>
        </w:rPr>
        <w:t xml:space="preserve">increases. </w:t>
      </w:r>
    </w:p>
    <w:p w14:paraId="63AD5C4C" w14:textId="77777777" w:rsidR="00DA1195" w:rsidRPr="00214570" w:rsidRDefault="00DA1195" w:rsidP="00DA1195">
      <w:pPr>
        <w:pStyle w:val="Default"/>
        <w:ind w:left="283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However, capitals are not fixed over time; there is a constant flow between capitals. For example, when company invests in employee </w:t>
      </w:r>
      <w:proofErr w:type="gramStart"/>
      <w:r w:rsidRPr="00214570">
        <w:rPr>
          <w:rFonts w:ascii="Arial" w:hAnsi="Arial" w:cs="Arial"/>
        </w:rPr>
        <w:t>training</w:t>
      </w:r>
      <w:proofErr w:type="gramEnd"/>
      <w:r w:rsidRPr="00214570">
        <w:rPr>
          <w:rFonts w:ascii="Arial" w:hAnsi="Arial" w:cs="Arial"/>
        </w:rPr>
        <w:t xml:space="preserve"> so the </w:t>
      </w:r>
      <w:r w:rsidRPr="00214570">
        <w:rPr>
          <w:rFonts w:ascii="Arial" w:hAnsi="Arial" w:cs="Arial"/>
          <w:i/>
          <w:iCs/>
        </w:rPr>
        <w:t xml:space="preserve">human capital </w:t>
      </w:r>
      <w:r w:rsidRPr="00214570">
        <w:rPr>
          <w:rFonts w:ascii="Arial" w:hAnsi="Arial" w:cs="Arial"/>
        </w:rPr>
        <w:t xml:space="preserve">is increased, this reduces the </w:t>
      </w:r>
      <w:r w:rsidRPr="00214570">
        <w:rPr>
          <w:rFonts w:ascii="Arial" w:hAnsi="Arial" w:cs="Arial"/>
          <w:i/>
          <w:iCs/>
        </w:rPr>
        <w:t xml:space="preserve">financial capital </w:t>
      </w:r>
      <w:r w:rsidRPr="00214570">
        <w:rPr>
          <w:rFonts w:ascii="Arial" w:hAnsi="Arial" w:cs="Arial"/>
        </w:rPr>
        <w:t xml:space="preserve">through training costs. </w:t>
      </w:r>
    </w:p>
    <w:p w14:paraId="0CBAC57A" w14:textId="77777777" w:rsidR="00DA1195" w:rsidRDefault="00DA1195" w:rsidP="00DA1195">
      <w:pPr>
        <w:pStyle w:val="Default"/>
        <w:ind w:left="283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An organisation will have to identify which capital are relevant to them, as there is no need to include those that are not sufficiently important. </w:t>
      </w:r>
    </w:p>
    <w:p w14:paraId="74369915" w14:textId="77777777" w:rsidR="00DA1195" w:rsidRDefault="00DA1195" w:rsidP="00DA1195">
      <w:pPr>
        <w:pStyle w:val="Default"/>
        <w:ind w:left="283"/>
        <w:rPr>
          <w:rFonts w:ascii="Arial" w:hAnsi="Arial" w:cs="Arial"/>
        </w:rPr>
      </w:pPr>
    </w:p>
    <w:p w14:paraId="6D9BAA92" w14:textId="77777777" w:rsidR="00DA1195" w:rsidRPr="00214570" w:rsidRDefault="00DA1195" w:rsidP="00DA1195">
      <w:pPr>
        <w:pStyle w:val="Default"/>
        <w:ind w:left="227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Thus, the IR Framework (2013, pp. 11-12) identifies the following </w:t>
      </w:r>
      <w:r w:rsidRPr="00214570">
        <w:rPr>
          <w:rFonts w:ascii="Arial" w:hAnsi="Arial" w:cs="Arial"/>
          <w:b/>
          <w:bCs/>
          <w:i/>
          <w:iCs/>
        </w:rPr>
        <w:t xml:space="preserve">capitals </w:t>
      </w:r>
      <w:r w:rsidRPr="00214570">
        <w:rPr>
          <w:rFonts w:ascii="Arial" w:hAnsi="Arial" w:cs="Arial"/>
        </w:rPr>
        <w:t xml:space="preserve">(although organisations preparing IRs are not required to adopt the same categorisation): </w:t>
      </w:r>
    </w:p>
    <w:p w14:paraId="07EB8B45" w14:textId="77777777" w:rsidR="00DA1195" w:rsidRPr="00214570" w:rsidRDefault="00DA1195" w:rsidP="00DA1195">
      <w:pPr>
        <w:pStyle w:val="Default"/>
        <w:ind w:left="227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- Financial, i.e. the pool of funds available for use, obtained through financing (debt, equity, grants, generated through operations or investments) </w:t>
      </w:r>
    </w:p>
    <w:p w14:paraId="724A7CA7" w14:textId="77777777" w:rsidR="00DA1195" w:rsidRPr="00214570" w:rsidRDefault="00DA1195" w:rsidP="00DA1195">
      <w:pPr>
        <w:pStyle w:val="Default"/>
        <w:ind w:left="227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- Manufactured, i.e. physical objects that are available for use (buildings, equipment, infrastructure, such as roads, ports, etc.) </w:t>
      </w:r>
    </w:p>
    <w:p w14:paraId="2E9D016A" w14:textId="77777777" w:rsidR="00DA1195" w:rsidRPr="00214570" w:rsidRDefault="00DA1195" w:rsidP="00DA1195">
      <w:pPr>
        <w:pStyle w:val="Default"/>
        <w:ind w:left="227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- Intellectual – organisational, knowledge-based </w:t>
      </w:r>
      <w:proofErr w:type="gramStart"/>
      <w:r w:rsidRPr="00214570">
        <w:rPr>
          <w:rFonts w:ascii="Arial" w:hAnsi="Arial" w:cs="Arial"/>
        </w:rPr>
        <w:t>intangibles;</w:t>
      </w:r>
      <w:proofErr w:type="gramEnd"/>
      <w:r w:rsidRPr="00214570">
        <w:rPr>
          <w:rFonts w:ascii="Arial" w:hAnsi="Arial" w:cs="Arial"/>
        </w:rPr>
        <w:t xml:space="preserve"> i.e. intellectual property, as patents, software, rights; and ‘organisation capital’, as systems, procedures, protocols. </w:t>
      </w:r>
    </w:p>
    <w:p w14:paraId="584C04F7" w14:textId="77777777" w:rsidR="00DA1195" w:rsidRPr="00214570" w:rsidRDefault="00DA1195" w:rsidP="00DA1195">
      <w:pPr>
        <w:pStyle w:val="Default"/>
        <w:ind w:left="227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- Human – people’s competencies, capabilities and experience, and their motivation to innovate. </w:t>
      </w:r>
    </w:p>
    <w:p w14:paraId="7767602D" w14:textId="77777777" w:rsidR="00DA1195" w:rsidRDefault="00DA1195" w:rsidP="00DA1195">
      <w:pPr>
        <w:pStyle w:val="Default"/>
        <w:ind w:left="227"/>
        <w:rPr>
          <w:rFonts w:ascii="Arial" w:hAnsi="Arial" w:cs="Arial"/>
        </w:rPr>
      </w:pPr>
      <w:r w:rsidRPr="00214570">
        <w:rPr>
          <w:rFonts w:ascii="Arial" w:hAnsi="Arial" w:cs="Arial"/>
        </w:rPr>
        <w:t xml:space="preserve">- Social and relationship – The institutions and the relationships within and between communities, groups of stakeholders and other networks, and the ability to share information to enhance individual and collective well-being. These include key stakeholder relationships, intangibles associated with brand and reputation, an organisation’s licence to operate. </w:t>
      </w:r>
    </w:p>
    <w:p w14:paraId="38FF8E10" w14:textId="53E1A67E" w:rsidR="009A6A88" w:rsidRDefault="00DA1195" w:rsidP="00DA1195">
      <w:r w:rsidRPr="00214570">
        <w:rPr>
          <w:rFonts w:ascii="Arial" w:hAnsi="Arial" w:cs="Arial"/>
        </w:rPr>
        <w:t xml:space="preserve">- Natural – All renewable and non-renewable environmental resources and processes that provide goods or services that support the past, current or future prosperity of an organization. This includes air, water, land, minerals, forests, </w:t>
      </w:r>
      <w:proofErr w:type="gramStart"/>
      <w:r w:rsidRPr="00214570">
        <w:rPr>
          <w:rFonts w:ascii="Arial" w:hAnsi="Arial" w:cs="Arial"/>
        </w:rPr>
        <w:t>biodiversity</w:t>
      </w:r>
      <w:proofErr w:type="gramEnd"/>
      <w:r w:rsidRPr="00214570">
        <w:rPr>
          <w:rFonts w:ascii="Arial" w:hAnsi="Arial" w:cs="Arial"/>
        </w:rPr>
        <w:t xml:space="preserve"> and eco-system health.</w:t>
      </w:r>
    </w:p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F40DD1"/>
    <w:multiLevelType w:val="hybridMultilevel"/>
    <w:tmpl w:val="C8C026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E4866524">
      <w:numFmt w:val="bullet"/>
      <w:lvlText w:val="•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017763"/>
    <w:multiLevelType w:val="hybridMultilevel"/>
    <w:tmpl w:val="885A89B2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195"/>
    <w:rsid w:val="009A6A88"/>
    <w:rsid w:val="00DA1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EC426"/>
  <w15:chartTrackingRefBased/>
  <w15:docId w15:val="{F9FCB90F-9410-41BF-AF8C-88DD19296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1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DA1195"/>
    <w:pPr>
      <w:autoSpaceDE w:val="0"/>
      <w:autoSpaceDN w:val="0"/>
      <w:adjustRightInd w:val="0"/>
      <w:spacing w:after="0" w:line="240" w:lineRule="auto"/>
    </w:pPr>
    <w:rPr>
      <w:rFonts w:ascii="Times New Roman" w:eastAsiaTheme="minorEastAsia" w:hAnsi="Times New Roman" w:cs="Times New Roman"/>
      <w:color w:val="00000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359</Words>
  <Characters>2051</Characters>
  <Application>Microsoft Office Word</Application>
  <DocSecurity>0</DocSecurity>
  <Lines>17</Lines>
  <Paragraphs>4</Paragraphs>
  <ScaleCrop>false</ScaleCrop>
  <Company/>
  <LinksUpToDate>false</LinksUpToDate>
  <CharactersWithSpaces>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2021-03-10T12:42:00Z</dcterms:created>
  <dcterms:modified xsi:type="dcterms:W3CDTF">2021-03-10T12:42:00Z</dcterms:modified>
</cp:coreProperties>
</file>