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after="213" w:line="240" w:lineRule="auto"/>
        <w:rPr>
          <w:rFonts w:ascii="Helvetica" w:cs="Helvetica" w:hAnsi="Helvetica" w:eastAsia="Helvetica"/>
          <w:sz w:val="22"/>
          <w:szCs w:val="22"/>
        </w:rPr>
      </w:pPr>
      <w:r>
        <w:rPr>
          <w:rFonts w:ascii="Arial" w:hAnsi="Arial"/>
          <w:sz w:val="22"/>
          <w:szCs w:val="22"/>
          <w:rtl w:val="0"/>
        </w:rPr>
        <w:t>Elyse Hopkins</w:t>
      </w:r>
    </w:p>
    <w:p>
      <w:pPr>
        <w:pStyle w:val="Default"/>
        <w:spacing w:before="0" w:after="213" w:line="240" w:lineRule="auto"/>
        <w:rPr>
          <w:rFonts w:ascii="Helvetica" w:cs="Helvetica" w:hAnsi="Helvetica" w:eastAsia="Helvetica"/>
          <w:sz w:val="22"/>
          <w:szCs w:val="22"/>
        </w:rPr>
      </w:pPr>
      <w:r>
        <w:rPr>
          <w:rFonts w:ascii="Arial" w:hAnsi="Arial"/>
          <w:sz w:val="22"/>
          <w:szCs w:val="22"/>
          <w:rtl w:val="0"/>
        </w:rPr>
        <w:t>1550604</w:t>
      </w:r>
    </w:p>
    <w:p>
      <w:pPr>
        <w:pStyle w:val="Default"/>
        <w:spacing w:before="0" w:after="213" w:line="240" w:lineRule="auto"/>
        <w:rPr>
          <w:rFonts w:ascii="Helvetica" w:cs="Helvetica" w:hAnsi="Helvetica" w:eastAsia="Helvetica"/>
          <w:sz w:val="22"/>
          <w:szCs w:val="22"/>
        </w:rPr>
      </w:pPr>
      <w:r>
        <w:rPr>
          <w:rFonts w:ascii="Arial" w:hAnsi="Arial"/>
          <w:sz w:val="22"/>
          <w:szCs w:val="22"/>
          <w:rtl w:val="0"/>
          <w:lang w:val="pt-PT"/>
        </w:rPr>
        <w:t>ECPT6003</w:t>
      </w:r>
    </w:p>
    <w:p>
      <w:pPr>
        <w:pStyle w:val="Default"/>
        <w:spacing w:before="0" w:after="213" w:line="240" w:lineRule="auto"/>
        <w:rPr>
          <w:rFonts w:ascii="Helvetica" w:cs="Helvetica" w:hAnsi="Helvetica" w:eastAsia="Helvetica"/>
          <w:sz w:val="22"/>
          <w:szCs w:val="22"/>
        </w:rPr>
      </w:pPr>
      <w:r>
        <w:rPr>
          <w:rFonts w:ascii="Arial" w:hAnsi="Arial"/>
          <w:sz w:val="22"/>
          <w:szCs w:val="22"/>
          <w:rtl w:val="0"/>
          <w:lang w:val="en-US"/>
        </w:rPr>
        <w:t>Teaching Toolkit 1</w:t>
      </w:r>
    </w:p>
    <w:p>
      <w:pPr>
        <w:pStyle w:val="Default"/>
        <w:spacing w:before="0" w:after="213" w:line="360" w:lineRule="auto"/>
        <w:jc w:val="center"/>
        <w:rPr>
          <w:rFonts w:ascii="Helvetica" w:cs="Helvetica" w:hAnsi="Helvetica" w:eastAsia="Helvetica"/>
          <w:sz w:val="22"/>
          <w:szCs w:val="22"/>
          <w:u w:val="none" w:color="000000"/>
        </w:rPr>
      </w:pPr>
      <w:r>
        <w:rPr>
          <w:rFonts w:ascii="Arial" w:hAnsi="Arial"/>
          <w:sz w:val="22"/>
          <w:szCs w:val="22"/>
          <w:u w:val="single" w:color="000000"/>
          <w:rtl w:val="0"/>
          <w:lang w:val="en-US"/>
        </w:rPr>
        <w:t>Reflective Account</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r>
        <w:rPr>
          <w:rFonts w:ascii="Arial" w:hAnsi="Arial"/>
          <w:sz w:val="22"/>
          <w:szCs w:val="22"/>
          <w:u w:color="000000"/>
          <w:rtl w:val="0"/>
          <w:lang w:val="en-US"/>
        </w:rPr>
        <w:t>As a developing professional practitioner, I am writing this assignment in reflection to my teaching session with my peer group. In this essay, I have used the Driscoll reflective model to show my reflection of the event in a structured way (Dharmasaroja, 2024, p.61), the simplification of the model is a clear guide to follow to reflect within the word count. I have used the following subheadings to break down each step:</w:t>
      </w:r>
    </w:p>
    <w:p>
      <w:pPr>
        <w:pStyle w:val="Default"/>
        <w:spacing w:before="0" w:line="360" w:lineRule="auto"/>
        <w:ind w:left="960" w:hanging="960"/>
        <w:rPr>
          <w:rFonts w:ascii="Helvetica" w:cs="Helvetica" w:hAnsi="Helvetica" w:eastAsia="Helvetica"/>
          <w:sz w:val="22"/>
          <w:szCs w:val="22"/>
          <w:u w:color="000000"/>
        </w:rPr>
      </w:pPr>
      <w:r>
        <w:rPr>
          <w:rFonts w:ascii="Arial Unicode MS" w:hAnsi="Arial Unicode MS" w:hint="default"/>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What?</w:t>
      </w:r>
    </w:p>
    <w:p>
      <w:pPr>
        <w:pStyle w:val="Default"/>
        <w:spacing w:before="0" w:line="360" w:lineRule="auto"/>
        <w:ind w:left="960" w:hanging="960"/>
        <w:rPr>
          <w:rFonts w:ascii="Helvetica" w:cs="Helvetica" w:hAnsi="Helvetica" w:eastAsia="Helvetica"/>
          <w:sz w:val="22"/>
          <w:szCs w:val="22"/>
          <w:u w:color="000000"/>
        </w:rPr>
      </w:pPr>
      <w:r>
        <w:rPr>
          <w:rFonts w:ascii="Arial Unicode MS" w:hAnsi="Arial Unicode MS" w:hint="default"/>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So What?</w:t>
      </w:r>
    </w:p>
    <w:p>
      <w:pPr>
        <w:pStyle w:val="Default"/>
        <w:spacing w:before="0" w:after="213" w:line="360" w:lineRule="auto"/>
        <w:ind w:left="960" w:hanging="960"/>
        <w:rPr>
          <w:rFonts w:ascii="Helvetica" w:cs="Helvetica" w:hAnsi="Helvetica" w:eastAsia="Helvetica"/>
          <w:sz w:val="22"/>
          <w:szCs w:val="22"/>
          <w:u w:color="000000"/>
        </w:rPr>
      </w:pPr>
      <w:r>
        <w:rPr>
          <w:rFonts w:ascii="Arial Unicode MS" w:hAnsi="Arial Unicode MS" w:hint="default"/>
          <w:sz w:val="22"/>
          <w:szCs w:val="22"/>
          <w:u w:color="000000"/>
          <w:rtl w:val="0"/>
        </w:rPr>
        <w:t>·</w:t>
      </w:r>
      <w:r>
        <w:rPr>
          <w:rFonts w:ascii="Times New Roman" w:hAnsi="Times New Roman" w:hint="default"/>
          <w:sz w:val="22"/>
          <w:szCs w:val="22"/>
          <w:u w:color="000000"/>
          <w:rtl w:val="0"/>
        </w:rPr>
        <w:t xml:space="preserve">       </w:t>
      </w:r>
      <w:r>
        <w:rPr>
          <w:rFonts w:ascii="Arial" w:hAnsi="Arial"/>
          <w:sz w:val="22"/>
          <w:szCs w:val="22"/>
          <w:u w:color="000000"/>
          <w:rtl w:val="0"/>
          <w:lang w:val="en-US"/>
        </w:rPr>
        <w:t>Now What?</w:t>
      </w:r>
    </w:p>
    <w:p>
      <w:pPr>
        <w:pStyle w:val="Default"/>
        <w:spacing w:before="0" w:line="360" w:lineRule="auto"/>
        <w:rPr>
          <w:sz w:val="22"/>
          <w:szCs w:val="22"/>
          <w:u w:color="000000"/>
        </w:rPr>
      </w:pPr>
      <w:r>
        <w:rPr>
          <w:rFonts w:ascii="Arial" w:hAnsi="Arial" w:hint="default"/>
          <w:sz w:val="22"/>
          <w:szCs w:val="22"/>
          <w:u w:color="000000"/>
          <w:rtl w:val="0"/>
        </w:rPr>
        <w:t> </w:t>
      </w:r>
    </w:p>
    <w:p>
      <w:pPr>
        <w:pStyle w:val="Default"/>
        <w:spacing w:before="0" w:line="360" w:lineRule="auto"/>
        <w:rPr>
          <w:sz w:val="22"/>
          <w:szCs w:val="22"/>
          <w:u w:val="none" w:color="000000"/>
        </w:rPr>
      </w:pPr>
      <w:r>
        <w:rPr>
          <w:rFonts w:ascii="Arial" w:hAnsi="Arial"/>
          <w:sz w:val="22"/>
          <w:szCs w:val="22"/>
          <w:u w:val="single" w:color="000000"/>
          <w:rtl w:val="0"/>
          <w:lang w:val="en-US"/>
        </w:rPr>
        <w:t>What?</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xml:space="preserve">  </w:t>
      </w:r>
      <w:r>
        <w:rPr>
          <w:rFonts w:ascii="Arial" w:hAnsi="Arial"/>
          <w:sz w:val="22"/>
          <w:szCs w:val="22"/>
          <w:u w:color="000000"/>
          <w:rtl w:val="0"/>
          <w:lang w:val="en-US"/>
        </w:rPr>
        <w:t xml:space="preserve">As part of my module, I was to plan and deliver a thirty-minute lesson of our personal choice; due to my knowledge of art and design I decided to teach </w:t>
      </w:r>
      <w:r>
        <w:rPr>
          <w:rFonts w:ascii="Arial Unicode MS" w:hAnsi="Arial Unicode MS" w:hint="default"/>
          <w:sz w:val="22"/>
          <w:szCs w:val="22"/>
          <w:u w:color="000000"/>
          <w:rtl w:val="1"/>
        </w:rPr>
        <w:t>‘</w:t>
      </w:r>
      <w:r>
        <w:rPr>
          <w:rFonts w:ascii="Arial" w:hAnsi="Arial"/>
          <w:sz w:val="22"/>
          <w:szCs w:val="22"/>
          <w:u w:color="000000"/>
          <w:rtl w:val="0"/>
          <w:lang w:val="en-US"/>
        </w:rPr>
        <w:t>Art and Emotion.</w:t>
      </w:r>
      <w:r>
        <w:rPr>
          <w:rFonts w:ascii="Arial" w:hAnsi="Arial" w:hint="default"/>
          <w:sz w:val="22"/>
          <w:szCs w:val="22"/>
          <w:u w:color="000000"/>
          <w:rtl w:val="0"/>
        </w:rPr>
        <w:t>’  </w:t>
      </w:r>
      <w:r>
        <w:rPr>
          <w:rFonts w:ascii="Arial" w:hAnsi="Arial"/>
          <w:sz w:val="22"/>
          <w:szCs w:val="22"/>
          <w:u w:color="000000"/>
          <w:rtl w:val="0"/>
          <w:lang w:val="en-US"/>
        </w:rPr>
        <w:t>My decision to choose this topic for a lesson was from previously studying the art movement Expressionism. The understanding of emotional awareness and interpretations of feelings could be applied to varied professions (Jack, 2012, p.812) for the teaching to be utilised as a skill that the learners can take further into their own practice.</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r>
        <w:rPr>
          <w:rFonts w:ascii="Arial" w:hAnsi="Arial"/>
          <w:sz w:val="22"/>
          <w:szCs w:val="22"/>
          <w:u w:color="000000"/>
          <w:rtl w:val="0"/>
          <w:lang w:val="en-US"/>
        </w:rPr>
        <w:t xml:space="preserve">On the 23rd September 2024 I delivered an art lesson using PowerPoint comprised of theory, visuals and sounds to keep engagement (Avis </w:t>
      </w:r>
      <w:r>
        <w:rPr>
          <w:rFonts w:ascii="Arial" w:hAnsi="Arial"/>
          <w:i w:val="1"/>
          <w:iCs w:val="1"/>
          <w:sz w:val="22"/>
          <w:szCs w:val="22"/>
          <w:u w:color="000000"/>
          <w:rtl w:val="0"/>
          <w:lang w:val="nl-NL"/>
        </w:rPr>
        <w:t>et al,</w:t>
      </w:r>
      <w:r>
        <w:rPr>
          <w:rFonts w:ascii="Arial" w:hAnsi="Arial"/>
          <w:sz w:val="22"/>
          <w:szCs w:val="22"/>
          <w:u w:color="000000"/>
          <w:rtl w:val="0"/>
          <w:lang w:val="en-US"/>
        </w:rPr>
        <w:t xml:space="preserve"> 2019 p.148). I devised an activity with the learners to produce mark making from their thoughts and emotions in response to listening to music. I structured my lesson with a plan researching learning styles (Coles, 2004 p.53-54), an art lesson that caters to individual learners can input effective learning; a variety of strategies with a creative task can encourage engagement and develop their skills (Simons &amp; Hicks, 2006 p.80) which can be carried beyond the classroom.</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r>
        <w:rPr>
          <w:rFonts w:ascii="Arial" w:hAnsi="Arial"/>
          <w:sz w:val="22"/>
          <w:szCs w:val="22"/>
          <w:u w:color="000000"/>
          <w:rtl w:val="0"/>
          <w:lang w:val="en-US"/>
        </w:rPr>
        <w:t>The lesson began with an introduction to the topic and the objectives of the lesson; for the learners to expand their knowledge and apply their learning. The Basic Teaching Model by Reece and Walker illustrates this by emphasizing that there needs to be a clear goal for them to follow to achieve what is being taught (2007, p.5). In line with professional standards as per my lesson plan adapted from Educators Wales (2023), I utilised my knowledge of the Welsh language by incorporating bilingual titles to each slide; individuals who are not fluent Welsh speakers were given the opportunity to familiarise and learn the language in the duration of the session. Further, it fosters inclusivity by empowering those fluent and encouraging learners to be confident in using a different language, I informed the class that there would be trigger warnings given the nature of the topic; some of the artwork depicted nudity and bodily fluid which may have made the learners feel uncomfortable To counteract any issues, I had fore warned before continuing and informed those who may feel uncomfortable were free to leave the lesson, inclusivity in the classroom builds trust and confidence in addition to feeling valued (Gregson &amp; Hillier, 2015 p.142-144).</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r>
        <w:rPr>
          <w:rFonts w:ascii="Arial" w:hAnsi="Arial"/>
          <w:sz w:val="22"/>
          <w:szCs w:val="22"/>
          <w:u w:color="000000"/>
          <w:rtl w:val="0"/>
          <w:lang w:val="en-US"/>
        </w:rPr>
        <w:t>To ease into the topic, I asked open questions of what art and emotions mean; this exercise was not only to assess the learner</w:t>
      </w:r>
      <w:r>
        <w:rPr>
          <w:rFonts w:ascii="Arial Unicode MS" w:hAnsi="Arial Unicode MS" w:hint="default"/>
          <w:sz w:val="22"/>
          <w:szCs w:val="22"/>
          <w:u w:color="000000"/>
          <w:rtl w:val="1"/>
        </w:rPr>
        <w:t>’</w:t>
      </w:r>
      <w:r>
        <w:rPr>
          <w:rFonts w:ascii="Arial" w:hAnsi="Arial"/>
          <w:sz w:val="22"/>
          <w:szCs w:val="22"/>
          <w:u w:color="000000"/>
          <w:rtl w:val="0"/>
          <w:lang w:val="en-US"/>
        </w:rPr>
        <w:t xml:space="preserve">s level of knowledge, but to contribute and expand to help them feel involved (Reece and Walker, 2007 p.117). I introduced theories of the art movement </w:t>
      </w:r>
      <w:r>
        <w:rPr>
          <w:rFonts w:ascii="Arial Unicode MS" w:hAnsi="Arial Unicode MS" w:hint="default"/>
          <w:sz w:val="22"/>
          <w:szCs w:val="22"/>
          <w:u w:color="000000"/>
          <w:rtl w:val="1"/>
        </w:rPr>
        <w:t>‘</w:t>
      </w:r>
      <w:r>
        <w:rPr>
          <w:rFonts w:ascii="Arial" w:hAnsi="Arial"/>
          <w:sz w:val="22"/>
          <w:szCs w:val="22"/>
          <w:u w:color="000000"/>
          <w:rtl w:val="0"/>
          <w:lang w:val="it-IT"/>
        </w:rPr>
        <w:t>Expressionism</w:t>
      </w:r>
      <w:r>
        <w:rPr>
          <w:rFonts w:ascii="Arial Unicode MS" w:hAnsi="Arial Unicode MS" w:hint="default"/>
          <w:sz w:val="22"/>
          <w:szCs w:val="22"/>
          <w:u w:color="000000"/>
          <w:rtl w:val="1"/>
        </w:rPr>
        <w:t xml:space="preserve">’ </w:t>
      </w:r>
      <w:r>
        <w:rPr>
          <w:rFonts w:ascii="Arial" w:hAnsi="Arial"/>
          <w:sz w:val="22"/>
          <w:szCs w:val="22"/>
          <w:u w:color="000000"/>
          <w:rtl w:val="0"/>
          <w:lang w:val="en-US"/>
        </w:rPr>
        <w:t xml:space="preserve">into the lesson to give information about how art and emotion links and asked the group if they had any questions before continuing. The latter part of the lesson, I played a video of a conceptual artist and asked how the learners felt from watching the clip. This was a strategy to break from theory for the learners to use cognitive skills and think about their emotions; drawing upon the three domains noted by Blagg </w:t>
      </w:r>
      <w:r>
        <w:rPr>
          <w:rFonts w:ascii="Arial" w:hAnsi="Arial"/>
          <w:i w:val="1"/>
          <w:iCs w:val="1"/>
          <w:sz w:val="22"/>
          <w:szCs w:val="22"/>
          <w:u w:color="000000"/>
          <w:rtl w:val="0"/>
          <w:lang w:val="nl-NL"/>
        </w:rPr>
        <w:t>et al</w:t>
      </w:r>
      <w:r>
        <w:rPr>
          <w:rFonts w:ascii="Arial" w:hAnsi="Arial"/>
          <w:sz w:val="22"/>
          <w:szCs w:val="22"/>
          <w:u w:color="000000"/>
          <w:rtl w:val="0"/>
          <w:lang w:val="en-US"/>
        </w:rPr>
        <w:t>. (1988 quoted in Coles and Worrow, 2004, p.161) learners will need to grasp concepts, skills and knowledge and verbal tools before critical thinking takes place, therefore by introducing pedagogy of collaboration and discussion guides them into cognitive reasoning. The final activity was a drawing exercise with provided material, linking to inclusivity in professional standards, this was to ensure equal opportunity for the learners to engage (Educators Wales, 2023). Due to the remaining time of the lesson, I had shortened the activity down, the learners were asked their thoughts on the topic and how they could apply what they have learned about drawings and emotion into their practice and skills development.</w:t>
      </w:r>
    </w:p>
    <w:p>
      <w:pPr>
        <w:pStyle w:val="Default"/>
        <w:spacing w:before="0" w:after="213" w:line="360" w:lineRule="auto"/>
        <w:rPr>
          <w:rFonts w:ascii="Helvetica" w:cs="Helvetica" w:hAnsi="Helvetica" w:eastAsia="Helvetica"/>
          <w:sz w:val="22"/>
          <w:szCs w:val="22"/>
          <w:u w:val="none" w:color="000000"/>
        </w:rPr>
      </w:pPr>
      <w:r>
        <w:rPr>
          <w:rFonts w:ascii="Arial" w:hAnsi="Arial"/>
          <w:sz w:val="22"/>
          <w:szCs w:val="22"/>
          <w:u w:val="single" w:color="000000"/>
          <w:rtl w:val="0"/>
          <w:lang w:val="en-US"/>
        </w:rPr>
        <w:t>So What?</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r>
        <w:rPr>
          <w:rFonts w:ascii="Arial" w:hAnsi="Arial"/>
          <w:sz w:val="22"/>
          <w:szCs w:val="22"/>
          <w:u w:color="000000"/>
          <w:rtl w:val="0"/>
          <w:lang w:val="en-US"/>
        </w:rPr>
        <w:t xml:space="preserve">The morning of the lesson I felt nervous by thinking that the learners would not understand the objectives and that I would not have been able to the effectively deliver the lesson in the way I planned; I do not feel I am most the confident to speaking in a large group as I am conscious with wording phrases on the spot. I was also concerned with time management as although I had practiced with mock lessons in the days prior to the lesson, I was finding that I was going over the allotted time. I found that after doing discussions I was running short for time consequently, I had to cut the last activity short and only had a brief discussion to close the lesson. I feel if I had managed my time better allowing more time for discussion, I would be able to assess what they have taken from the lecture (Reece &amp; Walker, 2007 p.114). Once the lesson was finished, I received feedback from the observing lecturer who noted that I communicated well with the group with a positive flow of engagement; comparatively what I had felt at the time to now, I was underestimating my ability, I feel my confidence can grow from this affirming feedback (Race, 2020, p.27). Schon (1992 quoted by Coles 2004, p166) notes the process </w:t>
      </w:r>
      <w:r>
        <w:rPr>
          <w:rFonts w:ascii="Arial Unicode MS" w:hAnsi="Arial Unicode MS" w:hint="default"/>
          <w:sz w:val="22"/>
          <w:szCs w:val="22"/>
          <w:u w:color="000000"/>
          <w:rtl w:val="1"/>
          <w:lang w:val="ar-SA" w:bidi="ar-SA"/>
        </w:rPr>
        <w:t>“</w:t>
      </w:r>
      <w:r>
        <w:rPr>
          <w:rFonts w:ascii="Arial" w:hAnsi="Arial"/>
          <w:i w:val="1"/>
          <w:iCs w:val="1"/>
          <w:sz w:val="22"/>
          <w:szCs w:val="22"/>
          <w:u w:color="000000"/>
          <w:rtl w:val="0"/>
          <w:lang w:val="fr-FR"/>
        </w:rPr>
        <w:t>reflection-on-action</w:t>
      </w:r>
      <w:r>
        <w:rPr>
          <w:rFonts w:ascii="Arial" w:hAnsi="Arial" w:hint="default"/>
          <w:sz w:val="22"/>
          <w:szCs w:val="22"/>
          <w:u w:color="000000"/>
          <w:rtl w:val="0"/>
        </w:rPr>
        <w:t xml:space="preserve">” </w:t>
      </w:r>
      <w:r>
        <w:rPr>
          <w:rFonts w:ascii="Arial" w:hAnsi="Arial"/>
          <w:sz w:val="22"/>
          <w:szCs w:val="22"/>
          <w:u w:color="000000"/>
          <w:rtl w:val="0"/>
          <w:lang w:val="en-US"/>
        </w:rPr>
        <w:t>implies giving time to think over after the event has occurred, this helped to rationally evaluate what happened and why it happened. From this, I had placed too much focus into a mental aspect neglecting the physical aspect of time management which affected my assessment of learning. Similarly, from the feedback of my peers, more time for discussion would have been beneficial to go into depth on the topic as the learners positively enjoyed the lesson.</w:t>
      </w:r>
    </w:p>
    <w:p>
      <w:pPr>
        <w:pStyle w:val="Default"/>
        <w:spacing w:before="0" w:after="213" w:line="360" w:lineRule="auto"/>
        <w:rPr>
          <w:rFonts w:ascii="Helvetica" w:cs="Helvetica" w:hAnsi="Helvetica" w:eastAsia="Helvetica"/>
          <w:sz w:val="22"/>
          <w:szCs w:val="22"/>
          <w:u w:val="none" w:color="000000"/>
        </w:rPr>
      </w:pPr>
      <w:r>
        <w:rPr>
          <w:rFonts w:ascii="Arial" w:hAnsi="Arial"/>
          <w:sz w:val="22"/>
          <w:szCs w:val="22"/>
          <w:u w:val="single" w:color="000000"/>
          <w:rtl w:val="0"/>
          <w:lang w:val="en-US"/>
        </w:rPr>
        <w:t>Now What?</w:t>
      </w:r>
    </w:p>
    <w:p>
      <w:pPr>
        <w:pStyle w:val="Default"/>
        <w:spacing w:before="0" w:after="213" w:line="360" w:lineRule="auto"/>
        <w:rPr>
          <w:rFonts w:ascii="Helvetica" w:cs="Helvetica" w:hAnsi="Helvetica" w:eastAsia="Helvetica"/>
          <w:sz w:val="22"/>
          <w:szCs w:val="22"/>
          <w:u w:color="000000"/>
        </w:rPr>
      </w:pPr>
      <w:r>
        <w:rPr>
          <w:rFonts w:ascii="Arial" w:hAnsi="Arial"/>
          <w:sz w:val="22"/>
          <w:szCs w:val="22"/>
          <w:u w:color="000000"/>
          <w:rtl w:val="0"/>
          <w:lang w:val="en-US"/>
        </w:rPr>
        <w:t>Overall, the experience was positive; I recognise that initially I may have felt uneasy but being my first time delivering a lesson, the feedback affirmed to me it went better than expected, to take this event as learning curve. My future focus will be time management, this will be an area of improvement to enhance my confidence by practicing through placements, this will be documented through an action plan that I will</w:t>
      </w:r>
      <w:r>
        <w:rPr>
          <w:rFonts w:ascii="Helvetica" w:hAnsi="Helvetica"/>
          <w:sz w:val="22"/>
          <w:szCs w:val="22"/>
          <w:u w:color="000000"/>
          <w:rtl w:val="0"/>
          <w:lang w:val="en-US"/>
        </w:rPr>
        <w:t xml:space="preserve"> continually update as I advance in my profession.</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p>
    <w:p>
      <w:pPr>
        <w:pStyle w:val="Default"/>
        <w:spacing w:before="0" w:after="213" w:line="360" w:lineRule="auto"/>
        <w:jc w:val="right"/>
        <w:rPr>
          <w:rFonts w:ascii="Helvetica" w:cs="Helvetica" w:hAnsi="Helvetica" w:eastAsia="Helvetica"/>
          <w:sz w:val="22"/>
          <w:szCs w:val="22"/>
          <w:u w:color="000000"/>
        </w:rPr>
      </w:pPr>
      <w:r>
        <w:rPr>
          <w:rFonts w:ascii="Arial" w:hAnsi="Arial"/>
          <w:sz w:val="22"/>
          <w:szCs w:val="22"/>
          <w:u w:color="000000"/>
          <w:rtl w:val="0"/>
          <w:lang w:val="en-US"/>
        </w:rPr>
        <w:t>Word Count:1090</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p>
    <w:p>
      <w:pPr>
        <w:pStyle w:val="Default"/>
        <w:spacing w:before="0" w:after="213" w:line="360" w:lineRule="auto"/>
        <w:rPr>
          <w:rFonts w:ascii="Helvetica" w:cs="Helvetica" w:hAnsi="Helvetica" w:eastAsia="Helvetica"/>
          <w:sz w:val="22"/>
          <w:szCs w:val="22"/>
          <w:u w:color="000000"/>
        </w:rPr>
      </w:pPr>
      <w:r>
        <w:rPr>
          <w:rFonts w:ascii="Arial" w:hAnsi="Arial" w:hint="default"/>
          <w:sz w:val="22"/>
          <w:szCs w:val="22"/>
          <w:u w:color="000000"/>
          <w:rtl w:val="0"/>
        </w:rPr>
        <w:t> </w:t>
      </w:r>
    </w:p>
    <w:p>
      <w:pPr>
        <w:pStyle w:val="Default"/>
        <w:spacing w:before="0" w:line="360" w:lineRule="auto"/>
        <w:rPr>
          <w:rFonts w:ascii="Arial" w:cs="Arial" w:hAnsi="Arial" w:eastAsia="Arial"/>
          <w:sz w:val="22"/>
          <w:szCs w:val="22"/>
          <w:u w:color="000000"/>
        </w:rPr>
      </w:pPr>
    </w:p>
    <w:p>
      <w:pPr>
        <w:pStyle w:val="Default"/>
        <w:spacing w:before="0" w:after="213" w:line="360" w:lineRule="auto"/>
        <w:rPr>
          <w:rFonts w:ascii="Arial" w:cs="Arial" w:hAnsi="Arial" w:eastAsia="Arial"/>
          <w:sz w:val="22"/>
          <w:szCs w:val="22"/>
          <w:u w:color="000000"/>
        </w:rPr>
      </w:pPr>
      <w:r>
        <w:rPr>
          <w:rFonts w:ascii="Arial" w:hAnsi="Arial" w:hint="default"/>
          <w:sz w:val="22"/>
          <w:szCs w:val="22"/>
          <w:u w:color="000000"/>
          <w:rtl w:val="0"/>
        </w:rPr>
        <w:t> </w:t>
      </w:r>
    </w:p>
    <w:p>
      <w:pPr>
        <w:pStyle w:val="Default"/>
        <w:spacing w:before="0" w:after="213" w:line="360" w:lineRule="auto"/>
        <w:rPr>
          <w:rFonts w:ascii="Arial" w:cs="Arial" w:hAnsi="Arial" w:eastAsia="Arial"/>
          <w:sz w:val="22"/>
          <w:szCs w:val="22"/>
          <w:u w:color="000000"/>
        </w:rPr>
      </w:pPr>
    </w:p>
    <w:p>
      <w:pPr>
        <w:pStyle w:val="Default"/>
        <w:spacing w:before="0" w:after="213" w:line="360" w:lineRule="auto"/>
        <w:rPr>
          <w:rFonts w:ascii="Arial" w:cs="Arial" w:hAnsi="Arial" w:eastAsia="Arial"/>
          <w:sz w:val="22"/>
          <w:szCs w:val="22"/>
          <w:u w:color="000000"/>
        </w:rPr>
      </w:pPr>
    </w:p>
    <w:p>
      <w:pPr>
        <w:pStyle w:val="Default"/>
        <w:spacing w:before="0" w:after="213" w:line="360" w:lineRule="auto"/>
        <w:rPr>
          <w:rFonts w:ascii="Arial" w:cs="Arial" w:hAnsi="Arial" w:eastAsia="Arial"/>
          <w:sz w:val="22"/>
          <w:szCs w:val="22"/>
          <w:u w:color="000000"/>
        </w:rPr>
      </w:pPr>
    </w:p>
    <w:p>
      <w:pPr>
        <w:pStyle w:val="Default"/>
        <w:spacing w:before="0" w:after="213" w:line="360" w:lineRule="auto"/>
        <w:rPr>
          <w:rFonts w:ascii="Arial" w:cs="Arial" w:hAnsi="Arial" w:eastAsia="Arial"/>
          <w:sz w:val="22"/>
          <w:szCs w:val="22"/>
          <w:u w:color="000000"/>
        </w:rPr>
      </w:pPr>
    </w:p>
    <w:p>
      <w:pPr>
        <w:pStyle w:val="Default"/>
        <w:spacing w:before="0" w:after="213" w:line="360" w:lineRule="auto"/>
        <w:rPr>
          <w:rFonts w:ascii="Arial" w:cs="Arial" w:hAnsi="Arial" w:eastAsia="Arial"/>
          <w:sz w:val="22"/>
          <w:szCs w:val="22"/>
          <w:u w:color="000000"/>
        </w:rPr>
      </w:pPr>
    </w:p>
    <w:p>
      <w:pPr>
        <w:pStyle w:val="Default"/>
        <w:spacing w:before="0" w:after="213" w:line="360" w:lineRule="auto"/>
        <w:rPr>
          <w:rFonts w:ascii="Helvetica" w:cs="Helvetica" w:hAnsi="Helvetica" w:eastAsia="Helvetica"/>
          <w:sz w:val="22"/>
          <w:szCs w:val="22"/>
          <w:u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single" w:color="000000"/>
        </w:rPr>
      </w:pPr>
    </w:p>
    <w:p>
      <w:pPr>
        <w:pStyle w:val="Default"/>
        <w:spacing w:before="0" w:after="213" w:line="360" w:lineRule="auto"/>
        <w:jc w:val="center"/>
        <w:rPr>
          <w:rFonts w:ascii="Helvetica" w:cs="Helvetica" w:hAnsi="Helvetica" w:eastAsia="Helvetica"/>
          <w:sz w:val="22"/>
          <w:szCs w:val="22"/>
          <w:u w:val="none" w:color="000000"/>
        </w:rPr>
      </w:pPr>
      <w:r>
        <w:rPr>
          <w:rFonts w:ascii="Arial" w:hAnsi="Arial"/>
          <w:sz w:val="22"/>
          <w:szCs w:val="22"/>
          <w:u w:val="single" w:color="000000"/>
          <w:rtl w:val="0"/>
          <w:lang w:val="fr-FR"/>
        </w:rPr>
        <w:t>References</w:t>
      </w:r>
    </w:p>
    <w:p>
      <w:pPr>
        <w:pStyle w:val="Default"/>
        <w:spacing w:before="0" w:after="213" w:line="360" w:lineRule="auto"/>
        <w:rPr>
          <w:rFonts w:ascii="Helvetica" w:cs="Helvetica" w:hAnsi="Helvetica" w:eastAsia="Helvetica"/>
          <w:sz w:val="22"/>
          <w:szCs w:val="22"/>
          <w:u w:color="000000"/>
        </w:rPr>
      </w:pPr>
      <w:r>
        <w:rPr>
          <w:rFonts w:ascii="Arial" w:hAnsi="Arial"/>
          <w:sz w:val="22"/>
          <w:szCs w:val="22"/>
          <w:u w:color="000000"/>
          <w:rtl w:val="0"/>
        </w:rPr>
        <w:t xml:space="preserve">Avis, J. Fisher, R. Thompson, R. (2019) </w:t>
      </w:r>
      <w:r>
        <w:rPr>
          <w:rFonts w:ascii="Arial" w:hAnsi="Arial"/>
          <w:i w:val="1"/>
          <w:iCs w:val="1"/>
          <w:sz w:val="22"/>
          <w:szCs w:val="22"/>
          <w:u w:color="000000"/>
          <w:rtl w:val="0"/>
          <w:lang w:val="en-US"/>
        </w:rPr>
        <w:t>Teaching in Lifelong Learning: A Guide to Theory and Practice</w:t>
      </w:r>
      <w:r>
        <w:rPr>
          <w:rFonts w:ascii="Arial" w:hAnsi="Arial"/>
          <w:sz w:val="22"/>
          <w:szCs w:val="22"/>
          <w:u w:color="000000"/>
          <w:rtl w:val="0"/>
          <w:lang w:val="de-DE"/>
        </w:rPr>
        <w:t>. London: Open University Press. pp.148.</w:t>
      </w:r>
    </w:p>
    <w:p>
      <w:pPr>
        <w:pStyle w:val="Default"/>
        <w:spacing w:before="0" w:after="213" w:line="360" w:lineRule="auto"/>
        <w:rPr>
          <w:rFonts w:ascii="Helvetica" w:cs="Helvetica" w:hAnsi="Helvetica" w:eastAsia="Helvetica"/>
          <w:sz w:val="22"/>
          <w:szCs w:val="22"/>
          <w:u w:color="000000"/>
        </w:rPr>
      </w:pPr>
      <w:r>
        <w:rPr>
          <w:rFonts w:ascii="Arial" w:hAnsi="Arial"/>
          <w:sz w:val="22"/>
          <w:szCs w:val="22"/>
          <w:u w:color="000000"/>
          <w:rtl w:val="0"/>
        </w:rPr>
        <w:t xml:space="preserve">Coles, A. (ed.) (2004) </w:t>
      </w:r>
      <w:r>
        <w:rPr>
          <w:rFonts w:ascii="Arial" w:hAnsi="Arial"/>
          <w:i w:val="1"/>
          <w:iCs w:val="1"/>
          <w:sz w:val="22"/>
          <w:szCs w:val="22"/>
          <w:u w:color="000000"/>
          <w:rtl w:val="0"/>
          <w:lang w:val="en-US"/>
        </w:rPr>
        <w:t>Teaching in Post-Compulsory Education</w:t>
      </w:r>
      <w:r>
        <w:rPr>
          <w:rFonts w:ascii="Arial" w:hAnsi="Arial"/>
          <w:sz w:val="22"/>
          <w:szCs w:val="22"/>
          <w:u w:color="000000"/>
          <w:rtl w:val="0"/>
        </w:rPr>
        <w:t>. Oxon: David Fulton Publishers. pp.53-54,161,166.</w:t>
      </w:r>
    </w:p>
    <w:p>
      <w:pPr>
        <w:pStyle w:val="Default"/>
        <w:spacing w:before="0" w:after="213" w:line="360" w:lineRule="auto"/>
        <w:rPr>
          <w:rFonts w:ascii="Helvetica" w:cs="Helvetica" w:hAnsi="Helvetica" w:eastAsia="Helvetica"/>
          <w:sz w:val="22"/>
          <w:szCs w:val="22"/>
          <w:u w:color="000000"/>
        </w:rPr>
      </w:pPr>
      <w:r>
        <w:rPr>
          <w:rFonts w:ascii="Arial" w:hAnsi="Arial"/>
          <w:sz w:val="22"/>
          <w:szCs w:val="22"/>
          <w:u w:color="000000"/>
          <w:rtl w:val="0"/>
        </w:rPr>
        <w:t xml:space="preserve">Dharmasaroja, P. (2024) </w:t>
      </w:r>
      <w:r>
        <w:rPr>
          <w:rFonts w:ascii="Arial Unicode MS" w:hAnsi="Arial Unicode MS" w:hint="default"/>
          <w:sz w:val="22"/>
          <w:szCs w:val="22"/>
          <w:u w:color="000000"/>
          <w:rtl w:val="1"/>
        </w:rPr>
        <w:t>‘</w:t>
      </w:r>
      <w:r>
        <w:rPr>
          <w:rFonts w:ascii="Arial" w:hAnsi="Arial"/>
          <w:sz w:val="22"/>
          <w:szCs w:val="22"/>
          <w:u w:color="000000"/>
          <w:rtl w:val="0"/>
          <w:lang w:val="en-US"/>
        </w:rPr>
        <w:t>Empowering Reflection and Reflective Writing in Medical Education</w:t>
      </w:r>
      <w:r>
        <w:rPr>
          <w:rFonts w:ascii="Arial Unicode MS" w:hAnsi="Arial Unicode MS" w:hint="default"/>
          <w:sz w:val="22"/>
          <w:szCs w:val="22"/>
          <w:u w:color="000000"/>
          <w:rtl w:val="1"/>
        </w:rPr>
        <w:t>’</w:t>
      </w:r>
      <w:r>
        <w:rPr>
          <w:rFonts w:ascii="Arial" w:hAnsi="Arial"/>
          <w:sz w:val="22"/>
          <w:szCs w:val="22"/>
          <w:u w:color="000000"/>
          <w:rtl w:val="0"/>
        </w:rPr>
        <w:t xml:space="preserve">, </w:t>
      </w:r>
      <w:r>
        <w:rPr>
          <w:rFonts w:ascii="Arial" w:hAnsi="Arial"/>
          <w:i w:val="1"/>
          <w:iCs w:val="1"/>
          <w:sz w:val="22"/>
          <w:szCs w:val="22"/>
          <w:u w:color="000000"/>
          <w:rtl w:val="0"/>
          <w:lang w:val="it-IT"/>
        </w:rPr>
        <w:t xml:space="preserve">Ramathibodi Medical Journal, </w:t>
      </w:r>
      <w:r>
        <w:rPr>
          <w:rFonts w:ascii="Arial" w:hAnsi="Arial"/>
          <w:sz w:val="22"/>
          <w:szCs w:val="22"/>
          <w:u w:color="000000"/>
          <w:rtl w:val="0"/>
          <w:lang w:val="en-US"/>
        </w:rPr>
        <w:t>(47)2, pp.61. Available at: https://he02.tci-thaijo.org/index.php/ramajournal/article/view/267231 (Accessed: 10 October 2024).</w:t>
      </w:r>
    </w:p>
    <w:p>
      <w:pPr>
        <w:pStyle w:val="Default"/>
        <w:spacing w:before="0" w:after="213" w:line="360" w:lineRule="auto"/>
        <w:rPr>
          <w:rStyle w:val="None"/>
          <w:rFonts w:ascii="Helvetica" w:cs="Helvetica" w:hAnsi="Helvetica" w:eastAsia="Helvetica"/>
          <w:sz w:val="22"/>
          <w:szCs w:val="22"/>
          <w:u w:color="000000"/>
        </w:rPr>
      </w:pPr>
      <w:r>
        <w:rPr>
          <w:rFonts w:ascii="Arial" w:hAnsi="Arial"/>
          <w:sz w:val="22"/>
          <w:szCs w:val="22"/>
          <w:u w:color="000000"/>
          <w:rtl w:val="0"/>
        </w:rPr>
        <w:t xml:space="preserve">Educators Wales (2023) </w:t>
      </w:r>
      <w:r>
        <w:rPr>
          <w:rFonts w:ascii="Arial" w:hAnsi="Arial"/>
          <w:i w:val="1"/>
          <w:iCs w:val="1"/>
          <w:sz w:val="22"/>
          <w:szCs w:val="22"/>
          <w:u w:color="000000"/>
          <w:rtl w:val="0"/>
          <w:lang w:val="pt-PT"/>
        </w:rPr>
        <w:t>Professional Standards.</w:t>
      </w:r>
      <w:r>
        <w:rPr>
          <w:rFonts w:ascii="Arial" w:hAnsi="Arial"/>
          <w:sz w:val="22"/>
          <w:szCs w:val="22"/>
          <w:u w:color="000000"/>
          <w:rtl w:val="0"/>
          <w:lang w:val="en-US"/>
        </w:rPr>
        <w:t xml:space="preserve"> Available at: </w:t>
      </w:r>
      <w:r>
        <w:rPr>
          <w:rStyle w:val="Hyperlink.0"/>
        </w:rPr>
        <w:fldChar w:fldCharType="begin" w:fldLock="0"/>
      </w:r>
      <w:r>
        <w:rPr>
          <w:rStyle w:val="Hyperlink.0"/>
        </w:rPr>
        <w:instrText xml:space="preserve"> HYPERLINK "https://educators.wales/professional-standards"</w:instrText>
      </w:r>
      <w:r>
        <w:rPr>
          <w:rStyle w:val="Hyperlink.0"/>
        </w:rPr>
        <w:fldChar w:fldCharType="separate" w:fldLock="0"/>
      </w:r>
      <w:r>
        <w:rPr>
          <w:rStyle w:val="Hyperlink.0"/>
          <w:rtl w:val="0"/>
          <w:lang w:val="en-US"/>
        </w:rPr>
        <w:t>https://educators.wales/professional-standards</w:t>
      </w:r>
      <w:r>
        <w:rPr/>
        <w:fldChar w:fldCharType="end" w:fldLock="0"/>
      </w:r>
      <w:r>
        <w:rPr>
          <w:rStyle w:val="None"/>
          <w:rFonts w:ascii="Arial" w:hAnsi="Arial"/>
          <w:sz w:val="22"/>
          <w:szCs w:val="22"/>
          <w:u w:color="000000"/>
          <w:rtl w:val="0"/>
        </w:rPr>
        <w:t xml:space="preserve"> (Accessed: 10 October 2024).</w:t>
      </w:r>
    </w:p>
    <w:p>
      <w:pPr>
        <w:pStyle w:val="Default"/>
        <w:spacing w:before="0" w:after="213" w:line="360" w:lineRule="auto"/>
        <w:rPr>
          <w:rStyle w:val="None"/>
          <w:rFonts w:ascii="Helvetica" w:cs="Helvetica" w:hAnsi="Helvetica" w:eastAsia="Helvetica"/>
          <w:sz w:val="22"/>
          <w:szCs w:val="22"/>
          <w:u w:color="000000"/>
        </w:rPr>
      </w:pPr>
      <w:r>
        <w:rPr>
          <w:rStyle w:val="None"/>
          <w:rFonts w:ascii="Arial" w:hAnsi="Arial"/>
          <w:sz w:val="22"/>
          <w:szCs w:val="22"/>
          <w:u w:color="000000"/>
          <w:rtl w:val="0"/>
        </w:rPr>
        <w:t xml:space="preserve">Gregson, M. Hillier, Y. (2015) </w:t>
      </w:r>
      <w:r>
        <w:rPr>
          <w:rStyle w:val="None"/>
          <w:rFonts w:ascii="Arial" w:hAnsi="Arial"/>
          <w:i w:val="1"/>
          <w:iCs w:val="1"/>
          <w:sz w:val="22"/>
          <w:szCs w:val="22"/>
          <w:u w:color="000000"/>
          <w:rtl w:val="0"/>
          <w:lang w:val="en-US"/>
        </w:rPr>
        <w:t xml:space="preserve">Reflective Teaching in Further, Adult and Vocational Education. </w:t>
      </w:r>
      <w:r>
        <w:rPr>
          <w:rStyle w:val="None"/>
          <w:rFonts w:ascii="Arial" w:hAnsi="Arial"/>
          <w:sz w:val="22"/>
          <w:szCs w:val="22"/>
          <w:u w:color="000000"/>
          <w:rtl w:val="0"/>
          <w:lang w:val="en-US"/>
        </w:rPr>
        <w:t>4th ed. London: Bloomsbury Publishing Plc. pp.142-144.</w:t>
      </w:r>
    </w:p>
    <w:p>
      <w:pPr>
        <w:pStyle w:val="Default"/>
        <w:spacing w:before="0" w:after="213" w:line="360" w:lineRule="auto"/>
        <w:rPr>
          <w:rStyle w:val="None"/>
          <w:rFonts w:ascii="Helvetica" w:cs="Helvetica" w:hAnsi="Helvetica" w:eastAsia="Helvetica"/>
          <w:sz w:val="22"/>
          <w:szCs w:val="22"/>
          <w:u w:color="000000"/>
        </w:rPr>
      </w:pPr>
      <w:r>
        <w:rPr>
          <w:rStyle w:val="None"/>
          <w:rFonts w:ascii="Arial" w:hAnsi="Arial"/>
          <w:sz w:val="22"/>
          <w:szCs w:val="22"/>
          <w:u w:color="000000"/>
          <w:rtl w:val="0"/>
        </w:rPr>
        <w:t xml:space="preserve">Hicks, J. Simons, H. (2006) </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Opening Doors: Using the creative arts in learning and teaching</w:t>
      </w:r>
      <w:r>
        <w:rPr>
          <w:rStyle w:val="None"/>
          <w:rFonts w:ascii="Arial Unicode MS" w:hAnsi="Arial Unicode MS" w:hint="default"/>
          <w:sz w:val="22"/>
          <w:szCs w:val="22"/>
          <w:u w:color="000000"/>
          <w:rtl w:val="1"/>
        </w:rPr>
        <w:t>’</w:t>
      </w:r>
      <w:r>
        <w:rPr>
          <w:rStyle w:val="None"/>
          <w:rFonts w:ascii="Arial" w:hAnsi="Arial"/>
          <w:sz w:val="22"/>
          <w:szCs w:val="22"/>
          <w:u w:color="000000"/>
          <w:rtl w:val="0"/>
        </w:rPr>
        <w:t xml:space="preserve">, </w:t>
      </w:r>
      <w:r>
        <w:rPr>
          <w:rStyle w:val="None"/>
          <w:rFonts w:ascii="Arial" w:hAnsi="Arial"/>
          <w:i w:val="1"/>
          <w:iCs w:val="1"/>
          <w:sz w:val="22"/>
          <w:szCs w:val="22"/>
          <w:u w:color="000000"/>
          <w:rtl w:val="0"/>
          <w:lang w:val="fr-FR"/>
        </w:rPr>
        <w:t>Sage Journals,</w:t>
      </w:r>
      <w:r>
        <w:rPr>
          <w:rStyle w:val="None"/>
          <w:rFonts w:ascii="Arial" w:hAnsi="Arial"/>
          <w:sz w:val="22"/>
          <w:szCs w:val="22"/>
          <w:u w:color="000000"/>
          <w:rtl w:val="0"/>
          <w:lang w:val="en-US"/>
        </w:rPr>
        <w:t xml:space="preserve"> (5)2, pp.80. Available at: https://journals.sagepub.com/doi/abs/10.1177/1474022206059998 (Accessed: 10 October 2024).</w:t>
      </w:r>
    </w:p>
    <w:p>
      <w:pPr>
        <w:pStyle w:val="Default"/>
        <w:spacing w:before="0" w:after="213" w:line="360" w:lineRule="auto"/>
        <w:rPr>
          <w:rStyle w:val="None"/>
          <w:rFonts w:ascii="Helvetica" w:cs="Helvetica" w:hAnsi="Helvetica" w:eastAsia="Helvetica"/>
          <w:sz w:val="22"/>
          <w:szCs w:val="22"/>
          <w:u w:color="000000"/>
        </w:rPr>
      </w:pPr>
      <w:r>
        <w:rPr>
          <w:rStyle w:val="None"/>
          <w:rFonts w:ascii="Arial" w:hAnsi="Arial"/>
          <w:sz w:val="22"/>
          <w:szCs w:val="22"/>
          <w:u w:color="000000"/>
          <w:rtl w:val="0"/>
        </w:rPr>
        <w:t xml:space="preserve">Jack, K. (2012) </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 xml:space="preserve">Putting the words </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I am sad</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 just doesn</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t quite cut it sometimes!</w:t>
      </w:r>
      <w:r>
        <w:rPr>
          <w:rStyle w:val="None"/>
          <w:rFonts w:ascii="Arial" w:hAnsi="Arial" w:hint="default"/>
          <w:sz w:val="22"/>
          <w:szCs w:val="22"/>
          <w:u w:color="000000"/>
          <w:rtl w:val="0"/>
        </w:rPr>
        <w:t>”</w:t>
      </w:r>
      <w:r>
        <w:rPr>
          <w:rStyle w:val="None"/>
          <w:rFonts w:ascii="Arial" w:hAnsi="Arial"/>
          <w:sz w:val="22"/>
          <w:szCs w:val="22"/>
          <w:u w:color="000000"/>
          <w:rtl w:val="0"/>
          <w:lang w:val="en-US"/>
        </w:rPr>
        <w:t>: The use of art to promote emotional awareness in nursing students</w:t>
      </w:r>
      <w:r>
        <w:rPr>
          <w:rStyle w:val="None"/>
          <w:rFonts w:ascii="Arial Unicode MS" w:hAnsi="Arial Unicode MS" w:hint="default"/>
          <w:sz w:val="22"/>
          <w:szCs w:val="22"/>
          <w:u w:color="000000"/>
          <w:rtl w:val="1"/>
        </w:rPr>
        <w:t>’</w:t>
      </w:r>
      <w:r>
        <w:rPr>
          <w:rStyle w:val="None"/>
          <w:rFonts w:ascii="Arial" w:hAnsi="Arial"/>
          <w:sz w:val="22"/>
          <w:szCs w:val="22"/>
          <w:u w:color="000000"/>
          <w:rtl w:val="0"/>
          <w:lang w:val="en-US"/>
        </w:rPr>
        <w:t xml:space="preserve">, Nurse Education Today, 32, pp.812. Available at: </w:t>
      </w:r>
      <w:r>
        <w:rPr>
          <w:rStyle w:val="Hyperlink.0"/>
        </w:rPr>
        <w:fldChar w:fldCharType="begin" w:fldLock="0"/>
      </w:r>
      <w:r>
        <w:rPr>
          <w:rStyle w:val="Hyperlink.0"/>
        </w:rPr>
        <w:instrText xml:space="preserve"> HYPERLINK "https://www.sciencedirect.com/science/article/abs/pii/S0260691712001256"</w:instrText>
      </w:r>
      <w:r>
        <w:rPr>
          <w:rStyle w:val="Hyperlink.0"/>
        </w:rPr>
        <w:fldChar w:fldCharType="separate" w:fldLock="0"/>
      </w:r>
      <w:r>
        <w:rPr>
          <w:rStyle w:val="Hyperlink.0"/>
          <w:rtl w:val="0"/>
          <w:lang w:val="en-US"/>
        </w:rPr>
        <w:t>https://www.sciencedirect.com/science/article/abs/pii/S0260691712001256</w:t>
      </w:r>
      <w:r>
        <w:rPr/>
        <w:fldChar w:fldCharType="end" w:fldLock="0"/>
      </w:r>
      <w:r>
        <w:rPr>
          <w:rStyle w:val="None"/>
          <w:rFonts w:ascii="Arial" w:hAnsi="Arial"/>
          <w:sz w:val="22"/>
          <w:szCs w:val="22"/>
          <w:u w:color="000000"/>
          <w:rtl w:val="0"/>
        </w:rPr>
        <w:t xml:space="preserve"> (Accessed: 10 October 2024).</w:t>
      </w:r>
    </w:p>
    <w:p>
      <w:pPr>
        <w:pStyle w:val="Default"/>
        <w:spacing w:before="0" w:after="213" w:line="360" w:lineRule="auto"/>
        <w:rPr>
          <w:rStyle w:val="None"/>
          <w:rFonts w:ascii="Helvetica" w:cs="Helvetica" w:hAnsi="Helvetica" w:eastAsia="Helvetica"/>
          <w:sz w:val="22"/>
          <w:szCs w:val="22"/>
          <w:u w:color="000000"/>
        </w:rPr>
      </w:pPr>
      <w:r>
        <w:rPr>
          <w:rStyle w:val="None"/>
          <w:rFonts w:ascii="Arial" w:hAnsi="Arial"/>
          <w:sz w:val="22"/>
          <w:szCs w:val="22"/>
          <w:u w:color="000000"/>
          <w:rtl w:val="0"/>
        </w:rPr>
        <w:t xml:space="preserve">Race, P. (2020) </w:t>
      </w:r>
      <w:r>
        <w:rPr>
          <w:rStyle w:val="None"/>
          <w:rFonts w:ascii="Arial" w:hAnsi="Arial"/>
          <w:i w:val="1"/>
          <w:iCs w:val="1"/>
          <w:sz w:val="22"/>
          <w:szCs w:val="22"/>
          <w:u w:color="000000"/>
          <w:rtl w:val="0"/>
          <w:lang w:val="en-US"/>
        </w:rPr>
        <w:t>The Lecturer</w:t>
      </w:r>
      <w:r>
        <w:rPr>
          <w:rStyle w:val="None"/>
          <w:rFonts w:ascii="Arial Unicode MS" w:hAnsi="Arial Unicode MS" w:hint="default"/>
          <w:sz w:val="22"/>
          <w:szCs w:val="22"/>
          <w:u w:color="000000"/>
          <w:rtl w:val="1"/>
        </w:rPr>
        <w:t>’</w:t>
      </w:r>
      <w:r>
        <w:rPr>
          <w:rStyle w:val="None"/>
          <w:rFonts w:ascii="Arial" w:hAnsi="Arial"/>
          <w:i w:val="1"/>
          <w:iCs w:val="1"/>
          <w:sz w:val="22"/>
          <w:szCs w:val="22"/>
          <w:u w:color="000000"/>
          <w:rtl w:val="0"/>
          <w:lang w:val="en-US"/>
        </w:rPr>
        <w:t>s Toolkit: A Practical Guide to Assessment, Learning and Teaching</w:t>
      </w:r>
      <w:r>
        <w:rPr>
          <w:rStyle w:val="None"/>
          <w:rFonts w:ascii="Arial" w:hAnsi="Arial"/>
          <w:sz w:val="22"/>
          <w:szCs w:val="22"/>
          <w:u w:color="000000"/>
          <w:rtl w:val="0"/>
          <w:lang w:val="en-US"/>
        </w:rPr>
        <w:t>. 5th ed. London: Routledge. pp.27.</w:t>
      </w:r>
    </w:p>
    <w:p>
      <w:pPr>
        <w:pStyle w:val="Default"/>
        <w:spacing w:before="0" w:after="213" w:line="360" w:lineRule="auto"/>
        <w:rPr>
          <w:rStyle w:val="None"/>
          <w:rFonts w:ascii="Helvetica" w:cs="Helvetica" w:hAnsi="Helvetica" w:eastAsia="Helvetica"/>
          <w:sz w:val="22"/>
          <w:szCs w:val="22"/>
          <w:u w:color="000000"/>
        </w:rPr>
      </w:pPr>
      <w:r>
        <w:rPr>
          <w:rStyle w:val="None"/>
          <w:rFonts w:ascii="Arial" w:hAnsi="Arial"/>
          <w:sz w:val="22"/>
          <w:szCs w:val="22"/>
          <w:u w:color="000000"/>
          <w:rtl w:val="0"/>
        </w:rPr>
        <w:t xml:space="preserve">Reece, I. Walker, S. (2007) </w:t>
      </w:r>
      <w:r>
        <w:rPr>
          <w:rStyle w:val="None"/>
          <w:rFonts w:ascii="Arial" w:hAnsi="Arial"/>
          <w:i w:val="1"/>
          <w:iCs w:val="1"/>
          <w:sz w:val="22"/>
          <w:szCs w:val="22"/>
          <w:u w:color="000000"/>
          <w:rtl w:val="0"/>
          <w:lang w:val="en-US"/>
        </w:rPr>
        <w:t>Teaching, Training &amp; Learning</w:t>
      </w:r>
      <w:r>
        <w:rPr>
          <w:rStyle w:val="None"/>
          <w:rFonts w:ascii="Arial" w:hAnsi="Arial"/>
          <w:sz w:val="22"/>
          <w:szCs w:val="22"/>
          <w:u w:color="000000"/>
          <w:rtl w:val="0"/>
          <w:lang w:val="en-US"/>
        </w:rPr>
        <w:t>. 6th ed. Tyne and Wear: Business Education Publishers Limited. pp.5,114,117.</w:t>
      </w:r>
    </w:p>
    <w:p>
      <w:pPr>
        <w:pStyle w:val="Default"/>
        <w:spacing w:before="0" w:after="213" w:line="360" w:lineRule="auto"/>
      </w:pPr>
      <w:r>
        <w:rPr>
          <w:rStyle w:val="None"/>
          <w:rFonts w:ascii="Arial" w:hAnsi="Arial" w:hint="default"/>
          <w:sz w:val="22"/>
          <w:szCs w:val="22"/>
          <w:u w:color="000000"/>
          <w:rtl w:val="0"/>
        </w:rPr>
        <w:t> </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467886"/>
      <w:sz w:val="22"/>
      <w:szCs w:val="22"/>
      <w:u w:val="single" w:color="467885"/>
      <w:lang w:val="en-US"/>
      <w14:textFill>
        <w14:solidFill>
          <w14:srgbClr w14:val="467886"/>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