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71B7E" w14:textId="77777777" w:rsidR="005534FD" w:rsidRDefault="005534FD" w:rsidP="005534FD">
      <w:pPr>
        <w:rPr>
          <w:rFonts w:ascii="Arial" w:hAnsi="Arial" w:cs="Arial"/>
          <w:sz w:val="24"/>
          <w:szCs w:val="24"/>
        </w:rPr>
      </w:pPr>
      <w:r>
        <w:rPr>
          <w:rFonts w:ascii="Arial" w:hAnsi="Arial" w:cs="Arial"/>
          <w:sz w:val="24"/>
          <w:szCs w:val="24"/>
        </w:rPr>
        <w:t>Recently, the United Kingdom government proposed a new piece of legislation namely the Bill of Rights Bill, which would repeal and replace the Human Rights Act 1998. Some argue that the introduction of such legislation could damage the rule of law and impact the ability of individuals to protect their human rights. Discuss.</w:t>
      </w:r>
    </w:p>
    <w:p w14:paraId="0CB69FBF" w14:textId="77777777" w:rsidR="005534FD" w:rsidRDefault="005534FD" w:rsidP="005534FD">
      <w:pPr>
        <w:rPr>
          <w:rFonts w:ascii="Arial" w:hAnsi="Arial" w:cs="Arial"/>
          <w:sz w:val="24"/>
          <w:szCs w:val="24"/>
        </w:rPr>
      </w:pPr>
      <w:r>
        <w:rPr>
          <w:rFonts w:ascii="Arial" w:hAnsi="Arial" w:cs="Arial"/>
          <w:sz w:val="24"/>
          <w:szCs w:val="24"/>
        </w:rPr>
        <w:t>Every democratic country has fundamental civil rights also called human rights. They provide citizens with a variety of freedoms and have great importance in England and Wales because of the democratic nature of the system (</w:t>
      </w:r>
      <w:proofErr w:type="spellStart"/>
      <w:r>
        <w:rPr>
          <w:rFonts w:ascii="Arial" w:hAnsi="Arial" w:cs="Arial"/>
          <w:sz w:val="24"/>
          <w:szCs w:val="24"/>
        </w:rPr>
        <w:t>Allbon</w:t>
      </w:r>
      <w:proofErr w:type="spellEnd"/>
      <w:r>
        <w:rPr>
          <w:rFonts w:ascii="Arial" w:hAnsi="Arial" w:cs="Arial"/>
          <w:sz w:val="24"/>
          <w:szCs w:val="24"/>
        </w:rPr>
        <w:t xml:space="preserve"> and Dua, 2018, 357 p.). In contrast with other democratic countries, Britain has neither a Bill of Rights nor a written constitution. The rights and freedoms of UK citizens are protected by a presumption that they are free to do everything that is not forbidden by law. They are defined as residual rights as they are formed after what is left when considering the limitations in legislation and common law (</w:t>
      </w:r>
      <w:proofErr w:type="spellStart"/>
      <w:r>
        <w:rPr>
          <w:rFonts w:ascii="Arial" w:hAnsi="Arial" w:cs="Arial"/>
          <w:sz w:val="24"/>
          <w:szCs w:val="24"/>
        </w:rPr>
        <w:t>Allbon</w:t>
      </w:r>
      <w:proofErr w:type="spellEnd"/>
      <w:r>
        <w:rPr>
          <w:rFonts w:ascii="Arial" w:hAnsi="Arial" w:cs="Arial"/>
          <w:sz w:val="24"/>
          <w:szCs w:val="24"/>
        </w:rPr>
        <w:t xml:space="preserve"> and Dua, 2018, p.360). Over the years, human rights in the UK were protected mostly with the instruments of criminal law, such as the penalties </w:t>
      </w:r>
      <w:bookmarkStart w:id="0" w:name="_Hlk129089921"/>
      <w:r>
        <w:rPr>
          <w:rFonts w:ascii="Arial" w:hAnsi="Arial" w:cs="Arial"/>
          <w:sz w:val="24"/>
          <w:szCs w:val="24"/>
        </w:rPr>
        <w:t>(Faragher, 2019, p. 197)</w:t>
      </w:r>
      <w:bookmarkEnd w:id="0"/>
      <w:r>
        <w:rPr>
          <w:rFonts w:ascii="Arial" w:hAnsi="Arial" w:cs="Arial"/>
          <w:sz w:val="24"/>
          <w:szCs w:val="24"/>
        </w:rPr>
        <w:t xml:space="preserve">. </w:t>
      </w:r>
    </w:p>
    <w:p w14:paraId="551B163C" w14:textId="77777777" w:rsidR="005534FD" w:rsidRDefault="005534FD" w:rsidP="005534FD">
      <w:pPr>
        <w:rPr>
          <w:rFonts w:ascii="Arial" w:hAnsi="Arial" w:cs="Arial"/>
          <w:color w:val="212121"/>
          <w:sz w:val="24"/>
          <w:szCs w:val="24"/>
          <w:shd w:val="clear" w:color="auto" w:fill="FFFFFF"/>
        </w:rPr>
      </w:pPr>
      <w:r>
        <w:rPr>
          <w:rFonts w:ascii="Arial" w:hAnsi="Arial" w:cs="Arial"/>
          <w:color w:val="000000" w:themeColor="text1"/>
          <w:sz w:val="24"/>
          <w:szCs w:val="24"/>
        </w:rPr>
        <w:t>Recently, on</w:t>
      </w:r>
      <w:r w:rsidRPr="00050BE9">
        <w:rPr>
          <w:rFonts w:ascii="Arial" w:hAnsi="Arial" w:cs="Arial"/>
          <w:color w:val="000000" w:themeColor="text1"/>
          <w:sz w:val="24"/>
          <w:szCs w:val="24"/>
        </w:rPr>
        <w:t xml:space="preserve"> 22</w:t>
      </w:r>
      <w:r w:rsidRPr="00050BE9">
        <w:rPr>
          <w:rFonts w:ascii="Arial" w:hAnsi="Arial" w:cs="Arial"/>
          <w:color w:val="000000" w:themeColor="text1"/>
          <w:sz w:val="24"/>
          <w:szCs w:val="24"/>
          <w:vertAlign w:val="superscript"/>
        </w:rPr>
        <w:t>nd</w:t>
      </w:r>
      <w:r w:rsidRPr="00050BE9">
        <w:rPr>
          <w:rFonts w:ascii="Arial" w:hAnsi="Arial" w:cs="Arial"/>
          <w:color w:val="000000" w:themeColor="text1"/>
          <w:sz w:val="24"/>
          <w:szCs w:val="24"/>
        </w:rPr>
        <w:t xml:space="preserve"> June 2022, the UK Government proposed a Bill of Rights Bill to reform the law related to human rights and replace the Human Right Act 1998. It was presented by the Minister of Justice Dominic Raab, who stated that the provisions of the Bill are compatible with the Human Rights Act</w:t>
      </w:r>
      <w:r>
        <w:rPr>
          <w:rFonts w:ascii="Arial" w:hAnsi="Arial" w:cs="Arial"/>
          <w:color w:val="000000" w:themeColor="text1"/>
          <w:sz w:val="24"/>
          <w:szCs w:val="24"/>
        </w:rPr>
        <w:t xml:space="preserve"> (The Bill of Rights Bill 2022)</w:t>
      </w:r>
      <w:r w:rsidRPr="00050BE9">
        <w:rPr>
          <w:rFonts w:ascii="Arial" w:hAnsi="Arial" w:cs="Arial"/>
          <w:color w:val="000000" w:themeColor="text1"/>
          <w:sz w:val="24"/>
          <w:szCs w:val="24"/>
        </w:rPr>
        <w:t>.</w:t>
      </w:r>
      <w:r>
        <w:rPr>
          <w:rFonts w:ascii="Arial" w:hAnsi="Arial" w:cs="Arial"/>
          <w:color w:val="000000" w:themeColor="text1"/>
          <w:sz w:val="24"/>
          <w:szCs w:val="24"/>
        </w:rPr>
        <w:t xml:space="preserve"> </w:t>
      </w:r>
    </w:p>
    <w:p w14:paraId="0B30F050" w14:textId="7A4DD8E0" w:rsidR="005534FD" w:rsidRPr="00B66630" w:rsidRDefault="005534FD" w:rsidP="005534FD">
      <w:pPr>
        <w:rPr>
          <w:rFonts w:ascii="Arial" w:hAnsi="Arial" w:cs="Arial"/>
          <w:color w:val="212121"/>
          <w:sz w:val="24"/>
          <w:szCs w:val="24"/>
          <w:shd w:val="clear" w:color="auto" w:fill="FFFFFF"/>
        </w:rPr>
      </w:pPr>
      <w:r>
        <w:rPr>
          <w:rFonts w:ascii="Arial" w:hAnsi="Arial" w:cs="Arial"/>
          <w:sz w:val="24"/>
          <w:szCs w:val="24"/>
        </w:rPr>
        <w:t>In the last century, the development of international law had a great impact on the formation of the main citizens’ freedoms. After the Second World War and the Holocaust, the European countries establish the Council of Europe to prevent this horror happened again.</w:t>
      </w:r>
      <w:r w:rsidRPr="001D60AC">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Allbon</w:t>
      </w:r>
      <w:proofErr w:type="spellEnd"/>
      <w:r>
        <w:rPr>
          <w:rFonts w:ascii="Arial" w:hAnsi="Arial" w:cs="Arial"/>
          <w:sz w:val="24"/>
          <w:szCs w:val="24"/>
        </w:rPr>
        <w:t xml:space="preserve"> and Dua, 2018, p.361).  The Council of Europe drew up the European Convention on Human </w:t>
      </w:r>
      <w:r w:rsidR="00F432B9">
        <w:rPr>
          <w:rFonts w:ascii="Arial" w:hAnsi="Arial" w:cs="Arial"/>
          <w:sz w:val="24"/>
          <w:szCs w:val="24"/>
        </w:rPr>
        <w:t>R</w:t>
      </w:r>
      <w:r>
        <w:rPr>
          <w:rFonts w:ascii="Arial" w:hAnsi="Arial" w:cs="Arial"/>
          <w:sz w:val="24"/>
          <w:szCs w:val="24"/>
        </w:rPr>
        <w:t>ights</w:t>
      </w:r>
      <w:r w:rsidR="00F432B9">
        <w:rPr>
          <w:rFonts w:ascii="Arial" w:hAnsi="Arial" w:cs="Arial"/>
          <w:sz w:val="24"/>
          <w:szCs w:val="24"/>
        </w:rPr>
        <w:t xml:space="preserve"> (ECHR)</w:t>
      </w:r>
      <w:r>
        <w:rPr>
          <w:rFonts w:ascii="Arial" w:hAnsi="Arial" w:cs="Arial"/>
          <w:sz w:val="24"/>
          <w:szCs w:val="24"/>
        </w:rPr>
        <w:t xml:space="preserve"> to guarantee basic citizens and political rights (Faragher, 2019, p. 196). It is also known as The Convention for the Protection of Human Rights and Fundamental Freedoms, and it was ratified by the UK in 1951 and entered into force on 3d September 1953.</w:t>
      </w:r>
      <w:r>
        <w:rPr>
          <w:rFonts w:ascii="Arial" w:hAnsi="Arial" w:cs="Arial"/>
          <w:color w:val="212121"/>
          <w:sz w:val="24"/>
          <w:szCs w:val="24"/>
          <w:shd w:val="clear" w:color="auto" w:fill="FFFFFF"/>
        </w:rPr>
        <w:t xml:space="preserve"> </w:t>
      </w:r>
      <w:r>
        <w:rPr>
          <w:rFonts w:ascii="Arial" w:hAnsi="Arial" w:cs="Arial"/>
          <w:sz w:val="24"/>
          <w:szCs w:val="24"/>
        </w:rPr>
        <w:t xml:space="preserve">Although the </w:t>
      </w:r>
      <w:r w:rsidR="00821227">
        <w:rPr>
          <w:rFonts w:ascii="Arial" w:hAnsi="Arial" w:cs="Arial"/>
          <w:sz w:val="24"/>
          <w:szCs w:val="24"/>
        </w:rPr>
        <w:t>ECHR</w:t>
      </w:r>
      <w:r>
        <w:rPr>
          <w:rFonts w:ascii="Arial" w:hAnsi="Arial" w:cs="Arial"/>
          <w:sz w:val="24"/>
          <w:szCs w:val="24"/>
        </w:rPr>
        <w:t xml:space="preserve"> was drafted with great participation by English lawyers and the UK was among the first countries to ratify the Convention it took almost 50 years for the Government to incorporate human rights into the UK domestic law (Wadham et.al 2009, p. 3). The most profound change in British law was the integration of the</w:t>
      </w:r>
      <w:r w:rsidRPr="006E5E08">
        <w:rPr>
          <w:rFonts w:ascii="Arial" w:hAnsi="Arial" w:cs="Arial"/>
          <w:sz w:val="24"/>
          <w:szCs w:val="24"/>
        </w:rPr>
        <w:t xml:space="preserve"> </w:t>
      </w:r>
      <w:r w:rsidR="000F29BE">
        <w:rPr>
          <w:rFonts w:ascii="Arial" w:hAnsi="Arial" w:cs="Arial"/>
          <w:sz w:val="24"/>
          <w:szCs w:val="24"/>
        </w:rPr>
        <w:t>ECHR</w:t>
      </w:r>
      <w:r>
        <w:rPr>
          <w:rFonts w:ascii="Arial" w:hAnsi="Arial" w:cs="Arial"/>
          <w:sz w:val="24"/>
          <w:szCs w:val="24"/>
        </w:rPr>
        <w:t xml:space="preserve"> into British domestic law with the enactment of the Human </w:t>
      </w:r>
      <w:r w:rsidR="00954E0C">
        <w:rPr>
          <w:rFonts w:ascii="Arial" w:hAnsi="Arial" w:cs="Arial"/>
          <w:sz w:val="24"/>
          <w:szCs w:val="24"/>
        </w:rPr>
        <w:t>R</w:t>
      </w:r>
      <w:r>
        <w:rPr>
          <w:rFonts w:ascii="Arial" w:hAnsi="Arial" w:cs="Arial"/>
          <w:sz w:val="24"/>
          <w:szCs w:val="24"/>
        </w:rPr>
        <w:t xml:space="preserve">ights Act </w:t>
      </w:r>
      <w:r w:rsidR="00954E0C">
        <w:rPr>
          <w:rFonts w:ascii="Arial" w:hAnsi="Arial" w:cs="Arial"/>
          <w:sz w:val="24"/>
          <w:szCs w:val="24"/>
        </w:rPr>
        <w:t xml:space="preserve">(HRA) </w:t>
      </w:r>
      <w:r>
        <w:rPr>
          <w:rFonts w:ascii="Arial" w:hAnsi="Arial" w:cs="Arial"/>
          <w:sz w:val="24"/>
          <w:szCs w:val="24"/>
        </w:rPr>
        <w:t>1998 which came into force in October 2000. (</w:t>
      </w:r>
      <w:proofErr w:type="spellStart"/>
      <w:r>
        <w:rPr>
          <w:rFonts w:ascii="Arial" w:hAnsi="Arial" w:cs="Arial"/>
          <w:sz w:val="24"/>
          <w:szCs w:val="24"/>
        </w:rPr>
        <w:t>Allbon</w:t>
      </w:r>
      <w:proofErr w:type="spellEnd"/>
      <w:r>
        <w:rPr>
          <w:rFonts w:ascii="Arial" w:hAnsi="Arial" w:cs="Arial"/>
          <w:sz w:val="24"/>
          <w:szCs w:val="24"/>
        </w:rPr>
        <w:t xml:space="preserve"> and Dua, 2018, p.360). The Convention itself form two institutions: the European Commission of Human Rights and the European Court of Human rights (ECtHR). The European Commission was made to examine and investigate the circumstances of the petitions brought to it. The E</w:t>
      </w:r>
      <w:r w:rsidR="00A072C6">
        <w:rPr>
          <w:rFonts w:ascii="Arial" w:hAnsi="Arial" w:cs="Arial"/>
          <w:sz w:val="24"/>
          <w:szCs w:val="24"/>
        </w:rPr>
        <w:t>CtHR</w:t>
      </w:r>
      <w:r>
        <w:rPr>
          <w:rFonts w:ascii="Arial" w:hAnsi="Arial" w:cs="Arial"/>
          <w:sz w:val="24"/>
          <w:szCs w:val="24"/>
        </w:rPr>
        <w:t xml:space="preserve"> is an adjudicatory institution, independent of the E</w:t>
      </w:r>
      <w:r w:rsidR="00ED64B0">
        <w:rPr>
          <w:rFonts w:ascii="Arial" w:hAnsi="Arial" w:cs="Arial"/>
          <w:sz w:val="24"/>
          <w:szCs w:val="24"/>
        </w:rPr>
        <w:t>U</w:t>
      </w:r>
      <w:r>
        <w:rPr>
          <w:rFonts w:ascii="Arial" w:hAnsi="Arial" w:cs="Arial"/>
          <w:sz w:val="24"/>
          <w:szCs w:val="24"/>
        </w:rPr>
        <w:t xml:space="preserve"> which was established to hear cases under the Convention (Slapper and Kelly, 2015, p.200). The Court sits in Strasburg and deals with claims made by states, or states and individuals and in rare cases between individuals </w:t>
      </w:r>
      <w:bookmarkStart w:id="1" w:name="_Hlk129097450"/>
      <w:r w:rsidR="007020F2">
        <w:rPr>
          <w:rFonts w:ascii="Arial" w:hAnsi="Arial" w:cs="Arial"/>
          <w:sz w:val="24"/>
          <w:szCs w:val="24"/>
        </w:rPr>
        <w:t>only</w:t>
      </w:r>
      <w:r w:rsidR="00E36EAF">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Allbon</w:t>
      </w:r>
      <w:proofErr w:type="spellEnd"/>
      <w:r>
        <w:rPr>
          <w:rFonts w:ascii="Arial" w:hAnsi="Arial" w:cs="Arial"/>
          <w:sz w:val="24"/>
          <w:szCs w:val="24"/>
        </w:rPr>
        <w:t xml:space="preserve"> and Dua, 2018, p.361).</w:t>
      </w:r>
      <w:bookmarkEnd w:id="1"/>
    </w:p>
    <w:p w14:paraId="6F7FF1D8" w14:textId="3C8350F5" w:rsidR="005534FD" w:rsidRDefault="005534FD" w:rsidP="005534FD">
      <w:pPr>
        <w:rPr>
          <w:rFonts w:ascii="Arial" w:hAnsi="Arial" w:cs="Arial"/>
          <w:sz w:val="24"/>
          <w:szCs w:val="24"/>
        </w:rPr>
      </w:pPr>
      <w:r w:rsidRPr="00050BE9">
        <w:rPr>
          <w:rFonts w:ascii="Arial" w:hAnsi="Arial" w:cs="Arial"/>
          <w:color w:val="000000" w:themeColor="text1"/>
          <w:sz w:val="24"/>
          <w:szCs w:val="24"/>
        </w:rPr>
        <w:t xml:space="preserve">Over recent years </w:t>
      </w:r>
      <w:r>
        <w:rPr>
          <w:rFonts w:ascii="Arial" w:hAnsi="Arial" w:cs="Arial"/>
          <w:color w:val="000000" w:themeColor="text1"/>
          <w:sz w:val="24"/>
          <w:szCs w:val="24"/>
        </w:rPr>
        <w:t>some</w:t>
      </w:r>
      <w:r w:rsidRPr="00050BE9">
        <w:rPr>
          <w:rFonts w:ascii="Arial" w:hAnsi="Arial" w:cs="Arial"/>
          <w:color w:val="000000" w:themeColor="text1"/>
          <w:sz w:val="24"/>
          <w:szCs w:val="24"/>
        </w:rPr>
        <w:t xml:space="preserve"> steps have been made </w:t>
      </w:r>
      <w:r>
        <w:rPr>
          <w:rFonts w:ascii="Arial" w:hAnsi="Arial" w:cs="Arial"/>
          <w:color w:val="000000" w:themeColor="text1"/>
          <w:sz w:val="24"/>
          <w:szCs w:val="24"/>
        </w:rPr>
        <w:t xml:space="preserve">by the Government </w:t>
      </w:r>
      <w:r w:rsidRPr="00050BE9">
        <w:rPr>
          <w:rFonts w:ascii="Arial" w:hAnsi="Arial" w:cs="Arial"/>
          <w:color w:val="000000" w:themeColor="text1"/>
          <w:sz w:val="24"/>
          <w:szCs w:val="24"/>
        </w:rPr>
        <w:t>towards the Bill of Rights</w:t>
      </w:r>
      <w:r w:rsidR="00BC3E4B">
        <w:rPr>
          <w:rFonts w:ascii="Arial" w:hAnsi="Arial" w:cs="Arial"/>
          <w:color w:val="000000" w:themeColor="text1"/>
          <w:sz w:val="24"/>
          <w:szCs w:val="24"/>
        </w:rPr>
        <w:t xml:space="preserve"> Bill</w:t>
      </w:r>
      <w:r w:rsidRPr="00050BE9">
        <w:rPr>
          <w:rFonts w:ascii="Arial" w:hAnsi="Arial" w:cs="Arial"/>
          <w:color w:val="000000" w:themeColor="text1"/>
          <w:sz w:val="24"/>
          <w:szCs w:val="24"/>
        </w:rPr>
        <w:t xml:space="preserve"> to replace or supplement the </w:t>
      </w:r>
      <w:r w:rsidR="00BC3E4B">
        <w:rPr>
          <w:rFonts w:ascii="Arial" w:hAnsi="Arial" w:cs="Arial"/>
          <w:color w:val="000000" w:themeColor="text1"/>
          <w:sz w:val="24"/>
          <w:szCs w:val="24"/>
        </w:rPr>
        <w:t>HRA</w:t>
      </w:r>
      <w:r w:rsidRPr="00050BE9">
        <w:rPr>
          <w:rFonts w:ascii="Arial" w:hAnsi="Arial" w:cs="Arial"/>
          <w:color w:val="000000" w:themeColor="text1"/>
          <w:sz w:val="24"/>
          <w:szCs w:val="24"/>
        </w:rPr>
        <w:t xml:space="preserve"> 199</w:t>
      </w:r>
      <w:r>
        <w:rPr>
          <w:rFonts w:ascii="Arial" w:hAnsi="Arial" w:cs="Arial"/>
          <w:color w:val="000000" w:themeColor="text1"/>
          <w:sz w:val="24"/>
          <w:szCs w:val="24"/>
        </w:rPr>
        <w:t>8</w:t>
      </w:r>
      <w:r>
        <w:rPr>
          <w:rFonts w:ascii="Arial" w:hAnsi="Arial" w:cs="Arial"/>
          <w:color w:val="212121"/>
          <w:sz w:val="24"/>
          <w:szCs w:val="24"/>
          <w:shd w:val="clear" w:color="auto" w:fill="FFFFFF"/>
        </w:rPr>
        <w:t>.</w:t>
      </w:r>
      <w:r w:rsidRPr="006C79B1">
        <w:rPr>
          <w:rFonts w:ascii="Arial" w:hAnsi="Arial" w:cs="Arial"/>
          <w:sz w:val="24"/>
          <w:szCs w:val="24"/>
        </w:rPr>
        <w:t xml:space="preserve"> </w:t>
      </w:r>
      <w:r>
        <w:rPr>
          <w:rFonts w:ascii="Arial" w:hAnsi="Arial" w:cs="Arial"/>
          <w:sz w:val="24"/>
          <w:szCs w:val="24"/>
        </w:rPr>
        <w:t>There are a lot of arguments against the Act which form the arguments for the Bill.</w:t>
      </w:r>
    </w:p>
    <w:p w14:paraId="1A6DE1EF" w14:textId="6AC2D3F7" w:rsidR="005534FD" w:rsidRDefault="005534FD" w:rsidP="005534FD">
      <w:pPr>
        <w:rPr>
          <w:rFonts w:ascii="Arial" w:hAnsi="Arial" w:cs="Arial"/>
          <w:sz w:val="24"/>
          <w:szCs w:val="24"/>
        </w:rPr>
      </w:pPr>
      <w:r>
        <w:rPr>
          <w:rFonts w:ascii="Arial" w:hAnsi="Arial" w:cs="Arial"/>
          <w:sz w:val="24"/>
          <w:szCs w:val="24"/>
        </w:rPr>
        <w:t xml:space="preserve">The fact is that the Convention has not been entrenched and it does not constitute a Bill of Rights for the UK. Among developed Western European countries UK and </w:t>
      </w:r>
      <w:r>
        <w:rPr>
          <w:rFonts w:ascii="Arial" w:hAnsi="Arial" w:cs="Arial"/>
          <w:sz w:val="24"/>
          <w:szCs w:val="24"/>
        </w:rPr>
        <w:lastRenderedPageBreak/>
        <w:t>Israel are the only ones without a Bill of Rights. This means that the provided legal protections are limited and the UK Government can derogate from the Convention, for example when has chosen to do this with Art.5 to enable The Anti-Terrorism, Crime and Security Act 2001 to be passed (</w:t>
      </w:r>
      <w:proofErr w:type="spellStart"/>
      <w:r>
        <w:rPr>
          <w:rFonts w:ascii="Arial" w:hAnsi="Arial" w:cs="Arial"/>
          <w:sz w:val="24"/>
          <w:szCs w:val="24"/>
        </w:rPr>
        <w:t>Allbon</w:t>
      </w:r>
      <w:proofErr w:type="spellEnd"/>
      <w:r>
        <w:rPr>
          <w:rFonts w:ascii="Arial" w:hAnsi="Arial" w:cs="Arial"/>
          <w:sz w:val="24"/>
          <w:szCs w:val="24"/>
        </w:rPr>
        <w:t xml:space="preserve"> and Dua, 2018, p.372). </w:t>
      </w:r>
    </w:p>
    <w:p w14:paraId="0481480C" w14:textId="3BF9D826" w:rsidR="005534FD" w:rsidRDefault="005534FD" w:rsidP="005534FD">
      <w:pPr>
        <w:rPr>
          <w:rFonts w:ascii="Arial" w:hAnsi="Arial" w:cs="Arial"/>
          <w:sz w:val="24"/>
          <w:szCs w:val="24"/>
        </w:rPr>
      </w:pPr>
      <w:r>
        <w:rPr>
          <w:rFonts w:ascii="Arial" w:hAnsi="Arial" w:cs="Arial"/>
          <w:sz w:val="24"/>
          <w:szCs w:val="24"/>
        </w:rPr>
        <w:t>The HRA 1998 has always been argued because of the limitation of the protected rights incorporated in it. The main critical debate is among politicians influenced by the Eurosceptic view who have seen the Act as a mechanism for transferring European law to the UK domestic law.</w:t>
      </w:r>
      <w:r w:rsidRPr="0087199C">
        <w:rPr>
          <w:rFonts w:ascii="Arial" w:hAnsi="Arial" w:cs="Arial"/>
          <w:color w:val="000000" w:themeColor="text1"/>
          <w:sz w:val="24"/>
          <w:szCs w:val="24"/>
        </w:rPr>
        <w:t xml:space="preserve"> </w:t>
      </w:r>
      <w:r>
        <w:rPr>
          <w:rFonts w:ascii="Arial" w:hAnsi="Arial" w:cs="Arial"/>
          <w:color w:val="000000" w:themeColor="text1"/>
          <w:sz w:val="24"/>
          <w:szCs w:val="24"/>
        </w:rPr>
        <w:t>Next, the Government, tabloids and media made a poor image of the H</w:t>
      </w:r>
      <w:r w:rsidR="00C21398">
        <w:rPr>
          <w:rFonts w:ascii="Arial" w:hAnsi="Arial" w:cs="Arial"/>
          <w:color w:val="000000" w:themeColor="text1"/>
          <w:sz w:val="24"/>
          <w:szCs w:val="24"/>
        </w:rPr>
        <w:t>RA</w:t>
      </w:r>
      <w:r w:rsidR="00102050">
        <w:rPr>
          <w:rFonts w:ascii="Arial" w:hAnsi="Arial" w:cs="Arial"/>
          <w:color w:val="000000" w:themeColor="text1"/>
          <w:sz w:val="24"/>
          <w:szCs w:val="24"/>
        </w:rPr>
        <w:t xml:space="preserve"> 1998</w:t>
      </w:r>
      <w:r>
        <w:rPr>
          <w:rFonts w:ascii="Arial" w:hAnsi="Arial" w:cs="Arial"/>
          <w:color w:val="000000" w:themeColor="text1"/>
          <w:sz w:val="24"/>
          <w:szCs w:val="24"/>
        </w:rPr>
        <w:t xml:space="preserve"> </w:t>
      </w:r>
      <w:r>
        <w:rPr>
          <w:rFonts w:ascii="Arial" w:hAnsi="Arial" w:cs="Arial"/>
          <w:sz w:val="24"/>
          <w:szCs w:val="24"/>
        </w:rPr>
        <w:t>(</w:t>
      </w:r>
      <w:proofErr w:type="spellStart"/>
      <w:r>
        <w:rPr>
          <w:rFonts w:ascii="Arial" w:hAnsi="Arial" w:cs="Arial"/>
          <w:sz w:val="24"/>
          <w:szCs w:val="24"/>
        </w:rPr>
        <w:t>Sueur</w:t>
      </w:r>
      <w:proofErr w:type="spellEnd"/>
      <w:r>
        <w:rPr>
          <w:rFonts w:ascii="Arial" w:hAnsi="Arial" w:cs="Arial"/>
          <w:sz w:val="24"/>
          <w:szCs w:val="24"/>
        </w:rPr>
        <w:t xml:space="preserve">, </w:t>
      </w:r>
      <w:proofErr w:type="spellStart"/>
      <w:r>
        <w:rPr>
          <w:rFonts w:ascii="Arial" w:hAnsi="Arial" w:cs="Arial"/>
          <w:sz w:val="24"/>
          <w:szCs w:val="24"/>
        </w:rPr>
        <w:t>Sunkin</w:t>
      </w:r>
      <w:proofErr w:type="spellEnd"/>
      <w:r>
        <w:rPr>
          <w:rFonts w:ascii="Arial" w:hAnsi="Arial" w:cs="Arial"/>
          <w:sz w:val="24"/>
          <w:szCs w:val="24"/>
        </w:rPr>
        <w:t xml:space="preserve">, </w:t>
      </w:r>
      <w:proofErr w:type="spellStart"/>
      <w:r>
        <w:rPr>
          <w:rFonts w:ascii="Arial" w:hAnsi="Arial" w:cs="Arial"/>
          <w:sz w:val="24"/>
          <w:szCs w:val="24"/>
        </w:rPr>
        <w:t>Murkens</w:t>
      </w:r>
      <w:proofErr w:type="spellEnd"/>
      <w:r>
        <w:rPr>
          <w:rFonts w:ascii="Arial" w:hAnsi="Arial" w:cs="Arial"/>
          <w:sz w:val="24"/>
          <w:szCs w:val="24"/>
        </w:rPr>
        <w:t xml:space="preserve">, 2016, p.231). </w:t>
      </w:r>
      <w:r w:rsidRPr="008E48DC">
        <w:rPr>
          <w:rFonts w:ascii="Arial" w:hAnsi="Arial" w:cs="Arial"/>
          <w:color w:val="000000" w:themeColor="text1"/>
          <w:sz w:val="24"/>
          <w:szCs w:val="24"/>
          <w:shd w:val="clear" w:color="auto" w:fill="FFFFFF"/>
        </w:rPr>
        <w:t xml:space="preserve">There is an obvious lack of respect for the </w:t>
      </w:r>
      <w:r w:rsidR="00102050">
        <w:rPr>
          <w:rFonts w:ascii="Arial" w:hAnsi="Arial" w:cs="Arial"/>
          <w:color w:val="000000" w:themeColor="text1"/>
          <w:sz w:val="24"/>
          <w:szCs w:val="24"/>
          <w:shd w:val="clear" w:color="auto" w:fill="FFFFFF"/>
        </w:rPr>
        <w:t>Act</w:t>
      </w:r>
      <w:r w:rsidRPr="008E48DC">
        <w:rPr>
          <w:rFonts w:ascii="Arial" w:hAnsi="Arial" w:cs="Arial"/>
          <w:color w:val="000000" w:themeColor="text1"/>
          <w:sz w:val="24"/>
          <w:szCs w:val="24"/>
          <w:shd w:val="clear" w:color="auto" w:fill="FFFFFF"/>
        </w:rPr>
        <w:t xml:space="preserve"> among public authorities and the general public. The Lord Chancellor </w:t>
      </w:r>
      <w:r>
        <w:rPr>
          <w:rFonts w:ascii="Arial" w:hAnsi="Arial" w:cs="Arial"/>
          <w:color w:val="000000" w:themeColor="text1"/>
          <w:sz w:val="24"/>
          <w:szCs w:val="24"/>
          <w:shd w:val="clear" w:color="auto" w:fill="FFFFFF"/>
        </w:rPr>
        <w:t>said</w:t>
      </w:r>
      <w:r w:rsidRPr="008E48DC">
        <w:rPr>
          <w:rFonts w:ascii="Arial" w:hAnsi="Arial" w:cs="Arial"/>
          <w:color w:val="000000" w:themeColor="text1"/>
          <w:sz w:val="24"/>
          <w:szCs w:val="24"/>
          <w:shd w:val="clear" w:color="auto" w:fill="FFFFFF"/>
        </w:rPr>
        <w:t xml:space="preserve">, the HRA </w:t>
      </w:r>
      <w:r w:rsidR="00102050">
        <w:rPr>
          <w:rFonts w:ascii="Arial" w:hAnsi="Arial" w:cs="Arial"/>
          <w:color w:val="000000" w:themeColor="text1"/>
          <w:sz w:val="24"/>
          <w:szCs w:val="24"/>
          <w:shd w:val="clear" w:color="auto" w:fill="FFFFFF"/>
        </w:rPr>
        <w:t xml:space="preserve">1998 </w:t>
      </w:r>
      <w:r w:rsidRPr="008E48DC">
        <w:rPr>
          <w:rFonts w:ascii="Arial" w:hAnsi="Arial" w:cs="Arial"/>
          <w:color w:val="000000" w:themeColor="text1"/>
          <w:sz w:val="24"/>
          <w:szCs w:val="24"/>
          <w:shd w:val="clear" w:color="auto" w:fill="FFFFFF"/>
        </w:rPr>
        <w:t>has not 'become an iconic statement of liberty as in the US, or with the South African Bill of rights’ (Amos, 2009).</w:t>
      </w:r>
      <w:r w:rsidRPr="00855887">
        <w:rPr>
          <w:rFonts w:ascii="Arial" w:hAnsi="Arial" w:cs="Arial"/>
          <w:sz w:val="24"/>
          <w:szCs w:val="24"/>
        </w:rPr>
        <w:t xml:space="preserve"> </w:t>
      </w:r>
      <w:r>
        <w:rPr>
          <w:rFonts w:ascii="Arial" w:hAnsi="Arial" w:cs="Arial"/>
          <w:sz w:val="24"/>
          <w:szCs w:val="24"/>
        </w:rPr>
        <w:t>Next, the Convection was totally ineffective when the US at Camp X-Ray held UK citizens and residents for years in Cuba without any protection of human rights. Additionally, it has limited protection of some rights and furthermore, some new rights are not included, such as preventing discrimination based on disability or sexual orientation</w:t>
      </w:r>
      <w:r w:rsidRPr="00D85A75">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Allbon</w:t>
      </w:r>
      <w:proofErr w:type="spellEnd"/>
      <w:r>
        <w:rPr>
          <w:rFonts w:ascii="Arial" w:hAnsi="Arial" w:cs="Arial"/>
          <w:sz w:val="24"/>
          <w:szCs w:val="24"/>
        </w:rPr>
        <w:t xml:space="preserve"> and Dua, 2018, p.373). </w:t>
      </w:r>
    </w:p>
    <w:p w14:paraId="079A2DA7" w14:textId="56318E8B" w:rsidR="0032110D" w:rsidRPr="00154A08" w:rsidRDefault="0061481B" w:rsidP="005534FD">
      <w:pPr>
        <w:rPr>
          <w:rFonts w:ascii="Arial" w:hAnsi="Arial" w:cs="Arial"/>
          <w:color w:val="000000" w:themeColor="text1"/>
          <w:sz w:val="28"/>
          <w:szCs w:val="28"/>
        </w:rPr>
      </w:pPr>
      <w:r>
        <w:rPr>
          <w:rFonts w:ascii="Arial" w:hAnsi="Arial" w:cs="Arial"/>
          <w:sz w:val="24"/>
          <w:szCs w:val="24"/>
        </w:rPr>
        <w:t>Furthermore, i</w:t>
      </w:r>
      <w:r w:rsidR="0032110D">
        <w:rPr>
          <w:rFonts w:ascii="Arial" w:hAnsi="Arial" w:cs="Arial"/>
          <w:sz w:val="24"/>
          <w:szCs w:val="24"/>
        </w:rPr>
        <w:t>n June 2016 the citizens of the United Kingdom voted to withdraw from the E</w:t>
      </w:r>
      <w:r w:rsidR="00393075">
        <w:rPr>
          <w:rFonts w:ascii="Arial" w:hAnsi="Arial" w:cs="Arial"/>
          <w:sz w:val="24"/>
          <w:szCs w:val="24"/>
        </w:rPr>
        <w:t>U</w:t>
      </w:r>
      <w:r w:rsidR="0032110D">
        <w:rPr>
          <w:rFonts w:ascii="Arial" w:hAnsi="Arial" w:cs="Arial"/>
          <w:sz w:val="24"/>
          <w:szCs w:val="24"/>
        </w:rPr>
        <w:t xml:space="preserve"> and the prime minister made his intention under Art. 50(2) of the Treaty on the European Union integrated into the European Union (notification Withdrawal) Act 2017</w:t>
      </w:r>
      <w:r w:rsidR="0032110D" w:rsidRPr="0063181E">
        <w:rPr>
          <w:rFonts w:ascii="Arial" w:hAnsi="Arial" w:cs="Arial"/>
          <w:color w:val="000000" w:themeColor="text1"/>
          <w:sz w:val="24"/>
          <w:szCs w:val="24"/>
        </w:rPr>
        <w:t>. </w:t>
      </w:r>
      <w:r w:rsidR="0032110D">
        <w:rPr>
          <w:rFonts w:ascii="Arial" w:hAnsi="Arial" w:cs="Arial"/>
          <w:color w:val="000000" w:themeColor="text1"/>
          <w:sz w:val="24"/>
          <w:szCs w:val="24"/>
        </w:rPr>
        <w:t>Britain</w:t>
      </w:r>
      <w:r w:rsidR="00CE0597">
        <w:rPr>
          <w:rFonts w:ascii="Arial" w:hAnsi="Arial" w:cs="Arial"/>
          <w:color w:val="000000" w:themeColor="text1"/>
          <w:sz w:val="24"/>
          <w:szCs w:val="24"/>
        </w:rPr>
        <w:t>’s membership</w:t>
      </w:r>
      <w:r w:rsidR="009357C5">
        <w:rPr>
          <w:rFonts w:ascii="Arial" w:hAnsi="Arial" w:cs="Arial"/>
          <w:color w:val="000000" w:themeColor="text1"/>
          <w:sz w:val="24"/>
          <w:szCs w:val="24"/>
        </w:rPr>
        <w:t xml:space="preserve"> </w:t>
      </w:r>
      <w:r w:rsidR="0032110D">
        <w:rPr>
          <w:rFonts w:ascii="Arial" w:hAnsi="Arial" w:cs="Arial"/>
          <w:color w:val="000000" w:themeColor="text1"/>
          <w:sz w:val="24"/>
          <w:szCs w:val="24"/>
        </w:rPr>
        <w:t xml:space="preserve">in </w:t>
      </w:r>
      <w:r w:rsidR="0032110D">
        <w:rPr>
          <w:rFonts w:ascii="Arial" w:hAnsi="Arial" w:cs="Arial"/>
          <w:sz w:val="24"/>
          <w:szCs w:val="24"/>
        </w:rPr>
        <w:t xml:space="preserve">The European Community Act </w:t>
      </w:r>
      <w:r w:rsidR="00A07ADE">
        <w:rPr>
          <w:rFonts w:ascii="Arial" w:hAnsi="Arial" w:cs="Arial"/>
          <w:sz w:val="24"/>
          <w:szCs w:val="24"/>
        </w:rPr>
        <w:t xml:space="preserve">since 1972 </w:t>
      </w:r>
      <w:r w:rsidR="0032110D">
        <w:rPr>
          <w:rFonts w:ascii="Arial" w:hAnsi="Arial" w:cs="Arial"/>
          <w:sz w:val="24"/>
          <w:szCs w:val="24"/>
        </w:rPr>
        <w:t xml:space="preserve">(European Economic Community Act 1972) and the following withdrawal was a cornerstone </w:t>
      </w:r>
      <w:r w:rsidR="00580FD2">
        <w:rPr>
          <w:rFonts w:ascii="Arial" w:hAnsi="Arial" w:cs="Arial"/>
          <w:sz w:val="24"/>
          <w:szCs w:val="24"/>
        </w:rPr>
        <w:t>of</w:t>
      </w:r>
      <w:r w:rsidR="0032110D">
        <w:rPr>
          <w:rFonts w:ascii="Arial" w:hAnsi="Arial" w:cs="Arial"/>
          <w:sz w:val="24"/>
          <w:szCs w:val="24"/>
        </w:rPr>
        <w:t xml:space="preserve"> the reform with a new Bill of </w:t>
      </w:r>
      <w:r w:rsidR="00B03931">
        <w:rPr>
          <w:rFonts w:ascii="Arial" w:hAnsi="Arial" w:cs="Arial"/>
          <w:sz w:val="24"/>
          <w:szCs w:val="24"/>
        </w:rPr>
        <w:t>R</w:t>
      </w:r>
      <w:r w:rsidR="0032110D">
        <w:rPr>
          <w:rFonts w:ascii="Arial" w:hAnsi="Arial" w:cs="Arial"/>
          <w:sz w:val="24"/>
          <w:szCs w:val="24"/>
        </w:rPr>
        <w:t xml:space="preserve">ights </w:t>
      </w:r>
      <w:r w:rsidR="00B03931">
        <w:rPr>
          <w:rFonts w:ascii="Arial" w:hAnsi="Arial" w:cs="Arial"/>
          <w:sz w:val="24"/>
          <w:szCs w:val="24"/>
        </w:rPr>
        <w:t>B</w:t>
      </w:r>
      <w:r w:rsidR="0032110D">
        <w:rPr>
          <w:rFonts w:ascii="Arial" w:hAnsi="Arial" w:cs="Arial"/>
          <w:sz w:val="24"/>
          <w:szCs w:val="24"/>
        </w:rPr>
        <w:t>ill.</w:t>
      </w:r>
      <w:r w:rsidR="00154A08">
        <w:rPr>
          <w:rFonts w:ascii="Arial" w:hAnsi="Arial" w:cs="Arial"/>
          <w:color w:val="000000" w:themeColor="text1"/>
          <w:sz w:val="28"/>
          <w:szCs w:val="28"/>
        </w:rPr>
        <w:t xml:space="preserve"> </w:t>
      </w:r>
      <w:r w:rsidR="0032110D" w:rsidRPr="001E26FF">
        <w:rPr>
          <w:rFonts w:ascii="Arial" w:hAnsi="Arial" w:cs="Arial"/>
          <w:sz w:val="24"/>
          <w:szCs w:val="24"/>
        </w:rPr>
        <w:t>According to</w:t>
      </w:r>
      <w:r w:rsidR="0032110D">
        <w:rPr>
          <w:rFonts w:ascii="Arial" w:hAnsi="Arial" w:cs="Arial"/>
          <w:sz w:val="24"/>
          <w:szCs w:val="24"/>
        </w:rPr>
        <w:t xml:space="preserve"> </w:t>
      </w:r>
      <w:proofErr w:type="spellStart"/>
      <w:r w:rsidR="0032110D" w:rsidRPr="001E26FF">
        <w:rPr>
          <w:rFonts w:ascii="Arial" w:hAnsi="Arial" w:cs="Arial"/>
          <w:sz w:val="24"/>
          <w:szCs w:val="24"/>
        </w:rPr>
        <w:t>Goerge’s</w:t>
      </w:r>
      <w:proofErr w:type="spellEnd"/>
      <w:r w:rsidR="0032110D" w:rsidRPr="001E26FF">
        <w:rPr>
          <w:rFonts w:ascii="Arial" w:hAnsi="Arial" w:cs="Arial"/>
          <w:sz w:val="24"/>
          <w:szCs w:val="24"/>
        </w:rPr>
        <w:t xml:space="preserve"> report, the Government failed to take advantage of the legislative, political and social opportunities of creating a new Bill of Rights</w:t>
      </w:r>
      <w:r w:rsidR="0032110D" w:rsidRPr="001E26FF">
        <w:rPr>
          <w:rFonts w:ascii="Arial" w:hAnsi="Arial" w:cs="Arial"/>
          <w:color w:val="393939"/>
          <w:sz w:val="24"/>
          <w:szCs w:val="24"/>
        </w:rPr>
        <w:t xml:space="preserve"> </w:t>
      </w:r>
      <w:r w:rsidR="0032110D" w:rsidRPr="00495C96">
        <w:rPr>
          <w:rFonts w:ascii="Arial" w:hAnsi="Arial" w:cs="Arial"/>
          <w:color w:val="000000" w:themeColor="text1"/>
          <w:sz w:val="24"/>
          <w:szCs w:val="24"/>
        </w:rPr>
        <w:t>which is an important piece of legislation to foster the UK identity and belonging after Brexit</w:t>
      </w:r>
      <w:r w:rsidR="0032110D">
        <w:rPr>
          <w:rFonts w:ascii="Arial" w:hAnsi="Arial" w:cs="Arial"/>
          <w:color w:val="000000" w:themeColor="text1"/>
          <w:sz w:val="24"/>
          <w:szCs w:val="24"/>
        </w:rPr>
        <w:t xml:space="preserve">. She noted Bill’s little progression from 2015 and suggest that it was stuck in a 2015 pre-Brexit time when the Conservative Party was wondering whether it was the EU they wanted to leave or the distinct European Court of Human Rights (2023). </w:t>
      </w:r>
    </w:p>
    <w:p w14:paraId="6EB5AD01" w14:textId="669FF783" w:rsidR="005534FD" w:rsidRPr="00BA0B69" w:rsidRDefault="005534FD" w:rsidP="005534FD">
      <w:pPr>
        <w:rPr>
          <w:rFonts w:ascii="Arial" w:hAnsi="Arial" w:cs="Arial"/>
          <w:color w:val="212121"/>
          <w:sz w:val="24"/>
          <w:szCs w:val="24"/>
          <w:shd w:val="clear" w:color="auto" w:fill="FFFFFF"/>
        </w:rPr>
      </w:pPr>
      <w:r w:rsidRPr="00050BE9">
        <w:rPr>
          <w:rFonts w:ascii="Arial" w:hAnsi="Arial" w:cs="Arial"/>
          <w:color w:val="000000" w:themeColor="text1"/>
          <w:sz w:val="24"/>
          <w:szCs w:val="24"/>
        </w:rPr>
        <w:t>In December 2020 an independent review of the HRA 1998 was initiated (Williams, no date).</w:t>
      </w:r>
      <w:r w:rsidRPr="00050BE9">
        <w:rPr>
          <w:rFonts w:ascii="Arial" w:hAnsi="Arial" w:cs="Arial"/>
          <w:color w:val="000000" w:themeColor="text1"/>
          <w:sz w:val="24"/>
          <w:szCs w:val="24"/>
          <w:shd w:val="clear" w:color="auto" w:fill="FFFFFF"/>
        </w:rPr>
        <w:t xml:space="preserve"> The Joint Committee on Human rights (</w:t>
      </w:r>
      <w:r>
        <w:rPr>
          <w:rFonts w:ascii="Arial" w:hAnsi="Arial" w:cs="Arial"/>
          <w:color w:val="000000" w:themeColor="text1"/>
          <w:sz w:val="24"/>
          <w:szCs w:val="24"/>
          <w:shd w:val="clear" w:color="auto" w:fill="FFFFFF"/>
        </w:rPr>
        <w:t>2021</w:t>
      </w:r>
      <w:r w:rsidRPr="00050BE9">
        <w:rPr>
          <w:rFonts w:ascii="Arial" w:hAnsi="Arial" w:cs="Arial"/>
          <w:color w:val="000000" w:themeColor="text1"/>
          <w:sz w:val="24"/>
          <w:szCs w:val="24"/>
          <w:shd w:val="clear" w:color="auto" w:fill="FFFFFF"/>
        </w:rPr>
        <w:t>) made conclusion that the reform of the HRA 1998 is not necessary.</w:t>
      </w:r>
      <w:r>
        <w:rPr>
          <w:rFonts w:ascii="Arial" w:hAnsi="Arial" w:cs="Arial"/>
          <w:color w:val="000000" w:themeColor="text1"/>
          <w:sz w:val="24"/>
          <w:szCs w:val="24"/>
          <w:shd w:val="clear" w:color="auto" w:fill="FFFFFF"/>
        </w:rPr>
        <w:t xml:space="preserve"> The Committee described the Act as a piece of legislation</w:t>
      </w:r>
      <w:r w:rsidRPr="00050BE9">
        <w:rPr>
          <w:rFonts w:ascii="Arial" w:hAnsi="Arial" w:cs="Arial"/>
          <w:color w:val="000000" w:themeColor="text1"/>
          <w:sz w:val="24"/>
          <w:szCs w:val="24"/>
          <w:shd w:val="clear" w:color="auto" w:fill="FFFFFF"/>
        </w:rPr>
        <w:t xml:space="preserve"> which ‘strikes a careful balance, respecting our constitutional arrangements and upholding the rule of law’</w:t>
      </w:r>
      <w:r>
        <w:rPr>
          <w:rFonts w:ascii="Arial" w:hAnsi="Arial" w:cs="Arial"/>
          <w:color w:val="000000" w:themeColor="text1"/>
          <w:sz w:val="24"/>
          <w:szCs w:val="24"/>
          <w:shd w:val="clear" w:color="auto" w:fill="FFFFFF"/>
        </w:rPr>
        <w:t>.</w:t>
      </w:r>
      <w:r w:rsidRPr="00050BE9">
        <w:rPr>
          <w:rFonts w:ascii="Arial" w:hAnsi="Arial" w:cs="Arial"/>
          <w:color w:val="000000" w:themeColor="text1"/>
          <w:sz w:val="24"/>
          <w:szCs w:val="24"/>
          <w:shd w:val="clear" w:color="auto" w:fill="FFFFFF"/>
        </w:rPr>
        <w:t xml:space="preserve"> This suggests a careful balance for parliamentary sovereignty and separation of powers and guarantees the protection of individual rights in UK courts</w:t>
      </w:r>
      <w:r>
        <w:rPr>
          <w:rFonts w:ascii="Arial" w:hAnsi="Arial" w:cs="Arial"/>
          <w:color w:val="000000" w:themeColor="text1"/>
          <w:sz w:val="24"/>
          <w:szCs w:val="24"/>
          <w:shd w:val="clear" w:color="auto" w:fill="FFFFFF"/>
        </w:rPr>
        <w:t xml:space="preserve"> (JCHR, 2021)</w:t>
      </w:r>
      <w:r w:rsidRPr="00050BE9">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Based on these facts, s</w:t>
      </w:r>
      <w:r>
        <w:rPr>
          <w:rFonts w:ascii="Arial" w:hAnsi="Arial" w:cs="Arial"/>
          <w:sz w:val="24"/>
          <w:szCs w:val="24"/>
        </w:rPr>
        <w:t>ome argue that the introduction of the new legislation could damage the rule of law and impact the ability of individuals to protect their human rights (Law Society, 2022).</w:t>
      </w:r>
      <w:r>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rPr>
        <w:t>Although these debates against the Bill and the conclusion of the JCHR</w:t>
      </w:r>
      <w:r w:rsidR="001C0713">
        <w:rPr>
          <w:rFonts w:ascii="Arial" w:hAnsi="Arial" w:cs="Arial"/>
          <w:color w:val="000000" w:themeColor="text1"/>
          <w:sz w:val="24"/>
          <w:szCs w:val="24"/>
        </w:rPr>
        <w:t xml:space="preserve">, </w:t>
      </w:r>
      <w:r w:rsidRPr="00050BE9">
        <w:rPr>
          <w:rFonts w:ascii="Arial" w:hAnsi="Arial" w:cs="Arial"/>
          <w:color w:val="000000" w:themeColor="text1"/>
          <w:sz w:val="24"/>
          <w:szCs w:val="24"/>
        </w:rPr>
        <w:t xml:space="preserve">the </w:t>
      </w:r>
      <w:r>
        <w:rPr>
          <w:rFonts w:ascii="Arial" w:hAnsi="Arial" w:cs="Arial"/>
          <w:color w:val="000000" w:themeColor="text1"/>
          <w:sz w:val="24"/>
          <w:szCs w:val="24"/>
        </w:rPr>
        <w:t xml:space="preserve">new legislation is in progress, and it is on the </w:t>
      </w:r>
      <w:r w:rsidRPr="00050BE9">
        <w:rPr>
          <w:rFonts w:ascii="Arial" w:hAnsi="Arial" w:cs="Arial"/>
          <w:color w:val="000000" w:themeColor="text1"/>
          <w:sz w:val="24"/>
          <w:szCs w:val="24"/>
        </w:rPr>
        <w:t>2</w:t>
      </w:r>
      <w:r w:rsidRPr="00050BE9">
        <w:rPr>
          <w:rFonts w:ascii="Arial" w:hAnsi="Arial" w:cs="Arial"/>
          <w:color w:val="000000" w:themeColor="text1"/>
          <w:sz w:val="24"/>
          <w:szCs w:val="24"/>
          <w:vertAlign w:val="superscript"/>
        </w:rPr>
        <w:t>nd</w:t>
      </w:r>
      <w:r w:rsidRPr="00050BE9">
        <w:rPr>
          <w:rFonts w:ascii="Arial" w:hAnsi="Arial" w:cs="Arial"/>
          <w:color w:val="000000" w:themeColor="text1"/>
          <w:sz w:val="24"/>
          <w:szCs w:val="24"/>
        </w:rPr>
        <w:t xml:space="preserve"> reading in the House of Commons</w:t>
      </w:r>
      <w:r>
        <w:rPr>
          <w:rFonts w:ascii="Arial" w:hAnsi="Arial" w:cs="Arial"/>
          <w:color w:val="000000" w:themeColor="text1"/>
          <w:sz w:val="24"/>
          <w:szCs w:val="24"/>
        </w:rPr>
        <w:t xml:space="preserve"> </w:t>
      </w:r>
      <w:r w:rsidRPr="00050BE9">
        <w:rPr>
          <w:rFonts w:ascii="Arial" w:hAnsi="Arial" w:cs="Arial"/>
          <w:color w:val="000000" w:themeColor="text1"/>
          <w:sz w:val="24"/>
          <w:szCs w:val="24"/>
        </w:rPr>
        <w:t>(</w:t>
      </w:r>
      <w:r>
        <w:rPr>
          <w:rFonts w:ascii="Arial" w:hAnsi="Arial" w:cs="Arial"/>
          <w:color w:val="000000" w:themeColor="text1"/>
          <w:sz w:val="24"/>
          <w:szCs w:val="24"/>
        </w:rPr>
        <w:t>The Bill of Rights Bill</w:t>
      </w:r>
      <w:r w:rsidRPr="00050BE9">
        <w:rPr>
          <w:rFonts w:ascii="Arial" w:hAnsi="Arial" w:cs="Arial"/>
          <w:color w:val="000000" w:themeColor="text1"/>
          <w:sz w:val="24"/>
          <w:szCs w:val="24"/>
        </w:rPr>
        <w:t>, 2022).</w:t>
      </w:r>
      <w:r>
        <w:rPr>
          <w:rFonts w:ascii="Arial" w:hAnsi="Arial" w:cs="Arial"/>
          <w:color w:val="000000" w:themeColor="text1"/>
          <w:sz w:val="24"/>
          <w:szCs w:val="24"/>
        </w:rPr>
        <w:t xml:space="preserve"> If the Bill comes into force several things will change but firstly, we will focus on the main provisions </w:t>
      </w:r>
      <w:r w:rsidR="00533001">
        <w:rPr>
          <w:rFonts w:ascii="Arial" w:hAnsi="Arial" w:cs="Arial"/>
          <w:color w:val="000000" w:themeColor="text1"/>
          <w:sz w:val="24"/>
          <w:szCs w:val="24"/>
        </w:rPr>
        <w:t xml:space="preserve">from the HRA 1998 </w:t>
      </w:r>
      <w:r>
        <w:rPr>
          <w:rFonts w:ascii="Arial" w:hAnsi="Arial" w:cs="Arial"/>
          <w:color w:val="000000" w:themeColor="text1"/>
          <w:sz w:val="24"/>
          <w:szCs w:val="24"/>
        </w:rPr>
        <w:t xml:space="preserve">which will </w:t>
      </w:r>
      <w:r w:rsidR="003904EE">
        <w:rPr>
          <w:rFonts w:ascii="Arial" w:hAnsi="Arial" w:cs="Arial"/>
          <w:color w:val="000000" w:themeColor="text1"/>
          <w:sz w:val="24"/>
          <w:szCs w:val="24"/>
        </w:rPr>
        <w:t>stay the same</w:t>
      </w:r>
      <w:r>
        <w:rPr>
          <w:rFonts w:ascii="Arial" w:hAnsi="Arial" w:cs="Arial"/>
          <w:color w:val="000000" w:themeColor="text1"/>
          <w:sz w:val="24"/>
          <w:szCs w:val="24"/>
        </w:rPr>
        <w:t>.</w:t>
      </w:r>
    </w:p>
    <w:p w14:paraId="7F02DC6D" w14:textId="3997F0CF" w:rsidR="005534FD" w:rsidRDefault="00533001" w:rsidP="005534FD">
      <w:pPr>
        <w:rPr>
          <w:rFonts w:ascii="Arial" w:hAnsi="Arial" w:cs="Arial"/>
          <w:sz w:val="24"/>
          <w:szCs w:val="24"/>
        </w:rPr>
      </w:pPr>
      <w:r>
        <w:rPr>
          <w:rFonts w:ascii="Arial" w:hAnsi="Arial" w:cs="Arial"/>
          <w:color w:val="000000" w:themeColor="text1"/>
          <w:sz w:val="24"/>
          <w:szCs w:val="24"/>
        </w:rPr>
        <w:t>T</w:t>
      </w:r>
      <w:r w:rsidR="005534FD">
        <w:rPr>
          <w:rFonts w:ascii="Arial" w:hAnsi="Arial" w:cs="Arial"/>
          <w:color w:val="000000" w:themeColor="text1"/>
          <w:sz w:val="24"/>
          <w:szCs w:val="24"/>
        </w:rPr>
        <w:t>he Bill would incorporate t</w:t>
      </w:r>
      <w:r w:rsidR="005534FD">
        <w:rPr>
          <w:rFonts w:ascii="Arial" w:hAnsi="Arial" w:cs="Arial"/>
          <w:sz w:val="24"/>
          <w:szCs w:val="24"/>
        </w:rPr>
        <w:t xml:space="preserve">he same Convention rights included in Articles 2-12 and 14. Additionally, Articles 1 to 3 of Protocol 1 and Art.1 of the 13 Protocol as read with </w:t>
      </w:r>
      <w:r w:rsidR="005534FD">
        <w:rPr>
          <w:rFonts w:ascii="Arial" w:hAnsi="Arial" w:cs="Arial"/>
          <w:sz w:val="24"/>
          <w:szCs w:val="24"/>
        </w:rPr>
        <w:lastRenderedPageBreak/>
        <w:t>Art. 16 and 18 of the Convention (The Bill of Rights Bill 2022). The</w:t>
      </w:r>
      <w:r w:rsidR="00A66014">
        <w:rPr>
          <w:rFonts w:ascii="Arial" w:hAnsi="Arial" w:cs="Arial"/>
          <w:sz w:val="24"/>
          <w:szCs w:val="24"/>
        </w:rPr>
        <w:t>se rights</w:t>
      </w:r>
      <w:r w:rsidR="005534FD">
        <w:rPr>
          <w:rFonts w:ascii="Arial" w:hAnsi="Arial" w:cs="Arial"/>
          <w:sz w:val="24"/>
          <w:szCs w:val="24"/>
        </w:rPr>
        <w:t xml:space="preserve"> can be divided into three main types. Some of them are absolute and the state cannot restrict them. They are presented in Articles 2,3,4 (1), and 7</w:t>
      </w:r>
      <w:r w:rsidR="00893BD3">
        <w:rPr>
          <w:rFonts w:ascii="Arial" w:hAnsi="Arial" w:cs="Arial"/>
          <w:sz w:val="24"/>
          <w:szCs w:val="24"/>
        </w:rPr>
        <w:t xml:space="preserve"> in the Convention</w:t>
      </w:r>
      <w:r w:rsidR="005534FD">
        <w:rPr>
          <w:rFonts w:ascii="Arial" w:hAnsi="Arial" w:cs="Arial"/>
          <w:sz w:val="24"/>
          <w:szCs w:val="24"/>
        </w:rPr>
        <w:t>, although Art 2 includes some limitations.</w:t>
      </w:r>
      <w:r w:rsidR="005534FD" w:rsidRPr="00A377AE">
        <w:rPr>
          <w:rFonts w:ascii="Arial" w:hAnsi="Arial" w:cs="Arial"/>
          <w:sz w:val="24"/>
          <w:szCs w:val="24"/>
        </w:rPr>
        <w:t xml:space="preserve"> </w:t>
      </w:r>
      <w:r w:rsidR="005534FD">
        <w:rPr>
          <w:rFonts w:ascii="Arial" w:hAnsi="Arial" w:cs="Arial"/>
          <w:sz w:val="24"/>
          <w:szCs w:val="24"/>
        </w:rPr>
        <w:t xml:space="preserve">Next, there are other rights which are called limited. For instance, Art. 5 integrates the right to liberty, which could be limited if an individual is imprisoned. Finally, there are qualified rights that the state can restrict in order to keep the interests of the whole community. These rights consist in Art 8-11 and are often required evaluation of whether the state restrictions are accurate (Wilson, et al., 2020, p. 260). </w:t>
      </w:r>
      <w:r w:rsidR="00F42E39">
        <w:rPr>
          <w:rFonts w:ascii="Arial" w:hAnsi="Arial" w:cs="Arial"/>
          <w:sz w:val="24"/>
          <w:szCs w:val="24"/>
        </w:rPr>
        <w:t>Additionally</w:t>
      </w:r>
      <w:r w:rsidR="005534FD">
        <w:rPr>
          <w:rFonts w:ascii="Arial" w:hAnsi="Arial" w:cs="Arial"/>
          <w:sz w:val="24"/>
          <w:szCs w:val="24"/>
        </w:rPr>
        <w:t>, the protection of human rights would stay in the domestic courts. The Bill also stated that the UK would continue to be a member of the ECHR which would secure the full rights regarding the Convention of the UK citizens. The public authorities would still be required to act with respect to human rights (The Bill of Rights Bill 2022).</w:t>
      </w:r>
    </w:p>
    <w:p w14:paraId="2BCF30A5" w14:textId="559405D5" w:rsidR="005534FD" w:rsidRDefault="005534FD" w:rsidP="005534FD">
      <w:pPr>
        <w:rPr>
          <w:rFonts w:ascii="Arial" w:hAnsi="Arial" w:cs="Arial"/>
          <w:sz w:val="24"/>
          <w:szCs w:val="24"/>
        </w:rPr>
      </w:pPr>
      <w:r>
        <w:rPr>
          <w:rFonts w:ascii="Arial" w:hAnsi="Arial" w:cs="Arial"/>
          <w:sz w:val="24"/>
          <w:szCs w:val="24"/>
        </w:rPr>
        <w:t>The main change</w:t>
      </w:r>
      <w:r w:rsidR="00E6405B">
        <w:rPr>
          <w:rFonts w:ascii="Arial" w:hAnsi="Arial" w:cs="Arial"/>
          <w:sz w:val="24"/>
          <w:szCs w:val="24"/>
        </w:rPr>
        <w:t xml:space="preserve"> and disadvantage</w:t>
      </w:r>
      <w:r>
        <w:rPr>
          <w:rFonts w:ascii="Arial" w:hAnsi="Arial" w:cs="Arial"/>
          <w:sz w:val="24"/>
          <w:szCs w:val="24"/>
        </w:rPr>
        <w:t xml:space="preserve"> in the Bill</w:t>
      </w:r>
      <w:r w:rsidR="002641FF">
        <w:rPr>
          <w:rFonts w:ascii="Arial" w:hAnsi="Arial" w:cs="Arial"/>
          <w:sz w:val="24"/>
          <w:szCs w:val="24"/>
        </w:rPr>
        <w:t xml:space="preserve"> </w:t>
      </w:r>
      <w:r>
        <w:rPr>
          <w:rFonts w:ascii="Arial" w:hAnsi="Arial" w:cs="Arial"/>
          <w:sz w:val="24"/>
          <w:szCs w:val="24"/>
        </w:rPr>
        <w:t>would be the way the Act impacts the judiciary practice and the power it gives to the judges taking it from the Parliament (</w:t>
      </w:r>
      <w:proofErr w:type="spellStart"/>
      <w:r>
        <w:rPr>
          <w:rFonts w:ascii="Arial" w:hAnsi="Arial" w:cs="Arial"/>
          <w:sz w:val="24"/>
          <w:szCs w:val="24"/>
        </w:rPr>
        <w:t>Allbon</w:t>
      </w:r>
      <w:proofErr w:type="spellEnd"/>
      <w:r>
        <w:rPr>
          <w:rFonts w:ascii="Arial" w:hAnsi="Arial" w:cs="Arial"/>
          <w:sz w:val="24"/>
          <w:szCs w:val="24"/>
        </w:rPr>
        <w:t xml:space="preserve"> and Dua, 2018, p. 375). The Bill removes the duty under s. 2 and 3 of the Act and limits the interpretation of rights to the simple reading of the text of the Convention (The Bill of Rights Bill, 2022).</w:t>
      </w:r>
      <w:r>
        <w:rPr>
          <w:rFonts w:ascii="Arial" w:eastAsia="Times New Roman" w:hAnsi="Arial" w:cs="Arial"/>
          <w:color w:val="000000"/>
          <w:sz w:val="24"/>
          <w:szCs w:val="24"/>
          <w:lang w:eastAsia="en-GB"/>
        </w:rPr>
        <w:t xml:space="preserve"> U</w:t>
      </w:r>
      <w:r>
        <w:rPr>
          <w:rFonts w:ascii="Arial" w:hAnsi="Arial" w:cs="Arial"/>
          <w:sz w:val="24"/>
          <w:szCs w:val="24"/>
        </w:rPr>
        <w:t>nder s. 3 of the Act the courts must interpret the law in accordance with the Convention rights incorporated in the Act, but the Bill denied this rule. Next, under s.2 of the Act, the courts must consider the decisions of the European Court of Human Rights, furthermore the opinions and decisions of the European Commission of the Human Rights and the decisions of the Committee of Ministers when deciding any question about Convention rights (</w:t>
      </w:r>
      <w:proofErr w:type="spellStart"/>
      <w:r>
        <w:rPr>
          <w:rFonts w:ascii="Arial" w:hAnsi="Arial" w:cs="Arial"/>
          <w:sz w:val="24"/>
          <w:szCs w:val="24"/>
        </w:rPr>
        <w:t>Cownie</w:t>
      </w:r>
      <w:proofErr w:type="spellEnd"/>
      <w:r>
        <w:rPr>
          <w:rFonts w:ascii="Arial" w:hAnsi="Arial" w:cs="Arial"/>
          <w:sz w:val="24"/>
          <w:szCs w:val="24"/>
        </w:rPr>
        <w:t xml:space="preserve">, </w:t>
      </w:r>
      <w:proofErr w:type="spellStart"/>
      <w:r>
        <w:rPr>
          <w:rFonts w:ascii="Arial" w:hAnsi="Arial" w:cs="Arial"/>
          <w:sz w:val="24"/>
          <w:szCs w:val="24"/>
        </w:rPr>
        <w:t>Bradney</w:t>
      </w:r>
      <w:proofErr w:type="spellEnd"/>
      <w:r>
        <w:rPr>
          <w:rFonts w:ascii="Arial" w:hAnsi="Arial" w:cs="Arial"/>
          <w:sz w:val="24"/>
          <w:szCs w:val="24"/>
        </w:rPr>
        <w:t xml:space="preserve"> and Burton, 2013, p. 116)</w:t>
      </w:r>
      <w:r w:rsidR="00515A7B">
        <w:rPr>
          <w:rFonts w:ascii="Arial" w:hAnsi="Arial" w:cs="Arial"/>
          <w:sz w:val="24"/>
          <w:szCs w:val="24"/>
        </w:rPr>
        <w:t xml:space="preserve">, </w:t>
      </w:r>
      <w:r w:rsidR="00F32A1D">
        <w:rPr>
          <w:rFonts w:ascii="Arial" w:hAnsi="Arial" w:cs="Arial"/>
          <w:sz w:val="24"/>
          <w:szCs w:val="24"/>
        </w:rPr>
        <w:t xml:space="preserve">but </w:t>
      </w:r>
      <w:r w:rsidR="008F05CA">
        <w:rPr>
          <w:rFonts w:ascii="Arial" w:hAnsi="Arial" w:cs="Arial"/>
          <w:sz w:val="24"/>
          <w:szCs w:val="24"/>
        </w:rPr>
        <w:t>not</w:t>
      </w:r>
      <w:r>
        <w:rPr>
          <w:rFonts w:ascii="Arial" w:hAnsi="Arial" w:cs="Arial"/>
          <w:sz w:val="24"/>
          <w:szCs w:val="24"/>
        </w:rPr>
        <w:t xml:space="preserve"> anymore. </w:t>
      </w:r>
      <w:r w:rsidR="00DD65B2">
        <w:rPr>
          <w:rFonts w:ascii="Arial" w:hAnsi="Arial" w:cs="Arial"/>
          <w:sz w:val="24"/>
          <w:szCs w:val="24"/>
        </w:rPr>
        <w:t>Another</w:t>
      </w:r>
      <w:r w:rsidR="002E7E7F">
        <w:rPr>
          <w:rFonts w:ascii="Arial" w:hAnsi="Arial" w:cs="Arial"/>
          <w:sz w:val="24"/>
          <w:szCs w:val="24"/>
        </w:rPr>
        <w:t xml:space="preserve"> </w:t>
      </w:r>
      <w:r w:rsidR="00313A04">
        <w:rPr>
          <w:rFonts w:ascii="Arial" w:hAnsi="Arial" w:cs="Arial"/>
          <w:sz w:val="24"/>
          <w:szCs w:val="24"/>
        </w:rPr>
        <w:t xml:space="preserve">amendment in </w:t>
      </w:r>
      <w:r>
        <w:rPr>
          <w:rFonts w:ascii="Arial" w:hAnsi="Arial" w:cs="Arial"/>
          <w:sz w:val="24"/>
          <w:szCs w:val="24"/>
        </w:rPr>
        <w:t xml:space="preserve">the </w:t>
      </w:r>
      <w:r w:rsidR="000F640B">
        <w:rPr>
          <w:rFonts w:ascii="Arial" w:hAnsi="Arial" w:cs="Arial"/>
          <w:sz w:val="24"/>
          <w:szCs w:val="24"/>
        </w:rPr>
        <w:t>new legislation</w:t>
      </w:r>
      <w:r>
        <w:rPr>
          <w:rFonts w:ascii="Arial" w:hAnsi="Arial" w:cs="Arial"/>
          <w:sz w:val="24"/>
          <w:szCs w:val="24"/>
        </w:rPr>
        <w:t xml:space="preserve"> </w:t>
      </w:r>
      <w:r w:rsidR="00DD65B2">
        <w:rPr>
          <w:rFonts w:ascii="Arial" w:hAnsi="Arial" w:cs="Arial"/>
          <w:sz w:val="24"/>
          <w:szCs w:val="24"/>
        </w:rPr>
        <w:t>is the</w:t>
      </w:r>
      <w:r>
        <w:rPr>
          <w:rFonts w:ascii="Arial" w:hAnsi="Arial" w:cs="Arial"/>
          <w:sz w:val="24"/>
          <w:szCs w:val="24"/>
        </w:rPr>
        <w:t xml:space="preserve"> </w:t>
      </w:r>
      <w:r w:rsidR="00DD65B2">
        <w:rPr>
          <w:rFonts w:ascii="Arial" w:hAnsi="Arial" w:cs="Arial"/>
          <w:sz w:val="24"/>
          <w:szCs w:val="24"/>
        </w:rPr>
        <w:t>extended</w:t>
      </w:r>
      <w:r>
        <w:rPr>
          <w:rFonts w:ascii="Arial" w:hAnsi="Arial" w:cs="Arial"/>
          <w:sz w:val="24"/>
          <w:szCs w:val="24"/>
        </w:rPr>
        <w:t xml:space="preserve"> use of a declaration of incompatibility to the secondary legislation. </w:t>
      </w:r>
      <w:r w:rsidR="00907B2D">
        <w:rPr>
          <w:rFonts w:ascii="Arial" w:hAnsi="Arial" w:cs="Arial"/>
          <w:sz w:val="24"/>
          <w:szCs w:val="24"/>
        </w:rPr>
        <w:t>Furthermore</w:t>
      </w:r>
      <w:r>
        <w:rPr>
          <w:rFonts w:ascii="Arial" w:hAnsi="Arial" w:cs="Arial"/>
          <w:sz w:val="24"/>
          <w:szCs w:val="24"/>
        </w:rPr>
        <w:t xml:space="preserve">, the Bill introduces a new permission stage for the claimant before making a claim in court and </w:t>
      </w:r>
      <w:r w:rsidR="003C2B31">
        <w:rPr>
          <w:rFonts w:ascii="Arial" w:hAnsi="Arial" w:cs="Arial"/>
          <w:sz w:val="24"/>
          <w:szCs w:val="24"/>
        </w:rPr>
        <w:t xml:space="preserve">according to Law Society </w:t>
      </w:r>
      <w:r>
        <w:rPr>
          <w:rFonts w:ascii="Arial" w:hAnsi="Arial" w:cs="Arial"/>
          <w:sz w:val="24"/>
          <w:szCs w:val="24"/>
        </w:rPr>
        <w:t>it makes access to the court harder when human rights are violated</w:t>
      </w:r>
      <w:r w:rsidR="003C2B31">
        <w:rPr>
          <w:rFonts w:ascii="Arial" w:hAnsi="Arial" w:cs="Arial"/>
          <w:sz w:val="24"/>
          <w:szCs w:val="24"/>
        </w:rPr>
        <w:t xml:space="preserve"> (2022)</w:t>
      </w:r>
      <w:r>
        <w:rPr>
          <w:rFonts w:ascii="Arial" w:hAnsi="Arial" w:cs="Arial"/>
          <w:sz w:val="24"/>
          <w:szCs w:val="24"/>
        </w:rPr>
        <w:t>.</w:t>
      </w:r>
    </w:p>
    <w:p w14:paraId="5DE1C1F3" w14:textId="220B2CE1" w:rsidR="005534FD" w:rsidRDefault="005534FD" w:rsidP="005534FD">
      <w:pPr>
        <w:rPr>
          <w:rFonts w:ascii="Arial" w:hAnsi="Arial" w:cs="Arial"/>
          <w:sz w:val="24"/>
          <w:szCs w:val="24"/>
        </w:rPr>
      </w:pPr>
      <w:r>
        <w:rPr>
          <w:rFonts w:ascii="Arial" w:hAnsi="Arial" w:cs="Arial"/>
          <w:sz w:val="24"/>
          <w:szCs w:val="24"/>
        </w:rPr>
        <w:t xml:space="preserve">In my opinion, the Bill of Rights Bill is </w:t>
      </w:r>
      <w:r w:rsidR="000F5339">
        <w:rPr>
          <w:rFonts w:ascii="Arial" w:hAnsi="Arial" w:cs="Arial"/>
          <w:sz w:val="24"/>
          <w:szCs w:val="24"/>
        </w:rPr>
        <w:t>a req</w:t>
      </w:r>
      <w:r w:rsidR="008946CC">
        <w:rPr>
          <w:rFonts w:ascii="Arial" w:hAnsi="Arial" w:cs="Arial"/>
          <w:sz w:val="24"/>
          <w:szCs w:val="24"/>
        </w:rPr>
        <w:t>uired</w:t>
      </w:r>
      <w:r>
        <w:rPr>
          <w:rFonts w:ascii="Arial" w:hAnsi="Arial" w:cs="Arial"/>
          <w:sz w:val="24"/>
          <w:szCs w:val="24"/>
        </w:rPr>
        <w:t xml:space="preserve"> </w:t>
      </w:r>
      <w:r w:rsidR="001B3B8E">
        <w:rPr>
          <w:rFonts w:ascii="Arial" w:hAnsi="Arial" w:cs="Arial"/>
          <w:sz w:val="24"/>
          <w:szCs w:val="24"/>
        </w:rPr>
        <w:t>legislation</w:t>
      </w:r>
      <w:r>
        <w:rPr>
          <w:rFonts w:ascii="Arial" w:hAnsi="Arial" w:cs="Arial"/>
          <w:sz w:val="24"/>
          <w:szCs w:val="24"/>
        </w:rPr>
        <w:t xml:space="preserve"> that Britain needs more than ever after Brexit. It will make the community and its belongings stronger; it will incorporate the basic liberties of the citizens more precisely and it will define the borders of the separation of powers more clearly in order to keep the rule of law.</w:t>
      </w:r>
    </w:p>
    <w:p w14:paraId="379DC99F" w14:textId="7B168C9D" w:rsidR="00943F89" w:rsidRDefault="00943F89" w:rsidP="005534FD">
      <w:pPr>
        <w:rPr>
          <w:rFonts w:ascii="Arial" w:hAnsi="Arial" w:cs="Arial"/>
          <w:sz w:val="24"/>
          <w:szCs w:val="24"/>
        </w:rPr>
      </w:pPr>
      <w:r>
        <w:rPr>
          <w:rFonts w:ascii="Arial" w:hAnsi="Arial" w:cs="Arial"/>
          <w:sz w:val="24"/>
          <w:szCs w:val="24"/>
        </w:rPr>
        <w:t>16</w:t>
      </w:r>
      <w:r w:rsidR="000252ED">
        <w:rPr>
          <w:rFonts w:ascii="Arial" w:hAnsi="Arial" w:cs="Arial"/>
          <w:sz w:val="24"/>
          <w:szCs w:val="24"/>
        </w:rPr>
        <w:t>43</w:t>
      </w:r>
      <w:r>
        <w:rPr>
          <w:rFonts w:ascii="Arial" w:hAnsi="Arial" w:cs="Arial"/>
          <w:sz w:val="24"/>
          <w:szCs w:val="24"/>
        </w:rPr>
        <w:t xml:space="preserve"> words</w:t>
      </w:r>
    </w:p>
    <w:p w14:paraId="11B8B5DD" w14:textId="363FFD1C" w:rsidR="00713840" w:rsidRDefault="00713840" w:rsidP="005534FD">
      <w:pPr>
        <w:rPr>
          <w:rFonts w:ascii="Arial" w:hAnsi="Arial" w:cs="Arial"/>
          <w:sz w:val="24"/>
          <w:szCs w:val="24"/>
        </w:rPr>
      </w:pPr>
      <w:r>
        <w:rPr>
          <w:rFonts w:ascii="Arial" w:hAnsi="Arial" w:cs="Arial"/>
          <w:sz w:val="24"/>
          <w:szCs w:val="24"/>
        </w:rPr>
        <w:t>Reference List</w:t>
      </w:r>
    </w:p>
    <w:p w14:paraId="558E7185" w14:textId="77777777" w:rsidR="00713840" w:rsidRPr="0077697F" w:rsidRDefault="00713840" w:rsidP="00713840">
      <w:pPr>
        <w:rPr>
          <w:rFonts w:ascii="Arial" w:hAnsi="Arial" w:cs="Arial"/>
          <w:sz w:val="24"/>
          <w:szCs w:val="24"/>
        </w:rPr>
      </w:pPr>
      <w:proofErr w:type="spellStart"/>
      <w:r>
        <w:rPr>
          <w:rFonts w:ascii="Arial" w:hAnsi="Arial" w:cs="Arial"/>
          <w:sz w:val="24"/>
          <w:szCs w:val="24"/>
        </w:rPr>
        <w:t>Allbon</w:t>
      </w:r>
      <w:proofErr w:type="spellEnd"/>
      <w:r>
        <w:rPr>
          <w:rFonts w:ascii="Arial" w:hAnsi="Arial" w:cs="Arial"/>
          <w:sz w:val="24"/>
          <w:szCs w:val="24"/>
        </w:rPr>
        <w:t xml:space="preserve">, E. &amp; Dua, K. S. (2018) </w:t>
      </w:r>
      <w:r>
        <w:rPr>
          <w:rFonts w:ascii="Arial" w:hAnsi="Arial" w:cs="Arial"/>
          <w:i/>
          <w:iCs/>
          <w:sz w:val="24"/>
          <w:szCs w:val="24"/>
        </w:rPr>
        <w:t>Elliot &amp;Quinn’s English Legal System</w:t>
      </w:r>
      <w:r>
        <w:rPr>
          <w:rFonts w:ascii="Arial" w:hAnsi="Arial" w:cs="Arial"/>
          <w:sz w:val="24"/>
          <w:szCs w:val="24"/>
        </w:rPr>
        <w:t>, 19</w:t>
      </w:r>
      <w:r w:rsidRPr="002D0816">
        <w:rPr>
          <w:rFonts w:ascii="Arial" w:hAnsi="Arial" w:cs="Arial"/>
          <w:sz w:val="24"/>
          <w:szCs w:val="24"/>
          <w:vertAlign w:val="superscript"/>
        </w:rPr>
        <w:t>th</w:t>
      </w:r>
      <w:r>
        <w:rPr>
          <w:rFonts w:ascii="Arial" w:hAnsi="Arial" w:cs="Arial"/>
          <w:sz w:val="24"/>
          <w:szCs w:val="24"/>
        </w:rPr>
        <w:t xml:space="preserve"> Ed., Pearson</w:t>
      </w:r>
    </w:p>
    <w:p w14:paraId="54A5DB86" w14:textId="77777777" w:rsidR="00713840" w:rsidRDefault="00713840" w:rsidP="00713840">
      <w:pPr>
        <w:rPr>
          <w:rFonts w:ascii="Arial" w:hAnsi="Arial" w:cs="Arial"/>
          <w:color w:val="212121"/>
          <w:sz w:val="24"/>
          <w:szCs w:val="24"/>
          <w:shd w:val="clear" w:color="auto" w:fill="FFFFFF"/>
        </w:rPr>
      </w:pPr>
      <w:r>
        <w:rPr>
          <w:rFonts w:ascii="Arial" w:hAnsi="Arial" w:cs="Arial"/>
          <w:color w:val="212121"/>
          <w:sz w:val="24"/>
          <w:szCs w:val="24"/>
          <w:shd w:val="clear" w:color="auto" w:fill="FFFFFF"/>
        </w:rPr>
        <w:t>Amos, M. (2009) ‘</w:t>
      </w:r>
      <w:r w:rsidRPr="00502EF8">
        <w:rPr>
          <w:rFonts w:ascii="Arial" w:hAnsi="Arial" w:cs="Arial"/>
          <w:i/>
          <w:iCs/>
          <w:color w:val="212121"/>
          <w:sz w:val="24"/>
          <w:szCs w:val="24"/>
          <w:shd w:val="clear" w:color="auto" w:fill="FFFFFF"/>
        </w:rPr>
        <w:t>Problems with the Human Rights Act 1998 and How to Remedy Them: Is a Bill of Rights the Answer?</w:t>
      </w:r>
      <w:r w:rsidRPr="00373DDE">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 xml:space="preserve">72(6) </w:t>
      </w:r>
      <w:r w:rsidRPr="00A265EF">
        <w:rPr>
          <w:rFonts w:ascii="Arial" w:hAnsi="Arial" w:cs="Arial"/>
          <w:i/>
          <w:iCs/>
          <w:color w:val="212121"/>
          <w:sz w:val="24"/>
          <w:szCs w:val="24"/>
          <w:shd w:val="clear" w:color="auto" w:fill="FFFFFF"/>
        </w:rPr>
        <w:t>Modern Law Review</w:t>
      </w:r>
      <w:r>
        <w:rPr>
          <w:rFonts w:ascii="Arial" w:hAnsi="Arial" w:cs="Arial"/>
          <w:color w:val="212121"/>
          <w:sz w:val="24"/>
          <w:szCs w:val="24"/>
          <w:shd w:val="clear" w:color="auto" w:fill="FFFFFF"/>
        </w:rPr>
        <w:t xml:space="preserve"> (</w:t>
      </w:r>
      <w:r w:rsidRPr="00373DDE">
        <w:rPr>
          <w:rFonts w:ascii="Arial" w:hAnsi="Arial" w:cs="Arial"/>
          <w:color w:val="212121"/>
          <w:sz w:val="24"/>
          <w:szCs w:val="24"/>
          <w:shd w:val="clear" w:color="auto" w:fill="FFFFFF"/>
        </w:rPr>
        <w:t>Accessed</w:t>
      </w:r>
      <w:r>
        <w:rPr>
          <w:rFonts w:ascii="Arial" w:hAnsi="Arial" w:cs="Arial"/>
          <w:color w:val="212121"/>
          <w:sz w:val="24"/>
          <w:szCs w:val="24"/>
          <w:shd w:val="clear" w:color="auto" w:fill="FFFFFF"/>
        </w:rPr>
        <w:t>: 6</w:t>
      </w:r>
      <w:r w:rsidRPr="001D35A2">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 URL:</w:t>
      </w:r>
      <w:r w:rsidRPr="00791097">
        <w:t xml:space="preserve"> </w:t>
      </w:r>
      <w:r w:rsidRPr="00791097">
        <w:rPr>
          <w:rFonts w:ascii="Arial" w:hAnsi="Arial" w:cs="Arial"/>
          <w:color w:val="212121"/>
          <w:sz w:val="24"/>
          <w:szCs w:val="24"/>
          <w:shd w:val="clear" w:color="auto" w:fill="FFFFFF"/>
        </w:rPr>
        <w:t>https://plus-lexis-com.ezproxy.uwtsd.ac.uk/uk/document/?pdmfid=1001073&amp;crid=746ae31f-dc20-437a-8330-0d9d141e3103&amp;pddocfullpath=%2Fshared%2Fdocument%2Fanalytical-materials-uk%2Furn%3AcontentItem%3A5G7Y-V851-F0CS-G4D6-00000-</w:t>
      </w:r>
      <w:r w:rsidRPr="00791097">
        <w:rPr>
          <w:rFonts w:ascii="Arial" w:hAnsi="Arial" w:cs="Arial"/>
          <w:color w:val="212121"/>
          <w:sz w:val="24"/>
          <w:szCs w:val="24"/>
          <w:shd w:val="clear" w:color="auto" w:fill="FFFFFF"/>
        </w:rPr>
        <w:lastRenderedPageBreak/>
        <w:t>00&amp;pdcontentcomponentid=420531&amp;pdteaserkey=&amp;pdislpamode=false&amp;pddocumentnumber=8&amp;ecomp=ht5k&amp;earg=sr7&amp;prid=56c479e0-642e-4f8e-81ab-2e178c6e7e5a</w:t>
      </w:r>
    </w:p>
    <w:p w14:paraId="79E38635" w14:textId="77777777" w:rsidR="00713840" w:rsidRDefault="00713840" w:rsidP="00713840">
      <w:pPr>
        <w:rPr>
          <w:rFonts w:ascii="Arial" w:hAnsi="Arial" w:cs="Arial"/>
          <w:color w:val="212121"/>
          <w:sz w:val="24"/>
          <w:szCs w:val="24"/>
          <w:shd w:val="clear" w:color="auto" w:fill="FFFFFF"/>
        </w:rPr>
      </w:pPr>
      <w:r>
        <w:rPr>
          <w:rFonts w:ascii="Arial" w:hAnsi="Arial" w:cs="Arial"/>
          <w:color w:val="212121"/>
          <w:sz w:val="24"/>
          <w:szCs w:val="24"/>
          <w:shd w:val="clear" w:color="auto" w:fill="FFFFFF"/>
        </w:rPr>
        <w:t>Bill of rights Bill 2022 Available at:</w:t>
      </w:r>
      <w:r w:rsidRPr="00D819D1">
        <w:rPr>
          <w:rFonts w:ascii="Arial" w:hAnsi="Arial" w:cs="Arial"/>
          <w:color w:val="212121"/>
          <w:sz w:val="24"/>
          <w:szCs w:val="24"/>
          <w:shd w:val="clear" w:color="auto" w:fill="FFFFFF"/>
        </w:rPr>
        <w:t xml:space="preserve"> https://bills.parliament.uk/bills/3227</w:t>
      </w:r>
      <w:r>
        <w:rPr>
          <w:rFonts w:ascii="Arial" w:hAnsi="Arial" w:cs="Arial"/>
          <w:color w:val="212121"/>
          <w:sz w:val="24"/>
          <w:szCs w:val="24"/>
          <w:shd w:val="clear" w:color="auto" w:fill="FFFFFF"/>
        </w:rPr>
        <w:t xml:space="preserve"> (Accessed: 1st</w:t>
      </w:r>
      <w:r w:rsidRPr="0023338E">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p w14:paraId="28A099FD" w14:textId="77777777" w:rsidR="00713840" w:rsidRDefault="00713840" w:rsidP="00713840">
      <w:pPr>
        <w:rPr>
          <w:rFonts w:ascii="Arial" w:hAnsi="Arial" w:cs="Arial"/>
          <w:sz w:val="24"/>
          <w:szCs w:val="24"/>
        </w:rPr>
      </w:pPr>
      <w:proofErr w:type="spellStart"/>
      <w:r>
        <w:rPr>
          <w:rFonts w:ascii="Arial" w:hAnsi="Arial" w:cs="Arial"/>
          <w:sz w:val="24"/>
          <w:szCs w:val="24"/>
        </w:rPr>
        <w:t>Cownie</w:t>
      </w:r>
      <w:proofErr w:type="spellEnd"/>
      <w:r>
        <w:rPr>
          <w:rFonts w:ascii="Arial" w:hAnsi="Arial" w:cs="Arial"/>
          <w:sz w:val="24"/>
          <w:szCs w:val="24"/>
        </w:rPr>
        <w:t xml:space="preserve"> F., </w:t>
      </w:r>
      <w:proofErr w:type="spellStart"/>
      <w:r>
        <w:rPr>
          <w:rFonts w:ascii="Arial" w:hAnsi="Arial" w:cs="Arial"/>
          <w:sz w:val="24"/>
          <w:szCs w:val="24"/>
        </w:rPr>
        <w:t>Bradney</w:t>
      </w:r>
      <w:proofErr w:type="spellEnd"/>
      <w:r>
        <w:rPr>
          <w:rFonts w:ascii="Arial" w:hAnsi="Arial" w:cs="Arial"/>
          <w:sz w:val="24"/>
          <w:szCs w:val="24"/>
        </w:rPr>
        <w:t xml:space="preserve"> A. and Burton M. (2013</w:t>
      </w:r>
      <w:bookmarkStart w:id="2" w:name="_Hlk128633913"/>
      <w:r>
        <w:rPr>
          <w:rFonts w:ascii="Arial" w:hAnsi="Arial" w:cs="Arial"/>
          <w:sz w:val="24"/>
          <w:szCs w:val="24"/>
        </w:rPr>
        <w:t>)</w:t>
      </w:r>
      <w:r>
        <w:rPr>
          <w:rFonts w:ascii="Arial" w:hAnsi="Arial" w:cs="Arial"/>
          <w:i/>
          <w:iCs/>
          <w:sz w:val="24"/>
          <w:szCs w:val="24"/>
        </w:rPr>
        <w:t xml:space="preserve"> English Legal System, </w:t>
      </w:r>
      <w:r>
        <w:rPr>
          <w:rFonts w:ascii="Arial" w:hAnsi="Arial" w:cs="Arial"/>
          <w:sz w:val="24"/>
          <w:szCs w:val="24"/>
        </w:rPr>
        <w:t>6</w:t>
      </w:r>
      <w:r w:rsidRPr="00B50BD7">
        <w:rPr>
          <w:rFonts w:ascii="Arial" w:hAnsi="Arial" w:cs="Arial"/>
          <w:sz w:val="24"/>
          <w:szCs w:val="24"/>
          <w:vertAlign w:val="superscript"/>
        </w:rPr>
        <w:t>th</w:t>
      </w:r>
      <w:r>
        <w:rPr>
          <w:rFonts w:ascii="Arial" w:hAnsi="Arial" w:cs="Arial"/>
          <w:sz w:val="24"/>
          <w:szCs w:val="24"/>
        </w:rPr>
        <w:t xml:space="preserve"> Ed</w:t>
      </w:r>
      <w:bookmarkEnd w:id="2"/>
      <w:r>
        <w:rPr>
          <w:rFonts w:ascii="Arial" w:hAnsi="Arial" w:cs="Arial"/>
          <w:sz w:val="24"/>
          <w:szCs w:val="24"/>
        </w:rPr>
        <w:t>.,</w:t>
      </w:r>
      <w:bookmarkStart w:id="3" w:name="_Hlk128587311"/>
      <w:r>
        <w:rPr>
          <w:rFonts w:ascii="Arial" w:hAnsi="Arial" w:cs="Arial"/>
          <w:sz w:val="24"/>
          <w:szCs w:val="24"/>
        </w:rPr>
        <w:t xml:space="preserve"> Oxford: Oxford University Press</w:t>
      </w:r>
      <w:bookmarkEnd w:id="3"/>
    </w:p>
    <w:p w14:paraId="344046C4" w14:textId="77777777" w:rsidR="00713840" w:rsidRDefault="00713840" w:rsidP="00713840">
      <w:pPr>
        <w:rPr>
          <w:rFonts w:ascii="Arial" w:hAnsi="Arial" w:cs="Arial"/>
          <w:sz w:val="24"/>
          <w:szCs w:val="24"/>
        </w:rPr>
      </w:pPr>
      <w:r>
        <w:rPr>
          <w:rFonts w:ascii="Arial" w:hAnsi="Arial" w:cs="Arial"/>
          <w:sz w:val="24"/>
          <w:szCs w:val="24"/>
        </w:rPr>
        <w:t>Faragher, C., (2019),</w:t>
      </w:r>
      <w:r w:rsidRPr="00DA79EE">
        <w:rPr>
          <w:rFonts w:ascii="Arial" w:hAnsi="Arial" w:cs="Arial"/>
          <w:sz w:val="24"/>
          <w:szCs w:val="24"/>
        </w:rPr>
        <w:t xml:space="preserve"> </w:t>
      </w:r>
      <w:r>
        <w:rPr>
          <w:rFonts w:ascii="Arial" w:hAnsi="Arial" w:cs="Arial"/>
          <w:i/>
          <w:iCs/>
          <w:sz w:val="24"/>
          <w:szCs w:val="24"/>
        </w:rPr>
        <w:t>Concentrate</w:t>
      </w:r>
      <w:r w:rsidRPr="00DA79EE">
        <w:rPr>
          <w:rFonts w:ascii="Arial" w:hAnsi="Arial" w:cs="Arial"/>
          <w:i/>
          <w:iCs/>
          <w:sz w:val="24"/>
          <w:szCs w:val="24"/>
        </w:rPr>
        <w:t xml:space="preserve"> Public Law</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6</w:t>
      </w:r>
      <w:r w:rsidRPr="00B50BD7">
        <w:rPr>
          <w:rFonts w:ascii="Arial" w:hAnsi="Arial" w:cs="Arial"/>
          <w:sz w:val="24"/>
          <w:szCs w:val="24"/>
          <w:vertAlign w:val="superscript"/>
        </w:rPr>
        <w:t>th</w:t>
      </w:r>
      <w:r>
        <w:rPr>
          <w:rFonts w:ascii="Arial" w:hAnsi="Arial" w:cs="Arial"/>
          <w:sz w:val="24"/>
          <w:szCs w:val="24"/>
        </w:rPr>
        <w:t xml:space="preserve"> Ed., Oxford: Oxford University Press</w:t>
      </w:r>
    </w:p>
    <w:p w14:paraId="20E7AE76" w14:textId="77777777" w:rsidR="00713840" w:rsidRPr="008C50DC" w:rsidRDefault="00713840" w:rsidP="00713840">
      <w:pPr>
        <w:rPr>
          <w:rFonts w:ascii="Arial" w:hAnsi="Arial" w:cs="Arial"/>
          <w:color w:val="212121"/>
          <w:sz w:val="24"/>
          <w:szCs w:val="24"/>
          <w:shd w:val="clear" w:color="auto" w:fill="FFFFFF"/>
        </w:rPr>
      </w:pPr>
      <w:r>
        <w:rPr>
          <w:rFonts w:ascii="Arial" w:hAnsi="Arial" w:cs="Arial"/>
          <w:color w:val="212121"/>
          <w:sz w:val="24"/>
          <w:szCs w:val="24"/>
          <w:shd w:val="clear" w:color="auto" w:fill="FFFFFF"/>
        </w:rPr>
        <w:t>George,</w:t>
      </w:r>
      <w:r w:rsidRPr="00C8073D">
        <w:t xml:space="preserve"> </w:t>
      </w:r>
      <w:r w:rsidRPr="00641CAC">
        <w:rPr>
          <w:rFonts w:ascii="Arial" w:hAnsi="Arial" w:cs="Arial"/>
          <w:color w:val="000000" w:themeColor="text1"/>
          <w:sz w:val="24"/>
          <w:szCs w:val="24"/>
        </w:rPr>
        <w:t>J</w:t>
      </w:r>
      <w:r>
        <w:rPr>
          <w:rFonts w:ascii="Arial" w:hAnsi="Arial" w:cs="Arial"/>
          <w:color w:val="000000" w:themeColor="text1"/>
          <w:sz w:val="24"/>
          <w:szCs w:val="24"/>
        </w:rPr>
        <w:t>. (2023) ‘</w:t>
      </w:r>
      <w:proofErr w:type="gramStart"/>
      <w:r w:rsidRPr="00641CAC">
        <w:rPr>
          <w:rFonts w:ascii="Arial" w:eastAsia="Times New Roman" w:hAnsi="Arial" w:cs="Arial"/>
          <w:i/>
          <w:iCs/>
          <w:color w:val="000000" w:themeColor="text1"/>
          <w:kern w:val="36"/>
          <w:sz w:val="24"/>
          <w:szCs w:val="24"/>
          <w:lang w:eastAsia="en-GB"/>
        </w:rPr>
        <w:t>Post</w:t>
      </w:r>
      <w:r w:rsidRPr="00872DB1">
        <w:rPr>
          <w:rFonts w:ascii="Arial" w:eastAsia="Times New Roman" w:hAnsi="Arial" w:cs="Arial"/>
          <w:i/>
          <w:iCs/>
          <w:color w:val="393939"/>
          <w:kern w:val="36"/>
          <w:sz w:val="24"/>
          <w:szCs w:val="24"/>
          <w:lang w:eastAsia="en-GB"/>
        </w:rPr>
        <w:t>-Brexit Britain</w:t>
      </w:r>
      <w:proofErr w:type="gramEnd"/>
      <w:r w:rsidRPr="00872DB1">
        <w:rPr>
          <w:rFonts w:ascii="Arial" w:eastAsia="Times New Roman" w:hAnsi="Arial" w:cs="Arial"/>
          <w:i/>
          <w:iCs/>
          <w:color w:val="393939"/>
          <w:kern w:val="36"/>
          <w:sz w:val="24"/>
          <w:szCs w:val="24"/>
          <w:lang w:eastAsia="en-GB"/>
        </w:rPr>
        <w:t xml:space="preserve"> needs an ambitious Bill of Rights rooted in integrity and purpose</w:t>
      </w:r>
      <w:r>
        <w:rPr>
          <w:rFonts w:ascii="Arial" w:eastAsia="Times New Roman" w:hAnsi="Arial" w:cs="Arial"/>
          <w:i/>
          <w:iCs/>
          <w:color w:val="393939"/>
          <w:kern w:val="36"/>
          <w:sz w:val="24"/>
          <w:szCs w:val="24"/>
          <w:lang w:eastAsia="en-GB"/>
        </w:rPr>
        <w:t>’</w:t>
      </w:r>
      <w:r>
        <w:rPr>
          <w:rFonts w:ascii="Arial" w:hAnsi="Arial" w:cs="Arial"/>
          <w:sz w:val="24"/>
          <w:szCs w:val="24"/>
        </w:rPr>
        <w:t xml:space="preserve"> [blog] </w:t>
      </w:r>
      <w:r w:rsidRPr="00D8450C">
        <w:rPr>
          <w:rFonts w:ascii="Arial" w:hAnsi="Arial" w:cs="Arial"/>
          <w:color w:val="000000" w:themeColor="text1"/>
          <w:sz w:val="24"/>
          <w:szCs w:val="24"/>
        </w:rPr>
        <w:t xml:space="preserve">Available at: </w:t>
      </w:r>
      <w:r w:rsidRPr="005066C5">
        <w:rPr>
          <w:rFonts w:ascii="Arial" w:hAnsi="Arial" w:cs="Arial"/>
          <w:color w:val="212121"/>
          <w:sz w:val="24"/>
          <w:szCs w:val="24"/>
          <w:shd w:val="clear" w:color="auto" w:fill="FFFFFF"/>
        </w:rPr>
        <w:t>https</w:t>
      </w:r>
      <w:r w:rsidRPr="00C8073D">
        <w:rPr>
          <w:rFonts w:ascii="Arial" w:hAnsi="Arial" w:cs="Arial"/>
          <w:color w:val="212121"/>
          <w:sz w:val="24"/>
          <w:szCs w:val="24"/>
          <w:shd w:val="clear" w:color="auto" w:fill="FFFFFF"/>
        </w:rPr>
        <w:t>://consoc.org.uk/britain-needs-an-ambitious-bill-of-rights/</w:t>
      </w:r>
      <w:r>
        <w:rPr>
          <w:rFonts w:ascii="Arial" w:hAnsi="Arial" w:cs="Arial"/>
          <w:color w:val="212121"/>
          <w:sz w:val="24"/>
          <w:szCs w:val="24"/>
          <w:shd w:val="clear" w:color="auto" w:fill="FFFFFF"/>
        </w:rPr>
        <w:t>, (Accessed: 8</w:t>
      </w:r>
      <w:r w:rsidRPr="0023338E">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p w14:paraId="731CB5DD" w14:textId="77777777" w:rsidR="00713840" w:rsidRDefault="00713840" w:rsidP="00713840">
      <w:pPr>
        <w:rPr>
          <w:rFonts w:ascii="Arial" w:hAnsi="Arial" w:cs="Arial"/>
          <w:color w:val="212121"/>
          <w:sz w:val="24"/>
          <w:szCs w:val="24"/>
          <w:shd w:val="clear" w:color="auto" w:fill="FFFFFF"/>
        </w:rPr>
      </w:pPr>
      <w:r>
        <w:rPr>
          <w:rFonts w:ascii="Arial" w:hAnsi="Arial" w:cs="Arial"/>
          <w:color w:val="212121"/>
          <w:sz w:val="24"/>
          <w:szCs w:val="24"/>
          <w:shd w:val="clear" w:color="auto" w:fill="FFFFFF"/>
        </w:rPr>
        <w:t>Joint Committee on Human Rights, 2021</w:t>
      </w:r>
      <w:r>
        <w:rPr>
          <w:rFonts w:ascii="Lato" w:eastAsia="Times New Roman" w:hAnsi="Lato" w:cs="Times New Roman"/>
          <w:b/>
          <w:bCs/>
          <w:color w:val="00172E"/>
          <w:kern w:val="36"/>
          <w:sz w:val="48"/>
          <w:szCs w:val="48"/>
          <w:lang w:eastAsia="en-GB"/>
        </w:rPr>
        <w:t xml:space="preserve"> </w:t>
      </w:r>
      <w:r w:rsidRPr="00784CD4">
        <w:rPr>
          <w:rFonts w:ascii="Arial" w:eastAsia="Times New Roman" w:hAnsi="Arial" w:cs="Arial"/>
          <w:i/>
          <w:iCs/>
          <w:color w:val="00172E"/>
          <w:kern w:val="36"/>
          <w:sz w:val="24"/>
          <w:szCs w:val="24"/>
          <w:lang w:eastAsia="en-GB"/>
        </w:rPr>
        <w:t>The Independent Human Rights Act Review publishes a call for evidence</w:t>
      </w:r>
      <w:r>
        <w:rPr>
          <w:rFonts w:ascii="Arial" w:eastAsia="Times New Roman" w:hAnsi="Arial" w:cs="Arial"/>
          <w:i/>
          <w:iCs/>
          <w:color w:val="00172E"/>
          <w:kern w:val="36"/>
          <w:sz w:val="24"/>
          <w:szCs w:val="24"/>
          <w:lang w:eastAsia="en-GB"/>
        </w:rPr>
        <w:t xml:space="preserve">. </w:t>
      </w:r>
      <w:r>
        <w:rPr>
          <w:rFonts w:ascii="Arial" w:eastAsia="Times New Roman" w:hAnsi="Arial" w:cs="Arial"/>
          <w:color w:val="00172E"/>
          <w:kern w:val="36"/>
          <w:sz w:val="24"/>
          <w:szCs w:val="24"/>
          <w:lang w:eastAsia="en-GB"/>
        </w:rPr>
        <w:t>Available at:</w:t>
      </w:r>
      <w:r>
        <w:rPr>
          <w:rFonts w:ascii="Arial" w:hAnsi="Arial" w:cs="Arial"/>
          <w:color w:val="212121"/>
          <w:sz w:val="24"/>
          <w:szCs w:val="24"/>
          <w:shd w:val="clear" w:color="auto" w:fill="FFFFFF"/>
        </w:rPr>
        <w:t xml:space="preserve"> </w:t>
      </w:r>
      <w:r w:rsidRPr="009C0BD7">
        <w:rPr>
          <w:rFonts w:ascii="Arial" w:hAnsi="Arial" w:cs="Arial"/>
          <w:color w:val="212121"/>
          <w:sz w:val="24"/>
          <w:szCs w:val="24"/>
          <w:shd w:val="clear" w:color="auto" w:fill="FFFFFF"/>
        </w:rPr>
        <w:t>https://plus-lexis-com.ezproxy.uwtsd.ac.uk/uk/document/documentlink/?pdmfid=1001073&amp;crid=e4efed10-f5b4-4eb3-b5e5-f23d7ab780d2&amp;pddocfullpath=%2Fshared%2Fdocument%2Fnews-uk%2Furn%3AcontentItem%3A624K-8023-GXFD-80MW-00000-00&amp;pdcontentcomponentid=281955&amp;pdproductcontenttypeid=urn%3Apct%3A547&amp;pdiskwicview=false&amp;pdpinpoint=&amp;ecomp=-k4k&amp;prid=808b53f3-028b-418a-a72d-829f0690790a</w:t>
      </w:r>
      <w:r>
        <w:rPr>
          <w:rFonts w:ascii="Arial" w:hAnsi="Arial" w:cs="Arial"/>
          <w:color w:val="212121"/>
          <w:sz w:val="24"/>
          <w:szCs w:val="24"/>
          <w:shd w:val="clear" w:color="auto" w:fill="FFFFFF"/>
        </w:rPr>
        <w:t xml:space="preserve"> </w:t>
      </w:r>
      <w:bookmarkStart w:id="4" w:name="_Hlk129339858"/>
      <w:r>
        <w:rPr>
          <w:rFonts w:ascii="Arial" w:hAnsi="Arial" w:cs="Arial"/>
          <w:color w:val="212121"/>
          <w:sz w:val="24"/>
          <w:szCs w:val="24"/>
          <w:shd w:val="clear" w:color="auto" w:fill="FFFFFF"/>
        </w:rPr>
        <w:t>(Accessed: 5</w:t>
      </w:r>
      <w:r w:rsidRPr="00EC561B">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p w14:paraId="2F79C6B0" w14:textId="77777777" w:rsidR="00713840" w:rsidRDefault="00713840" w:rsidP="00713840">
      <w:pPr>
        <w:rPr>
          <w:rFonts w:ascii="Arial" w:hAnsi="Arial" w:cs="Arial"/>
          <w:color w:val="212121"/>
          <w:sz w:val="24"/>
          <w:szCs w:val="24"/>
          <w:shd w:val="clear" w:color="auto" w:fill="FFFFFF"/>
        </w:rPr>
      </w:pPr>
      <w:r>
        <w:rPr>
          <w:rFonts w:ascii="Arial" w:hAnsi="Arial" w:cs="Arial"/>
          <w:sz w:val="24"/>
          <w:szCs w:val="24"/>
        </w:rPr>
        <w:t xml:space="preserve">Law Society (2022) </w:t>
      </w:r>
      <w:r>
        <w:rPr>
          <w:rFonts w:ascii="Arial" w:hAnsi="Arial" w:cs="Arial"/>
          <w:i/>
          <w:iCs/>
          <w:sz w:val="24"/>
          <w:szCs w:val="24"/>
        </w:rPr>
        <w:t xml:space="preserve">Human rights Act reforms and the Bill of rights Bill </w:t>
      </w:r>
      <w:r>
        <w:rPr>
          <w:rFonts w:ascii="Arial" w:hAnsi="Arial" w:cs="Arial"/>
          <w:sz w:val="24"/>
          <w:szCs w:val="24"/>
        </w:rPr>
        <w:t xml:space="preserve">Available at: </w:t>
      </w:r>
      <w:r w:rsidRPr="00F63A70">
        <w:rPr>
          <w:rFonts w:ascii="Arial" w:hAnsi="Arial" w:cs="Arial"/>
          <w:sz w:val="24"/>
          <w:szCs w:val="24"/>
        </w:rPr>
        <w:t xml:space="preserve">https://www.lawsociety.org.uk/topics/human-rights/human-rights-act-reforms </w:t>
      </w:r>
      <w:r>
        <w:rPr>
          <w:rFonts w:ascii="Arial" w:hAnsi="Arial" w:cs="Arial"/>
          <w:color w:val="212121"/>
          <w:sz w:val="24"/>
          <w:szCs w:val="24"/>
          <w:shd w:val="clear" w:color="auto" w:fill="FFFFFF"/>
        </w:rPr>
        <w:t>(Accessed: 6</w:t>
      </w:r>
      <w:r w:rsidRPr="00EC561B">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bookmarkEnd w:id="4"/>
    <w:p w14:paraId="6DC81AE3" w14:textId="77777777" w:rsidR="00713840" w:rsidRDefault="00713840" w:rsidP="00713840">
      <w:pPr>
        <w:rPr>
          <w:rFonts w:ascii="Arial" w:hAnsi="Arial" w:cs="Arial"/>
          <w:sz w:val="24"/>
          <w:szCs w:val="24"/>
        </w:rPr>
      </w:pPr>
      <w:r>
        <w:rPr>
          <w:rFonts w:ascii="Arial" w:hAnsi="Arial" w:cs="Arial"/>
          <w:sz w:val="24"/>
          <w:szCs w:val="24"/>
        </w:rPr>
        <w:t xml:space="preserve">Slapper G. and Kelly, D (2015) </w:t>
      </w:r>
      <w:r w:rsidRPr="002E03C6">
        <w:rPr>
          <w:rFonts w:ascii="Arial" w:hAnsi="Arial" w:cs="Arial"/>
          <w:i/>
          <w:iCs/>
          <w:sz w:val="24"/>
          <w:szCs w:val="24"/>
        </w:rPr>
        <w:t>The</w:t>
      </w:r>
      <w:r>
        <w:rPr>
          <w:rFonts w:ascii="Arial" w:hAnsi="Arial" w:cs="Arial"/>
          <w:sz w:val="24"/>
          <w:szCs w:val="24"/>
        </w:rPr>
        <w:t xml:space="preserve"> </w:t>
      </w:r>
      <w:r>
        <w:rPr>
          <w:rFonts w:ascii="Arial" w:hAnsi="Arial" w:cs="Arial"/>
          <w:i/>
          <w:iCs/>
          <w:sz w:val="24"/>
          <w:szCs w:val="24"/>
        </w:rPr>
        <w:t xml:space="preserve">English Legal System, </w:t>
      </w:r>
      <w:r w:rsidRPr="002E03C6">
        <w:rPr>
          <w:rFonts w:ascii="Arial" w:hAnsi="Arial" w:cs="Arial"/>
          <w:sz w:val="24"/>
          <w:szCs w:val="24"/>
        </w:rPr>
        <w:t>16</w:t>
      </w:r>
      <w:r w:rsidRPr="00B50BD7">
        <w:rPr>
          <w:rFonts w:ascii="Arial" w:hAnsi="Arial" w:cs="Arial"/>
          <w:sz w:val="24"/>
          <w:szCs w:val="24"/>
          <w:vertAlign w:val="superscript"/>
        </w:rPr>
        <w:t>th</w:t>
      </w:r>
      <w:r>
        <w:rPr>
          <w:rFonts w:ascii="Arial" w:hAnsi="Arial" w:cs="Arial"/>
          <w:sz w:val="24"/>
          <w:szCs w:val="24"/>
        </w:rPr>
        <w:t xml:space="preserve"> Ed., Oxford: Routledge</w:t>
      </w:r>
    </w:p>
    <w:p w14:paraId="30BC6536" w14:textId="77777777" w:rsidR="00713840" w:rsidRDefault="00713840" w:rsidP="00713840">
      <w:pPr>
        <w:rPr>
          <w:rFonts w:ascii="Arial" w:hAnsi="Arial" w:cs="Arial"/>
          <w:sz w:val="24"/>
          <w:szCs w:val="24"/>
        </w:rPr>
      </w:pPr>
      <w:proofErr w:type="spellStart"/>
      <w:r>
        <w:rPr>
          <w:rFonts w:ascii="Arial" w:hAnsi="Arial" w:cs="Arial"/>
          <w:sz w:val="24"/>
          <w:szCs w:val="24"/>
        </w:rPr>
        <w:t>Sueur</w:t>
      </w:r>
      <w:proofErr w:type="spellEnd"/>
      <w:r>
        <w:rPr>
          <w:rFonts w:ascii="Arial" w:hAnsi="Arial" w:cs="Arial"/>
          <w:sz w:val="24"/>
          <w:szCs w:val="24"/>
        </w:rPr>
        <w:t xml:space="preserve"> A., </w:t>
      </w:r>
      <w:proofErr w:type="spellStart"/>
      <w:r>
        <w:rPr>
          <w:rFonts w:ascii="Arial" w:hAnsi="Arial" w:cs="Arial"/>
          <w:sz w:val="24"/>
          <w:szCs w:val="24"/>
        </w:rPr>
        <w:t>Sunkin</w:t>
      </w:r>
      <w:proofErr w:type="spellEnd"/>
      <w:r>
        <w:rPr>
          <w:rFonts w:ascii="Arial" w:hAnsi="Arial" w:cs="Arial"/>
          <w:sz w:val="24"/>
          <w:szCs w:val="24"/>
        </w:rPr>
        <w:t xml:space="preserve"> M. and </w:t>
      </w:r>
      <w:proofErr w:type="spellStart"/>
      <w:r>
        <w:rPr>
          <w:rFonts w:ascii="Arial" w:hAnsi="Arial" w:cs="Arial"/>
          <w:sz w:val="24"/>
          <w:szCs w:val="24"/>
        </w:rPr>
        <w:t>Murkens</w:t>
      </w:r>
      <w:proofErr w:type="spellEnd"/>
      <w:r>
        <w:rPr>
          <w:rFonts w:ascii="Arial" w:hAnsi="Arial" w:cs="Arial"/>
          <w:sz w:val="24"/>
          <w:szCs w:val="24"/>
        </w:rPr>
        <w:t xml:space="preserve"> J., </w:t>
      </w:r>
      <w:r w:rsidRPr="00DA79EE">
        <w:rPr>
          <w:rFonts w:ascii="Arial" w:hAnsi="Arial" w:cs="Arial"/>
          <w:i/>
          <w:iCs/>
          <w:sz w:val="24"/>
          <w:szCs w:val="24"/>
        </w:rPr>
        <w:t>Public Law</w:t>
      </w:r>
      <w:r>
        <w:rPr>
          <w:rFonts w:ascii="Arial" w:hAnsi="Arial" w:cs="Arial"/>
          <w:sz w:val="24"/>
          <w:szCs w:val="24"/>
        </w:rPr>
        <w:t xml:space="preserve">, </w:t>
      </w:r>
      <w:r w:rsidRPr="001D61B3">
        <w:rPr>
          <w:rFonts w:ascii="Arial" w:hAnsi="Arial" w:cs="Arial"/>
          <w:i/>
          <w:iCs/>
          <w:sz w:val="24"/>
          <w:szCs w:val="24"/>
        </w:rPr>
        <w:t>Text, cases and materials</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3d Ed., Oxford: Oxford University Press</w:t>
      </w:r>
    </w:p>
    <w:p w14:paraId="46838E13" w14:textId="77777777" w:rsidR="00713840" w:rsidRPr="00E5033E" w:rsidRDefault="00713840" w:rsidP="00713840">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Wadham J. </w:t>
      </w:r>
      <w:proofErr w:type="gramStart"/>
      <w:r>
        <w:rPr>
          <w:rFonts w:ascii="Arial" w:hAnsi="Arial" w:cs="Arial"/>
          <w:color w:val="212121"/>
          <w:sz w:val="24"/>
          <w:szCs w:val="24"/>
          <w:shd w:val="clear" w:color="auto" w:fill="FFFFFF"/>
        </w:rPr>
        <w:t>et al.(</w:t>
      </w:r>
      <w:proofErr w:type="gramEnd"/>
      <w:r>
        <w:rPr>
          <w:rFonts w:ascii="Arial" w:hAnsi="Arial" w:cs="Arial"/>
          <w:color w:val="212121"/>
          <w:sz w:val="24"/>
          <w:szCs w:val="24"/>
          <w:shd w:val="clear" w:color="auto" w:fill="FFFFFF"/>
        </w:rPr>
        <w:t xml:space="preserve">2009) </w:t>
      </w:r>
      <w:r>
        <w:rPr>
          <w:rFonts w:ascii="Arial" w:hAnsi="Arial" w:cs="Arial"/>
          <w:i/>
          <w:iCs/>
          <w:color w:val="212121"/>
          <w:sz w:val="24"/>
          <w:szCs w:val="24"/>
          <w:shd w:val="clear" w:color="auto" w:fill="FFFFFF"/>
        </w:rPr>
        <w:t xml:space="preserve">The Human Rights Act </w:t>
      </w:r>
      <w:r>
        <w:rPr>
          <w:rFonts w:ascii="Arial" w:hAnsi="Arial" w:cs="Arial"/>
          <w:color w:val="212121"/>
          <w:sz w:val="24"/>
          <w:szCs w:val="24"/>
          <w:shd w:val="clear" w:color="auto" w:fill="FFFFFF"/>
        </w:rPr>
        <w:t xml:space="preserve">5th Ed., Oxford: Oxford University Press </w:t>
      </w:r>
    </w:p>
    <w:p w14:paraId="3FEE575A" w14:textId="77777777" w:rsidR="00713840" w:rsidRPr="00373DDE" w:rsidRDefault="00713840" w:rsidP="00713840">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Williams, A, no date </w:t>
      </w:r>
      <w:r w:rsidRPr="00DB5321">
        <w:rPr>
          <w:rFonts w:ascii="Arial" w:hAnsi="Arial" w:cs="Arial"/>
          <w:i/>
          <w:iCs/>
          <w:color w:val="212121"/>
          <w:sz w:val="24"/>
          <w:szCs w:val="24"/>
          <w:shd w:val="clear" w:color="auto" w:fill="FFFFFF"/>
        </w:rPr>
        <w:t>An Introduction to the Human Right Act 1998</w:t>
      </w:r>
      <w:r>
        <w:rPr>
          <w:rFonts w:ascii="Arial" w:hAnsi="Arial" w:cs="Arial"/>
          <w:i/>
          <w:iCs/>
          <w:color w:val="212121"/>
          <w:sz w:val="24"/>
          <w:szCs w:val="24"/>
          <w:shd w:val="clear" w:color="auto" w:fill="FFFFFF"/>
        </w:rPr>
        <w:t xml:space="preserve">. </w:t>
      </w:r>
      <w:r>
        <w:rPr>
          <w:rFonts w:ascii="Arial" w:hAnsi="Arial" w:cs="Arial"/>
          <w:color w:val="212121"/>
          <w:sz w:val="24"/>
          <w:szCs w:val="24"/>
          <w:shd w:val="clear" w:color="auto" w:fill="FFFFFF"/>
        </w:rPr>
        <w:t>Available at:</w:t>
      </w:r>
      <w:r w:rsidRPr="00C9474C">
        <w:t xml:space="preserve"> </w:t>
      </w:r>
      <w:r w:rsidRPr="00C9474C">
        <w:rPr>
          <w:rFonts w:ascii="Arial" w:hAnsi="Arial" w:cs="Arial"/>
          <w:color w:val="212121"/>
          <w:sz w:val="24"/>
          <w:szCs w:val="24"/>
          <w:shd w:val="clear" w:color="auto" w:fill="FFFFFF"/>
        </w:rPr>
        <w:t>https://plus-lexis-com.ezproxy.uwtsd.ac.uk/uk/document/?pdmfid=1001073&amp;crid=808b53f3-028b-418a-a72d-829f0690790a&amp;pddocfullpath=%2Fshared%2Fdocument%2Fpractical-guidance-uk%2Furn%3AcontentItem%3A5HY3-59M1-DYY6-G0HN-00000-00&amp;pdcontentcomponentid=186480&amp;pdteaserkey=&amp;pdislpamode=false&amp;pddocumentnumber=3&amp;ecomp=ht5k&amp;earg=sr2&amp;prid=8b3b6abd-8bae-4512-ae57-ba7012ce7b6e</w:t>
      </w:r>
      <w:r>
        <w:rPr>
          <w:rFonts w:ascii="Arial" w:hAnsi="Arial" w:cs="Arial"/>
          <w:color w:val="212121"/>
          <w:sz w:val="24"/>
          <w:szCs w:val="24"/>
          <w:shd w:val="clear" w:color="auto" w:fill="FFFFFF"/>
        </w:rPr>
        <w:t xml:space="preserve"> </w:t>
      </w:r>
    </w:p>
    <w:p w14:paraId="3599F97A" w14:textId="77777777" w:rsidR="00713840" w:rsidRDefault="00713840" w:rsidP="00713840">
      <w:pPr>
        <w:rPr>
          <w:rFonts w:ascii="Arial" w:hAnsi="Arial" w:cs="Arial"/>
          <w:sz w:val="24"/>
          <w:szCs w:val="24"/>
        </w:rPr>
      </w:pPr>
      <w:r>
        <w:rPr>
          <w:rFonts w:ascii="Arial" w:hAnsi="Arial" w:cs="Arial"/>
          <w:sz w:val="24"/>
          <w:szCs w:val="24"/>
        </w:rPr>
        <w:t>Wilson, St. et al. (2020)</w:t>
      </w:r>
      <w:r>
        <w:rPr>
          <w:rFonts w:ascii="Arial" w:hAnsi="Arial" w:cs="Arial"/>
          <w:i/>
          <w:iCs/>
          <w:sz w:val="24"/>
          <w:szCs w:val="24"/>
        </w:rPr>
        <w:t xml:space="preserve"> English Legal System, </w:t>
      </w:r>
      <w:r>
        <w:rPr>
          <w:rFonts w:ascii="Arial" w:hAnsi="Arial" w:cs="Arial"/>
          <w:sz w:val="24"/>
          <w:szCs w:val="24"/>
        </w:rPr>
        <w:t>4</w:t>
      </w:r>
      <w:r w:rsidRPr="00B50BD7">
        <w:rPr>
          <w:rFonts w:ascii="Arial" w:hAnsi="Arial" w:cs="Arial"/>
          <w:sz w:val="24"/>
          <w:szCs w:val="24"/>
          <w:vertAlign w:val="superscript"/>
        </w:rPr>
        <w:t>th</w:t>
      </w:r>
      <w:r>
        <w:rPr>
          <w:rFonts w:ascii="Arial" w:hAnsi="Arial" w:cs="Arial"/>
          <w:sz w:val="24"/>
          <w:szCs w:val="24"/>
        </w:rPr>
        <w:t xml:space="preserve"> Ed., Oxford: Oxford University Press</w:t>
      </w:r>
    </w:p>
    <w:p w14:paraId="6F0498BB" w14:textId="77777777" w:rsidR="00713840" w:rsidRDefault="00713840" w:rsidP="00713840">
      <w:pPr>
        <w:rPr>
          <w:rFonts w:ascii="Arial" w:hAnsi="Arial" w:cs="Arial"/>
          <w:sz w:val="24"/>
          <w:szCs w:val="24"/>
        </w:rPr>
      </w:pPr>
    </w:p>
    <w:p w14:paraId="1E642EDA" w14:textId="77777777" w:rsidR="00713840" w:rsidRDefault="00713840" w:rsidP="00713840">
      <w:pPr>
        <w:rPr>
          <w:rFonts w:ascii="Arial" w:hAnsi="Arial" w:cs="Arial"/>
          <w:color w:val="212121"/>
          <w:sz w:val="24"/>
          <w:szCs w:val="24"/>
          <w:shd w:val="clear" w:color="auto" w:fill="FFFFFF"/>
        </w:rPr>
      </w:pPr>
    </w:p>
    <w:p w14:paraId="046630D9" w14:textId="77777777" w:rsidR="00713840" w:rsidRPr="007D2645" w:rsidRDefault="00713840" w:rsidP="00713840">
      <w:pPr>
        <w:rPr>
          <w:rFonts w:ascii="Arial" w:hAnsi="Arial" w:cs="Arial"/>
          <w:color w:val="212121"/>
          <w:sz w:val="24"/>
          <w:szCs w:val="24"/>
          <w:shd w:val="clear" w:color="auto" w:fill="FFFFFF"/>
        </w:rPr>
      </w:pPr>
      <w:r w:rsidRPr="00DB5321">
        <w:rPr>
          <w:i/>
          <w:iCs/>
        </w:rPr>
        <w:br/>
      </w:r>
    </w:p>
    <w:p w14:paraId="5D6BC14F" w14:textId="045425FC" w:rsidR="00E36EAF" w:rsidRPr="00713840" w:rsidRDefault="00E36EAF">
      <w:pPr>
        <w:rPr>
          <w:rFonts w:ascii="Arial" w:hAnsi="Arial" w:cs="Arial"/>
          <w:sz w:val="24"/>
          <w:szCs w:val="24"/>
        </w:rPr>
      </w:pPr>
    </w:p>
    <w:sectPr w:rsidR="00E36EAF" w:rsidRPr="0071384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8BE28" w14:textId="77777777" w:rsidR="005C6D87" w:rsidRDefault="005C6D87" w:rsidP="00977A5C">
      <w:pPr>
        <w:spacing w:after="0" w:line="240" w:lineRule="auto"/>
      </w:pPr>
      <w:r>
        <w:separator/>
      </w:r>
    </w:p>
  </w:endnote>
  <w:endnote w:type="continuationSeparator" w:id="0">
    <w:p w14:paraId="2CAEDD92" w14:textId="77777777" w:rsidR="005C6D87" w:rsidRDefault="005C6D87" w:rsidP="00977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295CA" w14:textId="77777777" w:rsidR="00977A5C" w:rsidRDefault="00977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7309C" w14:textId="77777777" w:rsidR="00977A5C" w:rsidRDefault="00977A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5E77" w14:textId="77777777" w:rsidR="00977A5C" w:rsidRDefault="00977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7FA7D" w14:textId="77777777" w:rsidR="005C6D87" w:rsidRDefault="005C6D87" w:rsidP="00977A5C">
      <w:pPr>
        <w:spacing w:after="0" w:line="240" w:lineRule="auto"/>
      </w:pPr>
      <w:r>
        <w:separator/>
      </w:r>
    </w:p>
  </w:footnote>
  <w:footnote w:type="continuationSeparator" w:id="0">
    <w:p w14:paraId="4D5F7DD3" w14:textId="77777777" w:rsidR="005C6D87" w:rsidRDefault="005C6D87" w:rsidP="00977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AC2C" w14:textId="77777777" w:rsidR="00977A5C" w:rsidRDefault="00977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7DE39" w14:textId="77777777" w:rsidR="00977A5C" w:rsidRDefault="00977A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670A" w14:textId="77777777" w:rsidR="00977A5C" w:rsidRDefault="00977A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5A6"/>
    <w:rsid w:val="00006757"/>
    <w:rsid w:val="000252ED"/>
    <w:rsid w:val="00044D23"/>
    <w:rsid w:val="000E3562"/>
    <w:rsid w:val="000F29BE"/>
    <w:rsid w:val="000F5339"/>
    <w:rsid w:val="000F640B"/>
    <w:rsid w:val="00102050"/>
    <w:rsid w:val="00130620"/>
    <w:rsid w:val="0015199D"/>
    <w:rsid w:val="00154A08"/>
    <w:rsid w:val="001B3B8E"/>
    <w:rsid w:val="001C0713"/>
    <w:rsid w:val="002641FF"/>
    <w:rsid w:val="0028465C"/>
    <w:rsid w:val="002C1394"/>
    <w:rsid w:val="002E7E7F"/>
    <w:rsid w:val="00313A04"/>
    <w:rsid w:val="0032110D"/>
    <w:rsid w:val="00336D11"/>
    <w:rsid w:val="003812A3"/>
    <w:rsid w:val="003904EE"/>
    <w:rsid w:val="00393075"/>
    <w:rsid w:val="003C2B31"/>
    <w:rsid w:val="004942D7"/>
    <w:rsid w:val="004A2523"/>
    <w:rsid w:val="004F3F98"/>
    <w:rsid w:val="00515A7B"/>
    <w:rsid w:val="00533001"/>
    <w:rsid w:val="005534FD"/>
    <w:rsid w:val="00580FD2"/>
    <w:rsid w:val="005905A0"/>
    <w:rsid w:val="005C6D87"/>
    <w:rsid w:val="0061481B"/>
    <w:rsid w:val="006315CB"/>
    <w:rsid w:val="0064043D"/>
    <w:rsid w:val="00666FDC"/>
    <w:rsid w:val="00685307"/>
    <w:rsid w:val="006A1901"/>
    <w:rsid w:val="007020F2"/>
    <w:rsid w:val="00713840"/>
    <w:rsid w:val="00775420"/>
    <w:rsid w:val="00821227"/>
    <w:rsid w:val="00842F8E"/>
    <w:rsid w:val="00870785"/>
    <w:rsid w:val="00893BD3"/>
    <w:rsid w:val="008946CC"/>
    <w:rsid w:val="008A3140"/>
    <w:rsid w:val="008C43EF"/>
    <w:rsid w:val="008F05CA"/>
    <w:rsid w:val="00907B2D"/>
    <w:rsid w:val="009357C5"/>
    <w:rsid w:val="00943F89"/>
    <w:rsid w:val="00954E0C"/>
    <w:rsid w:val="00977A5C"/>
    <w:rsid w:val="00A072C6"/>
    <w:rsid w:val="00A07ADE"/>
    <w:rsid w:val="00A20A85"/>
    <w:rsid w:val="00A303DB"/>
    <w:rsid w:val="00A66014"/>
    <w:rsid w:val="00AE25A6"/>
    <w:rsid w:val="00B03931"/>
    <w:rsid w:val="00BC3E4B"/>
    <w:rsid w:val="00BC73A8"/>
    <w:rsid w:val="00BC7FFC"/>
    <w:rsid w:val="00C21398"/>
    <w:rsid w:val="00CA0941"/>
    <w:rsid w:val="00CC5071"/>
    <w:rsid w:val="00CE0597"/>
    <w:rsid w:val="00CF5441"/>
    <w:rsid w:val="00D361B5"/>
    <w:rsid w:val="00D82D0A"/>
    <w:rsid w:val="00DD65B2"/>
    <w:rsid w:val="00E24B10"/>
    <w:rsid w:val="00E36EAF"/>
    <w:rsid w:val="00E53558"/>
    <w:rsid w:val="00E6405B"/>
    <w:rsid w:val="00E92622"/>
    <w:rsid w:val="00ED64B0"/>
    <w:rsid w:val="00EF1B83"/>
    <w:rsid w:val="00F32A1D"/>
    <w:rsid w:val="00F42E39"/>
    <w:rsid w:val="00F432B9"/>
    <w:rsid w:val="00FE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1A426"/>
  <w15:chartTrackingRefBased/>
  <w15:docId w15:val="{731CB8DA-D53C-40FC-93B4-CFA14E1B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4F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7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A5C"/>
    <w:rPr>
      <w:kern w:val="0"/>
      <w14:ligatures w14:val="none"/>
    </w:rPr>
  </w:style>
  <w:style w:type="paragraph" w:styleId="Footer">
    <w:name w:val="footer"/>
    <w:basedOn w:val="Normal"/>
    <w:link w:val="FooterChar"/>
    <w:uiPriority w:val="99"/>
    <w:unhideWhenUsed/>
    <w:rsid w:val="00977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A5C"/>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1850</Words>
  <Characters>10549</Characters>
  <Application>Microsoft Office Word</Application>
  <DocSecurity>0</DocSecurity>
  <Lines>87</Lines>
  <Paragraphs>24</Paragraphs>
  <ScaleCrop>false</ScaleCrop>
  <Company>HP</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Dragostinova</dc:creator>
  <cp:keywords/>
  <dc:description/>
  <cp:lastModifiedBy>Ralitsa Dragostinova</cp:lastModifiedBy>
  <cp:revision>82</cp:revision>
  <dcterms:created xsi:type="dcterms:W3CDTF">2023-03-10T10:19:00Z</dcterms:created>
  <dcterms:modified xsi:type="dcterms:W3CDTF">2023-03-10T14:22:00Z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6b05a1f23c07788d8f3df99e4fa5f0ebae3b616948a29535b2dce3efa80e3625</vt:lpwstr>
  </property>
</Properties>
</file>