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5CFC8" w14:textId="77777777" w:rsidR="00144D4A" w:rsidRDefault="00144D4A" w:rsidP="00144D4A">
      <w:pPr>
        <w:spacing w:line="259" w:lineRule="auto"/>
        <w:jc w:val="center"/>
      </w:pPr>
      <w:r>
        <w:rPr>
          <w:noProof/>
        </w:rPr>
        <w:drawing>
          <wp:inline distT="0" distB="0" distL="0" distR="0" wp14:anchorId="42E647F2" wp14:editId="1762F99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16DB150" w14:textId="77777777" w:rsidR="00144D4A" w:rsidRDefault="00144D4A" w:rsidP="00144D4A">
      <w:pPr>
        <w:spacing w:line="259" w:lineRule="auto"/>
        <w:jc w:val="center"/>
      </w:pPr>
    </w:p>
    <w:p w14:paraId="67682468" w14:textId="77777777" w:rsidR="00144D4A" w:rsidRDefault="00144D4A" w:rsidP="00144D4A">
      <w:pPr>
        <w:spacing w:line="259" w:lineRule="auto"/>
        <w:jc w:val="center"/>
      </w:pPr>
    </w:p>
    <w:p w14:paraId="374D9A73" w14:textId="77777777" w:rsidR="00144D4A" w:rsidRDefault="00144D4A" w:rsidP="00144D4A">
      <w:pPr>
        <w:spacing w:line="259" w:lineRule="auto"/>
        <w:jc w:val="center"/>
        <w:rPr>
          <w:b/>
          <w:bCs/>
          <w:sz w:val="48"/>
          <w:szCs w:val="44"/>
        </w:rPr>
      </w:pPr>
      <w:r w:rsidRPr="00144D4A">
        <w:rPr>
          <w:b/>
          <w:bCs/>
          <w:sz w:val="48"/>
          <w:szCs w:val="44"/>
        </w:rPr>
        <w:t>LCBB4013</w:t>
      </w:r>
    </w:p>
    <w:p w14:paraId="1E755258" w14:textId="77777777" w:rsidR="00A80AA2" w:rsidRPr="00144D4A" w:rsidRDefault="00A80AA2" w:rsidP="00144D4A">
      <w:pPr>
        <w:spacing w:line="259" w:lineRule="auto"/>
        <w:jc w:val="center"/>
        <w:rPr>
          <w:b/>
          <w:bCs/>
          <w:sz w:val="48"/>
          <w:szCs w:val="44"/>
        </w:rPr>
      </w:pPr>
    </w:p>
    <w:p w14:paraId="630A2D0C" w14:textId="77777777" w:rsidR="00144D4A" w:rsidRDefault="00144D4A" w:rsidP="00144D4A">
      <w:pPr>
        <w:spacing w:line="259" w:lineRule="auto"/>
        <w:jc w:val="center"/>
        <w:rPr>
          <w:b/>
          <w:sz w:val="56"/>
          <w:szCs w:val="52"/>
        </w:rPr>
      </w:pPr>
      <w:r w:rsidRPr="00144D4A">
        <w:rPr>
          <w:b/>
          <w:sz w:val="56"/>
          <w:szCs w:val="52"/>
        </w:rPr>
        <w:t>Stakeholder Engagement</w:t>
      </w:r>
    </w:p>
    <w:p w14:paraId="777A3F97" w14:textId="77777777" w:rsidR="00144D4A" w:rsidRDefault="00144D4A" w:rsidP="00144D4A">
      <w:pPr>
        <w:spacing w:line="259" w:lineRule="auto"/>
        <w:jc w:val="center"/>
        <w:rPr>
          <w:b/>
          <w:sz w:val="56"/>
          <w:szCs w:val="52"/>
        </w:rPr>
      </w:pPr>
    </w:p>
    <w:p w14:paraId="4FC717D1" w14:textId="77777777" w:rsidR="00144D4A" w:rsidRDefault="00144D4A" w:rsidP="00144D4A">
      <w:pPr>
        <w:spacing w:line="259" w:lineRule="auto"/>
        <w:jc w:val="center"/>
        <w:rPr>
          <w:b/>
          <w:sz w:val="56"/>
          <w:szCs w:val="52"/>
        </w:rPr>
      </w:pPr>
    </w:p>
    <w:p w14:paraId="2D2C1AAC" w14:textId="77777777" w:rsidR="00144D4A" w:rsidRDefault="00144D4A" w:rsidP="00A80AA2">
      <w:pPr>
        <w:spacing w:line="259" w:lineRule="auto"/>
        <w:rPr>
          <w:b/>
          <w:sz w:val="56"/>
          <w:szCs w:val="52"/>
        </w:rPr>
      </w:pPr>
    </w:p>
    <w:p w14:paraId="1D4CD303" w14:textId="77777777" w:rsidR="00144D4A" w:rsidRDefault="00144D4A" w:rsidP="00144D4A">
      <w:pPr>
        <w:spacing w:line="259" w:lineRule="auto"/>
        <w:jc w:val="center"/>
        <w:rPr>
          <w:b/>
          <w:sz w:val="56"/>
          <w:szCs w:val="52"/>
        </w:rPr>
      </w:pPr>
    </w:p>
    <w:p w14:paraId="04D5DEED" w14:textId="2210EA3C" w:rsidR="00144D4A" w:rsidRPr="00144D4A" w:rsidRDefault="00144D4A" w:rsidP="00144D4A">
      <w:pPr>
        <w:spacing w:line="259" w:lineRule="auto"/>
        <w:jc w:val="center"/>
        <w:rPr>
          <w:b/>
          <w:sz w:val="40"/>
          <w:szCs w:val="36"/>
        </w:rPr>
      </w:pPr>
      <w:r w:rsidRPr="00144D4A">
        <w:rPr>
          <w:b/>
          <w:sz w:val="40"/>
          <w:szCs w:val="36"/>
        </w:rPr>
        <w:t>Student Name:</w:t>
      </w:r>
      <w:r w:rsidR="00547BDD">
        <w:rPr>
          <w:b/>
          <w:sz w:val="40"/>
          <w:szCs w:val="36"/>
        </w:rPr>
        <w:t xml:space="preserve"> Nicoleta Samson</w:t>
      </w:r>
    </w:p>
    <w:p w14:paraId="137FCCE7" w14:textId="2D476FBC" w:rsidR="00144D4A" w:rsidRPr="00144D4A" w:rsidRDefault="00144D4A" w:rsidP="00144D4A">
      <w:pPr>
        <w:spacing w:line="259" w:lineRule="auto"/>
        <w:jc w:val="center"/>
        <w:rPr>
          <w:b/>
          <w:sz w:val="40"/>
          <w:szCs w:val="36"/>
        </w:rPr>
      </w:pPr>
      <w:r w:rsidRPr="00144D4A">
        <w:rPr>
          <w:b/>
          <w:sz w:val="40"/>
          <w:szCs w:val="36"/>
        </w:rPr>
        <w:t>Student ID:</w:t>
      </w:r>
      <w:r w:rsidR="00547BDD" w:rsidRPr="00547BDD">
        <w:rPr>
          <w:rFonts w:ascii="Source Sans Pro" w:hAnsi="Source Sans Pro"/>
          <w:color w:val="242130"/>
          <w:sz w:val="21"/>
          <w:szCs w:val="21"/>
          <w:shd w:val="clear" w:color="auto" w:fill="FFFFFF"/>
        </w:rPr>
        <w:t xml:space="preserve"> </w:t>
      </w:r>
      <w:r w:rsidR="00547BDD" w:rsidRPr="00547BDD">
        <w:rPr>
          <w:b/>
          <w:sz w:val="40"/>
          <w:szCs w:val="36"/>
        </w:rPr>
        <w:t>2437295</w:t>
      </w:r>
    </w:p>
    <w:p w14:paraId="2E7ABA8B" w14:textId="6D0AEB97" w:rsidR="00144D4A" w:rsidRPr="00144D4A" w:rsidRDefault="00144D4A" w:rsidP="00144D4A">
      <w:pPr>
        <w:spacing w:line="259" w:lineRule="auto"/>
        <w:jc w:val="center"/>
        <w:rPr>
          <w:b/>
          <w:sz w:val="40"/>
          <w:szCs w:val="36"/>
        </w:rPr>
      </w:pPr>
    </w:p>
    <w:p w14:paraId="2C730E32" w14:textId="25D66F5B" w:rsidR="00144D4A" w:rsidRDefault="00144D4A" w:rsidP="00144D4A">
      <w:pPr>
        <w:spacing w:line="259" w:lineRule="auto"/>
        <w:jc w:val="center"/>
        <w:rPr>
          <w:rFonts w:cs="Times New Roman"/>
          <w:b/>
          <w:bCs/>
          <w:color w:val="000000" w:themeColor="text1"/>
          <w:sz w:val="36"/>
        </w:rPr>
      </w:pPr>
      <w:r>
        <w:br w:type="page"/>
      </w:r>
    </w:p>
    <w:sdt>
      <w:sdtPr>
        <w:id w:val="658109937"/>
        <w:docPartObj>
          <w:docPartGallery w:val="Table of Contents"/>
          <w:docPartUnique/>
        </w:docPartObj>
      </w:sdtPr>
      <w:sdtEndPr>
        <w:rPr>
          <w:b/>
          <w:bCs/>
          <w:noProof/>
        </w:rPr>
      </w:sdtEndPr>
      <w:sdtContent>
        <w:p w14:paraId="1EE25EED" w14:textId="4A8FCE67" w:rsidR="00144D4A" w:rsidRPr="00460546" w:rsidRDefault="00144D4A" w:rsidP="00460546">
          <w:pPr>
            <w:rPr>
              <w:b/>
              <w:bCs/>
              <w:sz w:val="32"/>
              <w:szCs w:val="28"/>
            </w:rPr>
          </w:pPr>
          <w:r w:rsidRPr="00460546">
            <w:rPr>
              <w:b/>
              <w:bCs/>
              <w:sz w:val="32"/>
              <w:szCs w:val="28"/>
            </w:rPr>
            <w:t>Table of Contents</w:t>
          </w:r>
          <w:r w:rsidR="00917F3E">
            <w:rPr>
              <w:b/>
              <w:bCs/>
              <w:sz w:val="32"/>
              <w:szCs w:val="28"/>
            </w:rPr>
            <w:t xml:space="preserve"> </w:t>
          </w:r>
        </w:p>
        <w:p w14:paraId="7C5A4526" w14:textId="3041A2B5" w:rsidR="00460546" w:rsidRDefault="00144D4A">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3126512" w:history="1">
            <w:r w:rsidR="00460546" w:rsidRPr="000232EE">
              <w:rPr>
                <w:rStyle w:val="Hyperlink"/>
                <w:noProof/>
              </w:rPr>
              <w:t>1. Introduction</w:t>
            </w:r>
            <w:r w:rsidR="00460546">
              <w:rPr>
                <w:noProof/>
                <w:webHidden/>
              </w:rPr>
              <w:tab/>
            </w:r>
            <w:r w:rsidR="00460546">
              <w:rPr>
                <w:noProof/>
                <w:webHidden/>
              </w:rPr>
              <w:fldChar w:fldCharType="begin"/>
            </w:r>
            <w:r w:rsidR="00460546">
              <w:rPr>
                <w:noProof/>
                <w:webHidden/>
              </w:rPr>
              <w:instrText xml:space="preserve"> PAGEREF _Toc223126512 \h </w:instrText>
            </w:r>
            <w:r w:rsidR="00460546">
              <w:rPr>
                <w:noProof/>
                <w:webHidden/>
              </w:rPr>
            </w:r>
            <w:r w:rsidR="00460546">
              <w:rPr>
                <w:noProof/>
                <w:webHidden/>
              </w:rPr>
              <w:fldChar w:fldCharType="separate"/>
            </w:r>
            <w:r w:rsidR="00460546">
              <w:rPr>
                <w:noProof/>
                <w:webHidden/>
              </w:rPr>
              <w:t>3</w:t>
            </w:r>
            <w:r w:rsidR="00460546">
              <w:rPr>
                <w:noProof/>
                <w:webHidden/>
              </w:rPr>
              <w:fldChar w:fldCharType="end"/>
            </w:r>
          </w:hyperlink>
        </w:p>
        <w:p w14:paraId="2E1BCC99" w14:textId="1B17FE8B" w:rsidR="00460546" w:rsidRDefault="00460546">
          <w:pPr>
            <w:pStyle w:val="TOC1"/>
            <w:tabs>
              <w:tab w:val="right" w:leader="dot" w:pos="9016"/>
            </w:tabs>
            <w:rPr>
              <w:rFonts w:asciiTheme="minorHAnsi" w:eastAsiaTheme="minorEastAsia" w:hAnsiTheme="minorHAnsi"/>
              <w:noProof/>
              <w:szCs w:val="24"/>
              <w:lang w:eastAsia="en-IN"/>
            </w:rPr>
          </w:pPr>
          <w:hyperlink w:anchor="_Toc223126513" w:history="1">
            <w:r w:rsidRPr="000232EE">
              <w:rPr>
                <w:rStyle w:val="Hyperlink"/>
                <w:noProof/>
              </w:rPr>
              <w:t>2. Depth of Analysis and Application: Stakeholder Engagement Strategies</w:t>
            </w:r>
            <w:r>
              <w:rPr>
                <w:noProof/>
                <w:webHidden/>
              </w:rPr>
              <w:tab/>
            </w:r>
            <w:r>
              <w:rPr>
                <w:noProof/>
                <w:webHidden/>
              </w:rPr>
              <w:fldChar w:fldCharType="begin"/>
            </w:r>
            <w:r>
              <w:rPr>
                <w:noProof/>
                <w:webHidden/>
              </w:rPr>
              <w:instrText xml:space="preserve"> PAGEREF _Toc223126513 \h </w:instrText>
            </w:r>
            <w:r>
              <w:rPr>
                <w:noProof/>
                <w:webHidden/>
              </w:rPr>
            </w:r>
            <w:r>
              <w:rPr>
                <w:noProof/>
                <w:webHidden/>
              </w:rPr>
              <w:fldChar w:fldCharType="separate"/>
            </w:r>
            <w:r>
              <w:rPr>
                <w:noProof/>
                <w:webHidden/>
              </w:rPr>
              <w:t>5</w:t>
            </w:r>
            <w:r>
              <w:rPr>
                <w:noProof/>
                <w:webHidden/>
              </w:rPr>
              <w:fldChar w:fldCharType="end"/>
            </w:r>
          </w:hyperlink>
        </w:p>
        <w:p w14:paraId="7B84E4EB" w14:textId="7158DD83" w:rsidR="00460546" w:rsidRDefault="00460546">
          <w:pPr>
            <w:pStyle w:val="TOC2"/>
            <w:tabs>
              <w:tab w:val="right" w:leader="dot" w:pos="9016"/>
            </w:tabs>
            <w:rPr>
              <w:rFonts w:asciiTheme="minorHAnsi" w:eastAsiaTheme="minorEastAsia" w:hAnsiTheme="minorHAnsi"/>
              <w:noProof/>
              <w:szCs w:val="24"/>
              <w:lang w:eastAsia="en-IN"/>
            </w:rPr>
          </w:pPr>
          <w:hyperlink w:anchor="_Toc223126514" w:history="1">
            <w:r w:rsidRPr="000232EE">
              <w:rPr>
                <w:rStyle w:val="Hyperlink"/>
                <w:noProof/>
              </w:rPr>
              <w:t>2.1 Identification of Key Stakeholders</w:t>
            </w:r>
            <w:r>
              <w:rPr>
                <w:noProof/>
                <w:webHidden/>
              </w:rPr>
              <w:tab/>
            </w:r>
            <w:r>
              <w:rPr>
                <w:noProof/>
                <w:webHidden/>
              </w:rPr>
              <w:fldChar w:fldCharType="begin"/>
            </w:r>
            <w:r>
              <w:rPr>
                <w:noProof/>
                <w:webHidden/>
              </w:rPr>
              <w:instrText xml:space="preserve"> PAGEREF _Toc223126514 \h </w:instrText>
            </w:r>
            <w:r>
              <w:rPr>
                <w:noProof/>
                <w:webHidden/>
              </w:rPr>
            </w:r>
            <w:r>
              <w:rPr>
                <w:noProof/>
                <w:webHidden/>
              </w:rPr>
              <w:fldChar w:fldCharType="separate"/>
            </w:r>
            <w:r>
              <w:rPr>
                <w:noProof/>
                <w:webHidden/>
              </w:rPr>
              <w:t>5</w:t>
            </w:r>
            <w:r>
              <w:rPr>
                <w:noProof/>
                <w:webHidden/>
              </w:rPr>
              <w:fldChar w:fldCharType="end"/>
            </w:r>
          </w:hyperlink>
        </w:p>
        <w:p w14:paraId="344EF552" w14:textId="47569EFA" w:rsidR="00460546" w:rsidRDefault="00460546">
          <w:pPr>
            <w:pStyle w:val="TOC2"/>
            <w:tabs>
              <w:tab w:val="right" w:leader="dot" w:pos="9016"/>
            </w:tabs>
            <w:rPr>
              <w:rFonts w:asciiTheme="minorHAnsi" w:eastAsiaTheme="minorEastAsia" w:hAnsiTheme="minorHAnsi"/>
              <w:noProof/>
              <w:szCs w:val="24"/>
              <w:lang w:eastAsia="en-IN"/>
            </w:rPr>
          </w:pPr>
          <w:hyperlink w:anchor="_Toc223126515" w:history="1">
            <w:r w:rsidRPr="000232EE">
              <w:rPr>
                <w:rStyle w:val="Hyperlink"/>
                <w:noProof/>
              </w:rPr>
              <w:t>2.2 Stakeholder Matrix</w:t>
            </w:r>
            <w:r>
              <w:rPr>
                <w:noProof/>
                <w:webHidden/>
              </w:rPr>
              <w:tab/>
            </w:r>
            <w:r>
              <w:rPr>
                <w:noProof/>
                <w:webHidden/>
              </w:rPr>
              <w:fldChar w:fldCharType="begin"/>
            </w:r>
            <w:r>
              <w:rPr>
                <w:noProof/>
                <w:webHidden/>
              </w:rPr>
              <w:instrText xml:space="preserve"> PAGEREF _Toc223126515 \h </w:instrText>
            </w:r>
            <w:r>
              <w:rPr>
                <w:noProof/>
                <w:webHidden/>
              </w:rPr>
            </w:r>
            <w:r>
              <w:rPr>
                <w:noProof/>
                <w:webHidden/>
              </w:rPr>
              <w:fldChar w:fldCharType="separate"/>
            </w:r>
            <w:r>
              <w:rPr>
                <w:noProof/>
                <w:webHidden/>
              </w:rPr>
              <w:t>5</w:t>
            </w:r>
            <w:r>
              <w:rPr>
                <w:noProof/>
                <w:webHidden/>
              </w:rPr>
              <w:fldChar w:fldCharType="end"/>
            </w:r>
          </w:hyperlink>
        </w:p>
        <w:p w14:paraId="54261EA2" w14:textId="496BA04B" w:rsidR="00460546" w:rsidRDefault="00460546">
          <w:pPr>
            <w:pStyle w:val="TOC2"/>
            <w:tabs>
              <w:tab w:val="right" w:leader="dot" w:pos="9016"/>
            </w:tabs>
            <w:rPr>
              <w:rFonts w:asciiTheme="minorHAnsi" w:eastAsiaTheme="minorEastAsia" w:hAnsiTheme="minorHAnsi"/>
              <w:noProof/>
              <w:szCs w:val="24"/>
              <w:lang w:eastAsia="en-IN"/>
            </w:rPr>
          </w:pPr>
          <w:hyperlink w:anchor="_Toc223126516" w:history="1">
            <w:r w:rsidRPr="000232EE">
              <w:rPr>
                <w:rStyle w:val="Hyperlink"/>
                <w:noProof/>
              </w:rPr>
              <w:t>2.3 Power-Interest-Influence Grid</w:t>
            </w:r>
            <w:r>
              <w:rPr>
                <w:noProof/>
                <w:webHidden/>
              </w:rPr>
              <w:tab/>
            </w:r>
            <w:r>
              <w:rPr>
                <w:noProof/>
                <w:webHidden/>
              </w:rPr>
              <w:fldChar w:fldCharType="begin"/>
            </w:r>
            <w:r>
              <w:rPr>
                <w:noProof/>
                <w:webHidden/>
              </w:rPr>
              <w:instrText xml:space="preserve"> PAGEREF _Toc223126516 \h </w:instrText>
            </w:r>
            <w:r>
              <w:rPr>
                <w:noProof/>
                <w:webHidden/>
              </w:rPr>
            </w:r>
            <w:r>
              <w:rPr>
                <w:noProof/>
                <w:webHidden/>
              </w:rPr>
              <w:fldChar w:fldCharType="separate"/>
            </w:r>
            <w:r>
              <w:rPr>
                <w:noProof/>
                <w:webHidden/>
              </w:rPr>
              <w:t>6</w:t>
            </w:r>
            <w:r>
              <w:rPr>
                <w:noProof/>
                <w:webHidden/>
              </w:rPr>
              <w:fldChar w:fldCharType="end"/>
            </w:r>
          </w:hyperlink>
        </w:p>
        <w:p w14:paraId="55721081" w14:textId="02620714" w:rsidR="00460546" w:rsidRDefault="00460546">
          <w:pPr>
            <w:pStyle w:val="TOC2"/>
            <w:tabs>
              <w:tab w:val="right" w:leader="dot" w:pos="9016"/>
            </w:tabs>
            <w:rPr>
              <w:rFonts w:asciiTheme="minorHAnsi" w:eastAsiaTheme="minorEastAsia" w:hAnsiTheme="minorHAnsi"/>
              <w:noProof/>
              <w:szCs w:val="24"/>
              <w:lang w:eastAsia="en-IN"/>
            </w:rPr>
          </w:pPr>
          <w:hyperlink w:anchor="_Toc223126517" w:history="1">
            <w:r w:rsidRPr="000232EE">
              <w:rPr>
                <w:rStyle w:val="Hyperlink"/>
                <w:noProof/>
              </w:rPr>
              <w:t>2.4 Relevance and Functions of Stakeholders</w:t>
            </w:r>
            <w:r>
              <w:rPr>
                <w:noProof/>
                <w:webHidden/>
              </w:rPr>
              <w:tab/>
            </w:r>
            <w:r>
              <w:rPr>
                <w:noProof/>
                <w:webHidden/>
              </w:rPr>
              <w:fldChar w:fldCharType="begin"/>
            </w:r>
            <w:r>
              <w:rPr>
                <w:noProof/>
                <w:webHidden/>
              </w:rPr>
              <w:instrText xml:space="preserve"> PAGEREF _Toc223126517 \h </w:instrText>
            </w:r>
            <w:r>
              <w:rPr>
                <w:noProof/>
                <w:webHidden/>
              </w:rPr>
            </w:r>
            <w:r>
              <w:rPr>
                <w:noProof/>
                <w:webHidden/>
              </w:rPr>
              <w:fldChar w:fldCharType="separate"/>
            </w:r>
            <w:r>
              <w:rPr>
                <w:noProof/>
                <w:webHidden/>
              </w:rPr>
              <w:t>7</w:t>
            </w:r>
            <w:r>
              <w:rPr>
                <w:noProof/>
                <w:webHidden/>
              </w:rPr>
              <w:fldChar w:fldCharType="end"/>
            </w:r>
          </w:hyperlink>
        </w:p>
        <w:p w14:paraId="13F01509" w14:textId="3D991A9C" w:rsidR="00460546" w:rsidRDefault="00460546">
          <w:pPr>
            <w:pStyle w:val="TOC2"/>
            <w:tabs>
              <w:tab w:val="right" w:leader="dot" w:pos="9016"/>
            </w:tabs>
            <w:rPr>
              <w:rFonts w:asciiTheme="minorHAnsi" w:eastAsiaTheme="minorEastAsia" w:hAnsiTheme="minorHAnsi"/>
              <w:noProof/>
              <w:szCs w:val="24"/>
              <w:lang w:eastAsia="en-IN"/>
            </w:rPr>
          </w:pPr>
          <w:hyperlink w:anchor="_Toc223126518" w:history="1">
            <w:r w:rsidRPr="000232EE">
              <w:rPr>
                <w:rStyle w:val="Hyperlink"/>
                <w:noProof/>
              </w:rPr>
              <w:t>2.5 Stakeholder Engagement Strategies</w:t>
            </w:r>
            <w:r>
              <w:rPr>
                <w:noProof/>
                <w:webHidden/>
              </w:rPr>
              <w:tab/>
            </w:r>
            <w:r>
              <w:rPr>
                <w:noProof/>
                <w:webHidden/>
              </w:rPr>
              <w:fldChar w:fldCharType="begin"/>
            </w:r>
            <w:r>
              <w:rPr>
                <w:noProof/>
                <w:webHidden/>
              </w:rPr>
              <w:instrText xml:space="preserve"> PAGEREF _Toc223126518 \h </w:instrText>
            </w:r>
            <w:r>
              <w:rPr>
                <w:noProof/>
                <w:webHidden/>
              </w:rPr>
            </w:r>
            <w:r>
              <w:rPr>
                <w:noProof/>
                <w:webHidden/>
              </w:rPr>
              <w:fldChar w:fldCharType="separate"/>
            </w:r>
            <w:r>
              <w:rPr>
                <w:noProof/>
                <w:webHidden/>
              </w:rPr>
              <w:t>8</w:t>
            </w:r>
            <w:r>
              <w:rPr>
                <w:noProof/>
                <w:webHidden/>
              </w:rPr>
              <w:fldChar w:fldCharType="end"/>
            </w:r>
          </w:hyperlink>
        </w:p>
        <w:p w14:paraId="7C63AA85" w14:textId="21D9C3EF" w:rsidR="00460546" w:rsidRDefault="00460546">
          <w:pPr>
            <w:pStyle w:val="TOC2"/>
            <w:tabs>
              <w:tab w:val="right" w:leader="dot" w:pos="9016"/>
            </w:tabs>
            <w:rPr>
              <w:rFonts w:asciiTheme="minorHAnsi" w:eastAsiaTheme="minorEastAsia" w:hAnsiTheme="minorHAnsi"/>
              <w:noProof/>
              <w:szCs w:val="24"/>
              <w:lang w:eastAsia="en-IN"/>
            </w:rPr>
          </w:pPr>
          <w:hyperlink w:anchor="_Toc223126519" w:history="1">
            <w:r w:rsidRPr="000232EE">
              <w:rPr>
                <w:rStyle w:val="Hyperlink"/>
                <w:noProof/>
              </w:rPr>
              <w:t>2.6 Communication Channels</w:t>
            </w:r>
            <w:r>
              <w:rPr>
                <w:noProof/>
                <w:webHidden/>
              </w:rPr>
              <w:tab/>
            </w:r>
            <w:r>
              <w:rPr>
                <w:noProof/>
                <w:webHidden/>
              </w:rPr>
              <w:fldChar w:fldCharType="begin"/>
            </w:r>
            <w:r>
              <w:rPr>
                <w:noProof/>
                <w:webHidden/>
              </w:rPr>
              <w:instrText xml:space="preserve"> PAGEREF _Toc223126519 \h </w:instrText>
            </w:r>
            <w:r>
              <w:rPr>
                <w:noProof/>
                <w:webHidden/>
              </w:rPr>
            </w:r>
            <w:r>
              <w:rPr>
                <w:noProof/>
                <w:webHidden/>
              </w:rPr>
              <w:fldChar w:fldCharType="separate"/>
            </w:r>
            <w:r>
              <w:rPr>
                <w:noProof/>
                <w:webHidden/>
              </w:rPr>
              <w:t>8</w:t>
            </w:r>
            <w:r>
              <w:rPr>
                <w:noProof/>
                <w:webHidden/>
              </w:rPr>
              <w:fldChar w:fldCharType="end"/>
            </w:r>
          </w:hyperlink>
        </w:p>
        <w:p w14:paraId="1691AF9F" w14:textId="09CD9645" w:rsidR="00460546" w:rsidRDefault="00460546">
          <w:pPr>
            <w:pStyle w:val="TOC2"/>
            <w:tabs>
              <w:tab w:val="right" w:leader="dot" w:pos="9016"/>
            </w:tabs>
            <w:rPr>
              <w:rFonts w:asciiTheme="minorHAnsi" w:eastAsiaTheme="minorEastAsia" w:hAnsiTheme="minorHAnsi"/>
              <w:noProof/>
              <w:szCs w:val="24"/>
              <w:lang w:eastAsia="en-IN"/>
            </w:rPr>
          </w:pPr>
          <w:hyperlink w:anchor="_Toc223126520" w:history="1">
            <w:r w:rsidRPr="000232EE">
              <w:rPr>
                <w:rStyle w:val="Hyperlink"/>
                <w:noProof/>
              </w:rPr>
              <w:t>2.7 Problems with Stakeholder Engagement</w:t>
            </w:r>
            <w:r>
              <w:rPr>
                <w:noProof/>
                <w:webHidden/>
              </w:rPr>
              <w:tab/>
            </w:r>
            <w:r>
              <w:rPr>
                <w:noProof/>
                <w:webHidden/>
              </w:rPr>
              <w:fldChar w:fldCharType="begin"/>
            </w:r>
            <w:r>
              <w:rPr>
                <w:noProof/>
                <w:webHidden/>
              </w:rPr>
              <w:instrText xml:space="preserve"> PAGEREF _Toc223126520 \h </w:instrText>
            </w:r>
            <w:r>
              <w:rPr>
                <w:noProof/>
                <w:webHidden/>
              </w:rPr>
            </w:r>
            <w:r>
              <w:rPr>
                <w:noProof/>
                <w:webHidden/>
              </w:rPr>
              <w:fldChar w:fldCharType="separate"/>
            </w:r>
            <w:r>
              <w:rPr>
                <w:noProof/>
                <w:webHidden/>
              </w:rPr>
              <w:t>9</w:t>
            </w:r>
            <w:r>
              <w:rPr>
                <w:noProof/>
                <w:webHidden/>
              </w:rPr>
              <w:fldChar w:fldCharType="end"/>
            </w:r>
          </w:hyperlink>
        </w:p>
        <w:p w14:paraId="6E0B319D" w14:textId="44EB0E39" w:rsidR="00460546" w:rsidRDefault="00460546">
          <w:pPr>
            <w:pStyle w:val="TOC1"/>
            <w:tabs>
              <w:tab w:val="right" w:leader="dot" w:pos="9016"/>
            </w:tabs>
            <w:rPr>
              <w:rFonts w:asciiTheme="minorHAnsi" w:eastAsiaTheme="minorEastAsia" w:hAnsiTheme="minorHAnsi"/>
              <w:noProof/>
              <w:szCs w:val="24"/>
              <w:lang w:eastAsia="en-IN"/>
            </w:rPr>
          </w:pPr>
          <w:hyperlink w:anchor="_Toc223126521" w:history="1">
            <w:r w:rsidRPr="000232EE">
              <w:rPr>
                <w:rStyle w:val="Hyperlink"/>
                <w:noProof/>
              </w:rPr>
              <w:t>3. Reflective Insight, Ethical Consideration and Awareness</w:t>
            </w:r>
            <w:r>
              <w:rPr>
                <w:noProof/>
                <w:webHidden/>
              </w:rPr>
              <w:tab/>
            </w:r>
            <w:r>
              <w:rPr>
                <w:noProof/>
                <w:webHidden/>
              </w:rPr>
              <w:fldChar w:fldCharType="begin"/>
            </w:r>
            <w:r>
              <w:rPr>
                <w:noProof/>
                <w:webHidden/>
              </w:rPr>
              <w:instrText xml:space="preserve"> PAGEREF _Toc223126521 \h </w:instrText>
            </w:r>
            <w:r>
              <w:rPr>
                <w:noProof/>
                <w:webHidden/>
              </w:rPr>
            </w:r>
            <w:r>
              <w:rPr>
                <w:noProof/>
                <w:webHidden/>
              </w:rPr>
              <w:fldChar w:fldCharType="separate"/>
            </w:r>
            <w:r>
              <w:rPr>
                <w:noProof/>
                <w:webHidden/>
              </w:rPr>
              <w:t>9</w:t>
            </w:r>
            <w:r>
              <w:rPr>
                <w:noProof/>
                <w:webHidden/>
              </w:rPr>
              <w:fldChar w:fldCharType="end"/>
            </w:r>
          </w:hyperlink>
        </w:p>
        <w:p w14:paraId="3E7B3F7C" w14:textId="3940E066" w:rsidR="00460546" w:rsidRDefault="00460546">
          <w:pPr>
            <w:pStyle w:val="TOC2"/>
            <w:tabs>
              <w:tab w:val="right" w:leader="dot" w:pos="9016"/>
            </w:tabs>
            <w:rPr>
              <w:rFonts w:asciiTheme="minorHAnsi" w:eastAsiaTheme="minorEastAsia" w:hAnsiTheme="minorHAnsi"/>
              <w:noProof/>
              <w:szCs w:val="24"/>
              <w:lang w:eastAsia="en-IN"/>
            </w:rPr>
          </w:pPr>
          <w:hyperlink w:anchor="_Toc223126522" w:history="1">
            <w:r w:rsidRPr="000232EE">
              <w:rPr>
                <w:rStyle w:val="Hyperlink"/>
                <w:noProof/>
              </w:rPr>
              <w:t>3.1 Stakeholder Engagement Ethical Considerations</w:t>
            </w:r>
            <w:r>
              <w:rPr>
                <w:noProof/>
                <w:webHidden/>
              </w:rPr>
              <w:tab/>
            </w:r>
            <w:r>
              <w:rPr>
                <w:noProof/>
                <w:webHidden/>
              </w:rPr>
              <w:fldChar w:fldCharType="begin"/>
            </w:r>
            <w:r>
              <w:rPr>
                <w:noProof/>
                <w:webHidden/>
              </w:rPr>
              <w:instrText xml:space="preserve"> PAGEREF _Toc223126522 \h </w:instrText>
            </w:r>
            <w:r>
              <w:rPr>
                <w:noProof/>
                <w:webHidden/>
              </w:rPr>
            </w:r>
            <w:r>
              <w:rPr>
                <w:noProof/>
                <w:webHidden/>
              </w:rPr>
              <w:fldChar w:fldCharType="separate"/>
            </w:r>
            <w:r>
              <w:rPr>
                <w:noProof/>
                <w:webHidden/>
              </w:rPr>
              <w:t>9</w:t>
            </w:r>
            <w:r>
              <w:rPr>
                <w:noProof/>
                <w:webHidden/>
              </w:rPr>
              <w:fldChar w:fldCharType="end"/>
            </w:r>
          </w:hyperlink>
        </w:p>
        <w:p w14:paraId="193F3DCF" w14:textId="1A86FF95" w:rsidR="00460546" w:rsidRDefault="00460546">
          <w:pPr>
            <w:pStyle w:val="TOC2"/>
            <w:tabs>
              <w:tab w:val="right" w:leader="dot" w:pos="9016"/>
            </w:tabs>
            <w:rPr>
              <w:rFonts w:asciiTheme="minorHAnsi" w:eastAsiaTheme="minorEastAsia" w:hAnsiTheme="minorHAnsi"/>
              <w:noProof/>
              <w:szCs w:val="24"/>
              <w:lang w:eastAsia="en-IN"/>
            </w:rPr>
          </w:pPr>
          <w:hyperlink w:anchor="_Toc223126523" w:history="1">
            <w:r w:rsidRPr="000232EE">
              <w:rPr>
                <w:rStyle w:val="Hyperlink"/>
                <w:noProof/>
              </w:rPr>
              <w:t>3.2 Community Interest, Transparency and Fairness</w:t>
            </w:r>
            <w:r>
              <w:rPr>
                <w:noProof/>
                <w:webHidden/>
              </w:rPr>
              <w:tab/>
            </w:r>
            <w:r>
              <w:rPr>
                <w:noProof/>
                <w:webHidden/>
              </w:rPr>
              <w:fldChar w:fldCharType="begin"/>
            </w:r>
            <w:r>
              <w:rPr>
                <w:noProof/>
                <w:webHidden/>
              </w:rPr>
              <w:instrText xml:space="preserve"> PAGEREF _Toc223126523 \h </w:instrText>
            </w:r>
            <w:r>
              <w:rPr>
                <w:noProof/>
                <w:webHidden/>
              </w:rPr>
            </w:r>
            <w:r>
              <w:rPr>
                <w:noProof/>
                <w:webHidden/>
              </w:rPr>
              <w:fldChar w:fldCharType="separate"/>
            </w:r>
            <w:r>
              <w:rPr>
                <w:noProof/>
                <w:webHidden/>
              </w:rPr>
              <w:t>10</w:t>
            </w:r>
            <w:r>
              <w:rPr>
                <w:noProof/>
                <w:webHidden/>
              </w:rPr>
              <w:fldChar w:fldCharType="end"/>
            </w:r>
          </w:hyperlink>
        </w:p>
        <w:p w14:paraId="2A32E5CC" w14:textId="6A901DD0" w:rsidR="00460546" w:rsidRDefault="00460546">
          <w:pPr>
            <w:pStyle w:val="TOC2"/>
            <w:tabs>
              <w:tab w:val="right" w:leader="dot" w:pos="9016"/>
            </w:tabs>
            <w:rPr>
              <w:rFonts w:asciiTheme="minorHAnsi" w:eastAsiaTheme="minorEastAsia" w:hAnsiTheme="minorHAnsi"/>
              <w:noProof/>
              <w:szCs w:val="24"/>
              <w:lang w:eastAsia="en-IN"/>
            </w:rPr>
          </w:pPr>
          <w:hyperlink w:anchor="_Toc223126524" w:history="1">
            <w:r w:rsidRPr="000232EE">
              <w:rPr>
                <w:rStyle w:val="Hyperlink"/>
                <w:noProof/>
              </w:rPr>
              <w:t>3.3 Corporate Social Responsibility (CSR) and Sustainability</w:t>
            </w:r>
            <w:r>
              <w:rPr>
                <w:noProof/>
                <w:webHidden/>
              </w:rPr>
              <w:tab/>
            </w:r>
            <w:r>
              <w:rPr>
                <w:noProof/>
                <w:webHidden/>
              </w:rPr>
              <w:fldChar w:fldCharType="begin"/>
            </w:r>
            <w:r>
              <w:rPr>
                <w:noProof/>
                <w:webHidden/>
              </w:rPr>
              <w:instrText xml:space="preserve"> PAGEREF _Toc223126524 \h </w:instrText>
            </w:r>
            <w:r>
              <w:rPr>
                <w:noProof/>
                <w:webHidden/>
              </w:rPr>
            </w:r>
            <w:r>
              <w:rPr>
                <w:noProof/>
                <w:webHidden/>
              </w:rPr>
              <w:fldChar w:fldCharType="separate"/>
            </w:r>
            <w:r>
              <w:rPr>
                <w:noProof/>
                <w:webHidden/>
              </w:rPr>
              <w:t>11</w:t>
            </w:r>
            <w:r>
              <w:rPr>
                <w:noProof/>
                <w:webHidden/>
              </w:rPr>
              <w:fldChar w:fldCharType="end"/>
            </w:r>
          </w:hyperlink>
        </w:p>
        <w:p w14:paraId="7DA69467" w14:textId="39A0D1F9" w:rsidR="00460546" w:rsidRDefault="00460546">
          <w:pPr>
            <w:pStyle w:val="TOC2"/>
            <w:tabs>
              <w:tab w:val="right" w:leader="dot" w:pos="9016"/>
            </w:tabs>
            <w:rPr>
              <w:rFonts w:asciiTheme="minorHAnsi" w:eastAsiaTheme="minorEastAsia" w:hAnsiTheme="minorHAnsi"/>
              <w:noProof/>
              <w:szCs w:val="24"/>
              <w:lang w:eastAsia="en-IN"/>
            </w:rPr>
          </w:pPr>
          <w:hyperlink w:anchor="_Toc223126525" w:history="1">
            <w:r w:rsidRPr="000232EE">
              <w:rPr>
                <w:rStyle w:val="Hyperlink"/>
                <w:noProof/>
              </w:rPr>
              <w:t>3.4 Reflection on Stakeholder Engagement</w:t>
            </w:r>
            <w:r>
              <w:rPr>
                <w:noProof/>
                <w:webHidden/>
              </w:rPr>
              <w:tab/>
            </w:r>
            <w:r>
              <w:rPr>
                <w:noProof/>
                <w:webHidden/>
              </w:rPr>
              <w:fldChar w:fldCharType="begin"/>
            </w:r>
            <w:r>
              <w:rPr>
                <w:noProof/>
                <w:webHidden/>
              </w:rPr>
              <w:instrText xml:space="preserve"> PAGEREF _Toc223126525 \h </w:instrText>
            </w:r>
            <w:r>
              <w:rPr>
                <w:noProof/>
                <w:webHidden/>
              </w:rPr>
            </w:r>
            <w:r>
              <w:rPr>
                <w:noProof/>
                <w:webHidden/>
              </w:rPr>
              <w:fldChar w:fldCharType="separate"/>
            </w:r>
            <w:r>
              <w:rPr>
                <w:noProof/>
                <w:webHidden/>
              </w:rPr>
              <w:t>12</w:t>
            </w:r>
            <w:r>
              <w:rPr>
                <w:noProof/>
                <w:webHidden/>
              </w:rPr>
              <w:fldChar w:fldCharType="end"/>
            </w:r>
          </w:hyperlink>
        </w:p>
        <w:p w14:paraId="7A9836B0" w14:textId="580765CE" w:rsidR="00460546" w:rsidRDefault="00460546">
          <w:pPr>
            <w:pStyle w:val="TOC2"/>
            <w:tabs>
              <w:tab w:val="right" w:leader="dot" w:pos="9016"/>
            </w:tabs>
            <w:rPr>
              <w:rFonts w:asciiTheme="minorHAnsi" w:eastAsiaTheme="minorEastAsia" w:hAnsiTheme="minorHAnsi"/>
              <w:noProof/>
              <w:szCs w:val="24"/>
              <w:lang w:eastAsia="en-IN"/>
            </w:rPr>
          </w:pPr>
          <w:hyperlink w:anchor="_Toc223126526" w:history="1">
            <w:r w:rsidRPr="000232EE">
              <w:rPr>
                <w:rStyle w:val="Hyperlink"/>
                <w:noProof/>
              </w:rPr>
              <w:t>3.5 Skills Development and Future Relevance</w:t>
            </w:r>
            <w:r>
              <w:rPr>
                <w:noProof/>
                <w:webHidden/>
              </w:rPr>
              <w:tab/>
            </w:r>
            <w:r>
              <w:rPr>
                <w:noProof/>
                <w:webHidden/>
              </w:rPr>
              <w:fldChar w:fldCharType="begin"/>
            </w:r>
            <w:r>
              <w:rPr>
                <w:noProof/>
                <w:webHidden/>
              </w:rPr>
              <w:instrText xml:space="preserve"> PAGEREF _Toc223126526 \h </w:instrText>
            </w:r>
            <w:r>
              <w:rPr>
                <w:noProof/>
                <w:webHidden/>
              </w:rPr>
            </w:r>
            <w:r>
              <w:rPr>
                <w:noProof/>
                <w:webHidden/>
              </w:rPr>
              <w:fldChar w:fldCharType="separate"/>
            </w:r>
            <w:r>
              <w:rPr>
                <w:noProof/>
                <w:webHidden/>
              </w:rPr>
              <w:t>12</w:t>
            </w:r>
            <w:r>
              <w:rPr>
                <w:noProof/>
                <w:webHidden/>
              </w:rPr>
              <w:fldChar w:fldCharType="end"/>
            </w:r>
          </w:hyperlink>
        </w:p>
        <w:p w14:paraId="3C770722" w14:textId="675E7082" w:rsidR="00460546" w:rsidRDefault="00460546">
          <w:pPr>
            <w:pStyle w:val="TOC1"/>
            <w:tabs>
              <w:tab w:val="right" w:leader="dot" w:pos="9016"/>
            </w:tabs>
            <w:rPr>
              <w:rFonts w:asciiTheme="minorHAnsi" w:eastAsiaTheme="minorEastAsia" w:hAnsiTheme="minorHAnsi"/>
              <w:noProof/>
              <w:szCs w:val="24"/>
              <w:lang w:eastAsia="en-IN"/>
            </w:rPr>
          </w:pPr>
          <w:hyperlink w:anchor="_Toc223126527" w:history="1">
            <w:r w:rsidRPr="000232EE">
              <w:rPr>
                <w:rStyle w:val="Hyperlink"/>
                <w:noProof/>
              </w:rPr>
              <w:t>4. Conclusion Recommendations</w:t>
            </w:r>
            <w:r>
              <w:rPr>
                <w:noProof/>
                <w:webHidden/>
              </w:rPr>
              <w:tab/>
            </w:r>
            <w:r>
              <w:rPr>
                <w:noProof/>
                <w:webHidden/>
              </w:rPr>
              <w:fldChar w:fldCharType="begin"/>
            </w:r>
            <w:r>
              <w:rPr>
                <w:noProof/>
                <w:webHidden/>
              </w:rPr>
              <w:instrText xml:space="preserve"> PAGEREF _Toc223126527 \h </w:instrText>
            </w:r>
            <w:r>
              <w:rPr>
                <w:noProof/>
                <w:webHidden/>
              </w:rPr>
            </w:r>
            <w:r>
              <w:rPr>
                <w:noProof/>
                <w:webHidden/>
              </w:rPr>
              <w:fldChar w:fldCharType="separate"/>
            </w:r>
            <w:r>
              <w:rPr>
                <w:noProof/>
                <w:webHidden/>
              </w:rPr>
              <w:t>14</w:t>
            </w:r>
            <w:r>
              <w:rPr>
                <w:noProof/>
                <w:webHidden/>
              </w:rPr>
              <w:fldChar w:fldCharType="end"/>
            </w:r>
          </w:hyperlink>
        </w:p>
        <w:p w14:paraId="3D596D4E" w14:textId="356481C9" w:rsidR="00460546" w:rsidRDefault="00460546">
          <w:pPr>
            <w:pStyle w:val="TOC2"/>
            <w:tabs>
              <w:tab w:val="right" w:leader="dot" w:pos="9016"/>
            </w:tabs>
            <w:rPr>
              <w:rFonts w:asciiTheme="minorHAnsi" w:eastAsiaTheme="minorEastAsia" w:hAnsiTheme="minorHAnsi"/>
              <w:noProof/>
              <w:szCs w:val="24"/>
              <w:lang w:eastAsia="en-IN"/>
            </w:rPr>
          </w:pPr>
          <w:hyperlink w:anchor="_Toc223126528" w:history="1">
            <w:r w:rsidRPr="000232EE">
              <w:rPr>
                <w:rStyle w:val="Hyperlink"/>
                <w:noProof/>
              </w:rPr>
              <w:t>4.1 Conclusion</w:t>
            </w:r>
            <w:r>
              <w:rPr>
                <w:noProof/>
                <w:webHidden/>
              </w:rPr>
              <w:tab/>
            </w:r>
            <w:r>
              <w:rPr>
                <w:noProof/>
                <w:webHidden/>
              </w:rPr>
              <w:fldChar w:fldCharType="begin"/>
            </w:r>
            <w:r>
              <w:rPr>
                <w:noProof/>
                <w:webHidden/>
              </w:rPr>
              <w:instrText xml:space="preserve"> PAGEREF _Toc223126528 \h </w:instrText>
            </w:r>
            <w:r>
              <w:rPr>
                <w:noProof/>
                <w:webHidden/>
              </w:rPr>
            </w:r>
            <w:r>
              <w:rPr>
                <w:noProof/>
                <w:webHidden/>
              </w:rPr>
              <w:fldChar w:fldCharType="separate"/>
            </w:r>
            <w:r>
              <w:rPr>
                <w:noProof/>
                <w:webHidden/>
              </w:rPr>
              <w:t>14</w:t>
            </w:r>
            <w:r>
              <w:rPr>
                <w:noProof/>
                <w:webHidden/>
              </w:rPr>
              <w:fldChar w:fldCharType="end"/>
            </w:r>
          </w:hyperlink>
        </w:p>
        <w:p w14:paraId="2AC32DE4" w14:textId="398C416A" w:rsidR="00460546" w:rsidRDefault="00460546">
          <w:pPr>
            <w:pStyle w:val="TOC2"/>
            <w:tabs>
              <w:tab w:val="right" w:leader="dot" w:pos="9016"/>
            </w:tabs>
            <w:rPr>
              <w:rFonts w:asciiTheme="minorHAnsi" w:eastAsiaTheme="minorEastAsia" w:hAnsiTheme="minorHAnsi"/>
              <w:noProof/>
              <w:szCs w:val="24"/>
              <w:lang w:eastAsia="en-IN"/>
            </w:rPr>
          </w:pPr>
          <w:hyperlink w:anchor="_Toc223126529" w:history="1">
            <w:r w:rsidRPr="000232EE">
              <w:rPr>
                <w:rStyle w:val="Hyperlink"/>
                <w:noProof/>
              </w:rPr>
              <w:t>4.2 Recommendations</w:t>
            </w:r>
            <w:r>
              <w:rPr>
                <w:noProof/>
                <w:webHidden/>
              </w:rPr>
              <w:tab/>
            </w:r>
            <w:r>
              <w:rPr>
                <w:noProof/>
                <w:webHidden/>
              </w:rPr>
              <w:fldChar w:fldCharType="begin"/>
            </w:r>
            <w:r>
              <w:rPr>
                <w:noProof/>
                <w:webHidden/>
              </w:rPr>
              <w:instrText xml:space="preserve"> PAGEREF _Toc223126529 \h </w:instrText>
            </w:r>
            <w:r>
              <w:rPr>
                <w:noProof/>
                <w:webHidden/>
              </w:rPr>
            </w:r>
            <w:r>
              <w:rPr>
                <w:noProof/>
                <w:webHidden/>
              </w:rPr>
              <w:fldChar w:fldCharType="separate"/>
            </w:r>
            <w:r>
              <w:rPr>
                <w:noProof/>
                <w:webHidden/>
              </w:rPr>
              <w:t>14</w:t>
            </w:r>
            <w:r>
              <w:rPr>
                <w:noProof/>
                <w:webHidden/>
              </w:rPr>
              <w:fldChar w:fldCharType="end"/>
            </w:r>
          </w:hyperlink>
        </w:p>
        <w:p w14:paraId="1CC45487" w14:textId="6EE56729" w:rsidR="00460546" w:rsidRDefault="00460546">
          <w:pPr>
            <w:pStyle w:val="TOC1"/>
            <w:tabs>
              <w:tab w:val="right" w:leader="dot" w:pos="9016"/>
            </w:tabs>
            <w:rPr>
              <w:rFonts w:asciiTheme="minorHAnsi" w:eastAsiaTheme="minorEastAsia" w:hAnsiTheme="minorHAnsi"/>
              <w:noProof/>
              <w:szCs w:val="24"/>
              <w:lang w:eastAsia="en-IN"/>
            </w:rPr>
          </w:pPr>
          <w:hyperlink w:anchor="_Toc223126530" w:history="1">
            <w:r w:rsidRPr="000232EE">
              <w:rPr>
                <w:rStyle w:val="Hyperlink"/>
                <w:noProof/>
              </w:rPr>
              <w:t>References</w:t>
            </w:r>
            <w:r>
              <w:rPr>
                <w:noProof/>
                <w:webHidden/>
              </w:rPr>
              <w:tab/>
            </w:r>
            <w:r>
              <w:rPr>
                <w:noProof/>
                <w:webHidden/>
              </w:rPr>
              <w:fldChar w:fldCharType="begin"/>
            </w:r>
            <w:r>
              <w:rPr>
                <w:noProof/>
                <w:webHidden/>
              </w:rPr>
              <w:instrText xml:space="preserve"> PAGEREF _Toc223126530 \h </w:instrText>
            </w:r>
            <w:r>
              <w:rPr>
                <w:noProof/>
                <w:webHidden/>
              </w:rPr>
            </w:r>
            <w:r>
              <w:rPr>
                <w:noProof/>
                <w:webHidden/>
              </w:rPr>
              <w:fldChar w:fldCharType="separate"/>
            </w:r>
            <w:r>
              <w:rPr>
                <w:noProof/>
                <w:webHidden/>
              </w:rPr>
              <w:t>15</w:t>
            </w:r>
            <w:r>
              <w:rPr>
                <w:noProof/>
                <w:webHidden/>
              </w:rPr>
              <w:fldChar w:fldCharType="end"/>
            </w:r>
          </w:hyperlink>
        </w:p>
        <w:p w14:paraId="6D606F2E" w14:textId="32EB8A92" w:rsidR="00144D4A" w:rsidRDefault="00144D4A">
          <w:r>
            <w:rPr>
              <w:b/>
              <w:bCs/>
              <w:noProof/>
            </w:rPr>
            <w:fldChar w:fldCharType="end"/>
          </w:r>
        </w:p>
      </w:sdtContent>
    </w:sdt>
    <w:p w14:paraId="2BE5355D" w14:textId="77777777" w:rsidR="00144D4A" w:rsidRDefault="00144D4A">
      <w:pPr>
        <w:spacing w:line="259" w:lineRule="auto"/>
        <w:jc w:val="left"/>
        <w:rPr>
          <w:rFonts w:cs="Times New Roman"/>
          <w:b/>
          <w:bCs/>
          <w:color w:val="000000" w:themeColor="text1"/>
          <w:sz w:val="36"/>
        </w:rPr>
      </w:pPr>
      <w:r>
        <w:br w:type="page"/>
      </w:r>
    </w:p>
    <w:p w14:paraId="2A2B3E64" w14:textId="39A93864" w:rsidR="0004689C" w:rsidRDefault="0004689C" w:rsidP="0004689C">
      <w:pPr>
        <w:pStyle w:val="Heading1"/>
      </w:pPr>
      <w:bookmarkStart w:id="0" w:name="_Toc223126512"/>
      <w:r>
        <w:lastRenderedPageBreak/>
        <w:t>1. Introduction</w:t>
      </w:r>
      <w:bookmarkEnd w:id="0"/>
    </w:p>
    <w:p w14:paraId="0580393C" w14:textId="77777777" w:rsidR="00460546" w:rsidRDefault="0004689C" w:rsidP="0004689C">
      <w:r>
        <w:t xml:space="preserve">The process of identifying, analysing and involving individuals or groups that are affected by or capable of influencing a project is stakeholder management. In community-based developments, stakeholder engagement is fundamental because it holds to the </w:t>
      </w:r>
      <w:r w:rsidR="00050CB9">
        <w:t>realisation</w:t>
      </w:r>
      <w:r>
        <w:t xml:space="preserve"> of the fact that different interests are felt and reconciled. Heritage projects and</w:t>
      </w:r>
      <w:r w:rsidR="00050CB9">
        <w:t>,</w:t>
      </w:r>
      <w:r>
        <w:t xml:space="preserve"> in particular</w:t>
      </w:r>
      <w:r w:rsidR="00050CB9">
        <w:t>,</w:t>
      </w:r>
      <w:r>
        <w:t xml:space="preserve"> in the public sector, include various stakeholders</w:t>
      </w:r>
      <w:r w:rsidR="00050CB9">
        <w:t>,</w:t>
      </w:r>
      <w:r>
        <w:t xml:space="preserve"> including local governments, local people, business, the tourist sector, environmental organisations and regulators. </w:t>
      </w:r>
    </w:p>
    <w:p w14:paraId="1C9B4BFB" w14:textId="3DAC03DD" w:rsidR="00460546" w:rsidRDefault="0004689C" w:rsidP="0004689C">
      <w:r>
        <w:t>Their expectations, power and influence may have a vital influence on the decision-making processes and long-term project outcomes.</w:t>
      </w:r>
      <w:r w:rsidR="00C72DA4">
        <w:t xml:space="preserve"> </w:t>
      </w:r>
      <w:r>
        <w:t xml:space="preserve">In societies, stakeholder management is very critical in ensuring that there </w:t>
      </w:r>
      <w:r w:rsidR="00460546">
        <w:t>is</w:t>
      </w:r>
      <w:r>
        <w:t xml:space="preserve"> transparency, confidence and inclusivity. Its usefulness is seen through the reduction of conflicts, promotion of collaboration and increased sustainability of local initiatives. The inclusion of the stakeholders in planning and implementation processes will increase the chances of the project capturing the needs of the community and meeting the social, economic </w:t>
      </w:r>
      <w:r w:rsidR="00050CB9">
        <w:t>and</w:t>
      </w:r>
      <w:r>
        <w:t xml:space="preserve"> environmental goals. Consequently, effective engagement is a strategic requirement as well as a tool </w:t>
      </w:r>
      <w:r w:rsidR="00050CB9">
        <w:t>for</w:t>
      </w:r>
      <w:r>
        <w:t xml:space="preserve"> attaining ethical and responsible governance.</w:t>
      </w:r>
      <w:r w:rsidR="00C72DA4">
        <w:t xml:space="preserve"> </w:t>
      </w:r>
    </w:p>
    <w:p w14:paraId="34CB0665" w14:textId="5C008FD8" w:rsidR="0004689C" w:rsidRDefault="0004689C" w:rsidP="0004689C">
      <w:r>
        <w:t xml:space="preserve">The Ironbridge Gorge </w:t>
      </w:r>
      <w:r w:rsidR="00460546">
        <w:t>World Heritage</w:t>
      </w:r>
      <w:r>
        <w:t xml:space="preserve"> Site, which is in Telford</w:t>
      </w:r>
      <w:r w:rsidR="00050CB9">
        <w:t>,</w:t>
      </w:r>
      <w:r>
        <w:t xml:space="preserve"> was selected as the chosen project in this portfolio. Ironbridge Gorge is a well-known UNESCO World Heritage Site, which is viewed as one of the most historic industrial landscapes in the United Kingdom. The project aims at conserving, regenerating and </w:t>
      </w:r>
      <w:r w:rsidR="00050CB9">
        <w:t>managing the</w:t>
      </w:r>
      <w:r>
        <w:t xml:space="preserve"> sustainability of this heritage destination and promoting tourism and economic growth of the local community</w:t>
      </w:r>
      <w:r w:rsidR="00DD1CA5">
        <w:t xml:space="preserve"> (</w:t>
      </w:r>
      <w:r w:rsidR="00DD1CA5" w:rsidRPr="00DD1CA5">
        <w:t>UNESCO</w:t>
      </w:r>
      <w:r w:rsidR="00DD1CA5">
        <w:t>, 2026</w:t>
      </w:r>
      <w:r w:rsidR="00DD1CA5" w:rsidRPr="00DD1CA5">
        <w:t>)</w:t>
      </w:r>
      <w:r>
        <w:t xml:space="preserve">. The main goals of the project will be to preserve the cultural heritage, encourage sustainable tourism, assist the local businesses and ensure the environment. The engagement of stakeholders is also at the </w:t>
      </w:r>
      <w:r w:rsidR="00050CB9">
        <w:t>centre</w:t>
      </w:r>
      <w:r>
        <w:t xml:space="preserve"> of the process of making the development and conservation activities balanced and positive to the current and future generations because of the cultural.</w:t>
      </w:r>
    </w:p>
    <w:p w14:paraId="61285099" w14:textId="77777777" w:rsidR="00460546" w:rsidRDefault="00460546" w:rsidP="00460546">
      <w:pPr>
        <w:keepNext/>
        <w:jc w:val="center"/>
      </w:pPr>
      <w:r w:rsidRPr="00460546">
        <w:rPr>
          <w:noProof/>
        </w:rPr>
        <w:lastRenderedPageBreak/>
        <w:drawing>
          <wp:inline distT="0" distB="0" distL="0" distR="0" wp14:anchorId="6C2D249D" wp14:editId="11366310">
            <wp:extent cx="4367623" cy="3829050"/>
            <wp:effectExtent l="0" t="0" r="0" b="0"/>
            <wp:docPr id="1026329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329015" name=""/>
                    <pic:cNvPicPr/>
                  </pic:nvPicPr>
                  <pic:blipFill>
                    <a:blip r:embed="rId10"/>
                    <a:stretch>
                      <a:fillRect/>
                    </a:stretch>
                  </pic:blipFill>
                  <pic:spPr>
                    <a:xfrm>
                      <a:off x="0" y="0"/>
                      <a:ext cx="4374376" cy="3834970"/>
                    </a:xfrm>
                    <a:prstGeom prst="rect">
                      <a:avLst/>
                    </a:prstGeom>
                  </pic:spPr>
                </pic:pic>
              </a:graphicData>
            </a:graphic>
          </wp:inline>
        </w:drawing>
      </w:r>
    </w:p>
    <w:p w14:paraId="62442679" w14:textId="1D188101" w:rsidR="00460546" w:rsidRDefault="00460546" w:rsidP="00460546">
      <w:pPr>
        <w:pStyle w:val="Caption"/>
        <w:jc w:val="center"/>
      </w:pPr>
      <w:r>
        <w:t xml:space="preserve">Figure </w:t>
      </w:r>
      <w:fldSimple w:instr=" SEQ Figure \* ARABIC ">
        <w:r>
          <w:rPr>
            <w:noProof/>
          </w:rPr>
          <w:t>1</w:t>
        </w:r>
      </w:fldSimple>
      <w:r>
        <w:t xml:space="preserve">: </w:t>
      </w:r>
      <w:r w:rsidRPr="00D65EBC">
        <w:t>Ironbridge Gorge</w:t>
      </w:r>
      <w:r>
        <w:t xml:space="preserve"> (Source: UNESCO, 2026)</w:t>
      </w:r>
    </w:p>
    <w:p w14:paraId="392A9395" w14:textId="77777777" w:rsidR="0036748C" w:rsidRDefault="0036748C">
      <w:pPr>
        <w:spacing w:line="259" w:lineRule="auto"/>
        <w:jc w:val="left"/>
        <w:rPr>
          <w:rFonts w:cs="Times New Roman"/>
          <w:b/>
          <w:bCs/>
          <w:color w:val="000000" w:themeColor="text1"/>
          <w:sz w:val="36"/>
        </w:rPr>
      </w:pPr>
      <w:r>
        <w:br w:type="page"/>
      </w:r>
    </w:p>
    <w:p w14:paraId="6BC12AE7" w14:textId="2896B856" w:rsidR="0004689C" w:rsidRDefault="0004689C" w:rsidP="00026FC3">
      <w:pPr>
        <w:pStyle w:val="Heading1"/>
      </w:pPr>
      <w:bookmarkStart w:id="1" w:name="_Toc223126513"/>
      <w:r>
        <w:lastRenderedPageBreak/>
        <w:t xml:space="preserve">2. </w:t>
      </w:r>
      <w:r w:rsidR="00C72DA4" w:rsidRPr="00C72DA4">
        <w:t>Depth of Analysis and Application: Stakeholder Engagement Strategies</w:t>
      </w:r>
      <w:bookmarkEnd w:id="1"/>
    </w:p>
    <w:p w14:paraId="6C97D46E" w14:textId="6955AC6B" w:rsidR="0004689C" w:rsidRDefault="00C72DA4" w:rsidP="00C72DA4">
      <w:pPr>
        <w:pStyle w:val="Heading2"/>
      </w:pPr>
      <w:bookmarkStart w:id="2" w:name="_Toc223126514"/>
      <w:r w:rsidRPr="00C72DA4">
        <w:t>2.1 Identification of Key Stakeholders</w:t>
      </w:r>
      <w:bookmarkEnd w:id="2"/>
    </w:p>
    <w:p w14:paraId="58C5C137" w14:textId="1D6D42B4" w:rsidR="0004689C" w:rsidRDefault="0004689C" w:rsidP="0004689C">
      <w:r>
        <w:t>Ironbridge Gorge World Heritage Site is a multifarious web of stakeholders that may affect or be affected by conservation and tourism planning of the region. Such stakeholders can be categorically divided into internal and external stakeholders depending on their responsibilities and duties.</w:t>
      </w:r>
      <w:r w:rsidR="0036748C">
        <w:t xml:space="preserve"> </w:t>
      </w:r>
      <w:r>
        <w:t>The council of Telford and Wrekin, the Ironbridge Gorge Museum Trust, conservation planners and site management authorities are internal stakeholders</w:t>
      </w:r>
      <w:r w:rsidR="00F15DF9">
        <w:t xml:space="preserve"> (</w:t>
      </w:r>
      <w:r w:rsidR="00F15DF9" w:rsidRPr="00F15DF9">
        <w:t>Jassim</w:t>
      </w:r>
      <w:r w:rsidR="00F15DF9">
        <w:t xml:space="preserve"> et al</w:t>
      </w:r>
      <w:r w:rsidR="00F15DF9" w:rsidRPr="00F15DF9">
        <w:t>., 2025</w:t>
      </w:r>
      <w:r w:rsidR="00F15DF9">
        <w:t>)</w:t>
      </w:r>
      <w:r>
        <w:t>. All these actors have a direct role in strategic planning, preservation of heritage and infrastructural development. The site is directed in terms of policy and allotment of resources through their decisions.</w:t>
      </w:r>
    </w:p>
    <w:p w14:paraId="35923E56" w14:textId="5B815908" w:rsidR="0004689C" w:rsidRDefault="0004689C" w:rsidP="0004689C">
      <w:r>
        <w:t>The external stakeholders involve the residents, tourists, local businesses, UNESCO, environmental organisations and regional development agencies</w:t>
      </w:r>
      <w:r w:rsidR="00F15DF9">
        <w:t xml:space="preserve"> (</w:t>
      </w:r>
      <w:r w:rsidR="00DD1CA5" w:rsidRPr="00DD1CA5">
        <w:t>Rachmawati and Fountain, 2020</w:t>
      </w:r>
      <w:r w:rsidR="00F15DF9">
        <w:t>)</w:t>
      </w:r>
      <w:r>
        <w:t>. Tourism exerts pressure and changes to infrastructure</w:t>
      </w:r>
      <w:r w:rsidR="00050CB9">
        <w:t>,</w:t>
      </w:r>
      <w:r>
        <w:t xml:space="preserve"> and residents as well as businesses gain as a result of visitors. UNESCO is involved in an oversight role in making sure that the global standards of heritage are upheld, and environmental groups promote ecological protection. All these stakeholders have their own level of interest and influence towards the outcomes of the project</w:t>
      </w:r>
      <w:r w:rsidR="00050CB9">
        <w:t>,</w:t>
      </w:r>
      <w:r>
        <w:t xml:space="preserve"> making a </w:t>
      </w:r>
      <w:r w:rsidR="00050CB9">
        <w:t>well-organised</w:t>
      </w:r>
      <w:r>
        <w:t xml:space="preserve"> interaction a necessity.</w:t>
      </w:r>
    </w:p>
    <w:p w14:paraId="0E3B97E0" w14:textId="38FE40EA" w:rsidR="0004689C" w:rsidRDefault="0004689C" w:rsidP="0036748C">
      <w:pPr>
        <w:pStyle w:val="Heading2"/>
      </w:pPr>
      <w:bookmarkStart w:id="3" w:name="_Toc223126515"/>
      <w:r>
        <w:t>2.2 Stakeholder Matrix</w:t>
      </w:r>
      <w:bookmarkEnd w:id="3"/>
    </w:p>
    <w:p w14:paraId="47961219" w14:textId="3F90AB49" w:rsidR="00460546" w:rsidRDefault="00460546" w:rsidP="00460546">
      <w:pPr>
        <w:pStyle w:val="Caption"/>
        <w:keepNext/>
      </w:pPr>
      <w:r>
        <w:t xml:space="preserve">Table </w:t>
      </w:r>
      <w:fldSimple w:instr=" SEQ Table \* ARABIC ">
        <w:r>
          <w:rPr>
            <w:noProof/>
          </w:rPr>
          <w:t>1</w:t>
        </w:r>
      </w:fldSimple>
      <w:r>
        <w:t xml:space="preserve">: </w:t>
      </w:r>
      <w:r w:rsidRPr="006010BA">
        <w:t>Stakeholder Matrix</w:t>
      </w:r>
      <w:r>
        <w:t xml:space="preserve"> (Source: Author, 2026)</w:t>
      </w:r>
    </w:p>
    <w:tbl>
      <w:tblPr>
        <w:tblStyle w:val="GridTable4-Accent5"/>
        <w:tblW w:w="0" w:type="auto"/>
        <w:tblLook w:val="04A0" w:firstRow="1" w:lastRow="0" w:firstColumn="1" w:lastColumn="0" w:noHBand="0" w:noVBand="1"/>
      </w:tblPr>
      <w:tblGrid>
        <w:gridCol w:w="2075"/>
        <w:gridCol w:w="5461"/>
        <w:gridCol w:w="1480"/>
      </w:tblGrid>
      <w:tr w:rsidR="0036748C" w:rsidRPr="0036748C" w14:paraId="7FC72724" w14:textId="77777777" w:rsidTr="003674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6A3DD" w14:textId="77777777" w:rsidR="0036748C" w:rsidRPr="0036748C" w:rsidRDefault="0036748C" w:rsidP="0036748C">
            <w:pPr>
              <w:spacing w:after="160"/>
            </w:pPr>
            <w:r w:rsidRPr="0036748C">
              <w:t>Stakeholder Group</w:t>
            </w:r>
          </w:p>
        </w:tc>
        <w:tc>
          <w:tcPr>
            <w:tcW w:w="0" w:type="auto"/>
            <w:hideMark/>
          </w:tcPr>
          <w:p w14:paraId="12B939FE" w14:textId="77777777" w:rsidR="0036748C" w:rsidRPr="0036748C" w:rsidRDefault="0036748C" w:rsidP="0036748C">
            <w:pPr>
              <w:spacing w:after="160"/>
              <w:cnfStyle w:val="100000000000" w:firstRow="1" w:lastRow="0" w:firstColumn="0" w:lastColumn="0" w:oddVBand="0" w:evenVBand="0" w:oddHBand="0" w:evenHBand="0" w:firstRowFirstColumn="0" w:firstRowLastColumn="0" w:lastRowFirstColumn="0" w:lastRowLastColumn="0"/>
            </w:pPr>
            <w:r w:rsidRPr="0036748C">
              <w:t>Role in the Project</w:t>
            </w:r>
          </w:p>
        </w:tc>
        <w:tc>
          <w:tcPr>
            <w:tcW w:w="0" w:type="auto"/>
            <w:hideMark/>
          </w:tcPr>
          <w:p w14:paraId="66F27D8B" w14:textId="77777777" w:rsidR="0036748C" w:rsidRPr="0036748C" w:rsidRDefault="0036748C" w:rsidP="0036748C">
            <w:pPr>
              <w:spacing w:after="160"/>
              <w:cnfStyle w:val="100000000000" w:firstRow="1" w:lastRow="0" w:firstColumn="0" w:lastColumn="0" w:oddVBand="0" w:evenVBand="0" w:oddHBand="0" w:evenHBand="0" w:firstRowFirstColumn="0" w:firstRowLastColumn="0" w:lastRowFirstColumn="0" w:lastRowLastColumn="0"/>
            </w:pPr>
            <w:r w:rsidRPr="0036748C">
              <w:t>Level of Impact</w:t>
            </w:r>
          </w:p>
        </w:tc>
      </w:tr>
      <w:tr w:rsidR="0036748C" w:rsidRPr="0036748C" w14:paraId="16D9E2A9" w14:textId="77777777" w:rsidTr="00367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3594A1" w14:textId="77777777" w:rsidR="0036748C" w:rsidRPr="0036748C" w:rsidRDefault="0036748C" w:rsidP="0036748C">
            <w:pPr>
              <w:spacing w:after="160"/>
              <w:rPr>
                <w:b w:val="0"/>
                <w:bCs w:val="0"/>
              </w:rPr>
            </w:pPr>
            <w:r w:rsidRPr="0036748C">
              <w:rPr>
                <w:b w:val="0"/>
                <w:bCs w:val="0"/>
              </w:rPr>
              <w:t>Local Authority</w:t>
            </w:r>
          </w:p>
        </w:tc>
        <w:tc>
          <w:tcPr>
            <w:tcW w:w="0" w:type="auto"/>
            <w:hideMark/>
          </w:tcPr>
          <w:p w14:paraId="2093A468"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Provides governance and strategic planning to balance development and conservation.</w:t>
            </w:r>
          </w:p>
        </w:tc>
        <w:tc>
          <w:tcPr>
            <w:tcW w:w="0" w:type="auto"/>
            <w:hideMark/>
          </w:tcPr>
          <w:p w14:paraId="5B16DAEF"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High</w:t>
            </w:r>
          </w:p>
        </w:tc>
      </w:tr>
      <w:tr w:rsidR="0036748C" w:rsidRPr="0036748C" w14:paraId="5C7D2901" w14:textId="77777777" w:rsidTr="0036748C">
        <w:tc>
          <w:tcPr>
            <w:cnfStyle w:val="001000000000" w:firstRow="0" w:lastRow="0" w:firstColumn="1" w:lastColumn="0" w:oddVBand="0" w:evenVBand="0" w:oddHBand="0" w:evenHBand="0" w:firstRowFirstColumn="0" w:firstRowLastColumn="0" w:lastRowFirstColumn="0" w:lastRowLastColumn="0"/>
            <w:tcW w:w="0" w:type="auto"/>
            <w:hideMark/>
          </w:tcPr>
          <w:p w14:paraId="3FD92D15" w14:textId="77777777" w:rsidR="0036748C" w:rsidRPr="0036748C" w:rsidRDefault="0036748C" w:rsidP="0036748C">
            <w:pPr>
              <w:spacing w:after="160"/>
              <w:rPr>
                <w:b w:val="0"/>
                <w:bCs w:val="0"/>
              </w:rPr>
            </w:pPr>
            <w:r w:rsidRPr="0036748C">
              <w:rPr>
                <w:b w:val="0"/>
                <w:bCs w:val="0"/>
              </w:rPr>
              <w:t>Museum Trust</w:t>
            </w:r>
          </w:p>
        </w:tc>
        <w:tc>
          <w:tcPr>
            <w:tcW w:w="0" w:type="auto"/>
            <w:hideMark/>
          </w:tcPr>
          <w:p w14:paraId="09A3679B"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Manages heritage preservation and site operations.</w:t>
            </w:r>
          </w:p>
        </w:tc>
        <w:tc>
          <w:tcPr>
            <w:tcW w:w="0" w:type="auto"/>
            <w:hideMark/>
          </w:tcPr>
          <w:p w14:paraId="5CCA6B24"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High</w:t>
            </w:r>
          </w:p>
        </w:tc>
      </w:tr>
      <w:tr w:rsidR="0036748C" w:rsidRPr="0036748C" w14:paraId="095FCB2B" w14:textId="77777777" w:rsidTr="00367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9AFEE7" w14:textId="77777777" w:rsidR="0036748C" w:rsidRPr="0036748C" w:rsidRDefault="0036748C" w:rsidP="0036748C">
            <w:pPr>
              <w:spacing w:after="160"/>
              <w:rPr>
                <w:b w:val="0"/>
                <w:bCs w:val="0"/>
              </w:rPr>
            </w:pPr>
            <w:r w:rsidRPr="0036748C">
              <w:rPr>
                <w:b w:val="0"/>
                <w:bCs w:val="0"/>
              </w:rPr>
              <w:t>UNESCO</w:t>
            </w:r>
          </w:p>
        </w:tc>
        <w:tc>
          <w:tcPr>
            <w:tcW w:w="0" w:type="auto"/>
            <w:hideMark/>
          </w:tcPr>
          <w:p w14:paraId="7D31C133"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Ensures international heritage standards and compliance.</w:t>
            </w:r>
          </w:p>
        </w:tc>
        <w:tc>
          <w:tcPr>
            <w:tcW w:w="0" w:type="auto"/>
            <w:hideMark/>
          </w:tcPr>
          <w:p w14:paraId="78CDC732"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High</w:t>
            </w:r>
          </w:p>
        </w:tc>
      </w:tr>
      <w:tr w:rsidR="0036748C" w:rsidRPr="0036748C" w14:paraId="1EAD0780" w14:textId="77777777" w:rsidTr="0036748C">
        <w:tc>
          <w:tcPr>
            <w:cnfStyle w:val="001000000000" w:firstRow="0" w:lastRow="0" w:firstColumn="1" w:lastColumn="0" w:oddVBand="0" w:evenVBand="0" w:oddHBand="0" w:evenHBand="0" w:firstRowFirstColumn="0" w:firstRowLastColumn="0" w:lastRowFirstColumn="0" w:lastRowLastColumn="0"/>
            <w:tcW w:w="0" w:type="auto"/>
            <w:hideMark/>
          </w:tcPr>
          <w:p w14:paraId="3B01E9CB" w14:textId="77777777" w:rsidR="0036748C" w:rsidRPr="0036748C" w:rsidRDefault="0036748C" w:rsidP="0036748C">
            <w:pPr>
              <w:spacing w:after="160"/>
              <w:rPr>
                <w:b w:val="0"/>
                <w:bCs w:val="0"/>
              </w:rPr>
            </w:pPr>
            <w:r w:rsidRPr="0036748C">
              <w:rPr>
                <w:b w:val="0"/>
                <w:bCs w:val="0"/>
              </w:rPr>
              <w:t>Local Businesses</w:t>
            </w:r>
          </w:p>
        </w:tc>
        <w:tc>
          <w:tcPr>
            <w:tcW w:w="0" w:type="auto"/>
            <w:hideMark/>
          </w:tcPr>
          <w:p w14:paraId="5372DAED" w14:textId="0912B0EE"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 xml:space="preserve">Support </w:t>
            </w:r>
            <w:r w:rsidR="00050CB9">
              <w:t xml:space="preserve">the </w:t>
            </w:r>
            <w:r w:rsidRPr="0036748C">
              <w:t>tourism economy through services and employment.</w:t>
            </w:r>
          </w:p>
        </w:tc>
        <w:tc>
          <w:tcPr>
            <w:tcW w:w="0" w:type="auto"/>
            <w:hideMark/>
          </w:tcPr>
          <w:p w14:paraId="78458931"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Medium</w:t>
            </w:r>
          </w:p>
        </w:tc>
      </w:tr>
      <w:tr w:rsidR="0036748C" w:rsidRPr="0036748C" w14:paraId="1CA8B05B" w14:textId="77777777" w:rsidTr="00367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058626" w14:textId="77777777" w:rsidR="0036748C" w:rsidRPr="0036748C" w:rsidRDefault="0036748C" w:rsidP="0036748C">
            <w:pPr>
              <w:spacing w:after="160"/>
              <w:rPr>
                <w:b w:val="0"/>
                <w:bCs w:val="0"/>
              </w:rPr>
            </w:pPr>
            <w:r w:rsidRPr="0036748C">
              <w:rPr>
                <w:b w:val="0"/>
                <w:bCs w:val="0"/>
              </w:rPr>
              <w:lastRenderedPageBreak/>
              <w:t>Residents</w:t>
            </w:r>
          </w:p>
        </w:tc>
        <w:tc>
          <w:tcPr>
            <w:tcW w:w="0" w:type="auto"/>
            <w:hideMark/>
          </w:tcPr>
          <w:p w14:paraId="41F8590A"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Influence community acceptance and social sustainability.</w:t>
            </w:r>
          </w:p>
        </w:tc>
        <w:tc>
          <w:tcPr>
            <w:tcW w:w="0" w:type="auto"/>
            <w:hideMark/>
          </w:tcPr>
          <w:p w14:paraId="6F7CAA93"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Medium</w:t>
            </w:r>
          </w:p>
        </w:tc>
      </w:tr>
      <w:tr w:rsidR="0036748C" w:rsidRPr="0036748C" w14:paraId="44FB604B" w14:textId="77777777" w:rsidTr="0036748C">
        <w:tc>
          <w:tcPr>
            <w:cnfStyle w:val="001000000000" w:firstRow="0" w:lastRow="0" w:firstColumn="1" w:lastColumn="0" w:oddVBand="0" w:evenVBand="0" w:oddHBand="0" w:evenHBand="0" w:firstRowFirstColumn="0" w:firstRowLastColumn="0" w:lastRowFirstColumn="0" w:lastRowLastColumn="0"/>
            <w:tcW w:w="0" w:type="auto"/>
            <w:hideMark/>
          </w:tcPr>
          <w:p w14:paraId="0E825CB7" w14:textId="77777777" w:rsidR="0036748C" w:rsidRPr="0036748C" w:rsidRDefault="0036748C" w:rsidP="0036748C">
            <w:pPr>
              <w:spacing w:after="160"/>
              <w:rPr>
                <w:b w:val="0"/>
                <w:bCs w:val="0"/>
              </w:rPr>
            </w:pPr>
            <w:r w:rsidRPr="0036748C">
              <w:rPr>
                <w:b w:val="0"/>
                <w:bCs w:val="0"/>
              </w:rPr>
              <w:t>Tourists</w:t>
            </w:r>
          </w:p>
        </w:tc>
        <w:tc>
          <w:tcPr>
            <w:tcW w:w="0" w:type="auto"/>
            <w:hideMark/>
          </w:tcPr>
          <w:p w14:paraId="3A2BA129"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Generate revenue supporting local development.</w:t>
            </w:r>
          </w:p>
        </w:tc>
        <w:tc>
          <w:tcPr>
            <w:tcW w:w="0" w:type="auto"/>
            <w:hideMark/>
          </w:tcPr>
          <w:p w14:paraId="36D28314"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Low</w:t>
            </w:r>
          </w:p>
        </w:tc>
      </w:tr>
      <w:tr w:rsidR="0036748C" w:rsidRPr="0036748C" w14:paraId="3E09EEA0" w14:textId="77777777" w:rsidTr="00367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AA08C4" w14:textId="77777777" w:rsidR="0036748C" w:rsidRPr="0036748C" w:rsidRDefault="0036748C" w:rsidP="0036748C">
            <w:pPr>
              <w:spacing w:after="160"/>
              <w:rPr>
                <w:b w:val="0"/>
                <w:bCs w:val="0"/>
              </w:rPr>
            </w:pPr>
            <w:r w:rsidRPr="0036748C">
              <w:rPr>
                <w:b w:val="0"/>
                <w:bCs w:val="0"/>
              </w:rPr>
              <w:t>Environmental Groups</w:t>
            </w:r>
          </w:p>
        </w:tc>
        <w:tc>
          <w:tcPr>
            <w:tcW w:w="0" w:type="auto"/>
            <w:hideMark/>
          </w:tcPr>
          <w:p w14:paraId="681F3A24" w14:textId="218A6122"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 xml:space="preserve">Advocate </w:t>
            </w:r>
            <w:r w:rsidR="00050CB9">
              <w:t xml:space="preserve">for </w:t>
            </w:r>
            <w:r w:rsidRPr="0036748C">
              <w:t>sustainability and monitor ecological impact.</w:t>
            </w:r>
          </w:p>
        </w:tc>
        <w:tc>
          <w:tcPr>
            <w:tcW w:w="0" w:type="auto"/>
            <w:hideMark/>
          </w:tcPr>
          <w:p w14:paraId="1106697F"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Medium</w:t>
            </w:r>
          </w:p>
        </w:tc>
      </w:tr>
    </w:tbl>
    <w:p w14:paraId="18081A7F" w14:textId="77777777" w:rsidR="0036748C" w:rsidRDefault="0036748C" w:rsidP="0004689C"/>
    <w:p w14:paraId="1F3E1D75" w14:textId="7DED772E" w:rsidR="0004689C" w:rsidRDefault="0036748C" w:rsidP="0004689C">
      <w:r w:rsidRPr="0036748C">
        <w:t>This matrix shows that despite the role of governance bodies in strategic planning and regulatory control, the community members and local businesses play an important role in the success of the Ironbridge Gorge project. They make sure that development projects are socially acceptable and viable with their contribution and support</w:t>
      </w:r>
      <w:r w:rsidR="00D20631">
        <w:t xml:space="preserve"> (</w:t>
      </w:r>
      <w:r w:rsidR="00460546" w:rsidRPr="00460546">
        <w:t>Stocker</w:t>
      </w:r>
      <w:r w:rsidR="00460546">
        <w:t xml:space="preserve"> et al., </w:t>
      </w:r>
      <w:r w:rsidR="00460546" w:rsidRPr="00460546">
        <w:t>2020</w:t>
      </w:r>
      <w:r w:rsidR="00D20631">
        <w:t>)</w:t>
      </w:r>
      <w:r w:rsidRPr="0036748C">
        <w:t>. These stakeholders make project implementation and sustainability strong through the contribution of local knowledge and consultations. Their active participation also enhances the trust and collaboration between the decision-makers and the rest of society. Thus, formal authority is not the only factor that may influence the outcomes of projects, but collective engagement and commitment of the people who are directly impacted by the development should also be considered.</w:t>
      </w:r>
    </w:p>
    <w:p w14:paraId="2CFCC402" w14:textId="48ACEFC6" w:rsidR="0004689C" w:rsidRDefault="0004689C" w:rsidP="00C72DA4">
      <w:pPr>
        <w:pStyle w:val="Heading2"/>
      </w:pPr>
      <w:bookmarkStart w:id="4" w:name="_Toc223126516"/>
      <w:r>
        <w:t>2.3 Power-Interest-Influence Grid</w:t>
      </w:r>
      <w:bookmarkEnd w:id="4"/>
    </w:p>
    <w:p w14:paraId="77F84489" w14:textId="77777777" w:rsidR="0004689C" w:rsidRDefault="0004689C" w:rsidP="0004689C">
      <w:r>
        <w:t>The Power-Interest Grid developed by Mendelow is suitable when it comes to evaluating the positioning of stakeholders.</w:t>
      </w:r>
    </w:p>
    <w:p w14:paraId="5BEE486D" w14:textId="1F87BA6A" w:rsidR="00460546" w:rsidRDefault="00460546" w:rsidP="00460546">
      <w:pPr>
        <w:pStyle w:val="Caption"/>
        <w:keepNext/>
      </w:pPr>
      <w:r>
        <w:t xml:space="preserve">Table </w:t>
      </w:r>
      <w:fldSimple w:instr=" SEQ Table \* ARABIC ">
        <w:r>
          <w:rPr>
            <w:noProof/>
          </w:rPr>
          <w:t>2</w:t>
        </w:r>
      </w:fldSimple>
      <w:r>
        <w:t xml:space="preserve">: </w:t>
      </w:r>
      <w:r w:rsidRPr="00FE046C">
        <w:t>Power-Interest-Influence Grid</w:t>
      </w:r>
      <w:r>
        <w:t xml:space="preserve"> (Source: Author, 2026)</w:t>
      </w:r>
    </w:p>
    <w:tbl>
      <w:tblPr>
        <w:tblStyle w:val="GridTable4-Accent4"/>
        <w:tblW w:w="0" w:type="auto"/>
        <w:tblLook w:val="04A0" w:firstRow="1" w:lastRow="0" w:firstColumn="1" w:lastColumn="0" w:noHBand="0" w:noVBand="1"/>
      </w:tblPr>
      <w:tblGrid>
        <w:gridCol w:w="1515"/>
        <w:gridCol w:w="1966"/>
        <w:gridCol w:w="5535"/>
      </w:tblGrid>
      <w:tr w:rsidR="0036748C" w:rsidRPr="0036748C" w14:paraId="01D22631" w14:textId="77777777" w:rsidTr="003674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D675BA" w14:textId="77777777" w:rsidR="0036748C" w:rsidRPr="0036748C" w:rsidRDefault="0036748C" w:rsidP="0036748C">
            <w:pPr>
              <w:spacing w:after="160"/>
            </w:pPr>
            <w:r w:rsidRPr="0036748C">
              <w:t>Category</w:t>
            </w:r>
          </w:p>
        </w:tc>
        <w:tc>
          <w:tcPr>
            <w:tcW w:w="0" w:type="auto"/>
            <w:hideMark/>
          </w:tcPr>
          <w:p w14:paraId="516F3504" w14:textId="77777777" w:rsidR="0036748C" w:rsidRPr="0036748C" w:rsidRDefault="0036748C" w:rsidP="0036748C">
            <w:pPr>
              <w:spacing w:after="160"/>
              <w:cnfStyle w:val="100000000000" w:firstRow="1" w:lastRow="0" w:firstColumn="0" w:lastColumn="0" w:oddVBand="0" w:evenVBand="0" w:oddHBand="0" w:evenHBand="0" w:firstRowFirstColumn="0" w:firstRowLastColumn="0" w:lastRowFirstColumn="0" w:lastRowLastColumn="0"/>
            </w:pPr>
            <w:r w:rsidRPr="0036748C">
              <w:t>Stakeholders</w:t>
            </w:r>
          </w:p>
        </w:tc>
        <w:tc>
          <w:tcPr>
            <w:tcW w:w="0" w:type="auto"/>
            <w:hideMark/>
          </w:tcPr>
          <w:p w14:paraId="3251A921" w14:textId="77777777" w:rsidR="0036748C" w:rsidRPr="0036748C" w:rsidRDefault="0036748C" w:rsidP="0036748C">
            <w:pPr>
              <w:spacing w:after="160"/>
              <w:cnfStyle w:val="100000000000" w:firstRow="1" w:lastRow="0" w:firstColumn="0" w:lastColumn="0" w:oddVBand="0" w:evenVBand="0" w:oddHBand="0" w:evenHBand="0" w:firstRowFirstColumn="0" w:firstRowLastColumn="0" w:lastRowFirstColumn="0" w:lastRowLastColumn="0"/>
            </w:pPr>
            <w:r w:rsidRPr="0036748C">
              <w:t>Engagement Approach</w:t>
            </w:r>
          </w:p>
        </w:tc>
      </w:tr>
      <w:tr w:rsidR="0036748C" w:rsidRPr="0036748C" w14:paraId="694E79AC" w14:textId="77777777" w:rsidTr="00367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FD90C" w14:textId="77777777" w:rsidR="0036748C" w:rsidRPr="0036748C" w:rsidRDefault="0036748C" w:rsidP="0036748C">
            <w:pPr>
              <w:spacing w:after="160"/>
              <w:rPr>
                <w:b w:val="0"/>
                <w:bCs w:val="0"/>
              </w:rPr>
            </w:pPr>
            <w:r w:rsidRPr="0036748C">
              <w:rPr>
                <w:b w:val="0"/>
                <w:bCs w:val="0"/>
              </w:rPr>
              <w:t>High Power – High Interest</w:t>
            </w:r>
          </w:p>
        </w:tc>
        <w:tc>
          <w:tcPr>
            <w:tcW w:w="0" w:type="auto"/>
            <w:hideMark/>
          </w:tcPr>
          <w:p w14:paraId="5906AADB"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Council, Museum Trust, UNESCO</w:t>
            </w:r>
          </w:p>
        </w:tc>
        <w:tc>
          <w:tcPr>
            <w:tcW w:w="0" w:type="auto"/>
            <w:hideMark/>
          </w:tcPr>
          <w:p w14:paraId="6FD569F3"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These stakeholders should be managed closely through regular meetings, strategic consultations and collaborative decision-making processes to ensure alignment with project objectives and heritage preservation goals.</w:t>
            </w:r>
          </w:p>
        </w:tc>
      </w:tr>
      <w:tr w:rsidR="0036748C" w:rsidRPr="0036748C" w14:paraId="613D35BD" w14:textId="77777777" w:rsidTr="0036748C">
        <w:tc>
          <w:tcPr>
            <w:cnfStyle w:val="001000000000" w:firstRow="0" w:lastRow="0" w:firstColumn="1" w:lastColumn="0" w:oddVBand="0" w:evenVBand="0" w:oddHBand="0" w:evenHBand="0" w:firstRowFirstColumn="0" w:firstRowLastColumn="0" w:lastRowFirstColumn="0" w:lastRowLastColumn="0"/>
            <w:tcW w:w="0" w:type="auto"/>
            <w:hideMark/>
          </w:tcPr>
          <w:p w14:paraId="029EB8FE" w14:textId="77777777" w:rsidR="0036748C" w:rsidRPr="0036748C" w:rsidRDefault="0036748C" w:rsidP="0036748C">
            <w:pPr>
              <w:spacing w:after="160"/>
              <w:rPr>
                <w:b w:val="0"/>
                <w:bCs w:val="0"/>
              </w:rPr>
            </w:pPr>
            <w:r w:rsidRPr="0036748C">
              <w:rPr>
                <w:b w:val="0"/>
                <w:bCs w:val="0"/>
              </w:rPr>
              <w:t>High Power – Low Interest</w:t>
            </w:r>
          </w:p>
        </w:tc>
        <w:tc>
          <w:tcPr>
            <w:tcW w:w="0" w:type="auto"/>
            <w:hideMark/>
          </w:tcPr>
          <w:p w14:paraId="1E2BA544"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Funding bodies</w:t>
            </w:r>
          </w:p>
        </w:tc>
        <w:tc>
          <w:tcPr>
            <w:tcW w:w="0" w:type="auto"/>
            <w:hideMark/>
          </w:tcPr>
          <w:p w14:paraId="0B6FF601"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These stakeholders should be kept satisfied through periodic updates, progress reports and assurance of responsible resource utilisation.</w:t>
            </w:r>
          </w:p>
        </w:tc>
      </w:tr>
      <w:tr w:rsidR="0036748C" w:rsidRPr="0036748C" w14:paraId="798ED7E4" w14:textId="77777777" w:rsidTr="00367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438867" w14:textId="77777777" w:rsidR="0036748C" w:rsidRPr="0036748C" w:rsidRDefault="0036748C" w:rsidP="0036748C">
            <w:pPr>
              <w:spacing w:after="160"/>
              <w:rPr>
                <w:b w:val="0"/>
                <w:bCs w:val="0"/>
              </w:rPr>
            </w:pPr>
            <w:r w:rsidRPr="0036748C">
              <w:rPr>
                <w:b w:val="0"/>
                <w:bCs w:val="0"/>
              </w:rPr>
              <w:lastRenderedPageBreak/>
              <w:t>Low Power – High Interest</w:t>
            </w:r>
          </w:p>
        </w:tc>
        <w:tc>
          <w:tcPr>
            <w:tcW w:w="0" w:type="auto"/>
            <w:hideMark/>
          </w:tcPr>
          <w:p w14:paraId="2DD48ABF"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Residents, Local businesses</w:t>
            </w:r>
          </w:p>
        </w:tc>
        <w:tc>
          <w:tcPr>
            <w:tcW w:w="0" w:type="auto"/>
            <w:hideMark/>
          </w:tcPr>
          <w:p w14:paraId="4DDB851F" w14:textId="77777777" w:rsidR="0036748C" w:rsidRPr="0036748C" w:rsidRDefault="0036748C" w:rsidP="0036748C">
            <w:pPr>
              <w:spacing w:after="160"/>
              <w:cnfStyle w:val="000000100000" w:firstRow="0" w:lastRow="0" w:firstColumn="0" w:lastColumn="0" w:oddVBand="0" w:evenVBand="0" w:oddHBand="1" w:evenHBand="0" w:firstRowFirstColumn="0" w:firstRowLastColumn="0" w:lastRowFirstColumn="0" w:lastRowLastColumn="0"/>
            </w:pPr>
            <w:r w:rsidRPr="0036748C">
              <w:t>These groups should be kept informed through consultations and community engagement activities.</w:t>
            </w:r>
          </w:p>
        </w:tc>
      </w:tr>
      <w:tr w:rsidR="0036748C" w:rsidRPr="0036748C" w14:paraId="61CDDBF3" w14:textId="77777777" w:rsidTr="0036748C">
        <w:tc>
          <w:tcPr>
            <w:cnfStyle w:val="001000000000" w:firstRow="0" w:lastRow="0" w:firstColumn="1" w:lastColumn="0" w:oddVBand="0" w:evenVBand="0" w:oddHBand="0" w:evenHBand="0" w:firstRowFirstColumn="0" w:firstRowLastColumn="0" w:lastRowFirstColumn="0" w:lastRowLastColumn="0"/>
            <w:tcW w:w="0" w:type="auto"/>
            <w:hideMark/>
          </w:tcPr>
          <w:p w14:paraId="77FD39AA" w14:textId="77777777" w:rsidR="0036748C" w:rsidRPr="0036748C" w:rsidRDefault="0036748C" w:rsidP="0036748C">
            <w:pPr>
              <w:spacing w:after="160"/>
              <w:rPr>
                <w:b w:val="0"/>
                <w:bCs w:val="0"/>
              </w:rPr>
            </w:pPr>
            <w:r w:rsidRPr="0036748C">
              <w:rPr>
                <w:b w:val="0"/>
                <w:bCs w:val="0"/>
              </w:rPr>
              <w:t>Low Power – Low Interest</w:t>
            </w:r>
          </w:p>
        </w:tc>
        <w:tc>
          <w:tcPr>
            <w:tcW w:w="0" w:type="auto"/>
            <w:hideMark/>
          </w:tcPr>
          <w:p w14:paraId="489A2811"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Tourists</w:t>
            </w:r>
          </w:p>
        </w:tc>
        <w:tc>
          <w:tcPr>
            <w:tcW w:w="0" w:type="auto"/>
            <w:hideMark/>
          </w:tcPr>
          <w:p w14:paraId="5CFFF103" w14:textId="77777777" w:rsidR="0036748C" w:rsidRPr="0036748C" w:rsidRDefault="0036748C" w:rsidP="0036748C">
            <w:pPr>
              <w:spacing w:after="160"/>
              <w:cnfStyle w:val="000000000000" w:firstRow="0" w:lastRow="0" w:firstColumn="0" w:lastColumn="0" w:oddVBand="0" w:evenVBand="0" w:oddHBand="0" w:evenHBand="0" w:firstRowFirstColumn="0" w:firstRowLastColumn="0" w:lastRowFirstColumn="0" w:lastRowLastColumn="0"/>
            </w:pPr>
            <w:r w:rsidRPr="0036748C">
              <w:t>These stakeholders should be monitored through feedback and awareness initiatives.</w:t>
            </w:r>
          </w:p>
        </w:tc>
      </w:tr>
    </w:tbl>
    <w:p w14:paraId="5EAC69F5" w14:textId="77777777" w:rsidR="00C72DA4" w:rsidRDefault="00C72DA4" w:rsidP="0004689C"/>
    <w:p w14:paraId="0A6A245F" w14:textId="204B9B63" w:rsidR="0004689C" w:rsidRDefault="00050CB9" w:rsidP="0004689C">
      <w:r>
        <w:t>High-power</w:t>
      </w:r>
      <w:r w:rsidR="0004689C">
        <w:t xml:space="preserve"> and </w:t>
      </w:r>
      <w:r>
        <w:t>interested</w:t>
      </w:r>
      <w:r w:rsidR="0004689C">
        <w:t xml:space="preserve"> stakeholders are central decision-makers</w:t>
      </w:r>
      <w:r>
        <w:t>,</w:t>
      </w:r>
      <w:r w:rsidR="0004689C">
        <w:t xml:space="preserve"> and these are the ones that influence long-term planning and compliance</w:t>
      </w:r>
      <w:r w:rsidR="00F15DF9">
        <w:t xml:space="preserve"> (</w:t>
      </w:r>
      <w:r w:rsidR="00F15DF9" w:rsidRPr="00F15DF9">
        <w:t>Fasawe,</w:t>
      </w:r>
      <w:r w:rsidR="00F15DF9">
        <w:t xml:space="preserve"> </w:t>
      </w:r>
      <w:r w:rsidR="00F15DF9" w:rsidRPr="00F15DF9">
        <w:t>Akinola</w:t>
      </w:r>
      <w:r w:rsidR="00F15DF9">
        <w:t xml:space="preserve"> </w:t>
      </w:r>
      <w:r w:rsidR="00F15DF9" w:rsidRPr="00F15DF9">
        <w:t>and Filani,</w:t>
      </w:r>
      <w:r w:rsidR="00F15DF9">
        <w:t xml:space="preserve"> </w:t>
      </w:r>
      <w:r w:rsidR="00F15DF9" w:rsidRPr="00F15DF9">
        <w:t>2024</w:t>
      </w:r>
      <w:r w:rsidR="00F15DF9">
        <w:t>)</w:t>
      </w:r>
      <w:r w:rsidR="0004689C">
        <w:t xml:space="preserve">. The </w:t>
      </w:r>
      <w:r>
        <w:t>high-interest</w:t>
      </w:r>
      <w:r w:rsidR="0004689C">
        <w:t xml:space="preserve"> but </w:t>
      </w:r>
      <w:r>
        <w:t>low-power</w:t>
      </w:r>
      <w:r w:rsidR="0004689C">
        <w:t xml:space="preserve"> individuals</w:t>
      </w:r>
      <w:r>
        <w:t>,</w:t>
      </w:r>
      <w:r w:rsidR="0004689C">
        <w:t xml:space="preserve"> like residents</w:t>
      </w:r>
      <w:r>
        <w:t>,</w:t>
      </w:r>
      <w:r w:rsidR="0004689C">
        <w:t xml:space="preserve"> are the ones directly influenced by the tourism and development and thus need regular communication. Tourists are not a big factor in terms of economic impact and hence demand little involvement in the strategic decisions.</w:t>
      </w:r>
    </w:p>
    <w:p w14:paraId="19505A3E" w14:textId="77777777" w:rsidR="00235279" w:rsidRDefault="00235279" w:rsidP="00235279">
      <w:pPr>
        <w:keepNext/>
      </w:pPr>
      <w:r w:rsidRPr="00235279">
        <w:rPr>
          <w:noProof/>
        </w:rPr>
        <w:drawing>
          <wp:inline distT="0" distB="0" distL="0" distR="0" wp14:anchorId="4EC053AB" wp14:editId="7C40EF5F">
            <wp:extent cx="5731510" cy="3872230"/>
            <wp:effectExtent l="0" t="0" r="2540" b="0"/>
            <wp:docPr id="1887331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331692" name=""/>
                    <pic:cNvPicPr/>
                  </pic:nvPicPr>
                  <pic:blipFill>
                    <a:blip r:embed="rId11"/>
                    <a:stretch>
                      <a:fillRect/>
                    </a:stretch>
                  </pic:blipFill>
                  <pic:spPr>
                    <a:xfrm>
                      <a:off x="0" y="0"/>
                      <a:ext cx="5731510" cy="3872230"/>
                    </a:xfrm>
                    <a:prstGeom prst="rect">
                      <a:avLst/>
                    </a:prstGeom>
                  </pic:spPr>
                </pic:pic>
              </a:graphicData>
            </a:graphic>
          </wp:inline>
        </w:drawing>
      </w:r>
    </w:p>
    <w:p w14:paraId="036AD5B6" w14:textId="3371C437" w:rsidR="00235279" w:rsidRDefault="00235279" w:rsidP="00235279">
      <w:pPr>
        <w:pStyle w:val="Caption"/>
        <w:jc w:val="center"/>
      </w:pPr>
      <w:r>
        <w:t xml:space="preserve">Figure </w:t>
      </w:r>
      <w:fldSimple w:instr=" SEQ Figure \* ARABIC ">
        <w:r w:rsidR="00460546">
          <w:rPr>
            <w:noProof/>
          </w:rPr>
          <w:t>2</w:t>
        </w:r>
      </w:fldSimple>
      <w:r>
        <w:t xml:space="preserve">: </w:t>
      </w:r>
      <w:r w:rsidRPr="00627C86">
        <w:t>Power-interest-influence grid for project</w:t>
      </w:r>
      <w:r>
        <w:t xml:space="preserve"> (Source: Author, 2026)</w:t>
      </w:r>
    </w:p>
    <w:p w14:paraId="250219DE" w14:textId="4A08713D" w:rsidR="0004689C" w:rsidRDefault="0004689C" w:rsidP="00C72DA4">
      <w:pPr>
        <w:pStyle w:val="Heading2"/>
      </w:pPr>
      <w:bookmarkStart w:id="5" w:name="_Toc223126517"/>
      <w:r>
        <w:t xml:space="preserve">2.4 </w:t>
      </w:r>
      <w:r w:rsidR="00235279">
        <w:t>R</w:t>
      </w:r>
      <w:r>
        <w:t xml:space="preserve">elevance and </w:t>
      </w:r>
      <w:r w:rsidR="00235279">
        <w:t>F</w:t>
      </w:r>
      <w:r>
        <w:t>unctions of Stakeholders</w:t>
      </w:r>
      <w:bookmarkEnd w:id="5"/>
    </w:p>
    <w:p w14:paraId="5CA72CD1" w14:textId="1B743BB2" w:rsidR="0004689C" w:rsidRDefault="0004689C" w:rsidP="0004689C">
      <w:r>
        <w:t>The stakeholder groups are critical towards the long-term sustainability of the Ironbridge Gorge World Heritage Site. The local authorities play the role of governing and offering regulatory control</w:t>
      </w:r>
      <w:r w:rsidR="00050CB9">
        <w:t>,</w:t>
      </w:r>
      <w:r>
        <w:t xml:space="preserve"> and therefore</w:t>
      </w:r>
      <w:r w:rsidR="00050CB9">
        <w:t>,</w:t>
      </w:r>
      <w:r>
        <w:t xml:space="preserve"> the development is aligned with the regional planning and the conservation priorities. The Ironbridge Gorge Museum Trust supplements this through the </w:t>
      </w:r>
      <w:r>
        <w:lastRenderedPageBreak/>
        <w:t>preservation of the cultural and historical importance of the location</w:t>
      </w:r>
      <w:r w:rsidR="00050CB9">
        <w:t>,</w:t>
      </w:r>
      <w:r>
        <w:t xml:space="preserve"> as well as offering learning opportunities to tourists</w:t>
      </w:r>
      <w:r w:rsidR="00F15DF9">
        <w:t xml:space="preserve"> (</w:t>
      </w:r>
      <w:r w:rsidR="00F15DF9" w:rsidRPr="00F15DF9">
        <w:t>Harfst</w:t>
      </w:r>
      <w:r w:rsidR="00F15DF9">
        <w:t xml:space="preserve"> et al</w:t>
      </w:r>
      <w:r w:rsidR="00F15DF9" w:rsidRPr="00F15DF9">
        <w:t>., 2025</w:t>
      </w:r>
      <w:r w:rsidR="00F15DF9">
        <w:t>)</w:t>
      </w:r>
      <w:r>
        <w:t xml:space="preserve">. UNESCO acts as a watchdog by making sure that the international conservation </w:t>
      </w:r>
      <w:r w:rsidR="00050CB9">
        <w:t>standards for heritage</w:t>
      </w:r>
      <w:r>
        <w:t xml:space="preserve"> are followed. The residents are a great source of community knowledge and have a role in determining the social acceptability of tourism activities, and the local businesses provide economic sustainability in the provision of employment and services. Ecological impacts are also monitored by the environmental organisations to ensure that the increased tourism does not harm the natural environment</w:t>
      </w:r>
      <w:r w:rsidR="00050CB9">
        <w:t>,</w:t>
      </w:r>
      <w:r>
        <w:t xml:space="preserve"> as a case in point where coordinated involvement of stakeholders is important.</w:t>
      </w:r>
    </w:p>
    <w:p w14:paraId="146F3F98" w14:textId="19AA492D" w:rsidR="0004689C" w:rsidRDefault="00C72DA4" w:rsidP="00C72DA4">
      <w:pPr>
        <w:pStyle w:val="Heading2"/>
      </w:pPr>
      <w:bookmarkStart w:id="6" w:name="_Toc223126518"/>
      <w:r w:rsidRPr="00C72DA4">
        <w:t>2.5 Stakeholder Engagement Strategies</w:t>
      </w:r>
      <w:bookmarkEnd w:id="6"/>
    </w:p>
    <w:p w14:paraId="0AE772C1" w14:textId="15A6AF71" w:rsidR="0004689C" w:rsidRDefault="0004689C" w:rsidP="0004689C">
      <w:r>
        <w:t xml:space="preserve">The diverse stakeholder groups should have specific engagement strategies that will allow them to be involved in the Ironbridge Gorge project. Local authorities and UNESCO are the key decision-makers who can be involved in the process of formal planning meetings, policy consultation and governance, </w:t>
      </w:r>
      <w:r w:rsidR="00050CB9">
        <w:t>which</w:t>
      </w:r>
      <w:r>
        <w:t xml:space="preserve"> facilitate accountability and adherence to regulations</w:t>
      </w:r>
      <w:r w:rsidR="00972955">
        <w:t xml:space="preserve"> (</w:t>
      </w:r>
      <w:r w:rsidR="00972955" w:rsidRPr="00972955">
        <w:t>Zhao</w:t>
      </w:r>
      <w:r w:rsidR="00972955">
        <w:t xml:space="preserve"> et al</w:t>
      </w:r>
      <w:r w:rsidR="00972955" w:rsidRPr="00972955">
        <w:t>., 2023</w:t>
      </w:r>
      <w:r w:rsidR="00972955">
        <w:t>)</w:t>
      </w:r>
      <w:r>
        <w:t xml:space="preserve">. On the contrary, the local people and businesses are engaged by consulting the local community, conducting forums and joint projects under which residents have the opportunity to voice their concern regarding </w:t>
      </w:r>
      <w:r w:rsidR="00050CB9">
        <w:t xml:space="preserve">the </w:t>
      </w:r>
      <w:r>
        <w:t xml:space="preserve">impacts of tourism and </w:t>
      </w:r>
      <w:r w:rsidR="00050CB9">
        <w:t xml:space="preserve">the </w:t>
      </w:r>
      <w:r>
        <w:t>development of infrastructure. Sustainability partnerships and environmental impact assessments are environmental organisations that are involved in ensuring ecological priorities are at the centre of the project planning. Indirect communication with tourists in the form of interpretive communication, awareness campaigns and visitor feedback systems will help to involve tourists and inform them about what service delivery entails and make the visitor experience more complete.</w:t>
      </w:r>
    </w:p>
    <w:p w14:paraId="6C2A02FE" w14:textId="77777777" w:rsidR="0004689C" w:rsidRDefault="0004689C" w:rsidP="00C72DA4">
      <w:pPr>
        <w:pStyle w:val="Heading2"/>
      </w:pPr>
      <w:bookmarkStart w:id="7" w:name="_Toc223126519"/>
      <w:r>
        <w:t>2.6 Communication Channels</w:t>
      </w:r>
      <w:bookmarkEnd w:id="7"/>
    </w:p>
    <w:p w14:paraId="48360AEA" w14:textId="29E81525" w:rsidR="005604D2" w:rsidRPr="005604D2" w:rsidRDefault="0004689C" w:rsidP="0004689C">
      <w:r>
        <w:t xml:space="preserve">The effectiveness of communication varies among the </w:t>
      </w:r>
      <w:r w:rsidR="00050CB9">
        <w:t>stakeholder</w:t>
      </w:r>
      <w:r>
        <w:t xml:space="preserve"> groups based on their position and involvement in the project of Ironbridge Gorge. The key methods of involving governance stakeholders include formal reports, strategy briefings and planning meetings</w:t>
      </w:r>
      <w:r w:rsidR="00050CB9">
        <w:t>,</w:t>
      </w:r>
      <w:r>
        <w:t xml:space="preserve"> which are useful in making structured and informed decisions</w:t>
      </w:r>
      <w:r w:rsidR="00972955">
        <w:t xml:space="preserve"> (</w:t>
      </w:r>
      <w:r w:rsidR="00972955" w:rsidRPr="00972955">
        <w:t>Jiménez Rios,</w:t>
      </w:r>
      <w:r w:rsidR="00972955">
        <w:t xml:space="preserve"> </w:t>
      </w:r>
      <w:r w:rsidR="00972955" w:rsidRPr="00972955">
        <w:t>Plevris</w:t>
      </w:r>
      <w:r w:rsidR="00972955">
        <w:t xml:space="preserve"> </w:t>
      </w:r>
      <w:r w:rsidR="00972955" w:rsidRPr="00972955">
        <w:t>and Nogal,</w:t>
      </w:r>
      <w:r w:rsidR="00972955">
        <w:t xml:space="preserve"> </w:t>
      </w:r>
      <w:r w:rsidR="00972955" w:rsidRPr="00972955">
        <w:t>2025</w:t>
      </w:r>
      <w:r w:rsidR="00972955">
        <w:t>)</w:t>
      </w:r>
      <w:r>
        <w:t xml:space="preserve">. The community meetings and local consultations give the residents and local businesses the opportunity to raise concerns and participate actively in discussions on the issue of tourism and development. Broad communication occurs due to the use of digital communications, social media reports and local media, which support transparency and information by stakeholders. Also, there are educational programmes and events related to the </w:t>
      </w:r>
      <w:r>
        <w:lastRenderedPageBreak/>
        <w:t xml:space="preserve">heritage that involve the visitors and help </w:t>
      </w:r>
      <w:r w:rsidR="00050CB9">
        <w:t xml:space="preserve">them </w:t>
      </w:r>
      <w:r>
        <w:t>understand conservation activities. Although the channels facilitate cooperation and exchange of information, their success is limited by accessibility and the desire of the stakeholders to engage</w:t>
      </w:r>
      <w:r w:rsidR="005604D2" w:rsidRPr="005604D2">
        <w:t>.</w:t>
      </w:r>
    </w:p>
    <w:p w14:paraId="63FA5668" w14:textId="31FDAF2D" w:rsidR="0004689C" w:rsidRPr="00C72DA4" w:rsidRDefault="0004689C" w:rsidP="0036748C">
      <w:pPr>
        <w:pStyle w:val="Heading2"/>
      </w:pPr>
      <w:bookmarkStart w:id="8" w:name="_Toc223126520"/>
      <w:r w:rsidRPr="00C72DA4">
        <w:t>2.7 Problems with Stakeholder Engagement</w:t>
      </w:r>
      <w:bookmarkEnd w:id="8"/>
    </w:p>
    <w:p w14:paraId="15D1B71A" w14:textId="1C0DAD4F" w:rsidR="0004689C" w:rsidRDefault="0004689C" w:rsidP="0004689C">
      <w:r>
        <w:t xml:space="preserve">Even though the structured stakeholder engagement methods have been employed, </w:t>
      </w:r>
      <w:r w:rsidR="00460546">
        <w:t>several</w:t>
      </w:r>
      <w:r>
        <w:t xml:space="preserve"> issues are still arising in the Ironbridge Gorge project. One of the main conflicts is that between the development of tourism and the necessity to protect heritage</w:t>
      </w:r>
      <w:r w:rsidR="00050CB9">
        <w:t>,</w:t>
      </w:r>
      <w:r>
        <w:t xml:space="preserve"> since the growth of visitors can impose certain pressure on the infrastructure and the nature per se. The locals tend to complain about congestion, noise and environmental effects, but the local businesses might be interested in economic development by increasing the level of tourism. The level of resource limitations may also restrain the possibility of equally engaging all the groups of stakeholders</w:t>
      </w:r>
      <w:r w:rsidR="00050CB9">
        <w:t>,</w:t>
      </w:r>
      <w:r>
        <w:t xml:space="preserve"> especially the smaller communities or environmental organisations. Moreover, the existence of diverse priorities of stakeholders may </w:t>
      </w:r>
      <w:r w:rsidR="00050CB9">
        <w:t>slow</w:t>
      </w:r>
      <w:r>
        <w:t xml:space="preserve"> down the </w:t>
      </w:r>
      <w:r w:rsidR="00050CB9">
        <w:t>decision-making</w:t>
      </w:r>
      <w:r>
        <w:t xml:space="preserve"> processes and </w:t>
      </w:r>
      <w:r w:rsidR="00050CB9">
        <w:t>make it</w:t>
      </w:r>
      <w:r>
        <w:t xml:space="preserve"> hard to reach a consensus. Additional communication barriers</w:t>
      </w:r>
      <w:r w:rsidR="00050CB9">
        <w:t>,</w:t>
      </w:r>
      <w:r>
        <w:t xml:space="preserve"> such as the difference in the awareness levels, interest and understanding</w:t>
      </w:r>
      <w:r w:rsidR="00050CB9">
        <w:t>,</w:t>
      </w:r>
      <w:r>
        <w:t xml:space="preserve"> could also impact the result of participation and engagement. Thus, the inclusion and balanced participation of stakeholders is a continuous process of the need to contribute to the sustainable development process </w:t>
      </w:r>
      <w:r w:rsidR="00BC4155">
        <w:t>while</w:t>
      </w:r>
      <w:r>
        <w:t xml:space="preserve"> ensuring the cultural and environmental value of the site.</w:t>
      </w:r>
    </w:p>
    <w:p w14:paraId="296A1E0A" w14:textId="64846B4F" w:rsidR="0004689C" w:rsidRDefault="0004689C" w:rsidP="00C72DA4">
      <w:pPr>
        <w:pStyle w:val="Heading1"/>
      </w:pPr>
      <w:bookmarkStart w:id="9" w:name="_Toc223126521"/>
      <w:r>
        <w:t>3. Reflective Insight, Ethical Consideration and Awareness</w:t>
      </w:r>
      <w:bookmarkEnd w:id="9"/>
    </w:p>
    <w:p w14:paraId="670F24F2" w14:textId="6180C522" w:rsidR="0004689C" w:rsidRDefault="0004689C" w:rsidP="00C72DA4">
      <w:pPr>
        <w:pStyle w:val="Heading2"/>
      </w:pPr>
      <w:bookmarkStart w:id="10" w:name="_Toc223126522"/>
      <w:r w:rsidRPr="00C72DA4">
        <w:t xml:space="preserve">3.1 Stakeholder Engagement Ethical </w:t>
      </w:r>
      <w:r w:rsidR="00050CB9">
        <w:t>Considerations</w:t>
      </w:r>
      <w:bookmarkEnd w:id="10"/>
    </w:p>
    <w:p w14:paraId="2AD9D0AB" w14:textId="77777777" w:rsidR="00235279" w:rsidRDefault="0052643E" w:rsidP="00235279">
      <w:pPr>
        <w:keepNext/>
      </w:pPr>
      <w:r>
        <w:rPr>
          <w:noProof/>
        </w:rPr>
        <w:drawing>
          <wp:inline distT="0" distB="0" distL="0" distR="0" wp14:anchorId="46F7EE1D" wp14:editId="6CD0932B">
            <wp:extent cx="5943600" cy="1952625"/>
            <wp:effectExtent l="76200" t="38100" r="57150" b="85725"/>
            <wp:docPr id="44683245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BB73EF7" w14:textId="37C078EA" w:rsidR="00235279" w:rsidRPr="00235279" w:rsidRDefault="00235279" w:rsidP="00235279">
      <w:pPr>
        <w:pStyle w:val="Caption"/>
        <w:jc w:val="center"/>
      </w:pPr>
      <w:r>
        <w:t xml:space="preserve">Figure </w:t>
      </w:r>
      <w:fldSimple w:instr=" SEQ Figure \* ARABIC ">
        <w:r w:rsidR="00460546">
          <w:rPr>
            <w:noProof/>
          </w:rPr>
          <w:t>3</w:t>
        </w:r>
      </w:fldSimple>
      <w:r>
        <w:t>: Stakeholder Engagement (Source: Author, 2026)</w:t>
      </w:r>
    </w:p>
    <w:p w14:paraId="4B094469" w14:textId="3A1E1A72" w:rsidR="0004689C" w:rsidRDefault="0004689C" w:rsidP="0004689C">
      <w:r>
        <w:t xml:space="preserve">Ethics will be central in dealing with the stakeholders in a heritage-based project like the Ironbridge Gorge World Heritage Site. The stakeholder engagement should not be restricted to </w:t>
      </w:r>
      <w:r>
        <w:lastRenderedPageBreak/>
        <w:t xml:space="preserve">consultation but should be in a sense of fairness, responsibility, and respect </w:t>
      </w:r>
      <w:r w:rsidR="00050CB9">
        <w:t>for</w:t>
      </w:r>
      <w:r>
        <w:t xml:space="preserve"> the interests of the community. A significant ethical issue is the balancing of the development stimulated by tourism and cultural heritage protection</w:t>
      </w:r>
      <w:r w:rsidR="00972955">
        <w:t xml:space="preserve"> (</w:t>
      </w:r>
      <w:r w:rsidR="00460546" w:rsidRPr="00460546">
        <w:t>Stocker</w:t>
      </w:r>
      <w:r w:rsidR="00460546">
        <w:t xml:space="preserve"> et al., </w:t>
      </w:r>
      <w:r w:rsidR="00460546" w:rsidRPr="00460546">
        <w:t>2020</w:t>
      </w:r>
      <w:r w:rsidR="00972955">
        <w:t>)</w:t>
      </w:r>
      <w:r>
        <w:t xml:space="preserve">. Although economic development is a positive aspect </w:t>
      </w:r>
      <w:r w:rsidR="00050CB9">
        <w:t>of</w:t>
      </w:r>
      <w:r>
        <w:t xml:space="preserve"> the local region, too much commercialisation can ruin historical originality and environmental integrity. As such, the transparency and inclusivity of decision-making should be used so that no group of stakeholders </w:t>
      </w:r>
      <w:r w:rsidR="00050CB9">
        <w:t>can</w:t>
      </w:r>
      <w:r>
        <w:t xml:space="preserve"> be disproportionately benefited or harmed.</w:t>
      </w:r>
    </w:p>
    <w:p w14:paraId="3D924A95" w14:textId="16FE26EB" w:rsidR="0004689C" w:rsidRDefault="0004689C" w:rsidP="0004689C">
      <w:r>
        <w:t xml:space="preserve">The other ethical concern is the fact that the local communities should not be excluded </w:t>
      </w:r>
      <w:r w:rsidR="00050CB9">
        <w:t>from</w:t>
      </w:r>
      <w:r>
        <w:t xml:space="preserve"> the tourism growth. There can be overcrowding of residents, escalated real estate prices or environmental burdens. The stakeholder management in terms of ethics needs to ensure that their interests are listened to and taken into account in the planning processes. Open communication should </w:t>
      </w:r>
      <w:r w:rsidR="00050CB9">
        <w:t>also</w:t>
      </w:r>
      <w:r>
        <w:t xml:space="preserve"> be a requirement since concealment of information</w:t>
      </w:r>
      <w:r w:rsidR="00050CB9">
        <w:t>,</w:t>
      </w:r>
      <w:r>
        <w:t xml:space="preserve"> as well as the restriction of participation</w:t>
      </w:r>
      <w:r w:rsidR="00050CB9">
        <w:t>,</w:t>
      </w:r>
      <w:r>
        <w:t xml:space="preserve"> may hurt trust and social cohesiveness.</w:t>
      </w:r>
    </w:p>
    <w:p w14:paraId="3044192F" w14:textId="21EA9D20" w:rsidR="0004689C" w:rsidRDefault="0004689C" w:rsidP="0004689C">
      <w:r>
        <w:t xml:space="preserve">This is also a responsibility of ensuring that the site is safeguarded </w:t>
      </w:r>
      <w:r w:rsidR="00050CB9">
        <w:t>for</w:t>
      </w:r>
      <w:r>
        <w:t xml:space="preserve"> future generations. Ethical interaction is long-term thinking and not economic profit. Equal representation and transparency in decision-making, therefore, play an important role in ensuring </w:t>
      </w:r>
      <w:r w:rsidR="00050CB9">
        <w:t xml:space="preserve">the </w:t>
      </w:r>
      <w:r>
        <w:t>legitimacy and sustainability of the project results.</w:t>
      </w:r>
    </w:p>
    <w:p w14:paraId="3F86FEDC" w14:textId="1E8E3553" w:rsidR="0004689C" w:rsidRDefault="0004689C" w:rsidP="00C72DA4">
      <w:pPr>
        <w:pStyle w:val="Heading2"/>
      </w:pPr>
      <w:bookmarkStart w:id="11" w:name="_Toc223126523"/>
      <w:r>
        <w:t>3.2 Community Interest, Transparency and Fairness</w:t>
      </w:r>
      <w:bookmarkEnd w:id="11"/>
    </w:p>
    <w:p w14:paraId="06826669" w14:textId="0E670DF0" w:rsidR="0052643E" w:rsidRDefault="0052643E" w:rsidP="0052643E">
      <w:r>
        <w:t xml:space="preserve">The core of stakeholder engagement in the Ironbridge Gorge World Heritage Site </w:t>
      </w:r>
      <w:r w:rsidR="00050CB9">
        <w:t>is</w:t>
      </w:r>
      <w:r>
        <w:t xml:space="preserve"> its community interest. Although the site is a world heritage site, there is also a living community whose social and economic welfare should be taken into consideration during decisions made concerning the development of the site. The ethical stakeholder involvement thus entails an understanding of the effects of tourism and regeneration on the residents and the businesses. Openness in the planning processes is important in making the </w:t>
      </w:r>
      <w:r w:rsidR="00050CB9">
        <w:t>stakeholders</w:t>
      </w:r>
      <w:r>
        <w:t xml:space="preserve"> know the ways and reasons behind making the decisions</w:t>
      </w:r>
      <w:r w:rsidR="00050CB9">
        <w:t>,</w:t>
      </w:r>
      <w:r>
        <w:t xml:space="preserve"> and hence, the trust and collaboration can be reinforced.</w:t>
      </w:r>
    </w:p>
    <w:p w14:paraId="29A2E2ED" w14:textId="7BF0CC4A" w:rsidR="0052643E" w:rsidRDefault="0052643E" w:rsidP="0052643E">
      <w:r>
        <w:t xml:space="preserve">Engagement fairness is also crucial and means giving all stakeholders </w:t>
      </w:r>
      <w:r w:rsidR="00050CB9">
        <w:t>a</w:t>
      </w:r>
      <w:r>
        <w:t xml:space="preserve"> significant opportunity to engage in conversations and shape results. The inclusivity is supported by community consultations and open communication platforms, as well as by </w:t>
      </w:r>
      <w:r w:rsidR="00050CB9">
        <w:t>organising</w:t>
      </w:r>
      <w:r>
        <w:t xml:space="preserve"> public meetings so that the local voices are not ignored and disregarded by stronger stakeholders</w:t>
      </w:r>
      <w:r w:rsidR="00972955">
        <w:t xml:space="preserve"> (</w:t>
      </w:r>
      <w:r w:rsidR="00972955" w:rsidRPr="00972955">
        <w:t>Wade</w:t>
      </w:r>
      <w:r w:rsidR="00972955">
        <w:t xml:space="preserve"> et al</w:t>
      </w:r>
      <w:r w:rsidR="00972955" w:rsidRPr="00972955">
        <w:t>., 2024</w:t>
      </w:r>
      <w:r w:rsidR="00972955">
        <w:t>)</w:t>
      </w:r>
      <w:r>
        <w:t xml:space="preserve">. Decisions made without fairness can be skewed in favour of the investors or governing </w:t>
      </w:r>
      <w:r>
        <w:lastRenderedPageBreak/>
        <w:t xml:space="preserve">bodies at the </w:t>
      </w:r>
      <w:r w:rsidR="00050CB9">
        <w:t>disadvantage</w:t>
      </w:r>
      <w:r>
        <w:t xml:space="preserve"> of other groups who have a strong interest but little formal power, e.g. residents.</w:t>
      </w:r>
    </w:p>
    <w:p w14:paraId="54999A8D" w14:textId="446F1B41" w:rsidR="0004689C" w:rsidRDefault="0052643E" w:rsidP="0052643E">
      <w:r>
        <w:t>Transparency further promotes accountability</w:t>
      </w:r>
      <w:r w:rsidR="00050CB9">
        <w:t>,</w:t>
      </w:r>
      <w:r>
        <w:t xml:space="preserve"> indicating that the </w:t>
      </w:r>
      <w:r w:rsidR="00050CB9">
        <w:t>stakeholders'</w:t>
      </w:r>
      <w:r>
        <w:t xml:space="preserve"> feedback has been taken note of and has been put into consideration during </w:t>
      </w:r>
      <w:r w:rsidR="00050CB9">
        <w:t>decision-making</w:t>
      </w:r>
      <w:r>
        <w:t xml:space="preserve"> planning. This not only </w:t>
      </w:r>
      <w:r w:rsidR="00050CB9">
        <w:t>enhances</w:t>
      </w:r>
      <w:r>
        <w:t xml:space="preserve"> legitimacy, but also </w:t>
      </w:r>
      <w:r w:rsidR="00050CB9">
        <w:t>contributes</w:t>
      </w:r>
      <w:r>
        <w:t xml:space="preserve"> to the </w:t>
      </w:r>
      <w:r w:rsidR="00050CB9">
        <w:t>minimisation</w:t>
      </w:r>
      <w:r>
        <w:t xml:space="preserve"> of the possible conflicts between economic development and preservation of heritage. Finally, the consideration of the community interests is essential to the development, so that the goal does not jeopardise the social </w:t>
      </w:r>
      <w:r w:rsidR="00050CB9">
        <w:t>well-being</w:t>
      </w:r>
      <w:r>
        <w:t xml:space="preserve"> or cultural identity, which in turn validates the moral basis of the responsible stakeholder management in the Ironbridge Gorge project.</w:t>
      </w:r>
    </w:p>
    <w:p w14:paraId="23CB0318" w14:textId="6F13FDF3" w:rsidR="0004689C" w:rsidRDefault="00C72DA4" w:rsidP="00C72DA4">
      <w:pPr>
        <w:pStyle w:val="Heading2"/>
      </w:pPr>
      <w:bookmarkStart w:id="12" w:name="_Toc223126524"/>
      <w:r w:rsidRPr="00C72DA4">
        <w:t>3.3 Corporate Social Responsibility (CSR) and Sustainability</w:t>
      </w:r>
      <w:bookmarkEnd w:id="12"/>
    </w:p>
    <w:p w14:paraId="102C4324" w14:textId="5E382E99" w:rsidR="00144D4A" w:rsidRDefault="00144D4A" w:rsidP="00144D4A">
      <w:r>
        <w:t xml:space="preserve">The issue of Corporate Social Responsibility (CSR) is crucial in ensuring that stakeholder management is in line with the bigger social and environmental interests in the Ironbridge Gorge World Heritage Site. In that regard, sustainable tourism, preserving the cultural heritage, and local economic growth are the priorities of CSR. Through </w:t>
      </w:r>
      <w:r w:rsidR="00050CB9">
        <w:t xml:space="preserve">the </w:t>
      </w:r>
      <w:r>
        <w:t>incorporation of CSR principles in stakeholder engagement strategies, the project leaders would not only acknowledge their responsibility to the stakeholders in the present but also to the future generations that would take over the site. CSR leads to proper tourism habits that reduce the effect on the environment but increase community gains. As an example, environmental conservation programmes, educational activities and environmentally friendly infrastructure are sustainability initiatives that contribute towards the preservation of the historical and natural importance of the site. The activities also lead to local employment and economic resilience in the locality.</w:t>
      </w:r>
    </w:p>
    <w:p w14:paraId="002C7888" w14:textId="2DB970D2" w:rsidR="0004689C" w:rsidRDefault="00144D4A" w:rsidP="00144D4A">
      <w:r>
        <w:t xml:space="preserve">In terms of </w:t>
      </w:r>
      <w:r w:rsidR="00050CB9">
        <w:t>stakeholders</w:t>
      </w:r>
      <w:r>
        <w:t xml:space="preserve">, the CSR improves relationships through showing dedication to ethical </w:t>
      </w:r>
      <w:r w:rsidR="00050CB9">
        <w:t>conduct</w:t>
      </w:r>
      <w:r>
        <w:t xml:space="preserve">. Trust and cooperation are enhanced when the stakeholders feel that development projects </w:t>
      </w:r>
      <w:r w:rsidR="00050CB9">
        <w:t>reflect</w:t>
      </w:r>
      <w:r>
        <w:t xml:space="preserve"> common social and environmental values. This makes sustainability not about a regulatory mode but a collective responsibility among stakeholders. The stakeholder engagement via CSR integration will guarantee that economic development will not affect the conservation of the environment or the </w:t>
      </w:r>
      <w:r w:rsidR="00050CB9">
        <w:t>well-being</w:t>
      </w:r>
      <w:r>
        <w:t xml:space="preserve"> of the communities. Rather, it is encouraging the balanced approach in which the growth, heritage preservation and sustainability work together and contribute to the long-term success of the Ironbridge Gorge project</w:t>
      </w:r>
      <w:r w:rsidR="0004689C">
        <w:t>.</w:t>
      </w:r>
    </w:p>
    <w:p w14:paraId="45189F3F" w14:textId="5C27229E" w:rsidR="0004689C" w:rsidRDefault="0004689C" w:rsidP="00C72DA4">
      <w:pPr>
        <w:pStyle w:val="Heading2"/>
      </w:pPr>
      <w:bookmarkStart w:id="13" w:name="_Toc223126525"/>
      <w:r>
        <w:lastRenderedPageBreak/>
        <w:t>3.4 Reflection on Stakeholder Engagement</w:t>
      </w:r>
      <w:bookmarkEnd w:id="13"/>
    </w:p>
    <w:p w14:paraId="3C267DCF" w14:textId="77777777" w:rsidR="00460546" w:rsidRDefault="0052643E" w:rsidP="00460546">
      <w:pPr>
        <w:keepNext/>
        <w:jc w:val="center"/>
      </w:pPr>
      <w:r>
        <w:rPr>
          <w:noProof/>
        </w:rPr>
        <w:drawing>
          <wp:inline distT="0" distB="0" distL="0" distR="0" wp14:anchorId="44D0A4C1" wp14:editId="0CB862C5">
            <wp:extent cx="5486400" cy="2724150"/>
            <wp:effectExtent l="0" t="0" r="19050" b="0"/>
            <wp:docPr id="179823970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5D5F9F4" w14:textId="2BCD04AE" w:rsidR="0052643E" w:rsidRPr="0052643E" w:rsidRDefault="00460546" w:rsidP="00460546">
      <w:pPr>
        <w:pStyle w:val="Caption"/>
        <w:jc w:val="center"/>
      </w:pPr>
      <w:r>
        <w:t xml:space="preserve">Figure </w:t>
      </w:r>
      <w:fldSimple w:instr=" SEQ Figure \* ARABIC ">
        <w:r>
          <w:rPr>
            <w:noProof/>
          </w:rPr>
          <w:t>4</w:t>
        </w:r>
      </w:fldSimple>
      <w:r>
        <w:t>: Reflection on Stakeholder Engagement (Source: Author, 2026)</w:t>
      </w:r>
    </w:p>
    <w:p w14:paraId="5CA20350" w14:textId="002259EB" w:rsidR="0004689C" w:rsidRDefault="0004689C" w:rsidP="0004689C">
      <w:r>
        <w:t>Thinking back on stakeholder engagement in the Ironbridge Gorge project, it is possible to note that the scenario of the project management and addressing a variety of interests and expectations is very complicated</w:t>
      </w:r>
      <w:r w:rsidR="00D20631">
        <w:t xml:space="preserve"> (</w:t>
      </w:r>
      <w:r w:rsidR="00D20631" w:rsidRPr="00D20631">
        <w:t>Shabbir</w:t>
      </w:r>
      <w:r w:rsidR="00D20631">
        <w:t xml:space="preserve"> </w:t>
      </w:r>
      <w:r w:rsidR="00D20631" w:rsidRPr="00D20631">
        <w:t>and Salman,</w:t>
      </w:r>
      <w:r w:rsidR="00D20631">
        <w:t xml:space="preserve"> </w:t>
      </w:r>
      <w:r w:rsidR="00D20631" w:rsidRPr="00D20631">
        <w:t>2025</w:t>
      </w:r>
      <w:r w:rsidR="00D20631">
        <w:t>)</w:t>
      </w:r>
      <w:r>
        <w:t>. Such theoretical framework as stakeholder theory and participation frameworks can be of significant help in the interpretation of power dynamics and influence. It is</w:t>
      </w:r>
      <w:r w:rsidR="00050CB9">
        <w:t>,</w:t>
      </w:r>
      <w:r>
        <w:t xml:space="preserve"> however</w:t>
      </w:r>
      <w:r w:rsidR="00050CB9">
        <w:t>,</w:t>
      </w:r>
      <w:r>
        <w:t xml:space="preserve"> in practical use that engagement is often not as simple as that.</w:t>
      </w:r>
    </w:p>
    <w:p w14:paraId="36E60E48" w14:textId="5420AC24" w:rsidR="0004689C" w:rsidRDefault="0004689C" w:rsidP="0004689C">
      <w:r>
        <w:t xml:space="preserve">As a matter of fact, there must be a constant negotiation and compromise between conservation issues and tourism development. There is a tendency to have conflicting goals among the stakeholders, and this renders it difficult to reach a consensus. This reflection shows that successful engagement is based not only on the frameworks but </w:t>
      </w:r>
      <w:r w:rsidR="00050CB9">
        <w:t xml:space="preserve">also on </w:t>
      </w:r>
      <w:r>
        <w:t>flexibility and communication.</w:t>
      </w:r>
      <w:r w:rsidR="0052643E">
        <w:t xml:space="preserve"> </w:t>
      </w:r>
      <w:r>
        <w:t xml:space="preserve">The knowledge about these dynamics has increased the understanding of the impact of collaboration and trust </w:t>
      </w:r>
      <w:r w:rsidR="00050CB9">
        <w:t>on</w:t>
      </w:r>
      <w:r>
        <w:t xml:space="preserve"> project success. It has also </w:t>
      </w:r>
      <w:r w:rsidR="00050CB9">
        <w:t>emphasised</w:t>
      </w:r>
      <w:r>
        <w:t xml:space="preserve"> the need to look at its </w:t>
      </w:r>
      <w:r w:rsidR="00050CB9">
        <w:t>short-term</w:t>
      </w:r>
      <w:r>
        <w:t xml:space="preserve"> results and long-term sustainability. The combination of theory and practical observation supports the necessity of ethical leadership and involving participation in decision-making in stakeholder management.</w:t>
      </w:r>
    </w:p>
    <w:p w14:paraId="32BEAF0F" w14:textId="5A55D63C" w:rsidR="0004689C" w:rsidRDefault="0004689C" w:rsidP="00C72DA4">
      <w:pPr>
        <w:pStyle w:val="Heading2"/>
      </w:pPr>
      <w:bookmarkStart w:id="14" w:name="_Toc223126526"/>
      <w:r>
        <w:t>3.5 Skills Development and Future Relevance</w:t>
      </w:r>
      <w:bookmarkEnd w:id="14"/>
    </w:p>
    <w:p w14:paraId="6B0E07E4" w14:textId="59F836BE" w:rsidR="00FE0F1D" w:rsidRDefault="00FE0F1D" w:rsidP="00FE0F1D">
      <w:r>
        <w:t xml:space="preserve">The experience of the stakeholder dynamics of the Ironbridge Gorge project has helped to acquire </w:t>
      </w:r>
      <w:r w:rsidR="00050CB9">
        <w:t>several</w:t>
      </w:r>
      <w:r>
        <w:t xml:space="preserve"> transferable skills which are of value. The stakeholder roles or interests and level of influence analysis have enhanced analytical skills</w:t>
      </w:r>
      <w:r w:rsidR="00050CB9">
        <w:t>,</w:t>
      </w:r>
      <w:r>
        <w:t xml:space="preserve"> given that they prompt greater </w:t>
      </w:r>
      <w:r>
        <w:lastRenderedPageBreak/>
        <w:t>awareness of how various groups influence the outcomes of projects. Also, the risk-assessment of the ethical contribution of development decisions on local communities and the environment has contributed to increased ethical awareness and ethical responsibility when making decisions.</w:t>
      </w:r>
    </w:p>
    <w:p w14:paraId="1957758E" w14:textId="34577D40" w:rsidR="00FE0F1D" w:rsidRDefault="00FE0F1D" w:rsidP="00FE0F1D">
      <w:r>
        <w:t xml:space="preserve">The process has also facilitated </w:t>
      </w:r>
      <w:r w:rsidR="00050CB9">
        <w:t xml:space="preserve">the </w:t>
      </w:r>
      <w:r>
        <w:t>development of communication skills</w:t>
      </w:r>
      <w:r w:rsidR="00050CB9">
        <w:t>,</w:t>
      </w:r>
      <w:r>
        <w:t xml:space="preserve"> especially by identifying the need </w:t>
      </w:r>
      <w:r w:rsidR="00050CB9">
        <w:t>for</w:t>
      </w:r>
      <w:r>
        <w:t xml:space="preserve"> inclusive communication and transparency in </w:t>
      </w:r>
      <w:r w:rsidR="00BC4155">
        <w:t xml:space="preserve">the </w:t>
      </w:r>
      <w:r>
        <w:t xml:space="preserve">establishment of strong </w:t>
      </w:r>
      <w:r w:rsidR="00BC4155">
        <w:t>relationships</w:t>
      </w:r>
      <w:r>
        <w:t xml:space="preserve"> with stakeholders</w:t>
      </w:r>
      <w:r w:rsidR="00D20631">
        <w:t xml:space="preserve"> (</w:t>
      </w:r>
      <w:r w:rsidR="00D20631" w:rsidRPr="00D20631">
        <w:t>Maiwada,</w:t>
      </w:r>
      <w:r w:rsidR="00D20631">
        <w:t xml:space="preserve"> </w:t>
      </w:r>
      <w:r w:rsidR="00D20631" w:rsidRPr="00D20631">
        <w:t>2025</w:t>
      </w:r>
      <w:r w:rsidR="00D20631">
        <w:t>)</w:t>
      </w:r>
      <w:r>
        <w:t xml:space="preserve">. The knowledge on how to deal with different perspectives has helped me to </w:t>
      </w:r>
      <w:r w:rsidR="00460546">
        <w:t>recognise</w:t>
      </w:r>
      <w:r>
        <w:t xml:space="preserve"> the importance of effective and respectful communication within the context of collaboration. More so, problem-solving abilities have been enhanced by taking into consideration how the conflicting interests of stakeholders can be </w:t>
      </w:r>
      <w:r w:rsidR="00050CB9">
        <w:t>harmonised</w:t>
      </w:r>
      <w:r>
        <w:t xml:space="preserve"> to bring mutually beneficial results.</w:t>
      </w:r>
    </w:p>
    <w:p w14:paraId="155964B9" w14:textId="230BB68E" w:rsidR="00AE345C" w:rsidRDefault="00FE0F1D" w:rsidP="00FE0F1D">
      <w:r>
        <w:t>The skills are very applicable in future career growth</w:t>
      </w:r>
      <w:r w:rsidR="00050CB9">
        <w:t>,</w:t>
      </w:r>
      <w:r>
        <w:t xml:space="preserve"> especially in areas like project management, community engagement and organisational leadership. Academically, the experience has enhanced critical thinking and the capacity to put the theoretical knowledge into practice. All in all, the experience learned indicates that stakeholder awareness is a concept of strong importance in the process of producing sustainable, ethical and socially responsible outcomes in professional and </w:t>
      </w:r>
      <w:r w:rsidR="00460546">
        <w:t>community-based</w:t>
      </w:r>
      <w:r>
        <w:t xml:space="preserve"> projects</w:t>
      </w:r>
      <w:r w:rsidR="00AE345C" w:rsidRPr="00AE345C">
        <w:t>.</w:t>
      </w:r>
    </w:p>
    <w:p w14:paraId="28158021" w14:textId="77777777" w:rsidR="00DD1CA5" w:rsidRDefault="00DD1CA5">
      <w:pPr>
        <w:spacing w:line="259" w:lineRule="auto"/>
        <w:jc w:val="left"/>
        <w:rPr>
          <w:rFonts w:cs="Times New Roman"/>
          <w:b/>
          <w:bCs/>
          <w:color w:val="000000" w:themeColor="text1"/>
          <w:sz w:val="36"/>
        </w:rPr>
      </w:pPr>
      <w:r>
        <w:br w:type="page"/>
      </w:r>
    </w:p>
    <w:p w14:paraId="1CA316AB" w14:textId="0C335376" w:rsidR="0004689C" w:rsidRDefault="00D20631" w:rsidP="00C72DA4">
      <w:pPr>
        <w:pStyle w:val="Heading1"/>
      </w:pPr>
      <w:bookmarkStart w:id="15" w:name="_Toc223126527"/>
      <w:r>
        <w:lastRenderedPageBreak/>
        <w:t xml:space="preserve">4. </w:t>
      </w:r>
      <w:r w:rsidR="0004689C">
        <w:t>Conclusion Recommendations</w:t>
      </w:r>
      <w:bookmarkEnd w:id="15"/>
    </w:p>
    <w:p w14:paraId="37A96035" w14:textId="7D2D80C3" w:rsidR="0004689C" w:rsidRPr="00C72DA4" w:rsidRDefault="00D20631" w:rsidP="00C72DA4">
      <w:pPr>
        <w:pStyle w:val="Heading2"/>
      </w:pPr>
      <w:bookmarkStart w:id="16" w:name="_Toc223126528"/>
      <w:r>
        <w:t xml:space="preserve">4.1 </w:t>
      </w:r>
      <w:r w:rsidR="0004689C" w:rsidRPr="00C72DA4">
        <w:t>Conclusion</w:t>
      </w:r>
      <w:bookmarkEnd w:id="16"/>
    </w:p>
    <w:p w14:paraId="77DCB308" w14:textId="0946BF6B" w:rsidR="0004689C" w:rsidRDefault="0004689C" w:rsidP="0004689C">
      <w:r>
        <w:t>The review of the stakeholder involvement in the Ironbridge Gorge World Heritage Site evidences that sustaining outcomes in the industry requires the proper cooperation of the governance structures, heritage organisations, local communities and environmental organisations. The paper has pointed out that stakeholder participation facilitates the balance between tourism enhancement and preservation of heritage</w:t>
      </w:r>
      <w:r w:rsidR="00050CB9">
        <w:t>,</w:t>
      </w:r>
      <w:r>
        <w:t xml:space="preserve"> and facilitates the economic and social welfare </w:t>
      </w:r>
      <w:r w:rsidR="00050CB9">
        <w:t>of</w:t>
      </w:r>
      <w:r>
        <w:t xml:space="preserve"> the local community. Nevertheless, difficulties can be encountered with decision-making and participation due to the conflict of priorities, power, and communication gaps. It is thus important to ensure that there is fairness, transparency and inclusivity in </w:t>
      </w:r>
      <w:r w:rsidR="00460546">
        <w:t>engagement</w:t>
      </w:r>
      <w:r>
        <w:t xml:space="preserve"> processes. By and large, the results indicate that a high level of stakeholder presence results in better trust, responsible development and plays a major role in ensuring that the cultural and environmental value of the site is preserved to be enjoyed by future </w:t>
      </w:r>
      <w:r w:rsidR="00460546">
        <w:t>generations</w:t>
      </w:r>
      <w:r>
        <w:t>.</w:t>
      </w:r>
    </w:p>
    <w:p w14:paraId="2AD82D47" w14:textId="6055FCA8" w:rsidR="0052643E" w:rsidRPr="0052643E" w:rsidRDefault="00D20631" w:rsidP="0052643E">
      <w:pPr>
        <w:pStyle w:val="Heading2"/>
      </w:pPr>
      <w:bookmarkStart w:id="17" w:name="_Toc223126529"/>
      <w:r>
        <w:t xml:space="preserve">4.2 </w:t>
      </w:r>
      <w:r w:rsidR="0052643E" w:rsidRPr="0052643E">
        <w:t>Recommendations</w:t>
      </w:r>
      <w:bookmarkEnd w:id="17"/>
    </w:p>
    <w:p w14:paraId="654A41D5" w14:textId="28E446B0" w:rsidR="0052643E" w:rsidRPr="0052643E" w:rsidRDefault="0052643E" w:rsidP="0052643E">
      <w:pPr>
        <w:pStyle w:val="ListParagraph"/>
        <w:numPr>
          <w:ilvl w:val="0"/>
          <w:numId w:val="1"/>
        </w:numPr>
        <w:rPr>
          <w:b/>
          <w:bCs/>
        </w:rPr>
      </w:pPr>
      <w:r w:rsidRPr="0052643E">
        <w:rPr>
          <w:b/>
          <w:bCs/>
        </w:rPr>
        <w:t xml:space="preserve">Improving Community Engagement: </w:t>
      </w:r>
      <w:r>
        <w:t xml:space="preserve">The processes of stakeholder engagement must be made more </w:t>
      </w:r>
      <w:r w:rsidR="00050CB9">
        <w:t>accommodating</w:t>
      </w:r>
      <w:r>
        <w:t xml:space="preserve"> by including the residents and smaller groups of stakeholders </w:t>
      </w:r>
      <w:r w:rsidR="00050CB9">
        <w:t>in</w:t>
      </w:r>
      <w:r>
        <w:t xml:space="preserve"> consultations and decision-making processes</w:t>
      </w:r>
      <w:r w:rsidR="00D20631">
        <w:t xml:space="preserve"> (</w:t>
      </w:r>
      <w:r w:rsidR="00D20631" w:rsidRPr="00D20631">
        <w:t>Kolcak,</w:t>
      </w:r>
      <w:r w:rsidR="00D20631">
        <w:t xml:space="preserve"> </w:t>
      </w:r>
      <w:r w:rsidR="00D20631" w:rsidRPr="00D20631">
        <w:t>2021</w:t>
      </w:r>
      <w:r w:rsidR="00D20631">
        <w:t>)</w:t>
      </w:r>
      <w:r>
        <w:t>. This can be achieved by offering frequent participation</w:t>
      </w:r>
      <w:r w:rsidR="00050CB9">
        <w:t>,</w:t>
      </w:r>
      <w:r>
        <w:t xml:space="preserve"> whereby the concerns of the community are heard and included in the planning of the project.</w:t>
      </w:r>
    </w:p>
    <w:p w14:paraId="7953AACB" w14:textId="2DA84AA9" w:rsidR="0052643E" w:rsidRPr="0052643E" w:rsidRDefault="0052643E" w:rsidP="0052643E">
      <w:pPr>
        <w:pStyle w:val="ListParagraph"/>
        <w:numPr>
          <w:ilvl w:val="0"/>
          <w:numId w:val="1"/>
        </w:numPr>
        <w:rPr>
          <w:b/>
          <w:bCs/>
        </w:rPr>
      </w:pPr>
      <w:r w:rsidRPr="0052643E">
        <w:rPr>
          <w:b/>
          <w:bCs/>
        </w:rPr>
        <w:t xml:space="preserve">Enhancing Communication and Transparency: </w:t>
      </w:r>
      <w:r w:rsidR="00050CB9">
        <w:t>The development</w:t>
      </w:r>
      <w:r>
        <w:t xml:space="preserve"> of trust among stakeholders demands clear and constant communication by means of reachable platforms</w:t>
      </w:r>
      <w:r w:rsidR="00D20631">
        <w:t xml:space="preserve"> (</w:t>
      </w:r>
      <w:r w:rsidR="00D20631" w:rsidRPr="00D20631">
        <w:t>Hanum,</w:t>
      </w:r>
      <w:r w:rsidR="00D20631">
        <w:t xml:space="preserve"> </w:t>
      </w:r>
      <w:r w:rsidR="00D20631" w:rsidRPr="00D20631">
        <w:t>2025</w:t>
      </w:r>
      <w:r w:rsidR="00D20631">
        <w:t>)</w:t>
      </w:r>
      <w:r>
        <w:t>. Open consultations and feedback systems, regular updates can be used to ensure that the opinion of the stakeholders is held in high regard and factored in during the planning process.</w:t>
      </w:r>
    </w:p>
    <w:p w14:paraId="0C8C04DA" w14:textId="5EF88D3B" w:rsidR="0052643E" w:rsidRPr="0052643E" w:rsidRDefault="0052643E" w:rsidP="0052643E">
      <w:pPr>
        <w:pStyle w:val="ListParagraph"/>
        <w:numPr>
          <w:ilvl w:val="0"/>
          <w:numId w:val="1"/>
        </w:numPr>
        <w:rPr>
          <w:b/>
          <w:bCs/>
        </w:rPr>
      </w:pPr>
      <w:r w:rsidRPr="0052643E">
        <w:rPr>
          <w:b/>
          <w:bCs/>
        </w:rPr>
        <w:t xml:space="preserve">Sustaining Sustainable Practices: </w:t>
      </w:r>
      <w:r>
        <w:t>The stakeholder strategies ought to focus on sustainability</w:t>
      </w:r>
      <w:r w:rsidR="00050CB9">
        <w:t>,</w:t>
      </w:r>
      <w:r>
        <w:t xml:space="preserve"> and this should include environmental factors in the development strategies</w:t>
      </w:r>
      <w:r w:rsidR="00D20631">
        <w:t xml:space="preserve"> (</w:t>
      </w:r>
      <w:r w:rsidR="00D20631" w:rsidRPr="00D20631">
        <w:t>Niguse,</w:t>
      </w:r>
      <w:r w:rsidR="00D20631">
        <w:t xml:space="preserve"> </w:t>
      </w:r>
      <w:r w:rsidR="00D20631" w:rsidRPr="00D20631">
        <w:t>Kant</w:t>
      </w:r>
      <w:r w:rsidR="00D20631">
        <w:t xml:space="preserve"> </w:t>
      </w:r>
      <w:r w:rsidR="00D20631" w:rsidRPr="00D20631">
        <w:t>and Borji,</w:t>
      </w:r>
      <w:r w:rsidR="00D20631">
        <w:t xml:space="preserve"> </w:t>
      </w:r>
      <w:r w:rsidR="00D20631" w:rsidRPr="00D20631">
        <w:t>2025</w:t>
      </w:r>
      <w:r w:rsidR="00D20631">
        <w:t>)</w:t>
      </w:r>
      <w:r>
        <w:t xml:space="preserve">. Responsible tourism can be encouraged by encouraging </w:t>
      </w:r>
      <w:r w:rsidR="00050CB9">
        <w:t>partnerships</w:t>
      </w:r>
      <w:r>
        <w:t xml:space="preserve"> between heritage organisations and environmental organisations in a bid to preserve the cultural and ecological importance of the Ironbridge Gorge World Heritage Site</w:t>
      </w:r>
      <w:r w:rsidRPr="0052643E">
        <w:t>.</w:t>
      </w:r>
    </w:p>
    <w:p w14:paraId="24588288" w14:textId="616BFF6F" w:rsidR="00AE345C" w:rsidRPr="00AE345C" w:rsidRDefault="00AE345C" w:rsidP="00AE345C">
      <w:r w:rsidRPr="00AE345C">
        <w:t>.</w:t>
      </w:r>
    </w:p>
    <w:p w14:paraId="2BC71314" w14:textId="64C65785" w:rsidR="00012686" w:rsidRDefault="00144D4A" w:rsidP="00144D4A">
      <w:pPr>
        <w:pStyle w:val="Heading1"/>
      </w:pPr>
      <w:r>
        <w:br w:type="page"/>
      </w:r>
      <w:bookmarkStart w:id="18" w:name="_Toc223126530"/>
      <w:r>
        <w:lastRenderedPageBreak/>
        <w:t>References</w:t>
      </w:r>
      <w:bookmarkEnd w:id="18"/>
      <w:r>
        <w:t xml:space="preserve"> </w:t>
      </w:r>
      <w:r w:rsidR="00AE345C">
        <w:tab/>
      </w:r>
    </w:p>
    <w:p w14:paraId="2ED3F510" w14:textId="77777777" w:rsidR="00460546" w:rsidRDefault="00460546" w:rsidP="00460546">
      <w:r w:rsidRPr="00DD1CA5">
        <w:t xml:space="preserve">Fasawe, O., Akinola, A.S. and Filani, O.M. (2024). </w:t>
      </w:r>
      <w:r w:rsidRPr="00F15DF9">
        <w:t>Review of Stakeholder Engagement and Alignment Strategies in Large-Scale Operations Programs.</w:t>
      </w:r>
    </w:p>
    <w:p w14:paraId="146D25AE" w14:textId="77777777" w:rsidR="00460546" w:rsidRDefault="00460546" w:rsidP="00460546">
      <w:r w:rsidRPr="00D20631">
        <w:t xml:space="preserve">Hanum, A.V. </w:t>
      </w:r>
      <w:r>
        <w:t>(</w:t>
      </w:r>
      <w:r w:rsidRPr="00D20631">
        <w:t>2025</w:t>
      </w:r>
      <w:r>
        <w:t>)</w:t>
      </w:r>
      <w:r w:rsidRPr="00D20631">
        <w:t>, September. Social Media as a Communication Platform for Sustainability Reporting Enterprises. In </w:t>
      </w:r>
      <w:r w:rsidRPr="00460546">
        <w:rPr>
          <w:i/>
          <w:iCs/>
        </w:rPr>
        <w:t>Proceedings of International Students Conference of Economics and Business Excellence</w:t>
      </w:r>
      <w:r w:rsidRPr="00D20631">
        <w:t> (Vol. 2, No. 1, pp. 112-120).</w:t>
      </w:r>
    </w:p>
    <w:p w14:paraId="3A4B46E6" w14:textId="77777777" w:rsidR="00460546" w:rsidRDefault="00460546" w:rsidP="00460546">
      <w:r w:rsidRPr="00F15DF9">
        <w:t xml:space="preserve">Harfst, J., Sandriester, J., Mildeberg, S., Dołzbłasz, S. and Grochowska, A. </w:t>
      </w:r>
      <w:r>
        <w:t>(</w:t>
      </w:r>
      <w:r w:rsidRPr="00F15DF9">
        <w:t>2025</w:t>
      </w:r>
      <w:r>
        <w:t>)</w:t>
      </w:r>
      <w:r w:rsidRPr="00F15DF9">
        <w:t>. Policies on industrial heritage tourism as a tool for sustainable regional development? a Central and Eastern European analysis. </w:t>
      </w:r>
      <w:r w:rsidRPr="00460546">
        <w:rPr>
          <w:i/>
          <w:iCs/>
        </w:rPr>
        <w:t>Tourism Recreation Research</w:t>
      </w:r>
      <w:r w:rsidRPr="00F15DF9">
        <w:t>, pp.1-14.</w:t>
      </w:r>
    </w:p>
    <w:p w14:paraId="74EBB25A" w14:textId="77777777" w:rsidR="00460546" w:rsidRDefault="00460546" w:rsidP="00460546">
      <w:r w:rsidRPr="00F15DF9">
        <w:t xml:space="preserve">Jassim, A.H., Hasan, S.A., Ebraheem, A.K., Ebraheem, M.A., </w:t>
      </w:r>
      <w:r>
        <w:t>Al-Rawe</w:t>
      </w:r>
      <w:r w:rsidRPr="00F15DF9">
        <w:t xml:space="preserve">, M.K., Alkinani, A.S. and Almosawi, F. </w:t>
      </w:r>
      <w:r>
        <w:t>(</w:t>
      </w:r>
      <w:r w:rsidRPr="00F15DF9">
        <w:t>2025</w:t>
      </w:r>
      <w:r>
        <w:t>)</w:t>
      </w:r>
      <w:r w:rsidRPr="00F15DF9">
        <w:t>. A Comprehensive Framework for Heritage Site Management: Challenges and Strategies for Sustainable Preservation. </w:t>
      </w:r>
      <w:r w:rsidRPr="00460546">
        <w:rPr>
          <w:i/>
          <w:iCs/>
        </w:rPr>
        <w:t>International Journal of Sustainable Development &amp; Planning</w:t>
      </w:r>
      <w:r w:rsidRPr="00F15DF9">
        <w:t>, </w:t>
      </w:r>
      <w:r w:rsidRPr="00460546">
        <w:rPr>
          <w:i/>
          <w:iCs/>
        </w:rPr>
        <w:t>20</w:t>
      </w:r>
      <w:r w:rsidRPr="00F15DF9">
        <w:t>(4).</w:t>
      </w:r>
    </w:p>
    <w:p w14:paraId="11262DDE" w14:textId="77777777" w:rsidR="00460546" w:rsidRDefault="00460546" w:rsidP="00460546">
      <w:r w:rsidRPr="00972955">
        <w:t xml:space="preserve">Jiménez </w:t>
      </w:r>
      <w:r>
        <w:t>Ríos</w:t>
      </w:r>
      <w:r w:rsidRPr="00972955">
        <w:t xml:space="preserve">, A., Plevris, V. and Nogal, M. </w:t>
      </w:r>
      <w:r>
        <w:t>(</w:t>
      </w:r>
      <w:r w:rsidRPr="00972955">
        <w:t>2025</w:t>
      </w:r>
      <w:r>
        <w:t>)</w:t>
      </w:r>
      <w:r w:rsidRPr="00972955">
        <w:t>. Towards Industry 5.0: a stakeholder analysis to understand the human role in the adoption of a heritage bridge human-centric digital twin framework. </w:t>
      </w:r>
      <w:r w:rsidRPr="00460546">
        <w:rPr>
          <w:i/>
          <w:iCs/>
        </w:rPr>
        <w:t>Structure and Infrastructure Engineering</w:t>
      </w:r>
      <w:r w:rsidRPr="00972955">
        <w:t>, pp.1-15.</w:t>
      </w:r>
    </w:p>
    <w:p w14:paraId="00BA6B34" w14:textId="77777777" w:rsidR="00460546" w:rsidRDefault="00460546" w:rsidP="00460546">
      <w:r w:rsidRPr="00D20631">
        <w:t xml:space="preserve">Kolcak, M. </w:t>
      </w:r>
      <w:r>
        <w:t>(</w:t>
      </w:r>
      <w:r w:rsidRPr="00D20631">
        <w:t>2021</w:t>
      </w:r>
      <w:r>
        <w:t>)</w:t>
      </w:r>
      <w:r w:rsidRPr="00D20631">
        <w:t>. Community Engagement and Public Consultation through an Inclusive and Participatory Design.</w:t>
      </w:r>
    </w:p>
    <w:p w14:paraId="0AAF5D4C" w14:textId="77777777" w:rsidR="00460546" w:rsidRDefault="00460546" w:rsidP="00460546">
      <w:r w:rsidRPr="00D20631">
        <w:t xml:space="preserve">Maiwada, A.A. </w:t>
      </w:r>
      <w:r>
        <w:t>(</w:t>
      </w:r>
      <w:r w:rsidRPr="00D20631">
        <w:t>2025</w:t>
      </w:r>
      <w:r>
        <w:t>)</w:t>
      </w:r>
      <w:r w:rsidRPr="00D20631">
        <w:t>. Role of Effective Communication Strategy as A Veritable Tool to Deepen Trade Facilitation. </w:t>
      </w:r>
      <w:r w:rsidRPr="00460546">
        <w:rPr>
          <w:i/>
          <w:iCs/>
        </w:rPr>
        <w:t>Economit Journal: Scientific Journal of Accountancy, Management and Finance</w:t>
      </w:r>
      <w:r w:rsidRPr="00D20631">
        <w:t>, </w:t>
      </w:r>
      <w:r w:rsidRPr="00460546">
        <w:rPr>
          <w:i/>
          <w:iCs/>
        </w:rPr>
        <w:t>5</w:t>
      </w:r>
      <w:r w:rsidRPr="00D20631">
        <w:t>(2), pp.111-124.</w:t>
      </w:r>
    </w:p>
    <w:p w14:paraId="049AD0F4" w14:textId="77777777" w:rsidR="00460546" w:rsidRDefault="00460546" w:rsidP="00460546">
      <w:r w:rsidRPr="00D20631">
        <w:t xml:space="preserve">Niguse, T., Kant, S. and Borji, B. </w:t>
      </w:r>
      <w:r>
        <w:t>(</w:t>
      </w:r>
      <w:r w:rsidRPr="00D20631">
        <w:t>2025</w:t>
      </w:r>
      <w:r>
        <w:t>)</w:t>
      </w:r>
      <w:r w:rsidRPr="00D20631">
        <w:t>. Green innovation strategy, sustainable business model innovation and sustainable competitive advantage with mediating role of green intellectual capital in emerging markets: evidence from Ethiopian eco-hotels. </w:t>
      </w:r>
      <w:r w:rsidRPr="00460546">
        <w:rPr>
          <w:i/>
          <w:iCs/>
        </w:rPr>
        <w:t>Future Business Journal</w:t>
      </w:r>
      <w:r w:rsidRPr="00D20631">
        <w:t>, </w:t>
      </w:r>
      <w:r w:rsidRPr="00460546">
        <w:rPr>
          <w:i/>
          <w:iCs/>
        </w:rPr>
        <w:t>11</w:t>
      </w:r>
      <w:r w:rsidRPr="00D20631">
        <w:t>(1), pp.1-19.</w:t>
      </w:r>
    </w:p>
    <w:p w14:paraId="424EE34A" w14:textId="77777777" w:rsidR="00460546" w:rsidRDefault="00460546" w:rsidP="00460546">
      <w:r w:rsidRPr="00DD1CA5">
        <w:t xml:space="preserve">Rachmawati, E. and Fountain, J. </w:t>
      </w:r>
      <w:r>
        <w:t>(</w:t>
      </w:r>
      <w:r w:rsidRPr="00DD1CA5">
        <w:t>2020</w:t>
      </w:r>
      <w:r>
        <w:t>)</w:t>
      </w:r>
      <w:r w:rsidRPr="00DD1CA5">
        <w:t>. Role of external stakeholders in tourism development and community empowerment. </w:t>
      </w:r>
      <w:r w:rsidRPr="00460546">
        <w:rPr>
          <w:i/>
          <w:iCs/>
        </w:rPr>
        <w:t>International Journal of Applied Sciences in Tourism and Events</w:t>
      </w:r>
      <w:r w:rsidRPr="00DD1CA5">
        <w:t>, </w:t>
      </w:r>
      <w:r w:rsidRPr="00460546">
        <w:rPr>
          <w:i/>
          <w:iCs/>
        </w:rPr>
        <w:t>4</w:t>
      </w:r>
      <w:r w:rsidRPr="00DD1CA5">
        <w:t>(1), pp.25-36.</w:t>
      </w:r>
    </w:p>
    <w:p w14:paraId="67726A61" w14:textId="4AF726B4" w:rsidR="00460546" w:rsidRDefault="00460546" w:rsidP="00460546">
      <w:r w:rsidRPr="00D20631">
        <w:lastRenderedPageBreak/>
        <w:t xml:space="preserve">Shabbir, M.S. and Salman, R. </w:t>
      </w:r>
      <w:r>
        <w:t>(</w:t>
      </w:r>
      <w:r w:rsidRPr="00D20631">
        <w:t>2025</w:t>
      </w:r>
      <w:r>
        <w:t>)</w:t>
      </w:r>
      <w:r w:rsidRPr="00D20631">
        <w:t>. Sustainable Development Policy Interventions: Stakeholder Engagement and Environmental Policy in Practice. Business Strategy and the Environment.</w:t>
      </w:r>
      <w:r>
        <w:t xml:space="preserve"> </w:t>
      </w:r>
    </w:p>
    <w:p w14:paraId="2B680154" w14:textId="77777777" w:rsidR="00460546" w:rsidRDefault="00460546" w:rsidP="00460546">
      <w:r w:rsidRPr="00460546">
        <w:rPr>
          <w:lang w:val="it-IT"/>
        </w:rPr>
        <w:t xml:space="preserve">Stocker, F., de Arruda, M.P., de Mascena, K.M., e Boaventura, J.M. (2020). </w:t>
      </w:r>
      <w:r w:rsidRPr="00460546">
        <w:t>Stakeholder engagement in sustainability reporting: A classification model. </w:t>
      </w:r>
      <w:r w:rsidRPr="00460546">
        <w:rPr>
          <w:i/>
          <w:iCs/>
        </w:rPr>
        <w:t>Corporate Social Responsibility and Environmental Management</w:t>
      </w:r>
      <w:r w:rsidRPr="00460546">
        <w:t>, </w:t>
      </w:r>
      <w:r w:rsidRPr="00460546">
        <w:rPr>
          <w:i/>
          <w:iCs/>
        </w:rPr>
        <w:t>27</w:t>
      </w:r>
      <w:r w:rsidRPr="00460546">
        <w:t>(5), pp.2071-2080.</w:t>
      </w:r>
    </w:p>
    <w:p w14:paraId="5007B12E" w14:textId="77777777" w:rsidR="00460546" w:rsidRDefault="00460546" w:rsidP="00460546">
      <w:r w:rsidRPr="00DD1CA5">
        <w:t>UNESCO (</w:t>
      </w:r>
      <w:r>
        <w:t>2026</w:t>
      </w:r>
      <w:r w:rsidRPr="00DD1CA5">
        <w:t xml:space="preserve">) </w:t>
      </w:r>
      <w:r w:rsidRPr="00460546">
        <w:rPr>
          <w:i/>
          <w:iCs/>
        </w:rPr>
        <w:t>Ironbridge Gorge</w:t>
      </w:r>
      <w:r w:rsidRPr="00DD1CA5">
        <w:t xml:space="preserve">. Available at: </w:t>
      </w:r>
      <w:hyperlink r:id="rId22" w:tgtFrame="_new" w:history="1">
        <w:r w:rsidRPr="00DD1CA5">
          <w:rPr>
            <w:rStyle w:val="Hyperlink"/>
          </w:rPr>
          <w:t>https://whc.unesco.org/en/list/371/</w:t>
        </w:r>
      </w:hyperlink>
      <w:r w:rsidRPr="00DD1CA5">
        <w:t xml:space="preserve"> (Accessed: 27 February 2026).</w:t>
      </w:r>
    </w:p>
    <w:p w14:paraId="52251E5B" w14:textId="77777777" w:rsidR="00460546" w:rsidRDefault="00460546" w:rsidP="00460546">
      <w:r w:rsidRPr="00972955">
        <w:t xml:space="preserve">Wade, B., Bharadwaj, B., Kambo, A., Jensen, M., Witt, K., Weder, F., Phelan, A. and Ashworth, P. </w:t>
      </w:r>
      <w:r>
        <w:t>(</w:t>
      </w:r>
      <w:r w:rsidRPr="00972955">
        <w:t>2024</w:t>
      </w:r>
      <w:r>
        <w:t>)</w:t>
      </w:r>
      <w:r w:rsidRPr="00972955">
        <w:t>. Stakeholder engagement: the role of facilitators and gender in ‘opening up’conversations and enabling participation. </w:t>
      </w:r>
      <w:r w:rsidRPr="00460546">
        <w:rPr>
          <w:i/>
          <w:iCs/>
        </w:rPr>
        <w:t>Australasian Journal of Environmental Management</w:t>
      </w:r>
      <w:r w:rsidRPr="00972955">
        <w:t>, </w:t>
      </w:r>
      <w:r w:rsidRPr="00460546">
        <w:rPr>
          <w:i/>
          <w:iCs/>
        </w:rPr>
        <w:t>31</w:t>
      </w:r>
      <w:r w:rsidRPr="00972955">
        <w:t>(1), pp.7-39.</w:t>
      </w:r>
    </w:p>
    <w:p w14:paraId="750A716E" w14:textId="77777777" w:rsidR="00460546" w:rsidRDefault="00460546" w:rsidP="00460546">
      <w:r w:rsidRPr="00972955">
        <w:t xml:space="preserve">Zhao, L., Li, Y., Zhang, N. and Zhang, Z. </w:t>
      </w:r>
      <w:r>
        <w:t>(</w:t>
      </w:r>
      <w:r w:rsidRPr="00972955">
        <w:t>2023</w:t>
      </w:r>
      <w:r>
        <w:t>).</w:t>
      </w:r>
      <w:r w:rsidRPr="00972955">
        <w:t xml:space="preserve"> Public policies and conservation plans of historic urban landscapes under the sustainable heritage tourism milieu: discussions on the equilibrium model on Kulangsu Island, UNESCO World Heritage site. </w:t>
      </w:r>
      <w:r w:rsidRPr="00460546">
        <w:rPr>
          <w:i/>
          <w:iCs/>
        </w:rPr>
        <w:t>Built Heritage</w:t>
      </w:r>
      <w:r w:rsidRPr="00972955">
        <w:t>, </w:t>
      </w:r>
      <w:r w:rsidRPr="00460546">
        <w:rPr>
          <w:i/>
          <w:iCs/>
        </w:rPr>
        <w:t>7</w:t>
      </w:r>
      <w:r w:rsidRPr="00972955">
        <w:t>(1), p.6.</w:t>
      </w:r>
    </w:p>
    <w:sectPr w:rsidR="0046054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AC543D" w14:textId="77777777" w:rsidR="00EA156E" w:rsidRDefault="00EA156E" w:rsidP="00BC4155">
      <w:pPr>
        <w:spacing w:after="0" w:line="240" w:lineRule="auto"/>
      </w:pPr>
      <w:r>
        <w:separator/>
      </w:r>
    </w:p>
  </w:endnote>
  <w:endnote w:type="continuationSeparator" w:id="0">
    <w:p w14:paraId="76079791" w14:textId="77777777" w:rsidR="00EA156E" w:rsidRDefault="00EA156E" w:rsidP="00BC4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799963"/>
      <w:docPartObj>
        <w:docPartGallery w:val="Page Numbers (Bottom of Page)"/>
        <w:docPartUnique/>
      </w:docPartObj>
    </w:sdtPr>
    <w:sdtEndPr>
      <w:rPr>
        <w:noProof/>
      </w:rPr>
    </w:sdtEndPr>
    <w:sdtContent>
      <w:p w14:paraId="5BB03A4B" w14:textId="6527BA20" w:rsidR="00BC4155" w:rsidRDefault="00BC41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D75526" w14:textId="77777777" w:rsidR="00BC4155" w:rsidRDefault="00BC4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6D3A9" w14:textId="77777777" w:rsidR="00EA156E" w:rsidRDefault="00EA156E" w:rsidP="00BC4155">
      <w:pPr>
        <w:spacing w:after="0" w:line="240" w:lineRule="auto"/>
      </w:pPr>
      <w:r>
        <w:separator/>
      </w:r>
    </w:p>
  </w:footnote>
  <w:footnote w:type="continuationSeparator" w:id="0">
    <w:p w14:paraId="4AB8C70E" w14:textId="77777777" w:rsidR="00EA156E" w:rsidRDefault="00EA156E" w:rsidP="00BC4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F74AB"/>
    <w:multiLevelType w:val="hybridMultilevel"/>
    <w:tmpl w:val="061CC0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0907405"/>
    <w:multiLevelType w:val="hybridMultilevel"/>
    <w:tmpl w:val="5D3C5A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E4B05B9"/>
    <w:multiLevelType w:val="hybridMultilevel"/>
    <w:tmpl w:val="7278D0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76371802">
    <w:abstractNumId w:val="0"/>
  </w:num>
  <w:num w:numId="2" w16cid:durableId="1243291532">
    <w:abstractNumId w:val="2"/>
  </w:num>
  <w:num w:numId="3" w16cid:durableId="935675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4D2"/>
    <w:rsid w:val="00012686"/>
    <w:rsid w:val="00026FC3"/>
    <w:rsid w:val="0004689C"/>
    <w:rsid w:val="00050CB9"/>
    <w:rsid w:val="000527CE"/>
    <w:rsid w:val="000B1E7A"/>
    <w:rsid w:val="00144D4A"/>
    <w:rsid w:val="001C78B4"/>
    <w:rsid w:val="00204ADB"/>
    <w:rsid w:val="00234E29"/>
    <w:rsid w:val="00235279"/>
    <w:rsid w:val="0036748C"/>
    <w:rsid w:val="0045636C"/>
    <w:rsid w:val="00460546"/>
    <w:rsid w:val="005037F5"/>
    <w:rsid w:val="0052643E"/>
    <w:rsid w:val="00547BDD"/>
    <w:rsid w:val="005604D2"/>
    <w:rsid w:val="007576E1"/>
    <w:rsid w:val="008214B6"/>
    <w:rsid w:val="00844F6F"/>
    <w:rsid w:val="008A0ADC"/>
    <w:rsid w:val="008D116D"/>
    <w:rsid w:val="00917F3E"/>
    <w:rsid w:val="00972955"/>
    <w:rsid w:val="009F3CBD"/>
    <w:rsid w:val="00A80AA2"/>
    <w:rsid w:val="00AE345C"/>
    <w:rsid w:val="00B209EB"/>
    <w:rsid w:val="00BC4155"/>
    <w:rsid w:val="00C72DA4"/>
    <w:rsid w:val="00D20631"/>
    <w:rsid w:val="00D406F2"/>
    <w:rsid w:val="00D407A4"/>
    <w:rsid w:val="00DD1CA5"/>
    <w:rsid w:val="00EA156E"/>
    <w:rsid w:val="00EE4C9D"/>
    <w:rsid w:val="00F15DF9"/>
    <w:rsid w:val="00FE0F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F3E1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6F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4689C"/>
    <w:pPr>
      <w:keepNext/>
      <w:keepLines/>
      <w:spacing w:after="0"/>
      <w:contextualSpacing/>
      <w:jc w:val="left"/>
      <w:outlineLvl w:val="0"/>
    </w:pPr>
    <w:rPr>
      <w:rFonts w:cs="Times New Roman"/>
      <w:b/>
      <w:bCs/>
      <w:color w:val="000000" w:themeColor="text1"/>
      <w:sz w:val="36"/>
    </w:rPr>
  </w:style>
  <w:style w:type="paragraph" w:styleId="Heading2">
    <w:name w:val="heading 2"/>
    <w:basedOn w:val="Normal"/>
    <w:next w:val="Normal"/>
    <w:link w:val="Heading2Char"/>
    <w:autoRedefine/>
    <w:uiPriority w:val="9"/>
    <w:unhideWhenUsed/>
    <w:qFormat/>
    <w:rsid w:val="00D406F2"/>
    <w:pPr>
      <w:keepNext/>
      <w:keepLines/>
      <w:spacing w:before="40" w:after="0"/>
      <w:outlineLvl w:val="1"/>
    </w:pPr>
    <w:rPr>
      <w:rFonts w:eastAsia="Times New Roman" w:cs="Times New Roman"/>
      <w:b/>
      <w:color w:val="000000" w:themeColor="text1"/>
      <w:sz w:val="32"/>
      <w:szCs w:val="32"/>
    </w:rPr>
  </w:style>
  <w:style w:type="paragraph" w:styleId="Heading3">
    <w:name w:val="heading 3"/>
    <w:basedOn w:val="Normal"/>
    <w:next w:val="Heading2"/>
    <w:link w:val="Heading3Char"/>
    <w:uiPriority w:val="9"/>
    <w:rsid w:val="00234E29"/>
    <w:pPr>
      <w:spacing w:before="100" w:beforeAutospacing="1" w:after="100" w:afterAutospacing="1"/>
      <w:outlineLvl w:val="2"/>
    </w:pPr>
    <w:rPr>
      <w:rFonts w:eastAsia="Times New Roman" w:cs="Times New Roman"/>
      <w:b/>
      <w:bCs/>
      <w:sz w:val="32"/>
      <w:szCs w:val="27"/>
      <w:lang w:eastAsia="en-IN"/>
    </w:rPr>
  </w:style>
  <w:style w:type="paragraph" w:styleId="Heading4">
    <w:name w:val="heading 4"/>
    <w:basedOn w:val="Normal"/>
    <w:next w:val="Normal"/>
    <w:link w:val="Heading4Char"/>
    <w:uiPriority w:val="9"/>
    <w:semiHidden/>
    <w:unhideWhenUsed/>
    <w:qFormat/>
    <w:rsid w:val="005604D2"/>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604D2"/>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5604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04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04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04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06F2"/>
    <w:rPr>
      <w:rFonts w:ascii="Times New Roman" w:eastAsia="Times New Roman" w:hAnsi="Times New Roman" w:cs="Times New Roman"/>
      <w:b/>
      <w:color w:val="000000" w:themeColor="text1"/>
      <w:sz w:val="32"/>
      <w:szCs w:val="32"/>
    </w:rPr>
  </w:style>
  <w:style w:type="character" w:customStyle="1" w:styleId="Heading1Char">
    <w:name w:val="Heading 1 Char"/>
    <w:basedOn w:val="DefaultParagraphFont"/>
    <w:link w:val="Heading1"/>
    <w:uiPriority w:val="9"/>
    <w:rsid w:val="0004689C"/>
    <w:rPr>
      <w:rFonts w:ascii="Times New Roman" w:hAnsi="Times New Roman" w:cs="Times New Roman"/>
      <w:b/>
      <w:bCs/>
      <w:color w:val="000000" w:themeColor="text1"/>
      <w:sz w:val="36"/>
    </w:rPr>
  </w:style>
  <w:style w:type="character" w:customStyle="1" w:styleId="Heading3Char">
    <w:name w:val="Heading 3 Char"/>
    <w:basedOn w:val="DefaultParagraphFont"/>
    <w:link w:val="Heading3"/>
    <w:uiPriority w:val="9"/>
    <w:rsid w:val="00234E29"/>
    <w:rPr>
      <w:rFonts w:ascii="Times New Roman" w:eastAsia="Times New Roman" w:hAnsi="Times New Roman" w:cs="Times New Roman"/>
      <w:b/>
      <w:bCs/>
      <w:sz w:val="32"/>
      <w:szCs w:val="27"/>
      <w:lang w:eastAsia="en-IN"/>
    </w:rPr>
  </w:style>
  <w:style w:type="character" w:customStyle="1" w:styleId="Heading4Char">
    <w:name w:val="Heading 4 Char"/>
    <w:basedOn w:val="DefaultParagraphFont"/>
    <w:link w:val="Heading4"/>
    <w:uiPriority w:val="9"/>
    <w:semiHidden/>
    <w:rsid w:val="005604D2"/>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5604D2"/>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5604D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604D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604D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604D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60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4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4D2"/>
    <w:pPr>
      <w:spacing w:before="160"/>
      <w:jc w:val="center"/>
    </w:pPr>
    <w:rPr>
      <w:i/>
      <w:iCs/>
      <w:color w:val="404040" w:themeColor="text1" w:themeTint="BF"/>
    </w:rPr>
  </w:style>
  <w:style w:type="character" w:customStyle="1" w:styleId="QuoteChar">
    <w:name w:val="Quote Char"/>
    <w:basedOn w:val="DefaultParagraphFont"/>
    <w:link w:val="Quote"/>
    <w:uiPriority w:val="29"/>
    <w:rsid w:val="005604D2"/>
    <w:rPr>
      <w:rFonts w:ascii="Times New Roman" w:hAnsi="Times New Roman"/>
      <w:i/>
      <w:iCs/>
      <w:color w:val="404040" w:themeColor="text1" w:themeTint="BF"/>
      <w:sz w:val="24"/>
    </w:rPr>
  </w:style>
  <w:style w:type="paragraph" w:styleId="ListParagraph">
    <w:name w:val="List Paragraph"/>
    <w:basedOn w:val="Normal"/>
    <w:uiPriority w:val="34"/>
    <w:qFormat/>
    <w:rsid w:val="005604D2"/>
    <w:pPr>
      <w:ind w:left="720"/>
      <w:contextualSpacing/>
    </w:pPr>
  </w:style>
  <w:style w:type="character" w:styleId="IntenseEmphasis">
    <w:name w:val="Intense Emphasis"/>
    <w:basedOn w:val="DefaultParagraphFont"/>
    <w:uiPriority w:val="21"/>
    <w:qFormat/>
    <w:rsid w:val="005604D2"/>
    <w:rPr>
      <w:i/>
      <w:iCs/>
      <w:color w:val="2E74B5" w:themeColor="accent1" w:themeShade="BF"/>
    </w:rPr>
  </w:style>
  <w:style w:type="paragraph" w:styleId="IntenseQuote">
    <w:name w:val="Intense Quote"/>
    <w:basedOn w:val="Normal"/>
    <w:next w:val="Normal"/>
    <w:link w:val="IntenseQuoteChar"/>
    <w:uiPriority w:val="30"/>
    <w:qFormat/>
    <w:rsid w:val="005604D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604D2"/>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5604D2"/>
    <w:rPr>
      <w:b/>
      <w:bCs/>
      <w:smallCaps/>
      <w:color w:val="2E74B5" w:themeColor="accent1" w:themeShade="BF"/>
      <w:spacing w:val="5"/>
    </w:rPr>
  </w:style>
  <w:style w:type="table" w:styleId="GridTable4-Accent5">
    <w:name w:val="Grid Table 4 Accent 5"/>
    <w:basedOn w:val="TableNormal"/>
    <w:uiPriority w:val="49"/>
    <w:rsid w:val="00C72DA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4">
    <w:name w:val="Grid Table 4 Accent 4"/>
    <w:basedOn w:val="TableNormal"/>
    <w:uiPriority w:val="49"/>
    <w:rsid w:val="00C72DA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144D4A"/>
    <w:pPr>
      <w:spacing w:before="240" w:line="259" w:lineRule="auto"/>
      <w:contextualSpacing w:val="0"/>
      <w:outlineLvl w:val="9"/>
    </w:pPr>
    <w:rPr>
      <w:rFonts w:asciiTheme="majorHAnsi" w:eastAsiaTheme="majorEastAsia" w:hAnsiTheme="majorHAnsi" w:cstheme="majorBidi"/>
      <w:b w:val="0"/>
      <w:bCs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144D4A"/>
    <w:pPr>
      <w:spacing w:after="100"/>
    </w:pPr>
  </w:style>
  <w:style w:type="paragraph" w:styleId="TOC2">
    <w:name w:val="toc 2"/>
    <w:basedOn w:val="Normal"/>
    <w:next w:val="Normal"/>
    <w:autoRedefine/>
    <w:uiPriority w:val="39"/>
    <w:unhideWhenUsed/>
    <w:rsid w:val="00144D4A"/>
    <w:pPr>
      <w:spacing w:after="100"/>
      <w:ind w:left="240"/>
    </w:pPr>
  </w:style>
  <w:style w:type="character" w:styleId="Hyperlink">
    <w:name w:val="Hyperlink"/>
    <w:basedOn w:val="DefaultParagraphFont"/>
    <w:uiPriority w:val="99"/>
    <w:unhideWhenUsed/>
    <w:rsid w:val="00144D4A"/>
    <w:rPr>
      <w:color w:val="0563C1" w:themeColor="hyperlink"/>
      <w:u w:val="single"/>
    </w:rPr>
  </w:style>
  <w:style w:type="paragraph" w:styleId="Header">
    <w:name w:val="header"/>
    <w:basedOn w:val="Normal"/>
    <w:link w:val="HeaderChar"/>
    <w:uiPriority w:val="99"/>
    <w:unhideWhenUsed/>
    <w:rsid w:val="00BC4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155"/>
    <w:rPr>
      <w:rFonts w:ascii="Times New Roman" w:hAnsi="Times New Roman"/>
      <w:sz w:val="24"/>
    </w:rPr>
  </w:style>
  <w:style w:type="paragraph" w:styleId="Footer">
    <w:name w:val="footer"/>
    <w:basedOn w:val="Normal"/>
    <w:link w:val="FooterChar"/>
    <w:uiPriority w:val="99"/>
    <w:unhideWhenUsed/>
    <w:rsid w:val="00BC4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155"/>
    <w:rPr>
      <w:rFonts w:ascii="Times New Roman" w:hAnsi="Times New Roman"/>
      <w:sz w:val="24"/>
    </w:rPr>
  </w:style>
  <w:style w:type="paragraph" w:styleId="Caption">
    <w:name w:val="caption"/>
    <w:basedOn w:val="Normal"/>
    <w:next w:val="Normal"/>
    <w:uiPriority w:val="35"/>
    <w:unhideWhenUsed/>
    <w:qFormat/>
    <w:rsid w:val="0023527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D1C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 Id="rId22" Type="http://schemas.openxmlformats.org/officeDocument/2006/relationships/hyperlink" Target="https://whc.unesco.org/en/list/371/?utm_source=chatgpt.com"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AC2729-2572-462B-BB28-47738D46D777}" type="doc">
      <dgm:prSet loTypeId="urn:microsoft.com/office/officeart/2005/8/layout/vProcess5" loCatId="process" qsTypeId="urn:microsoft.com/office/officeart/2005/8/quickstyle/simple5" qsCatId="simple" csTypeId="urn:microsoft.com/office/officeart/2005/8/colors/colorful5" csCatId="colorful" phldr="1"/>
      <dgm:spPr/>
      <dgm:t>
        <a:bodyPr/>
        <a:lstStyle/>
        <a:p>
          <a:endParaRPr lang="en-IN"/>
        </a:p>
      </dgm:t>
    </dgm:pt>
    <dgm:pt modelId="{7392C48E-B0CC-4F63-876B-DBA6A86ED5F2}">
      <dgm:prSet phldrT="[Text]"/>
      <dgm:spPr/>
      <dgm:t>
        <a:bodyPr/>
        <a:lstStyle/>
        <a:p>
          <a:pPr>
            <a:buFont typeface="Arial" panose="020B0604020202020204" pitchFamily="34" charset="0"/>
            <a:buChar char="•"/>
          </a:pPr>
          <a:r>
            <a:rPr lang="en-IN"/>
            <a:t>Balance tourism growth with heritage protection</a:t>
          </a:r>
        </a:p>
      </dgm:t>
    </dgm:pt>
    <dgm:pt modelId="{288A7757-5DE7-4A33-B72C-8E1221370196}" type="parTrans" cxnId="{3D165F9F-11DC-4602-A4CF-55874580728E}">
      <dgm:prSet/>
      <dgm:spPr/>
      <dgm:t>
        <a:bodyPr/>
        <a:lstStyle/>
        <a:p>
          <a:endParaRPr lang="en-IN"/>
        </a:p>
      </dgm:t>
    </dgm:pt>
    <dgm:pt modelId="{5BC4FA54-3BA8-4FA8-90C3-2DE10EBB626A}" type="sibTrans" cxnId="{3D165F9F-11DC-4602-A4CF-55874580728E}">
      <dgm:prSet/>
      <dgm:spPr/>
      <dgm:t>
        <a:bodyPr/>
        <a:lstStyle/>
        <a:p>
          <a:endParaRPr lang="en-IN"/>
        </a:p>
      </dgm:t>
    </dgm:pt>
    <dgm:pt modelId="{5BA3A8B6-A296-4FD7-BE1E-8724D8C8C76C}">
      <dgm:prSet phldrT="[Text]" phldr="1"/>
      <dgm:spPr/>
      <dgm:t>
        <a:bodyPr/>
        <a:lstStyle/>
        <a:p>
          <a:endParaRPr lang="en-IN"/>
        </a:p>
      </dgm:t>
    </dgm:pt>
    <dgm:pt modelId="{32DD299F-4BBE-492C-BA63-D7A3F13BB4B0}" type="parTrans" cxnId="{8FB28411-14D4-4695-B144-9B6F73E07F69}">
      <dgm:prSet/>
      <dgm:spPr/>
      <dgm:t>
        <a:bodyPr/>
        <a:lstStyle/>
        <a:p>
          <a:endParaRPr lang="en-IN"/>
        </a:p>
      </dgm:t>
    </dgm:pt>
    <dgm:pt modelId="{FA338407-BF86-4DA9-84A4-2206EB8A655C}" type="sibTrans" cxnId="{8FB28411-14D4-4695-B144-9B6F73E07F69}">
      <dgm:prSet/>
      <dgm:spPr/>
      <dgm:t>
        <a:bodyPr/>
        <a:lstStyle/>
        <a:p>
          <a:endParaRPr lang="en-IN"/>
        </a:p>
      </dgm:t>
    </dgm:pt>
    <dgm:pt modelId="{EF970356-543F-45C5-8BA3-CEFADF58EB9C}">
      <dgm:prSet phldrT="[Text]" phldr="1"/>
      <dgm:spPr/>
      <dgm:t>
        <a:bodyPr/>
        <a:lstStyle/>
        <a:p>
          <a:endParaRPr lang="en-IN"/>
        </a:p>
      </dgm:t>
    </dgm:pt>
    <dgm:pt modelId="{7DF1962A-5811-47AA-A702-311D1426C1E9}" type="parTrans" cxnId="{78499B38-BB13-4009-937A-C9AA33586A88}">
      <dgm:prSet/>
      <dgm:spPr/>
      <dgm:t>
        <a:bodyPr/>
        <a:lstStyle/>
        <a:p>
          <a:endParaRPr lang="en-IN"/>
        </a:p>
      </dgm:t>
    </dgm:pt>
    <dgm:pt modelId="{495EF1BD-D084-4CDF-BF92-26AF10524320}" type="sibTrans" cxnId="{78499B38-BB13-4009-937A-C9AA33586A88}">
      <dgm:prSet/>
      <dgm:spPr/>
      <dgm:t>
        <a:bodyPr/>
        <a:lstStyle/>
        <a:p>
          <a:endParaRPr lang="en-IN"/>
        </a:p>
      </dgm:t>
    </dgm:pt>
    <dgm:pt modelId="{08F0ECDB-40CE-4CD7-9115-769E5D411650}">
      <dgm:prSet/>
      <dgm:spPr/>
      <dgm:t>
        <a:bodyPr/>
        <a:lstStyle/>
        <a:p>
          <a:pPr>
            <a:buFont typeface="Arial" panose="020B0604020202020204" pitchFamily="34" charset="0"/>
            <a:buChar char="•"/>
          </a:pPr>
          <a:r>
            <a:rPr lang="en-IN"/>
            <a:t>Ensure fairness in decision-making processes</a:t>
          </a:r>
        </a:p>
      </dgm:t>
    </dgm:pt>
    <dgm:pt modelId="{AEA5DD6A-B906-40F0-96B8-7B1AD0AEBA37}" type="parTrans" cxnId="{9F414053-5E81-4F7E-A1E5-FAEE63664744}">
      <dgm:prSet/>
      <dgm:spPr/>
      <dgm:t>
        <a:bodyPr/>
        <a:lstStyle/>
        <a:p>
          <a:endParaRPr lang="en-IN"/>
        </a:p>
      </dgm:t>
    </dgm:pt>
    <dgm:pt modelId="{A87B066D-822C-4778-B963-671565F2FC59}" type="sibTrans" cxnId="{9F414053-5E81-4F7E-A1E5-FAEE63664744}">
      <dgm:prSet/>
      <dgm:spPr/>
      <dgm:t>
        <a:bodyPr/>
        <a:lstStyle/>
        <a:p>
          <a:endParaRPr lang="en-IN"/>
        </a:p>
      </dgm:t>
    </dgm:pt>
    <dgm:pt modelId="{4BDAA5AC-E69F-4643-B314-DD9CFC5EB06C}">
      <dgm:prSet/>
      <dgm:spPr/>
      <dgm:t>
        <a:bodyPr/>
        <a:lstStyle/>
        <a:p>
          <a:pPr>
            <a:buFont typeface="Arial" panose="020B0604020202020204" pitchFamily="34" charset="0"/>
            <a:buChar char="•"/>
          </a:pPr>
          <a:r>
            <a:rPr lang="en-IN"/>
            <a:t>Protect local community interests</a:t>
          </a:r>
        </a:p>
      </dgm:t>
    </dgm:pt>
    <dgm:pt modelId="{AB567AB8-4954-4AA9-8DE2-05415FE625A3}" type="parTrans" cxnId="{B1F91B72-B6FC-482D-9AA9-FB26F74E0AC2}">
      <dgm:prSet/>
      <dgm:spPr/>
      <dgm:t>
        <a:bodyPr/>
        <a:lstStyle/>
        <a:p>
          <a:endParaRPr lang="en-IN"/>
        </a:p>
      </dgm:t>
    </dgm:pt>
    <dgm:pt modelId="{21C07053-18B8-4A40-863C-834EC4F705A2}" type="sibTrans" cxnId="{B1F91B72-B6FC-482D-9AA9-FB26F74E0AC2}">
      <dgm:prSet/>
      <dgm:spPr/>
      <dgm:t>
        <a:bodyPr/>
        <a:lstStyle/>
        <a:p>
          <a:endParaRPr lang="en-IN"/>
        </a:p>
      </dgm:t>
    </dgm:pt>
    <dgm:pt modelId="{8528D8FE-62B7-49EE-BED5-C0D5823B11A6}">
      <dgm:prSet/>
      <dgm:spPr/>
      <dgm:t>
        <a:bodyPr/>
        <a:lstStyle/>
        <a:p>
          <a:pPr>
            <a:buFont typeface="Arial" panose="020B0604020202020204" pitchFamily="34" charset="0"/>
            <a:buChar char="•"/>
          </a:pPr>
          <a:r>
            <a:rPr lang="en-IN"/>
            <a:t>Promote transparency in planning and communication</a:t>
          </a:r>
        </a:p>
      </dgm:t>
    </dgm:pt>
    <dgm:pt modelId="{9F90FE6D-4696-4932-B1E1-7D1B1C72A543}" type="parTrans" cxnId="{674EC6D4-37AE-4B82-AA2B-9672C8A58001}">
      <dgm:prSet/>
      <dgm:spPr/>
      <dgm:t>
        <a:bodyPr/>
        <a:lstStyle/>
        <a:p>
          <a:endParaRPr lang="en-IN"/>
        </a:p>
      </dgm:t>
    </dgm:pt>
    <dgm:pt modelId="{3D5C4F22-8848-4A05-80E1-05A2BB1A1B76}" type="sibTrans" cxnId="{674EC6D4-37AE-4B82-AA2B-9672C8A58001}">
      <dgm:prSet/>
      <dgm:spPr/>
      <dgm:t>
        <a:bodyPr/>
        <a:lstStyle/>
        <a:p>
          <a:endParaRPr lang="en-IN"/>
        </a:p>
      </dgm:t>
    </dgm:pt>
    <dgm:pt modelId="{1ECDA8B6-3363-4A9F-B15F-D34128422B29}">
      <dgm:prSet/>
      <dgm:spPr/>
      <dgm:t>
        <a:bodyPr/>
        <a:lstStyle/>
        <a:p>
          <a:pPr>
            <a:buFont typeface="Arial" panose="020B0604020202020204" pitchFamily="34" charset="0"/>
            <a:buChar char="•"/>
          </a:pPr>
          <a:r>
            <a:rPr lang="en-IN"/>
            <a:t>Avoid marginalisation of less powerful stakeholders</a:t>
          </a:r>
        </a:p>
      </dgm:t>
    </dgm:pt>
    <dgm:pt modelId="{2B7049B5-C6E3-46EC-9687-A80E8FE9DD0C}" type="parTrans" cxnId="{E74A0CF3-5530-427F-A743-F286C010418B}">
      <dgm:prSet/>
      <dgm:spPr/>
      <dgm:t>
        <a:bodyPr/>
        <a:lstStyle/>
        <a:p>
          <a:endParaRPr lang="en-IN"/>
        </a:p>
      </dgm:t>
    </dgm:pt>
    <dgm:pt modelId="{4F8E1A43-B0FC-4E73-8D0A-587548D15D3D}" type="sibTrans" cxnId="{E74A0CF3-5530-427F-A743-F286C010418B}">
      <dgm:prSet/>
      <dgm:spPr/>
      <dgm:t>
        <a:bodyPr/>
        <a:lstStyle/>
        <a:p>
          <a:endParaRPr lang="en-IN"/>
        </a:p>
      </dgm:t>
    </dgm:pt>
    <dgm:pt modelId="{E826D7A0-E5D0-40BD-A2B3-1ABED6314C08}">
      <dgm:prSet/>
      <dgm:spPr/>
      <dgm:t>
        <a:bodyPr/>
        <a:lstStyle/>
        <a:p>
          <a:endParaRPr lang="en-IN"/>
        </a:p>
      </dgm:t>
    </dgm:pt>
    <dgm:pt modelId="{455BBACB-E6FD-42E3-AB5C-D0A4FEDEE601}" type="parTrans" cxnId="{A8517DE7-250D-45F7-96E4-3BD61B9FE01B}">
      <dgm:prSet/>
      <dgm:spPr/>
      <dgm:t>
        <a:bodyPr/>
        <a:lstStyle/>
        <a:p>
          <a:endParaRPr lang="en-IN"/>
        </a:p>
      </dgm:t>
    </dgm:pt>
    <dgm:pt modelId="{83F35785-7ADF-4343-87E9-B866CCC28822}" type="sibTrans" cxnId="{A8517DE7-250D-45F7-96E4-3BD61B9FE01B}">
      <dgm:prSet/>
      <dgm:spPr/>
      <dgm:t>
        <a:bodyPr/>
        <a:lstStyle/>
        <a:p>
          <a:endParaRPr lang="en-IN"/>
        </a:p>
      </dgm:t>
    </dgm:pt>
    <dgm:pt modelId="{74A7C421-D065-4EA8-A00F-A71A15D4F963}">
      <dgm:prSet/>
      <dgm:spPr/>
      <dgm:t>
        <a:bodyPr/>
        <a:lstStyle/>
        <a:p>
          <a:endParaRPr lang="en-IN"/>
        </a:p>
      </dgm:t>
    </dgm:pt>
    <dgm:pt modelId="{ACD28D4D-DC4D-4C4E-876C-7AF3031DA1F6}" type="parTrans" cxnId="{5EC0E590-B341-486F-8EA1-7D64A21DDA0B}">
      <dgm:prSet/>
      <dgm:spPr/>
      <dgm:t>
        <a:bodyPr/>
        <a:lstStyle/>
        <a:p>
          <a:endParaRPr lang="en-IN"/>
        </a:p>
      </dgm:t>
    </dgm:pt>
    <dgm:pt modelId="{F0C6E2E8-4C00-4916-B9C3-2121DD346C5F}" type="sibTrans" cxnId="{5EC0E590-B341-486F-8EA1-7D64A21DDA0B}">
      <dgm:prSet/>
      <dgm:spPr/>
      <dgm:t>
        <a:bodyPr/>
        <a:lstStyle/>
        <a:p>
          <a:endParaRPr lang="en-IN"/>
        </a:p>
      </dgm:t>
    </dgm:pt>
    <dgm:pt modelId="{B73A26A3-D678-4098-92BE-20B494226425}">
      <dgm:prSet/>
      <dgm:spPr/>
      <dgm:t>
        <a:bodyPr/>
        <a:lstStyle/>
        <a:p>
          <a:endParaRPr lang="en-IN"/>
        </a:p>
      </dgm:t>
    </dgm:pt>
    <dgm:pt modelId="{2A2F1451-4EF6-4D8D-A742-6512B269BA81}" type="parTrans" cxnId="{BB71E13B-EF0B-4E00-A3E3-09050CECA7D5}">
      <dgm:prSet/>
      <dgm:spPr/>
      <dgm:t>
        <a:bodyPr/>
        <a:lstStyle/>
        <a:p>
          <a:endParaRPr lang="en-IN"/>
        </a:p>
      </dgm:t>
    </dgm:pt>
    <dgm:pt modelId="{8DC2EC15-4496-4F08-9E77-63F56D176369}" type="sibTrans" cxnId="{BB71E13B-EF0B-4E00-A3E3-09050CECA7D5}">
      <dgm:prSet/>
      <dgm:spPr/>
      <dgm:t>
        <a:bodyPr/>
        <a:lstStyle/>
        <a:p>
          <a:endParaRPr lang="en-IN"/>
        </a:p>
      </dgm:t>
    </dgm:pt>
    <dgm:pt modelId="{E5BF3D55-4E28-4AC5-9472-5A9FE51B8E00}">
      <dgm:prSet/>
      <dgm:spPr/>
      <dgm:t>
        <a:bodyPr/>
        <a:lstStyle/>
        <a:p>
          <a:endParaRPr lang="en-IN"/>
        </a:p>
      </dgm:t>
    </dgm:pt>
    <dgm:pt modelId="{85309CBA-FCC5-4A1B-A999-B94494478B30}" type="parTrans" cxnId="{410D9E6E-39DE-49F0-88EA-8E86BA44A310}">
      <dgm:prSet/>
      <dgm:spPr/>
      <dgm:t>
        <a:bodyPr/>
        <a:lstStyle/>
        <a:p>
          <a:endParaRPr lang="en-IN"/>
        </a:p>
      </dgm:t>
    </dgm:pt>
    <dgm:pt modelId="{9FB9BA23-2BB4-4DD5-BA9C-95650C60678E}" type="sibTrans" cxnId="{410D9E6E-39DE-49F0-88EA-8E86BA44A310}">
      <dgm:prSet/>
      <dgm:spPr/>
      <dgm:t>
        <a:bodyPr/>
        <a:lstStyle/>
        <a:p>
          <a:endParaRPr lang="en-IN"/>
        </a:p>
      </dgm:t>
    </dgm:pt>
    <dgm:pt modelId="{B29198CC-5581-428F-A8C0-914798CDB01E}">
      <dgm:prSet/>
      <dgm:spPr/>
      <dgm:t>
        <a:bodyPr/>
        <a:lstStyle/>
        <a:p>
          <a:endParaRPr lang="en-IN"/>
        </a:p>
      </dgm:t>
    </dgm:pt>
    <dgm:pt modelId="{6D6AA20B-2F15-40EE-821F-A46628D7E484}" type="parTrans" cxnId="{46FD80EA-E1D0-4E78-AB4A-3EB535F118C6}">
      <dgm:prSet/>
      <dgm:spPr/>
      <dgm:t>
        <a:bodyPr/>
        <a:lstStyle/>
        <a:p>
          <a:endParaRPr lang="en-IN"/>
        </a:p>
      </dgm:t>
    </dgm:pt>
    <dgm:pt modelId="{9D29AD2F-D190-4958-A138-3BDCE1248721}" type="sibTrans" cxnId="{46FD80EA-E1D0-4E78-AB4A-3EB535F118C6}">
      <dgm:prSet/>
      <dgm:spPr/>
      <dgm:t>
        <a:bodyPr/>
        <a:lstStyle/>
        <a:p>
          <a:endParaRPr lang="en-IN"/>
        </a:p>
      </dgm:t>
    </dgm:pt>
    <dgm:pt modelId="{3585C06E-0AFD-4DE0-A2A4-66F56EAEE58A}" type="pres">
      <dgm:prSet presAssocID="{A3AC2729-2572-462B-BB28-47738D46D777}" presName="outerComposite" presStyleCnt="0">
        <dgm:presLayoutVars>
          <dgm:chMax val="5"/>
          <dgm:dir/>
          <dgm:resizeHandles val="exact"/>
        </dgm:presLayoutVars>
      </dgm:prSet>
      <dgm:spPr/>
    </dgm:pt>
    <dgm:pt modelId="{AA45EDCF-0D1F-4664-A245-231A5867C372}" type="pres">
      <dgm:prSet presAssocID="{A3AC2729-2572-462B-BB28-47738D46D777}" presName="dummyMaxCanvas" presStyleCnt="0">
        <dgm:presLayoutVars/>
      </dgm:prSet>
      <dgm:spPr/>
    </dgm:pt>
    <dgm:pt modelId="{FF5C17F5-D3BE-478C-BA89-E70599E20D30}" type="pres">
      <dgm:prSet presAssocID="{A3AC2729-2572-462B-BB28-47738D46D777}" presName="FiveNodes_1" presStyleLbl="node1" presStyleIdx="0" presStyleCnt="5">
        <dgm:presLayoutVars>
          <dgm:bulletEnabled val="1"/>
        </dgm:presLayoutVars>
      </dgm:prSet>
      <dgm:spPr/>
    </dgm:pt>
    <dgm:pt modelId="{DDF89AA9-F24B-4750-BA42-FADA388929C7}" type="pres">
      <dgm:prSet presAssocID="{A3AC2729-2572-462B-BB28-47738D46D777}" presName="FiveNodes_2" presStyleLbl="node1" presStyleIdx="1" presStyleCnt="5">
        <dgm:presLayoutVars>
          <dgm:bulletEnabled val="1"/>
        </dgm:presLayoutVars>
      </dgm:prSet>
      <dgm:spPr/>
    </dgm:pt>
    <dgm:pt modelId="{DC949FFD-488C-401A-BBF3-D51A705CE13C}" type="pres">
      <dgm:prSet presAssocID="{A3AC2729-2572-462B-BB28-47738D46D777}" presName="FiveNodes_3" presStyleLbl="node1" presStyleIdx="2" presStyleCnt="5">
        <dgm:presLayoutVars>
          <dgm:bulletEnabled val="1"/>
        </dgm:presLayoutVars>
      </dgm:prSet>
      <dgm:spPr/>
    </dgm:pt>
    <dgm:pt modelId="{FDD3C04B-A80C-4407-909C-3AB33136DCFA}" type="pres">
      <dgm:prSet presAssocID="{A3AC2729-2572-462B-BB28-47738D46D777}" presName="FiveNodes_4" presStyleLbl="node1" presStyleIdx="3" presStyleCnt="5">
        <dgm:presLayoutVars>
          <dgm:bulletEnabled val="1"/>
        </dgm:presLayoutVars>
      </dgm:prSet>
      <dgm:spPr/>
    </dgm:pt>
    <dgm:pt modelId="{566CC55E-D203-4BC0-932F-8FA9355423F1}" type="pres">
      <dgm:prSet presAssocID="{A3AC2729-2572-462B-BB28-47738D46D777}" presName="FiveNodes_5" presStyleLbl="node1" presStyleIdx="4" presStyleCnt="5">
        <dgm:presLayoutVars>
          <dgm:bulletEnabled val="1"/>
        </dgm:presLayoutVars>
      </dgm:prSet>
      <dgm:spPr/>
    </dgm:pt>
    <dgm:pt modelId="{CCF435EA-38EE-4DBE-A87A-1A1E1B46F528}" type="pres">
      <dgm:prSet presAssocID="{A3AC2729-2572-462B-BB28-47738D46D777}" presName="FiveConn_1-2" presStyleLbl="fgAccFollowNode1" presStyleIdx="0" presStyleCnt="4">
        <dgm:presLayoutVars>
          <dgm:bulletEnabled val="1"/>
        </dgm:presLayoutVars>
      </dgm:prSet>
      <dgm:spPr/>
    </dgm:pt>
    <dgm:pt modelId="{B0E391F0-A978-40AE-85F7-89E97E358D4F}" type="pres">
      <dgm:prSet presAssocID="{A3AC2729-2572-462B-BB28-47738D46D777}" presName="FiveConn_2-3" presStyleLbl="fgAccFollowNode1" presStyleIdx="1" presStyleCnt="4">
        <dgm:presLayoutVars>
          <dgm:bulletEnabled val="1"/>
        </dgm:presLayoutVars>
      </dgm:prSet>
      <dgm:spPr/>
    </dgm:pt>
    <dgm:pt modelId="{0CFEB41F-17E3-45CE-BF95-0FD0ACD33526}" type="pres">
      <dgm:prSet presAssocID="{A3AC2729-2572-462B-BB28-47738D46D777}" presName="FiveConn_3-4" presStyleLbl="fgAccFollowNode1" presStyleIdx="2" presStyleCnt="4">
        <dgm:presLayoutVars>
          <dgm:bulletEnabled val="1"/>
        </dgm:presLayoutVars>
      </dgm:prSet>
      <dgm:spPr/>
    </dgm:pt>
    <dgm:pt modelId="{36657B6C-FE5E-4E90-A9F5-EEEED6EACE20}" type="pres">
      <dgm:prSet presAssocID="{A3AC2729-2572-462B-BB28-47738D46D777}" presName="FiveConn_4-5" presStyleLbl="fgAccFollowNode1" presStyleIdx="3" presStyleCnt="4">
        <dgm:presLayoutVars>
          <dgm:bulletEnabled val="1"/>
        </dgm:presLayoutVars>
      </dgm:prSet>
      <dgm:spPr/>
    </dgm:pt>
    <dgm:pt modelId="{9BF56E6B-9CBC-4154-B92C-CEF99BC8D5E4}" type="pres">
      <dgm:prSet presAssocID="{A3AC2729-2572-462B-BB28-47738D46D777}" presName="FiveNodes_1_text" presStyleLbl="node1" presStyleIdx="4" presStyleCnt="5">
        <dgm:presLayoutVars>
          <dgm:bulletEnabled val="1"/>
        </dgm:presLayoutVars>
      </dgm:prSet>
      <dgm:spPr/>
    </dgm:pt>
    <dgm:pt modelId="{0AD6056C-256B-40D7-85C6-800169241A07}" type="pres">
      <dgm:prSet presAssocID="{A3AC2729-2572-462B-BB28-47738D46D777}" presName="FiveNodes_2_text" presStyleLbl="node1" presStyleIdx="4" presStyleCnt="5">
        <dgm:presLayoutVars>
          <dgm:bulletEnabled val="1"/>
        </dgm:presLayoutVars>
      </dgm:prSet>
      <dgm:spPr/>
    </dgm:pt>
    <dgm:pt modelId="{CAD75699-233C-464B-B1EC-8BA5968AE62B}" type="pres">
      <dgm:prSet presAssocID="{A3AC2729-2572-462B-BB28-47738D46D777}" presName="FiveNodes_3_text" presStyleLbl="node1" presStyleIdx="4" presStyleCnt="5">
        <dgm:presLayoutVars>
          <dgm:bulletEnabled val="1"/>
        </dgm:presLayoutVars>
      </dgm:prSet>
      <dgm:spPr/>
    </dgm:pt>
    <dgm:pt modelId="{96B0AB5B-95E0-4554-BE54-6E565BA85C76}" type="pres">
      <dgm:prSet presAssocID="{A3AC2729-2572-462B-BB28-47738D46D777}" presName="FiveNodes_4_text" presStyleLbl="node1" presStyleIdx="4" presStyleCnt="5">
        <dgm:presLayoutVars>
          <dgm:bulletEnabled val="1"/>
        </dgm:presLayoutVars>
      </dgm:prSet>
      <dgm:spPr/>
    </dgm:pt>
    <dgm:pt modelId="{79C339CE-0951-45BB-8495-6058223314D3}" type="pres">
      <dgm:prSet presAssocID="{A3AC2729-2572-462B-BB28-47738D46D777}" presName="FiveNodes_5_text" presStyleLbl="node1" presStyleIdx="4" presStyleCnt="5">
        <dgm:presLayoutVars>
          <dgm:bulletEnabled val="1"/>
        </dgm:presLayoutVars>
      </dgm:prSet>
      <dgm:spPr/>
    </dgm:pt>
  </dgm:ptLst>
  <dgm:cxnLst>
    <dgm:cxn modelId="{8FB28411-14D4-4695-B144-9B6F73E07F69}" srcId="{A3AC2729-2572-462B-BB28-47738D46D777}" destId="{5BA3A8B6-A296-4FD7-BE1E-8724D8C8C76C}" srcOrd="10" destOrd="0" parTransId="{32DD299F-4BBE-492C-BA63-D7A3F13BB4B0}" sibTransId="{FA338407-BF86-4DA9-84A4-2206EB8A655C}"/>
    <dgm:cxn modelId="{0D4A0E1E-0B78-4551-8DB6-23096903B051}" type="presOf" srcId="{4BDAA5AC-E69F-4643-B314-DD9CFC5EB06C}" destId="{CAD75699-233C-464B-B1EC-8BA5968AE62B}" srcOrd="1" destOrd="0" presId="urn:microsoft.com/office/officeart/2005/8/layout/vProcess5"/>
    <dgm:cxn modelId="{503ACD34-9458-420D-A405-754035EF4B32}" type="presOf" srcId="{1ECDA8B6-3363-4A9F-B15F-D34128422B29}" destId="{566CC55E-D203-4BC0-932F-8FA9355423F1}" srcOrd="0" destOrd="0" presId="urn:microsoft.com/office/officeart/2005/8/layout/vProcess5"/>
    <dgm:cxn modelId="{78499B38-BB13-4009-937A-C9AA33586A88}" srcId="{A3AC2729-2572-462B-BB28-47738D46D777}" destId="{EF970356-543F-45C5-8BA3-CEFADF58EB9C}" srcOrd="11" destOrd="0" parTransId="{7DF1962A-5811-47AA-A702-311D1426C1E9}" sibTransId="{495EF1BD-D084-4CDF-BF92-26AF10524320}"/>
    <dgm:cxn modelId="{BB71E13B-EF0B-4E00-A3E3-09050CECA7D5}" srcId="{A3AC2729-2572-462B-BB28-47738D46D777}" destId="{B73A26A3-D678-4098-92BE-20B494226425}" srcOrd="7" destOrd="0" parTransId="{2A2F1451-4EF6-4D8D-A742-6512B269BA81}" sibTransId="{8DC2EC15-4496-4F08-9E77-63F56D176369}"/>
    <dgm:cxn modelId="{2858013F-BE20-483A-860A-545BBA3457D5}" type="presOf" srcId="{8528D8FE-62B7-49EE-BED5-C0D5823B11A6}" destId="{FDD3C04B-A80C-4407-909C-3AB33136DCFA}" srcOrd="0" destOrd="0" presId="urn:microsoft.com/office/officeart/2005/8/layout/vProcess5"/>
    <dgm:cxn modelId="{346F5C5D-0B83-43A1-812D-53D26CBCA460}" type="presOf" srcId="{3D5C4F22-8848-4A05-80E1-05A2BB1A1B76}" destId="{36657B6C-FE5E-4E90-A9F5-EEEED6EACE20}" srcOrd="0" destOrd="0" presId="urn:microsoft.com/office/officeart/2005/8/layout/vProcess5"/>
    <dgm:cxn modelId="{A6021E49-A27B-4BC7-A3BC-1E2A5A2117CD}" type="presOf" srcId="{1ECDA8B6-3363-4A9F-B15F-D34128422B29}" destId="{79C339CE-0951-45BB-8495-6058223314D3}" srcOrd="1" destOrd="0" presId="urn:microsoft.com/office/officeart/2005/8/layout/vProcess5"/>
    <dgm:cxn modelId="{410D9E6E-39DE-49F0-88EA-8E86BA44A310}" srcId="{A3AC2729-2572-462B-BB28-47738D46D777}" destId="{E5BF3D55-4E28-4AC5-9472-5A9FE51B8E00}" srcOrd="8" destOrd="0" parTransId="{85309CBA-FCC5-4A1B-A999-B94494478B30}" sibTransId="{9FB9BA23-2BB4-4DD5-BA9C-95650C60678E}"/>
    <dgm:cxn modelId="{B1F91B72-B6FC-482D-9AA9-FB26F74E0AC2}" srcId="{A3AC2729-2572-462B-BB28-47738D46D777}" destId="{4BDAA5AC-E69F-4643-B314-DD9CFC5EB06C}" srcOrd="2" destOrd="0" parTransId="{AB567AB8-4954-4AA9-8DE2-05415FE625A3}" sibTransId="{21C07053-18B8-4A40-863C-834EC4F705A2}"/>
    <dgm:cxn modelId="{927C2953-7846-42CC-804A-CC3DF142B986}" type="presOf" srcId="{4BDAA5AC-E69F-4643-B314-DD9CFC5EB06C}" destId="{DC949FFD-488C-401A-BBF3-D51A705CE13C}" srcOrd="0" destOrd="0" presId="urn:microsoft.com/office/officeart/2005/8/layout/vProcess5"/>
    <dgm:cxn modelId="{9F414053-5E81-4F7E-A1E5-FAEE63664744}" srcId="{A3AC2729-2572-462B-BB28-47738D46D777}" destId="{08F0ECDB-40CE-4CD7-9115-769E5D411650}" srcOrd="1" destOrd="0" parTransId="{AEA5DD6A-B906-40F0-96B8-7B1AD0AEBA37}" sibTransId="{A87B066D-822C-4778-B963-671565F2FC59}"/>
    <dgm:cxn modelId="{5EC0E590-B341-486F-8EA1-7D64A21DDA0B}" srcId="{A3AC2729-2572-462B-BB28-47738D46D777}" destId="{74A7C421-D065-4EA8-A00F-A71A15D4F963}" srcOrd="6" destOrd="0" parTransId="{ACD28D4D-DC4D-4C4E-876C-7AF3031DA1F6}" sibTransId="{F0C6E2E8-4C00-4916-B9C3-2121DD346C5F}"/>
    <dgm:cxn modelId="{C4BC5D92-79FC-4E44-AB3B-0B3FF409C846}" type="presOf" srcId="{21C07053-18B8-4A40-863C-834EC4F705A2}" destId="{0CFEB41F-17E3-45CE-BF95-0FD0ACD33526}" srcOrd="0" destOrd="0" presId="urn:microsoft.com/office/officeart/2005/8/layout/vProcess5"/>
    <dgm:cxn modelId="{3D165F9F-11DC-4602-A4CF-55874580728E}" srcId="{A3AC2729-2572-462B-BB28-47738D46D777}" destId="{7392C48E-B0CC-4F63-876B-DBA6A86ED5F2}" srcOrd="0" destOrd="0" parTransId="{288A7757-5DE7-4A33-B72C-8E1221370196}" sibTransId="{5BC4FA54-3BA8-4FA8-90C3-2DE10EBB626A}"/>
    <dgm:cxn modelId="{EF6CACB3-CE4F-44FE-9A33-F9414063DD61}" type="presOf" srcId="{A3AC2729-2572-462B-BB28-47738D46D777}" destId="{3585C06E-0AFD-4DE0-A2A4-66F56EAEE58A}" srcOrd="0" destOrd="0" presId="urn:microsoft.com/office/officeart/2005/8/layout/vProcess5"/>
    <dgm:cxn modelId="{0895F6B3-961E-44C3-8CF1-EC29E3E6F11F}" type="presOf" srcId="{08F0ECDB-40CE-4CD7-9115-769E5D411650}" destId="{0AD6056C-256B-40D7-85C6-800169241A07}" srcOrd="1" destOrd="0" presId="urn:microsoft.com/office/officeart/2005/8/layout/vProcess5"/>
    <dgm:cxn modelId="{DFD094B6-A703-4052-9E81-9DCE297964F4}" type="presOf" srcId="{7392C48E-B0CC-4F63-876B-DBA6A86ED5F2}" destId="{9BF56E6B-9CBC-4154-B92C-CEF99BC8D5E4}" srcOrd="1" destOrd="0" presId="urn:microsoft.com/office/officeart/2005/8/layout/vProcess5"/>
    <dgm:cxn modelId="{D46113C6-9068-458A-B6AD-9130C1E632C4}" type="presOf" srcId="{5BC4FA54-3BA8-4FA8-90C3-2DE10EBB626A}" destId="{CCF435EA-38EE-4DBE-A87A-1A1E1B46F528}" srcOrd="0" destOrd="0" presId="urn:microsoft.com/office/officeart/2005/8/layout/vProcess5"/>
    <dgm:cxn modelId="{674EC6D4-37AE-4B82-AA2B-9672C8A58001}" srcId="{A3AC2729-2572-462B-BB28-47738D46D777}" destId="{8528D8FE-62B7-49EE-BED5-C0D5823B11A6}" srcOrd="3" destOrd="0" parTransId="{9F90FE6D-4696-4932-B1E1-7D1B1C72A543}" sibTransId="{3D5C4F22-8848-4A05-80E1-05A2BB1A1B76}"/>
    <dgm:cxn modelId="{A8517DE7-250D-45F7-96E4-3BD61B9FE01B}" srcId="{A3AC2729-2572-462B-BB28-47738D46D777}" destId="{E826D7A0-E5D0-40BD-A2B3-1ABED6314C08}" srcOrd="5" destOrd="0" parTransId="{455BBACB-E6FD-42E3-AB5C-D0A4FEDEE601}" sibTransId="{83F35785-7ADF-4343-87E9-B866CCC28822}"/>
    <dgm:cxn modelId="{BE3329EA-F9D5-457E-8211-DA81FF20B876}" type="presOf" srcId="{08F0ECDB-40CE-4CD7-9115-769E5D411650}" destId="{DDF89AA9-F24B-4750-BA42-FADA388929C7}" srcOrd="0" destOrd="0" presId="urn:microsoft.com/office/officeart/2005/8/layout/vProcess5"/>
    <dgm:cxn modelId="{46FD80EA-E1D0-4E78-AB4A-3EB535F118C6}" srcId="{A3AC2729-2572-462B-BB28-47738D46D777}" destId="{B29198CC-5581-428F-A8C0-914798CDB01E}" srcOrd="9" destOrd="0" parTransId="{6D6AA20B-2F15-40EE-821F-A46628D7E484}" sibTransId="{9D29AD2F-D190-4958-A138-3BDCE1248721}"/>
    <dgm:cxn modelId="{E74A0CF3-5530-427F-A743-F286C010418B}" srcId="{A3AC2729-2572-462B-BB28-47738D46D777}" destId="{1ECDA8B6-3363-4A9F-B15F-D34128422B29}" srcOrd="4" destOrd="0" parTransId="{2B7049B5-C6E3-46EC-9687-A80E8FE9DD0C}" sibTransId="{4F8E1A43-B0FC-4E73-8D0A-587548D15D3D}"/>
    <dgm:cxn modelId="{D93B5EF9-E97C-430A-B5C4-057778C50800}" type="presOf" srcId="{7392C48E-B0CC-4F63-876B-DBA6A86ED5F2}" destId="{FF5C17F5-D3BE-478C-BA89-E70599E20D30}" srcOrd="0" destOrd="0" presId="urn:microsoft.com/office/officeart/2005/8/layout/vProcess5"/>
    <dgm:cxn modelId="{1D779EFC-CED2-4918-A522-78DF83F608BD}" type="presOf" srcId="{8528D8FE-62B7-49EE-BED5-C0D5823B11A6}" destId="{96B0AB5B-95E0-4554-BE54-6E565BA85C76}" srcOrd="1" destOrd="0" presId="urn:microsoft.com/office/officeart/2005/8/layout/vProcess5"/>
    <dgm:cxn modelId="{CB9E2EFE-FB9C-4780-9A7E-F122327E84B5}" type="presOf" srcId="{A87B066D-822C-4778-B963-671565F2FC59}" destId="{B0E391F0-A978-40AE-85F7-89E97E358D4F}" srcOrd="0" destOrd="0" presId="urn:microsoft.com/office/officeart/2005/8/layout/vProcess5"/>
    <dgm:cxn modelId="{685B2C12-2A46-4D2E-87BB-0519266D7B5A}" type="presParOf" srcId="{3585C06E-0AFD-4DE0-A2A4-66F56EAEE58A}" destId="{AA45EDCF-0D1F-4664-A245-231A5867C372}" srcOrd="0" destOrd="0" presId="urn:microsoft.com/office/officeart/2005/8/layout/vProcess5"/>
    <dgm:cxn modelId="{D54E3820-D143-4CC2-A056-9C89936E4423}" type="presParOf" srcId="{3585C06E-0AFD-4DE0-A2A4-66F56EAEE58A}" destId="{FF5C17F5-D3BE-478C-BA89-E70599E20D30}" srcOrd="1" destOrd="0" presId="urn:microsoft.com/office/officeart/2005/8/layout/vProcess5"/>
    <dgm:cxn modelId="{6BBF87D9-EEC1-4AB3-9221-9EFC5A133B0B}" type="presParOf" srcId="{3585C06E-0AFD-4DE0-A2A4-66F56EAEE58A}" destId="{DDF89AA9-F24B-4750-BA42-FADA388929C7}" srcOrd="2" destOrd="0" presId="urn:microsoft.com/office/officeart/2005/8/layout/vProcess5"/>
    <dgm:cxn modelId="{1AFF569C-5587-4A51-94CE-DF474333A385}" type="presParOf" srcId="{3585C06E-0AFD-4DE0-A2A4-66F56EAEE58A}" destId="{DC949FFD-488C-401A-BBF3-D51A705CE13C}" srcOrd="3" destOrd="0" presId="urn:microsoft.com/office/officeart/2005/8/layout/vProcess5"/>
    <dgm:cxn modelId="{39B226B0-EE5C-4FAE-88E2-BBFCBE5036B1}" type="presParOf" srcId="{3585C06E-0AFD-4DE0-A2A4-66F56EAEE58A}" destId="{FDD3C04B-A80C-4407-909C-3AB33136DCFA}" srcOrd="4" destOrd="0" presId="urn:microsoft.com/office/officeart/2005/8/layout/vProcess5"/>
    <dgm:cxn modelId="{007CC9E4-8D7B-4EDE-9E8C-9BFDE3C859CE}" type="presParOf" srcId="{3585C06E-0AFD-4DE0-A2A4-66F56EAEE58A}" destId="{566CC55E-D203-4BC0-932F-8FA9355423F1}" srcOrd="5" destOrd="0" presId="urn:microsoft.com/office/officeart/2005/8/layout/vProcess5"/>
    <dgm:cxn modelId="{10D781D8-2D8B-466A-928F-C750C58996B3}" type="presParOf" srcId="{3585C06E-0AFD-4DE0-A2A4-66F56EAEE58A}" destId="{CCF435EA-38EE-4DBE-A87A-1A1E1B46F528}" srcOrd="6" destOrd="0" presId="urn:microsoft.com/office/officeart/2005/8/layout/vProcess5"/>
    <dgm:cxn modelId="{9FDFAE9B-6085-46F2-9B86-F818B05992CC}" type="presParOf" srcId="{3585C06E-0AFD-4DE0-A2A4-66F56EAEE58A}" destId="{B0E391F0-A978-40AE-85F7-89E97E358D4F}" srcOrd="7" destOrd="0" presId="urn:microsoft.com/office/officeart/2005/8/layout/vProcess5"/>
    <dgm:cxn modelId="{5A4D8FA6-EE9B-44E8-BB53-A9E124F61D81}" type="presParOf" srcId="{3585C06E-0AFD-4DE0-A2A4-66F56EAEE58A}" destId="{0CFEB41F-17E3-45CE-BF95-0FD0ACD33526}" srcOrd="8" destOrd="0" presId="urn:microsoft.com/office/officeart/2005/8/layout/vProcess5"/>
    <dgm:cxn modelId="{B24BA46E-9414-42E8-BA4E-E28149430585}" type="presParOf" srcId="{3585C06E-0AFD-4DE0-A2A4-66F56EAEE58A}" destId="{36657B6C-FE5E-4E90-A9F5-EEEED6EACE20}" srcOrd="9" destOrd="0" presId="urn:microsoft.com/office/officeart/2005/8/layout/vProcess5"/>
    <dgm:cxn modelId="{63651EA1-3414-458F-B0B5-EE6125D536D0}" type="presParOf" srcId="{3585C06E-0AFD-4DE0-A2A4-66F56EAEE58A}" destId="{9BF56E6B-9CBC-4154-B92C-CEF99BC8D5E4}" srcOrd="10" destOrd="0" presId="urn:microsoft.com/office/officeart/2005/8/layout/vProcess5"/>
    <dgm:cxn modelId="{7997E16D-AB95-4411-84ED-5D5C47DAF3B0}" type="presParOf" srcId="{3585C06E-0AFD-4DE0-A2A4-66F56EAEE58A}" destId="{0AD6056C-256B-40D7-85C6-800169241A07}" srcOrd="11" destOrd="0" presId="urn:microsoft.com/office/officeart/2005/8/layout/vProcess5"/>
    <dgm:cxn modelId="{2620FC29-6B3E-43E2-871C-31B2ECC2B31F}" type="presParOf" srcId="{3585C06E-0AFD-4DE0-A2A4-66F56EAEE58A}" destId="{CAD75699-233C-464B-B1EC-8BA5968AE62B}" srcOrd="12" destOrd="0" presId="urn:microsoft.com/office/officeart/2005/8/layout/vProcess5"/>
    <dgm:cxn modelId="{0E7204E7-3099-4115-A3C1-F136F3D730CE}" type="presParOf" srcId="{3585C06E-0AFD-4DE0-A2A4-66F56EAEE58A}" destId="{96B0AB5B-95E0-4554-BE54-6E565BA85C76}" srcOrd="13" destOrd="0" presId="urn:microsoft.com/office/officeart/2005/8/layout/vProcess5"/>
    <dgm:cxn modelId="{17A61036-2763-46AD-BBBA-042C70F23702}" type="presParOf" srcId="{3585C06E-0AFD-4DE0-A2A4-66F56EAEE58A}" destId="{79C339CE-0951-45BB-8495-6058223314D3}" srcOrd="14" destOrd="0" presId="urn:microsoft.com/office/officeart/2005/8/layout/vProcess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3CFEB20-27EA-4B46-9BE2-B3C4F73C82A6}" type="doc">
      <dgm:prSet loTypeId="urn:microsoft.com/office/officeart/2008/layout/VerticalCurvedList" loCatId="list" qsTypeId="urn:microsoft.com/office/officeart/2005/8/quickstyle/simple5" qsCatId="simple" csTypeId="urn:microsoft.com/office/officeart/2005/8/colors/accent2_4" csCatId="accent2" phldr="1"/>
      <dgm:spPr/>
      <dgm:t>
        <a:bodyPr/>
        <a:lstStyle/>
        <a:p>
          <a:endParaRPr lang="en-IN"/>
        </a:p>
      </dgm:t>
    </dgm:pt>
    <dgm:pt modelId="{C7113689-0B14-4FC5-8336-3A6CD58873B9}">
      <dgm:prSet phldrT="[Text]"/>
      <dgm:spPr/>
      <dgm:t>
        <a:bodyPr/>
        <a:lstStyle/>
        <a:p>
          <a:pPr>
            <a:buNone/>
          </a:pPr>
          <a:r>
            <a:rPr lang="en-IN"/>
            <a:t>Recognised complexity of stakeholder relationships</a:t>
          </a:r>
        </a:p>
      </dgm:t>
    </dgm:pt>
    <dgm:pt modelId="{830F7E31-8C68-40B2-93D2-775AC3040F3B}" type="parTrans" cxnId="{54D7559D-78BC-45E4-9A03-4A7A4CA7B0B2}">
      <dgm:prSet/>
      <dgm:spPr/>
      <dgm:t>
        <a:bodyPr/>
        <a:lstStyle/>
        <a:p>
          <a:endParaRPr lang="en-IN"/>
        </a:p>
      </dgm:t>
    </dgm:pt>
    <dgm:pt modelId="{9E03EDF9-1E95-439D-8D69-961CAE968AE0}" type="sibTrans" cxnId="{54D7559D-78BC-45E4-9A03-4A7A4CA7B0B2}">
      <dgm:prSet/>
      <dgm:spPr/>
      <dgm:t>
        <a:bodyPr/>
        <a:lstStyle/>
        <a:p>
          <a:endParaRPr lang="en-IN"/>
        </a:p>
      </dgm:t>
    </dgm:pt>
    <dgm:pt modelId="{56B5EBC5-5204-4B9D-9BB0-2B958FFDBBE8}">
      <dgm:prSet/>
      <dgm:spPr/>
      <dgm:t>
        <a:bodyPr/>
        <a:lstStyle/>
        <a:p>
          <a:pPr>
            <a:buNone/>
          </a:pPr>
          <a:r>
            <a:rPr lang="en-IN"/>
            <a:t>Understood importance of collaboration</a:t>
          </a:r>
        </a:p>
      </dgm:t>
    </dgm:pt>
    <dgm:pt modelId="{522710BD-08D3-438C-BB4D-650A82476103}" type="parTrans" cxnId="{493D0243-C947-4B66-94B9-B8095086E6BB}">
      <dgm:prSet/>
      <dgm:spPr/>
      <dgm:t>
        <a:bodyPr/>
        <a:lstStyle/>
        <a:p>
          <a:endParaRPr lang="en-IN"/>
        </a:p>
      </dgm:t>
    </dgm:pt>
    <dgm:pt modelId="{752C5B07-DA2D-45BE-AA03-A4BD2C144EEF}" type="sibTrans" cxnId="{493D0243-C947-4B66-94B9-B8095086E6BB}">
      <dgm:prSet/>
      <dgm:spPr/>
      <dgm:t>
        <a:bodyPr/>
        <a:lstStyle/>
        <a:p>
          <a:endParaRPr lang="en-IN"/>
        </a:p>
      </dgm:t>
    </dgm:pt>
    <dgm:pt modelId="{20AF9FDA-F74B-4DFE-9C02-ABB2B86631DB}">
      <dgm:prSet/>
      <dgm:spPr/>
      <dgm:t>
        <a:bodyPr/>
        <a:lstStyle/>
        <a:p>
          <a:pPr>
            <a:buNone/>
          </a:pPr>
          <a:r>
            <a:rPr lang="en-IN"/>
            <a:t>Learned value of inclusive communication</a:t>
          </a:r>
        </a:p>
      </dgm:t>
    </dgm:pt>
    <dgm:pt modelId="{D2441C2C-0281-484F-90CA-2BD0BF71802C}" type="parTrans" cxnId="{B28B5F7D-B3C1-4640-8526-9BA3F65541E7}">
      <dgm:prSet/>
      <dgm:spPr/>
      <dgm:t>
        <a:bodyPr/>
        <a:lstStyle/>
        <a:p>
          <a:endParaRPr lang="en-IN"/>
        </a:p>
      </dgm:t>
    </dgm:pt>
    <dgm:pt modelId="{7DE09E6B-4004-412C-A4E4-6EA037E0C1C4}" type="sibTrans" cxnId="{B28B5F7D-B3C1-4640-8526-9BA3F65541E7}">
      <dgm:prSet/>
      <dgm:spPr/>
      <dgm:t>
        <a:bodyPr/>
        <a:lstStyle/>
        <a:p>
          <a:endParaRPr lang="en-IN"/>
        </a:p>
      </dgm:t>
    </dgm:pt>
    <dgm:pt modelId="{3709B650-199B-444C-B042-9181BDF3B25A}">
      <dgm:prSet/>
      <dgm:spPr/>
      <dgm:t>
        <a:bodyPr/>
        <a:lstStyle/>
        <a:p>
          <a:pPr>
            <a:buNone/>
          </a:pPr>
          <a:r>
            <a:rPr lang="en-IN"/>
            <a:t>Observed power differences among stakeholders</a:t>
          </a:r>
        </a:p>
      </dgm:t>
    </dgm:pt>
    <dgm:pt modelId="{3905C226-96E9-4620-BE94-97C9F71AA0FB}" type="parTrans" cxnId="{AC60A578-C398-4509-B0DF-ACA925468E1B}">
      <dgm:prSet/>
      <dgm:spPr/>
      <dgm:t>
        <a:bodyPr/>
        <a:lstStyle/>
        <a:p>
          <a:endParaRPr lang="en-IN"/>
        </a:p>
      </dgm:t>
    </dgm:pt>
    <dgm:pt modelId="{2674E077-2B0F-4A10-BBB3-920BAFFE8EB7}" type="sibTrans" cxnId="{AC60A578-C398-4509-B0DF-ACA925468E1B}">
      <dgm:prSet/>
      <dgm:spPr/>
      <dgm:t>
        <a:bodyPr/>
        <a:lstStyle/>
        <a:p>
          <a:endParaRPr lang="en-IN"/>
        </a:p>
      </dgm:t>
    </dgm:pt>
    <dgm:pt modelId="{C4FDF9A1-C752-4C97-B52D-8CBABF63A75A}">
      <dgm:prSet/>
      <dgm:spPr/>
      <dgm:t>
        <a:bodyPr/>
        <a:lstStyle/>
        <a:p>
          <a:pPr>
            <a:buNone/>
          </a:pPr>
          <a:r>
            <a:rPr lang="en-IN"/>
            <a:t>Appreciated role of ethical leadership</a:t>
          </a:r>
        </a:p>
      </dgm:t>
    </dgm:pt>
    <dgm:pt modelId="{11FB0428-1A89-4021-8895-FF00F0466A54}" type="parTrans" cxnId="{B867676E-52B2-4806-B722-6FA86908A566}">
      <dgm:prSet/>
      <dgm:spPr/>
      <dgm:t>
        <a:bodyPr/>
        <a:lstStyle/>
        <a:p>
          <a:endParaRPr lang="en-IN"/>
        </a:p>
      </dgm:t>
    </dgm:pt>
    <dgm:pt modelId="{C736423A-D2A9-4760-90E6-96BA53D86B1F}" type="sibTrans" cxnId="{B867676E-52B2-4806-B722-6FA86908A566}">
      <dgm:prSet/>
      <dgm:spPr/>
      <dgm:t>
        <a:bodyPr/>
        <a:lstStyle/>
        <a:p>
          <a:endParaRPr lang="en-IN"/>
        </a:p>
      </dgm:t>
    </dgm:pt>
    <dgm:pt modelId="{537FD79A-FD53-42C4-89B1-56719E0A795F}">
      <dgm:prSet/>
      <dgm:spPr/>
      <dgm:t>
        <a:bodyPr/>
        <a:lstStyle/>
        <a:p>
          <a:pPr>
            <a:buNone/>
          </a:pPr>
          <a:r>
            <a:rPr lang="en-IN"/>
            <a:t>Connected theory with real-world practice</a:t>
          </a:r>
        </a:p>
      </dgm:t>
    </dgm:pt>
    <dgm:pt modelId="{45B46378-8BC5-4DB0-B6CC-25CFD46A6E66}" type="parTrans" cxnId="{891DDCA7-D973-42BE-A88D-D38EFDFAF11B}">
      <dgm:prSet/>
      <dgm:spPr/>
      <dgm:t>
        <a:bodyPr/>
        <a:lstStyle/>
        <a:p>
          <a:endParaRPr lang="en-IN"/>
        </a:p>
      </dgm:t>
    </dgm:pt>
    <dgm:pt modelId="{F7F7B8DD-AF08-4894-8957-E92B01A93BA2}" type="sibTrans" cxnId="{891DDCA7-D973-42BE-A88D-D38EFDFAF11B}">
      <dgm:prSet/>
      <dgm:spPr/>
      <dgm:t>
        <a:bodyPr/>
        <a:lstStyle/>
        <a:p>
          <a:endParaRPr lang="en-IN"/>
        </a:p>
      </dgm:t>
    </dgm:pt>
    <dgm:pt modelId="{E5BD85C2-8F2E-436D-99DE-E575ADBE2296}">
      <dgm:prSet/>
      <dgm:spPr/>
      <dgm:t>
        <a:bodyPr/>
        <a:lstStyle/>
        <a:p>
          <a:pPr>
            <a:buNone/>
          </a:pPr>
          <a:r>
            <a:rPr lang="en-IN"/>
            <a:t>Developed awareness of sustainability priorities</a:t>
          </a:r>
        </a:p>
      </dgm:t>
    </dgm:pt>
    <dgm:pt modelId="{88FB6D62-1AB4-4AD5-A9AB-2D001F1EBDA2}" type="parTrans" cxnId="{DBC57D00-A3F1-4BD1-B399-9BBE2039EE8E}">
      <dgm:prSet/>
      <dgm:spPr/>
      <dgm:t>
        <a:bodyPr/>
        <a:lstStyle/>
        <a:p>
          <a:endParaRPr lang="en-IN"/>
        </a:p>
      </dgm:t>
    </dgm:pt>
    <dgm:pt modelId="{3A0B1646-C7FC-49CD-B275-C26206E6D5ED}" type="sibTrans" cxnId="{DBC57D00-A3F1-4BD1-B399-9BBE2039EE8E}">
      <dgm:prSet/>
      <dgm:spPr/>
      <dgm:t>
        <a:bodyPr/>
        <a:lstStyle/>
        <a:p>
          <a:endParaRPr lang="en-IN"/>
        </a:p>
      </dgm:t>
    </dgm:pt>
    <dgm:pt modelId="{57ED81C0-ABF1-435A-A449-B65B1FCAD1B9}">
      <dgm:prSet/>
      <dgm:spPr/>
      <dgm:t>
        <a:bodyPr/>
        <a:lstStyle/>
        <a:p>
          <a:endParaRPr lang="en-IN"/>
        </a:p>
      </dgm:t>
    </dgm:pt>
    <dgm:pt modelId="{1B7BEF46-9901-4DCD-8C07-9CB803E61241}" type="sibTrans" cxnId="{17D5ACBC-C78A-4049-9D18-66674162118E}">
      <dgm:prSet/>
      <dgm:spPr/>
      <dgm:t>
        <a:bodyPr/>
        <a:lstStyle/>
        <a:p>
          <a:endParaRPr lang="en-IN"/>
        </a:p>
      </dgm:t>
    </dgm:pt>
    <dgm:pt modelId="{054833DE-09DF-4FEF-A3F7-5B6A12A664F2}" type="parTrans" cxnId="{17D5ACBC-C78A-4049-9D18-66674162118E}">
      <dgm:prSet/>
      <dgm:spPr/>
      <dgm:t>
        <a:bodyPr/>
        <a:lstStyle/>
        <a:p>
          <a:endParaRPr lang="en-IN"/>
        </a:p>
      </dgm:t>
    </dgm:pt>
    <dgm:pt modelId="{DEB76514-B948-4428-9150-52CD76F8F9FB}">
      <dgm:prSet/>
      <dgm:spPr/>
      <dgm:t>
        <a:bodyPr/>
        <a:lstStyle/>
        <a:p>
          <a:endParaRPr lang="en-IN"/>
        </a:p>
      </dgm:t>
    </dgm:pt>
    <dgm:pt modelId="{76983346-0E08-4267-B714-EE350C6605A1}" type="sibTrans" cxnId="{4ADDF003-D9DC-448A-B950-6DA31A1694BD}">
      <dgm:prSet/>
      <dgm:spPr/>
      <dgm:t>
        <a:bodyPr/>
        <a:lstStyle/>
        <a:p>
          <a:endParaRPr lang="en-IN"/>
        </a:p>
      </dgm:t>
    </dgm:pt>
    <dgm:pt modelId="{01142488-E742-4FCE-BD43-93C449902D24}" type="parTrans" cxnId="{4ADDF003-D9DC-448A-B950-6DA31A1694BD}">
      <dgm:prSet/>
      <dgm:spPr/>
      <dgm:t>
        <a:bodyPr/>
        <a:lstStyle/>
        <a:p>
          <a:endParaRPr lang="en-IN"/>
        </a:p>
      </dgm:t>
    </dgm:pt>
    <dgm:pt modelId="{E97BA537-7D85-430B-8C8F-772E088E4D3B}">
      <dgm:prSet/>
      <dgm:spPr/>
      <dgm:t>
        <a:bodyPr/>
        <a:lstStyle/>
        <a:p>
          <a:endParaRPr lang="en-IN"/>
        </a:p>
      </dgm:t>
    </dgm:pt>
    <dgm:pt modelId="{7314D626-E632-46A5-8E66-2273BB28E7A3}" type="sibTrans" cxnId="{3581A8AC-AB2E-47BC-8829-9ABB04B3EFE9}">
      <dgm:prSet/>
      <dgm:spPr/>
      <dgm:t>
        <a:bodyPr/>
        <a:lstStyle/>
        <a:p>
          <a:endParaRPr lang="en-IN"/>
        </a:p>
      </dgm:t>
    </dgm:pt>
    <dgm:pt modelId="{8C3EC78D-B520-4417-BD79-60D1A90B50A9}" type="parTrans" cxnId="{3581A8AC-AB2E-47BC-8829-9ABB04B3EFE9}">
      <dgm:prSet/>
      <dgm:spPr/>
      <dgm:t>
        <a:bodyPr/>
        <a:lstStyle/>
        <a:p>
          <a:endParaRPr lang="en-IN"/>
        </a:p>
      </dgm:t>
    </dgm:pt>
    <dgm:pt modelId="{601BBF88-08AF-4509-81A8-189802308EBD}">
      <dgm:prSet phldrT="[Text]" phldr="1"/>
      <dgm:spPr/>
      <dgm:t>
        <a:bodyPr/>
        <a:lstStyle/>
        <a:p>
          <a:endParaRPr lang="en-IN"/>
        </a:p>
      </dgm:t>
    </dgm:pt>
    <dgm:pt modelId="{2A7AE9C8-D888-4B01-8E8B-55436171AC71}" type="sibTrans" cxnId="{721984F9-D5A4-4363-A371-2FC80027CF78}">
      <dgm:prSet/>
      <dgm:spPr/>
      <dgm:t>
        <a:bodyPr/>
        <a:lstStyle/>
        <a:p>
          <a:endParaRPr lang="en-IN"/>
        </a:p>
      </dgm:t>
    </dgm:pt>
    <dgm:pt modelId="{9481E688-9CCA-44E5-BFAC-50D9EA14A0AE}" type="parTrans" cxnId="{721984F9-D5A4-4363-A371-2FC80027CF78}">
      <dgm:prSet/>
      <dgm:spPr/>
      <dgm:t>
        <a:bodyPr/>
        <a:lstStyle/>
        <a:p>
          <a:endParaRPr lang="en-IN"/>
        </a:p>
      </dgm:t>
    </dgm:pt>
    <dgm:pt modelId="{1346BB6C-CCC0-4849-926A-9D5FAC9062A2}">
      <dgm:prSet phldrT="[Text]" phldr="1"/>
      <dgm:spPr/>
      <dgm:t>
        <a:bodyPr/>
        <a:lstStyle/>
        <a:p>
          <a:endParaRPr lang="en-IN"/>
        </a:p>
      </dgm:t>
    </dgm:pt>
    <dgm:pt modelId="{E926BD18-020C-42EC-87DA-5C857BE33E2B}" type="sibTrans" cxnId="{29661C19-3D3E-4D78-8215-2391F3D7CF1E}">
      <dgm:prSet/>
      <dgm:spPr/>
      <dgm:t>
        <a:bodyPr/>
        <a:lstStyle/>
        <a:p>
          <a:endParaRPr lang="en-IN"/>
        </a:p>
      </dgm:t>
    </dgm:pt>
    <dgm:pt modelId="{48DDE1F9-276A-4B17-B4E6-D0820A9856A6}" type="parTrans" cxnId="{29661C19-3D3E-4D78-8215-2391F3D7CF1E}">
      <dgm:prSet/>
      <dgm:spPr/>
      <dgm:t>
        <a:bodyPr/>
        <a:lstStyle/>
        <a:p>
          <a:endParaRPr lang="en-IN"/>
        </a:p>
      </dgm:t>
    </dgm:pt>
    <dgm:pt modelId="{C55816DF-957E-440D-ACEC-8FDFEB14AF87}" type="pres">
      <dgm:prSet presAssocID="{E3CFEB20-27EA-4B46-9BE2-B3C4F73C82A6}" presName="Name0" presStyleCnt="0">
        <dgm:presLayoutVars>
          <dgm:chMax val="7"/>
          <dgm:chPref val="7"/>
          <dgm:dir/>
        </dgm:presLayoutVars>
      </dgm:prSet>
      <dgm:spPr/>
    </dgm:pt>
    <dgm:pt modelId="{08C42B4E-FFD5-4A4A-92F6-9D7F745208A6}" type="pres">
      <dgm:prSet presAssocID="{E3CFEB20-27EA-4B46-9BE2-B3C4F73C82A6}" presName="Name1" presStyleCnt="0"/>
      <dgm:spPr/>
    </dgm:pt>
    <dgm:pt modelId="{07078F93-464B-4F2D-8812-DDCCF9DAB756}" type="pres">
      <dgm:prSet presAssocID="{E3CFEB20-27EA-4B46-9BE2-B3C4F73C82A6}" presName="cycle" presStyleCnt="0"/>
      <dgm:spPr/>
    </dgm:pt>
    <dgm:pt modelId="{A7D63447-EA18-4E60-9E55-BC5E72F0FF3B}" type="pres">
      <dgm:prSet presAssocID="{E3CFEB20-27EA-4B46-9BE2-B3C4F73C82A6}" presName="srcNode" presStyleLbl="node1" presStyleIdx="0" presStyleCnt="7"/>
      <dgm:spPr/>
    </dgm:pt>
    <dgm:pt modelId="{E6D4D982-CBD3-4B56-AFC6-F8B22A460E30}" type="pres">
      <dgm:prSet presAssocID="{E3CFEB20-27EA-4B46-9BE2-B3C4F73C82A6}" presName="conn" presStyleLbl="parChTrans1D2" presStyleIdx="0" presStyleCnt="1"/>
      <dgm:spPr/>
    </dgm:pt>
    <dgm:pt modelId="{CF6A3E18-3087-4902-898B-2317995A44E9}" type="pres">
      <dgm:prSet presAssocID="{E3CFEB20-27EA-4B46-9BE2-B3C4F73C82A6}" presName="extraNode" presStyleLbl="node1" presStyleIdx="0" presStyleCnt="7"/>
      <dgm:spPr/>
    </dgm:pt>
    <dgm:pt modelId="{16C5889C-0CAC-480D-B55E-51FCBFEB77C8}" type="pres">
      <dgm:prSet presAssocID="{E3CFEB20-27EA-4B46-9BE2-B3C4F73C82A6}" presName="dstNode" presStyleLbl="node1" presStyleIdx="0" presStyleCnt="7"/>
      <dgm:spPr/>
    </dgm:pt>
    <dgm:pt modelId="{DA3A83F5-F997-4EAF-818E-888F2E849FFD}" type="pres">
      <dgm:prSet presAssocID="{C7113689-0B14-4FC5-8336-3A6CD58873B9}" presName="text_1" presStyleLbl="node1" presStyleIdx="0" presStyleCnt="7">
        <dgm:presLayoutVars>
          <dgm:bulletEnabled val="1"/>
        </dgm:presLayoutVars>
      </dgm:prSet>
      <dgm:spPr/>
    </dgm:pt>
    <dgm:pt modelId="{0F7DBB7B-AD9A-4C68-AEA4-3A1659ECD2D9}" type="pres">
      <dgm:prSet presAssocID="{C7113689-0B14-4FC5-8336-3A6CD58873B9}" presName="accent_1" presStyleCnt="0"/>
      <dgm:spPr/>
    </dgm:pt>
    <dgm:pt modelId="{9853C874-307F-4178-8610-3F0DF0C09033}" type="pres">
      <dgm:prSet presAssocID="{C7113689-0B14-4FC5-8336-3A6CD58873B9}" presName="accentRepeatNode" presStyleLbl="solidFgAcc1" presStyleIdx="0" presStyleCnt="7"/>
      <dgm:spPr/>
    </dgm:pt>
    <dgm:pt modelId="{E4D44C3E-60A2-4139-929C-0DD902EE250A}" type="pres">
      <dgm:prSet presAssocID="{56B5EBC5-5204-4B9D-9BB0-2B958FFDBBE8}" presName="text_2" presStyleLbl="node1" presStyleIdx="1" presStyleCnt="7">
        <dgm:presLayoutVars>
          <dgm:bulletEnabled val="1"/>
        </dgm:presLayoutVars>
      </dgm:prSet>
      <dgm:spPr/>
    </dgm:pt>
    <dgm:pt modelId="{0680150A-4D1E-428C-8F03-2DE734E1AC89}" type="pres">
      <dgm:prSet presAssocID="{56B5EBC5-5204-4B9D-9BB0-2B958FFDBBE8}" presName="accent_2" presStyleCnt="0"/>
      <dgm:spPr/>
    </dgm:pt>
    <dgm:pt modelId="{46442868-1AE1-40E7-ACCB-F83192C867F6}" type="pres">
      <dgm:prSet presAssocID="{56B5EBC5-5204-4B9D-9BB0-2B958FFDBBE8}" presName="accentRepeatNode" presStyleLbl="solidFgAcc1" presStyleIdx="1" presStyleCnt="7"/>
      <dgm:spPr/>
    </dgm:pt>
    <dgm:pt modelId="{1199B80E-2D5C-4FD9-988F-CA9D8619ED40}" type="pres">
      <dgm:prSet presAssocID="{20AF9FDA-F74B-4DFE-9C02-ABB2B86631DB}" presName="text_3" presStyleLbl="node1" presStyleIdx="2" presStyleCnt="7">
        <dgm:presLayoutVars>
          <dgm:bulletEnabled val="1"/>
        </dgm:presLayoutVars>
      </dgm:prSet>
      <dgm:spPr/>
    </dgm:pt>
    <dgm:pt modelId="{C01F5B8B-9757-45C6-994D-E00C2F4F239E}" type="pres">
      <dgm:prSet presAssocID="{20AF9FDA-F74B-4DFE-9C02-ABB2B86631DB}" presName="accent_3" presStyleCnt="0"/>
      <dgm:spPr/>
    </dgm:pt>
    <dgm:pt modelId="{280F5661-BFBE-4AD3-9EFE-65E61B2F8508}" type="pres">
      <dgm:prSet presAssocID="{20AF9FDA-F74B-4DFE-9C02-ABB2B86631DB}" presName="accentRepeatNode" presStyleLbl="solidFgAcc1" presStyleIdx="2" presStyleCnt="7"/>
      <dgm:spPr/>
    </dgm:pt>
    <dgm:pt modelId="{0CEB7425-1FE4-42B5-8F7A-D8B4E0B92E2C}" type="pres">
      <dgm:prSet presAssocID="{3709B650-199B-444C-B042-9181BDF3B25A}" presName="text_4" presStyleLbl="node1" presStyleIdx="3" presStyleCnt="7">
        <dgm:presLayoutVars>
          <dgm:bulletEnabled val="1"/>
        </dgm:presLayoutVars>
      </dgm:prSet>
      <dgm:spPr/>
    </dgm:pt>
    <dgm:pt modelId="{3745035A-D9DF-4EDE-B1F8-F067D19163C4}" type="pres">
      <dgm:prSet presAssocID="{3709B650-199B-444C-B042-9181BDF3B25A}" presName="accent_4" presStyleCnt="0"/>
      <dgm:spPr/>
    </dgm:pt>
    <dgm:pt modelId="{AADF033E-8F92-475B-88FE-28A632D00818}" type="pres">
      <dgm:prSet presAssocID="{3709B650-199B-444C-B042-9181BDF3B25A}" presName="accentRepeatNode" presStyleLbl="solidFgAcc1" presStyleIdx="3" presStyleCnt="7"/>
      <dgm:spPr/>
    </dgm:pt>
    <dgm:pt modelId="{99321B3E-37B2-4046-B79C-D388FEBEB94F}" type="pres">
      <dgm:prSet presAssocID="{C4FDF9A1-C752-4C97-B52D-8CBABF63A75A}" presName="text_5" presStyleLbl="node1" presStyleIdx="4" presStyleCnt="7">
        <dgm:presLayoutVars>
          <dgm:bulletEnabled val="1"/>
        </dgm:presLayoutVars>
      </dgm:prSet>
      <dgm:spPr/>
    </dgm:pt>
    <dgm:pt modelId="{F8F63052-3844-4AEE-85E5-BFAABA5C039D}" type="pres">
      <dgm:prSet presAssocID="{C4FDF9A1-C752-4C97-B52D-8CBABF63A75A}" presName="accent_5" presStyleCnt="0"/>
      <dgm:spPr/>
    </dgm:pt>
    <dgm:pt modelId="{5E68124E-C5B7-4A26-A155-9BFADF40EE90}" type="pres">
      <dgm:prSet presAssocID="{C4FDF9A1-C752-4C97-B52D-8CBABF63A75A}" presName="accentRepeatNode" presStyleLbl="solidFgAcc1" presStyleIdx="4" presStyleCnt="7"/>
      <dgm:spPr/>
    </dgm:pt>
    <dgm:pt modelId="{A30A8BD4-1249-4AF8-BCEB-8AB9A8A50C0D}" type="pres">
      <dgm:prSet presAssocID="{537FD79A-FD53-42C4-89B1-56719E0A795F}" presName="text_6" presStyleLbl="node1" presStyleIdx="5" presStyleCnt="7">
        <dgm:presLayoutVars>
          <dgm:bulletEnabled val="1"/>
        </dgm:presLayoutVars>
      </dgm:prSet>
      <dgm:spPr/>
    </dgm:pt>
    <dgm:pt modelId="{0346612B-5A7C-4368-8C17-7402B0E67829}" type="pres">
      <dgm:prSet presAssocID="{537FD79A-FD53-42C4-89B1-56719E0A795F}" presName="accent_6" presStyleCnt="0"/>
      <dgm:spPr/>
    </dgm:pt>
    <dgm:pt modelId="{1C39D949-3F56-4AA4-B297-AC2BEF9A4A66}" type="pres">
      <dgm:prSet presAssocID="{537FD79A-FD53-42C4-89B1-56719E0A795F}" presName="accentRepeatNode" presStyleLbl="solidFgAcc1" presStyleIdx="5" presStyleCnt="7"/>
      <dgm:spPr/>
    </dgm:pt>
    <dgm:pt modelId="{58AFBE70-F2E9-4550-90A3-5AB25C79B339}" type="pres">
      <dgm:prSet presAssocID="{E5BD85C2-8F2E-436D-99DE-E575ADBE2296}" presName="text_7" presStyleLbl="node1" presStyleIdx="6" presStyleCnt="7">
        <dgm:presLayoutVars>
          <dgm:bulletEnabled val="1"/>
        </dgm:presLayoutVars>
      </dgm:prSet>
      <dgm:spPr/>
    </dgm:pt>
    <dgm:pt modelId="{7E230D02-3AA3-4657-BD84-CD0467E05282}" type="pres">
      <dgm:prSet presAssocID="{E5BD85C2-8F2E-436D-99DE-E575ADBE2296}" presName="accent_7" presStyleCnt="0"/>
      <dgm:spPr/>
    </dgm:pt>
    <dgm:pt modelId="{AD564CB7-71A6-4CCB-B11E-5052C3D68C15}" type="pres">
      <dgm:prSet presAssocID="{E5BD85C2-8F2E-436D-99DE-E575ADBE2296}" presName="accentRepeatNode" presStyleLbl="solidFgAcc1" presStyleIdx="6" presStyleCnt="7"/>
      <dgm:spPr/>
    </dgm:pt>
  </dgm:ptLst>
  <dgm:cxnLst>
    <dgm:cxn modelId="{DBC57D00-A3F1-4BD1-B399-9BBE2039EE8E}" srcId="{E3CFEB20-27EA-4B46-9BE2-B3C4F73C82A6}" destId="{E5BD85C2-8F2E-436D-99DE-E575ADBE2296}" srcOrd="6" destOrd="0" parTransId="{88FB6D62-1AB4-4AD5-A9AB-2D001F1EBDA2}" sibTransId="{3A0B1646-C7FC-49CD-B275-C26206E6D5ED}"/>
    <dgm:cxn modelId="{4ADDF003-D9DC-448A-B950-6DA31A1694BD}" srcId="{E3CFEB20-27EA-4B46-9BE2-B3C4F73C82A6}" destId="{DEB76514-B948-4428-9150-52CD76F8F9FB}" srcOrd="8" destOrd="0" parTransId="{01142488-E742-4FCE-BD43-93C449902D24}" sibTransId="{76983346-0E08-4267-B714-EE350C6605A1}"/>
    <dgm:cxn modelId="{29661C19-3D3E-4D78-8215-2391F3D7CF1E}" srcId="{E3CFEB20-27EA-4B46-9BE2-B3C4F73C82A6}" destId="{1346BB6C-CCC0-4849-926A-9D5FAC9062A2}" srcOrd="11" destOrd="0" parTransId="{48DDE1F9-276A-4B17-B4E6-D0820A9856A6}" sibTransId="{E926BD18-020C-42EC-87DA-5C857BE33E2B}"/>
    <dgm:cxn modelId="{56D51125-70A0-40EE-9A80-24D9AD754BAB}" type="presOf" srcId="{C4FDF9A1-C752-4C97-B52D-8CBABF63A75A}" destId="{99321B3E-37B2-4046-B79C-D388FEBEB94F}" srcOrd="0" destOrd="0" presId="urn:microsoft.com/office/officeart/2008/layout/VerticalCurvedList"/>
    <dgm:cxn modelId="{4A149A2E-0AF1-4CC4-9201-2C9B33D8A8F5}" type="presOf" srcId="{537FD79A-FD53-42C4-89B1-56719E0A795F}" destId="{A30A8BD4-1249-4AF8-BCEB-8AB9A8A50C0D}" srcOrd="0" destOrd="0" presId="urn:microsoft.com/office/officeart/2008/layout/VerticalCurvedList"/>
    <dgm:cxn modelId="{7E6B593C-F6A9-4EF9-BA64-0FCF6AE8A92B}" type="presOf" srcId="{20AF9FDA-F74B-4DFE-9C02-ABB2B86631DB}" destId="{1199B80E-2D5C-4FD9-988F-CA9D8619ED40}" srcOrd="0" destOrd="0" presId="urn:microsoft.com/office/officeart/2008/layout/VerticalCurvedList"/>
    <dgm:cxn modelId="{A78ED63E-D909-436E-898B-2211A19D1C70}" type="presOf" srcId="{C7113689-0B14-4FC5-8336-3A6CD58873B9}" destId="{DA3A83F5-F997-4EAF-818E-888F2E849FFD}" srcOrd="0" destOrd="0" presId="urn:microsoft.com/office/officeart/2008/layout/VerticalCurvedList"/>
    <dgm:cxn modelId="{D76C2040-7430-45AD-806E-D0FE1210BC69}" type="presOf" srcId="{3709B650-199B-444C-B042-9181BDF3B25A}" destId="{0CEB7425-1FE4-42B5-8F7A-D8B4E0B92E2C}" srcOrd="0" destOrd="0" presId="urn:microsoft.com/office/officeart/2008/layout/VerticalCurvedList"/>
    <dgm:cxn modelId="{4414C342-0350-499B-A197-4F791E86C3C2}" type="presOf" srcId="{9E03EDF9-1E95-439D-8D69-961CAE968AE0}" destId="{E6D4D982-CBD3-4B56-AFC6-F8B22A460E30}" srcOrd="0" destOrd="0" presId="urn:microsoft.com/office/officeart/2008/layout/VerticalCurvedList"/>
    <dgm:cxn modelId="{493D0243-C947-4B66-94B9-B8095086E6BB}" srcId="{E3CFEB20-27EA-4B46-9BE2-B3C4F73C82A6}" destId="{56B5EBC5-5204-4B9D-9BB0-2B958FFDBBE8}" srcOrd="1" destOrd="0" parTransId="{522710BD-08D3-438C-BB4D-650A82476103}" sibTransId="{752C5B07-DA2D-45BE-AA03-A4BD2C144EEF}"/>
    <dgm:cxn modelId="{5EB3FE48-B45D-478D-80C1-105D08456F44}" type="presOf" srcId="{E5BD85C2-8F2E-436D-99DE-E575ADBE2296}" destId="{58AFBE70-F2E9-4550-90A3-5AB25C79B339}" srcOrd="0" destOrd="0" presId="urn:microsoft.com/office/officeart/2008/layout/VerticalCurvedList"/>
    <dgm:cxn modelId="{B867676E-52B2-4806-B722-6FA86908A566}" srcId="{E3CFEB20-27EA-4B46-9BE2-B3C4F73C82A6}" destId="{C4FDF9A1-C752-4C97-B52D-8CBABF63A75A}" srcOrd="4" destOrd="0" parTransId="{11FB0428-1A89-4021-8895-FF00F0466A54}" sibTransId="{C736423A-D2A9-4760-90E6-96BA53D86B1F}"/>
    <dgm:cxn modelId="{AC60A578-C398-4509-B0DF-ACA925468E1B}" srcId="{E3CFEB20-27EA-4B46-9BE2-B3C4F73C82A6}" destId="{3709B650-199B-444C-B042-9181BDF3B25A}" srcOrd="3" destOrd="0" parTransId="{3905C226-96E9-4620-BE94-97C9F71AA0FB}" sibTransId="{2674E077-2B0F-4A10-BBB3-920BAFFE8EB7}"/>
    <dgm:cxn modelId="{B28B5F7D-B3C1-4640-8526-9BA3F65541E7}" srcId="{E3CFEB20-27EA-4B46-9BE2-B3C4F73C82A6}" destId="{20AF9FDA-F74B-4DFE-9C02-ABB2B86631DB}" srcOrd="2" destOrd="0" parTransId="{D2441C2C-0281-484F-90CA-2BD0BF71802C}" sibTransId="{7DE09E6B-4004-412C-A4E4-6EA037E0C1C4}"/>
    <dgm:cxn modelId="{21406893-DEAF-4868-BEE7-A9F33D15E880}" type="presOf" srcId="{56B5EBC5-5204-4B9D-9BB0-2B958FFDBBE8}" destId="{E4D44C3E-60A2-4139-929C-0DD902EE250A}" srcOrd="0" destOrd="0" presId="urn:microsoft.com/office/officeart/2008/layout/VerticalCurvedList"/>
    <dgm:cxn modelId="{54D7559D-78BC-45E4-9A03-4A7A4CA7B0B2}" srcId="{E3CFEB20-27EA-4B46-9BE2-B3C4F73C82A6}" destId="{C7113689-0B14-4FC5-8336-3A6CD58873B9}" srcOrd="0" destOrd="0" parTransId="{830F7E31-8C68-40B2-93D2-775AC3040F3B}" sibTransId="{9E03EDF9-1E95-439D-8D69-961CAE968AE0}"/>
    <dgm:cxn modelId="{891DDCA7-D973-42BE-A88D-D38EFDFAF11B}" srcId="{E3CFEB20-27EA-4B46-9BE2-B3C4F73C82A6}" destId="{537FD79A-FD53-42C4-89B1-56719E0A795F}" srcOrd="5" destOrd="0" parTransId="{45B46378-8BC5-4DB0-B6CC-25CFD46A6E66}" sibTransId="{F7F7B8DD-AF08-4894-8957-E92B01A93BA2}"/>
    <dgm:cxn modelId="{3581A8AC-AB2E-47BC-8829-9ABB04B3EFE9}" srcId="{E3CFEB20-27EA-4B46-9BE2-B3C4F73C82A6}" destId="{E97BA537-7D85-430B-8C8F-772E088E4D3B}" srcOrd="9" destOrd="0" parTransId="{8C3EC78D-B520-4417-BD79-60D1A90B50A9}" sibTransId="{7314D626-E632-46A5-8E66-2273BB28E7A3}"/>
    <dgm:cxn modelId="{17D5ACBC-C78A-4049-9D18-66674162118E}" srcId="{E3CFEB20-27EA-4B46-9BE2-B3C4F73C82A6}" destId="{57ED81C0-ABF1-435A-A449-B65B1FCAD1B9}" srcOrd="7" destOrd="0" parTransId="{054833DE-09DF-4FEF-A3F7-5B6A12A664F2}" sibTransId="{1B7BEF46-9901-4DCD-8C07-9CB803E61241}"/>
    <dgm:cxn modelId="{BBEF85E5-CAAD-4F07-A0AD-003584E84335}" type="presOf" srcId="{E3CFEB20-27EA-4B46-9BE2-B3C4F73C82A6}" destId="{C55816DF-957E-440D-ACEC-8FDFEB14AF87}" srcOrd="0" destOrd="0" presId="urn:microsoft.com/office/officeart/2008/layout/VerticalCurvedList"/>
    <dgm:cxn modelId="{721984F9-D5A4-4363-A371-2FC80027CF78}" srcId="{E3CFEB20-27EA-4B46-9BE2-B3C4F73C82A6}" destId="{601BBF88-08AF-4509-81A8-189802308EBD}" srcOrd="10" destOrd="0" parTransId="{9481E688-9CCA-44E5-BFAC-50D9EA14A0AE}" sibTransId="{2A7AE9C8-D888-4B01-8E8B-55436171AC71}"/>
    <dgm:cxn modelId="{F7AC6BB7-E341-4B95-8DE7-E42B9FA6ACA2}" type="presParOf" srcId="{C55816DF-957E-440D-ACEC-8FDFEB14AF87}" destId="{08C42B4E-FFD5-4A4A-92F6-9D7F745208A6}" srcOrd="0" destOrd="0" presId="urn:microsoft.com/office/officeart/2008/layout/VerticalCurvedList"/>
    <dgm:cxn modelId="{ED93865C-4475-4C42-AC67-1B65C1065DA3}" type="presParOf" srcId="{08C42B4E-FFD5-4A4A-92F6-9D7F745208A6}" destId="{07078F93-464B-4F2D-8812-DDCCF9DAB756}" srcOrd="0" destOrd="0" presId="urn:microsoft.com/office/officeart/2008/layout/VerticalCurvedList"/>
    <dgm:cxn modelId="{82C70F93-533C-41BA-A747-F0FCCB6912A7}" type="presParOf" srcId="{07078F93-464B-4F2D-8812-DDCCF9DAB756}" destId="{A7D63447-EA18-4E60-9E55-BC5E72F0FF3B}" srcOrd="0" destOrd="0" presId="urn:microsoft.com/office/officeart/2008/layout/VerticalCurvedList"/>
    <dgm:cxn modelId="{039FC805-64F7-444F-BD3E-D2706E28DC33}" type="presParOf" srcId="{07078F93-464B-4F2D-8812-DDCCF9DAB756}" destId="{E6D4D982-CBD3-4B56-AFC6-F8B22A460E30}" srcOrd="1" destOrd="0" presId="urn:microsoft.com/office/officeart/2008/layout/VerticalCurvedList"/>
    <dgm:cxn modelId="{55465A09-6503-4AA3-8D43-CC1DA0053E0E}" type="presParOf" srcId="{07078F93-464B-4F2D-8812-DDCCF9DAB756}" destId="{CF6A3E18-3087-4902-898B-2317995A44E9}" srcOrd="2" destOrd="0" presId="urn:microsoft.com/office/officeart/2008/layout/VerticalCurvedList"/>
    <dgm:cxn modelId="{F2A980B5-468E-42FF-AADE-EA38F275FB52}" type="presParOf" srcId="{07078F93-464B-4F2D-8812-DDCCF9DAB756}" destId="{16C5889C-0CAC-480D-B55E-51FCBFEB77C8}" srcOrd="3" destOrd="0" presId="urn:microsoft.com/office/officeart/2008/layout/VerticalCurvedList"/>
    <dgm:cxn modelId="{C66ADDCA-7840-45A5-AF47-88723C228CCB}" type="presParOf" srcId="{08C42B4E-FFD5-4A4A-92F6-9D7F745208A6}" destId="{DA3A83F5-F997-4EAF-818E-888F2E849FFD}" srcOrd="1" destOrd="0" presId="urn:microsoft.com/office/officeart/2008/layout/VerticalCurvedList"/>
    <dgm:cxn modelId="{75518D4B-AC97-42D3-B516-CE028D5D24BF}" type="presParOf" srcId="{08C42B4E-FFD5-4A4A-92F6-9D7F745208A6}" destId="{0F7DBB7B-AD9A-4C68-AEA4-3A1659ECD2D9}" srcOrd="2" destOrd="0" presId="urn:microsoft.com/office/officeart/2008/layout/VerticalCurvedList"/>
    <dgm:cxn modelId="{74DA8D52-240A-44F8-B0D0-0C3EF88C6A4A}" type="presParOf" srcId="{0F7DBB7B-AD9A-4C68-AEA4-3A1659ECD2D9}" destId="{9853C874-307F-4178-8610-3F0DF0C09033}" srcOrd="0" destOrd="0" presId="urn:microsoft.com/office/officeart/2008/layout/VerticalCurvedList"/>
    <dgm:cxn modelId="{1EEEBAAB-E108-4B37-87D5-CDFA8F1A0456}" type="presParOf" srcId="{08C42B4E-FFD5-4A4A-92F6-9D7F745208A6}" destId="{E4D44C3E-60A2-4139-929C-0DD902EE250A}" srcOrd="3" destOrd="0" presId="urn:microsoft.com/office/officeart/2008/layout/VerticalCurvedList"/>
    <dgm:cxn modelId="{86E1C5CA-3AE8-457C-8438-9EE169D8C20D}" type="presParOf" srcId="{08C42B4E-FFD5-4A4A-92F6-9D7F745208A6}" destId="{0680150A-4D1E-428C-8F03-2DE734E1AC89}" srcOrd="4" destOrd="0" presId="urn:microsoft.com/office/officeart/2008/layout/VerticalCurvedList"/>
    <dgm:cxn modelId="{A42A5423-ABB5-4CB9-B92E-D5977EA0FEC5}" type="presParOf" srcId="{0680150A-4D1E-428C-8F03-2DE734E1AC89}" destId="{46442868-1AE1-40E7-ACCB-F83192C867F6}" srcOrd="0" destOrd="0" presId="urn:microsoft.com/office/officeart/2008/layout/VerticalCurvedList"/>
    <dgm:cxn modelId="{94828404-6E3B-4B76-B3F0-E35406C6A0B9}" type="presParOf" srcId="{08C42B4E-FFD5-4A4A-92F6-9D7F745208A6}" destId="{1199B80E-2D5C-4FD9-988F-CA9D8619ED40}" srcOrd="5" destOrd="0" presId="urn:microsoft.com/office/officeart/2008/layout/VerticalCurvedList"/>
    <dgm:cxn modelId="{DD728C54-C077-4E0A-ABB2-A37B685387AA}" type="presParOf" srcId="{08C42B4E-FFD5-4A4A-92F6-9D7F745208A6}" destId="{C01F5B8B-9757-45C6-994D-E00C2F4F239E}" srcOrd="6" destOrd="0" presId="urn:microsoft.com/office/officeart/2008/layout/VerticalCurvedList"/>
    <dgm:cxn modelId="{74950DF3-6FD1-42EF-B611-8B6AA06B3042}" type="presParOf" srcId="{C01F5B8B-9757-45C6-994D-E00C2F4F239E}" destId="{280F5661-BFBE-4AD3-9EFE-65E61B2F8508}" srcOrd="0" destOrd="0" presId="urn:microsoft.com/office/officeart/2008/layout/VerticalCurvedList"/>
    <dgm:cxn modelId="{65491972-0A05-492E-9483-71A9FF1EF8F4}" type="presParOf" srcId="{08C42B4E-FFD5-4A4A-92F6-9D7F745208A6}" destId="{0CEB7425-1FE4-42B5-8F7A-D8B4E0B92E2C}" srcOrd="7" destOrd="0" presId="urn:microsoft.com/office/officeart/2008/layout/VerticalCurvedList"/>
    <dgm:cxn modelId="{EB7B9DC1-7537-4C53-9B56-EF66CE51FE3A}" type="presParOf" srcId="{08C42B4E-FFD5-4A4A-92F6-9D7F745208A6}" destId="{3745035A-D9DF-4EDE-B1F8-F067D19163C4}" srcOrd="8" destOrd="0" presId="urn:microsoft.com/office/officeart/2008/layout/VerticalCurvedList"/>
    <dgm:cxn modelId="{5F55F2E1-FD95-4643-8DFC-5CFA8DA33199}" type="presParOf" srcId="{3745035A-D9DF-4EDE-B1F8-F067D19163C4}" destId="{AADF033E-8F92-475B-88FE-28A632D00818}" srcOrd="0" destOrd="0" presId="urn:microsoft.com/office/officeart/2008/layout/VerticalCurvedList"/>
    <dgm:cxn modelId="{10E074A9-13FC-45AC-AB64-5A5255D2815D}" type="presParOf" srcId="{08C42B4E-FFD5-4A4A-92F6-9D7F745208A6}" destId="{99321B3E-37B2-4046-B79C-D388FEBEB94F}" srcOrd="9" destOrd="0" presId="urn:microsoft.com/office/officeart/2008/layout/VerticalCurvedList"/>
    <dgm:cxn modelId="{F3C94C54-2529-4CEB-97A3-26D30311F8CD}" type="presParOf" srcId="{08C42B4E-FFD5-4A4A-92F6-9D7F745208A6}" destId="{F8F63052-3844-4AEE-85E5-BFAABA5C039D}" srcOrd="10" destOrd="0" presId="urn:microsoft.com/office/officeart/2008/layout/VerticalCurvedList"/>
    <dgm:cxn modelId="{C772FBCB-72FF-4A89-B050-9B73A5F866A5}" type="presParOf" srcId="{F8F63052-3844-4AEE-85E5-BFAABA5C039D}" destId="{5E68124E-C5B7-4A26-A155-9BFADF40EE90}" srcOrd="0" destOrd="0" presId="urn:microsoft.com/office/officeart/2008/layout/VerticalCurvedList"/>
    <dgm:cxn modelId="{809C3781-9F30-429D-A395-9987792E3BC1}" type="presParOf" srcId="{08C42B4E-FFD5-4A4A-92F6-9D7F745208A6}" destId="{A30A8BD4-1249-4AF8-BCEB-8AB9A8A50C0D}" srcOrd="11" destOrd="0" presId="urn:microsoft.com/office/officeart/2008/layout/VerticalCurvedList"/>
    <dgm:cxn modelId="{D28940A8-AE63-4279-9450-0078B8A4197C}" type="presParOf" srcId="{08C42B4E-FFD5-4A4A-92F6-9D7F745208A6}" destId="{0346612B-5A7C-4368-8C17-7402B0E67829}" srcOrd="12" destOrd="0" presId="urn:microsoft.com/office/officeart/2008/layout/VerticalCurvedList"/>
    <dgm:cxn modelId="{CEDDE60B-5D4B-4549-B17B-DF5909006EF2}" type="presParOf" srcId="{0346612B-5A7C-4368-8C17-7402B0E67829}" destId="{1C39D949-3F56-4AA4-B297-AC2BEF9A4A66}" srcOrd="0" destOrd="0" presId="urn:microsoft.com/office/officeart/2008/layout/VerticalCurvedList"/>
    <dgm:cxn modelId="{17BE6001-8BD1-4612-85F0-7EC1FC74EDDC}" type="presParOf" srcId="{08C42B4E-FFD5-4A4A-92F6-9D7F745208A6}" destId="{58AFBE70-F2E9-4550-90A3-5AB25C79B339}" srcOrd="13" destOrd="0" presId="urn:microsoft.com/office/officeart/2008/layout/VerticalCurvedList"/>
    <dgm:cxn modelId="{8173181F-3070-47A9-BF9F-00814A57331B}" type="presParOf" srcId="{08C42B4E-FFD5-4A4A-92F6-9D7F745208A6}" destId="{7E230D02-3AA3-4657-BD84-CD0467E05282}" srcOrd="14" destOrd="0" presId="urn:microsoft.com/office/officeart/2008/layout/VerticalCurvedList"/>
    <dgm:cxn modelId="{C00B96E2-06AB-40E9-85DD-F9702FA93BE0}" type="presParOf" srcId="{7E230D02-3AA3-4657-BD84-CD0467E05282}" destId="{AD564CB7-71A6-4CCB-B11E-5052C3D68C15}" srcOrd="0" destOrd="0" presId="urn:microsoft.com/office/officeart/2008/layout/VerticalCurved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5C17F5-D3BE-478C-BA89-E70599E20D30}">
      <dsp:nvSpPr>
        <dsp:cNvPr id="0" name=""/>
        <dsp:cNvSpPr/>
      </dsp:nvSpPr>
      <dsp:spPr>
        <a:xfrm>
          <a:off x="0" y="0"/>
          <a:ext cx="4576572" cy="351472"/>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Font typeface="Arial" panose="020B0604020202020204" pitchFamily="34" charset="0"/>
            <a:buNone/>
          </a:pPr>
          <a:r>
            <a:rPr lang="en-IN" sz="1300" kern="1200"/>
            <a:t>Balance tourism growth with heritage protection</a:t>
          </a:r>
        </a:p>
      </dsp:txBody>
      <dsp:txXfrm>
        <a:off x="10294" y="10294"/>
        <a:ext cx="4156184" cy="330884"/>
      </dsp:txXfrm>
    </dsp:sp>
    <dsp:sp modelId="{DDF89AA9-F24B-4750-BA42-FADA388929C7}">
      <dsp:nvSpPr>
        <dsp:cNvPr id="0" name=""/>
        <dsp:cNvSpPr/>
      </dsp:nvSpPr>
      <dsp:spPr>
        <a:xfrm>
          <a:off x="341757" y="400288"/>
          <a:ext cx="4576572" cy="351472"/>
        </a:xfrm>
        <a:prstGeom prst="roundRect">
          <a:avLst>
            <a:gd name="adj" fmla="val 10000"/>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Font typeface="Arial" panose="020B0604020202020204" pitchFamily="34" charset="0"/>
            <a:buNone/>
          </a:pPr>
          <a:r>
            <a:rPr lang="en-IN" sz="1300" kern="1200"/>
            <a:t>Ensure fairness in decision-making processes</a:t>
          </a:r>
        </a:p>
      </dsp:txBody>
      <dsp:txXfrm>
        <a:off x="352051" y="410582"/>
        <a:ext cx="3985769" cy="330884"/>
      </dsp:txXfrm>
    </dsp:sp>
    <dsp:sp modelId="{DC949FFD-488C-401A-BBF3-D51A705CE13C}">
      <dsp:nvSpPr>
        <dsp:cNvPr id="0" name=""/>
        <dsp:cNvSpPr/>
      </dsp:nvSpPr>
      <dsp:spPr>
        <a:xfrm>
          <a:off x="683514" y="800576"/>
          <a:ext cx="4576572" cy="351472"/>
        </a:xfrm>
        <a:prstGeom prst="roundRect">
          <a:avLst>
            <a:gd name="adj" fmla="val 10000"/>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Font typeface="Arial" panose="020B0604020202020204" pitchFamily="34" charset="0"/>
            <a:buNone/>
          </a:pPr>
          <a:r>
            <a:rPr lang="en-IN" sz="1300" kern="1200"/>
            <a:t>Protect local community interests</a:t>
          </a:r>
        </a:p>
      </dsp:txBody>
      <dsp:txXfrm>
        <a:off x="693808" y="810870"/>
        <a:ext cx="3985769" cy="330884"/>
      </dsp:txXfrm>
    </dsp:sp>
    <dsp:sp modelId="{FDD3C04B-A80C-4407-909C-3AB33136DCFA}">
      <dsp:nvSpPr>
        <dsp:cNvPr id="0" name=""/>
        <dsp:cNvSpPr/>
      </dsp:nvSpPr>
      <dsp:spPr>
        <a:xfrm>
          <a:off x="1025271" y="1200864"/>
          <a:ext cx="4576572" cy="351472"/>
        </a:xfrm>
        <a:prstGeom prst="roundRect">
          <a:avLst>
            <a:gd name="adj" fmla="val 10000"/>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Font typeface="Arial" panose="020B0604020202020204" pitchFamily="34" charset="0"/>
            <a:buNone/>
          </a:pPr>
          <a:r>
            <a:rPr lang="en-IN" sz="1300" kern="1200"/>
            <a:t>Promote transparency in planning and communication</a:t>
          </a:r>
        </a:p>
      </dsp:txBody>
      <dsp:txXfrm>
        <a:off x="1035565" y="1211158"/>
        <a:ext cx="3985769" cy="330884"/>
      </dsp:txXfrm>
    </dsp:sp>
    <dsp:sp modelId="{566CC55E-D203-4BC0-932F-8FA9355423F1}">
      <dsp:nvSpPr>
        <dsp:cNvPr id="0" name=""/>
        <dsp:cNvSpPr/>
      </dsp:nvSpPr>
      <dsp:spPr>
        <a:xfrm>
          <a:off x="1367028" y="1601152"/>
          <a:ext cx="4576572" cy="351472"/>
        </a:xfrm>
        <a:prstGeom prst="roundRect">
          <a:avLst>
            <a:gd name="adj" fmla="val 1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Font typeface="Arial" panose="020B0604020202020204" pitchFamily="34" charset="0"/>
            <a:buNone/>
          </a:pPr>
          <a:r>
            <a:rPr lang="en-IN" sz="1300" kern="1200"/>
            <a:t>Avoid marginalisation of less powerful stakeholders</a:t>
          </a:r>
        </a:p>
      </dsp:txBody>
      <dsp:txXfrm>
        <a:off x="1377322" y="1611446"/>
        <a:ext cx="3985769" cy="330884"/>
      </dsp:txXfrm>
    </dsp:sp>
    <dsp:sp modelId="{CCF435EA-38EE-4DBE-A87A-1A1E1B46F528}">
      <dsp:nvSpPr>
        <dsp:cNvPr id="0" name=""/>
        <dsp:cNvSpPr/>
      </dsp:nvSpPr>
      <dsp:spPr>
        <a:xfrm>
          <a:off x="4348114" y="256770"/>
          <a:ext cx="228457" cy="228457"/>
        </a:xfrm>
        <a:prstGeom prst="downArrow">
          <a:avLst>
            <a:gd name="adj1" fmla="val 55000"/>
            <a:gd name="adj2" fmla="val 45000"/>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4399517" y="256770"/>
        <a:ext cx="125651" cy="171914"/>
      </dsp:txXfrm>
    </dsp:sp>
    <dsp:sp modelId="{B0E391F0-A978-40AE-85F7-89E97E358D4F}">
      <dsp:nvSpPr>
        <dsp:cNvPr id="0" name=""/>
        <dsp:cNvSpPr/>
      </dsp:nvSpPr>
      <dsp:spPr>
        <a:xfrm>
          <a:off x="4689871" y="657058"/>
          <a:ext cx="228457" cy="228457"/>
        </a:xfrm>
        <a:prstGeom prst="downArrow">
          <a:avLst>
            <a:gd name="adj1" fmla="val 55000"/>
            <a:gd name="adj2" fmla="val 45000"/>
          </a:avLst>
        </a:prstGeom>
        <a:solidFill>
          <a:schemeClr val="accent5">
            <a:tint val="40000"/>
            <a:alpha val="90000"/>
            <a:hueOff val="-2463918"/>
            <a:satOff val="-4272"/>
            <a:lumOff val="-430"/>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4741274" y="657058"/>
        <a:ext cx="125651" cy="171914"/>
      </dsp:txXfrm>
    </dsp:sp>
    <dsp:sp modelId="{0CFEB41F-17E3-45CE-BF95-0FD0ACD33526}">
      <dsp:nvSpPr>
        <dsp:cNvPr id="0" name=""/>
        <dsp:cNvSpPr/>
      </dsp:nvSpPr>
      <dsp:spPr>
        <a:xfrm>
          <a:off x="5031628" y="1051488"/>
          <a:ext cx="228457" cy="228457"/>
        </a:xfrm>
        <a:prstGeom prst="downArrow">
          <a:avLst>
            <a:gd name="adj1" fmla="val 55000"/>
            <a:gd name="adj2" fmla="val 45000"/>
          </a:avLst>
        </a:prstGeom>
        <a:solidFill>
          <a:schemeClr val="accent5">
            <a:tint val="40000"/>
            <a:alpha val="90000"/>
            <a:hueOff val="-4927837"/>
            <a:satOff val="-8544"/>
            <a:lumOff val="-859"/>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5083031" y="1051488"/>
        <a:ext cx="125651" cy="171914"/>
      </dsp:txXfrm>
    </dsp:sp>
    <dsp:sp modelId="{36657B6C-FE5E-4E90-A9F5-EEEED6EACE20}">
      <dsp:nvSpPr>
        <dsp:cNvPr id="0" name=""/>
        <dsp:cNvSpPr/>
      </dsp:nvSpPr>
      <dsp:spPr>
        <a:xfrm>
          <a:off x="5373385" y="1455681"/>
          <a:ext cx="228457" cy="228457"/>
        </a:xfrm>
        <a:prstGeom prst="downArrow">
          <a:avLst>
            <a:gd name="adj1" fmla="val 55000"/>
            <a:gd name="adj2" fmla="val 45000"/>
          </a:avLst>
        </a:prstGeom>
        <a:solidFill>
          <a:schemeClr val="accent5">
            <a:tint val="40000"/>
            <a:alpha val="90000"/>
            <a:hueOff val="-7391755"/>
            <a:satOff val="-12816"/>
            <a:lumOff val="-1289"/>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5424788" y="1455681"/>
        <a:ext cx="125651" cy="1719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D4D982-CBD3-4B56-AFC6-F8B22A460E30}">
      <dsp:nvSpPr>
        <dsp:cNvPr id="0" name=""/>
        <dsp:cNvSpPr/>
      </dsp:nvSpPr>
      <dsp:spPr>
        <a:xfrm>
          <a:off x="-3078453" y="-473953"/>
          <a:ext cx="3672057" cy="3672057"/>
        </a:xfrm>
        <a:prstGeom prst="blockArc">
          <a:avLst>
            <a:gd name="adj1" fmla="val 18900000"/>
            <a:gd name="adj2" fmla="val 2700000"/>
            <a:gd name="adj3" fmla="val 588"/>
          </a:avLst>
        </a:pr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3A83F5-F997-4EAF-818E-888F2E849FFD}">
      <dsp:nvSpPr>
        <dsp:cNvPr id="0" name=""/>
        <dsp:cNvSpPr/>
      </dsp:nvSpPr>
      <dsp:spPr>
        <a:xfrm>
          <a:off x="193441" y="123839"/>
          <a:ext cx="5258933" cy="247570"/>
        </a:xfrm>
        <a:prstGeom prst="rect">
          <a:avLst/>
        </a:prstGeom>
        <a:gradFill rotWithShape="0">
          <a:gsLst>
            <a:gs pos="0">
              <a:schemeClr val="accent2">
                <a:shade val="50000"/>
                <a:hueOff val="0"/>
                <a:satOff val="0"/>
                <a:lumOff val="0"/>
                <a:alphaOff val="0"/>
                <a:satMod val="103000"/>
                <a:lumMod val="102000"/>
                <a:tint val="94000"/>
              </a:schemeClr>
            </a:gs>
            <a:gs pos="50000">
              <a:schemeClr val="accent2">
                <a:shade val="50000"/>
                <a:hueOff val="0"/>
                <a:satOff val="0"/>
                <a:lumOff val="0"/>
                <a:alphaOff val="0"/>
                <a:satMod val="110000"/>
                <a:lumMod val="100000"/>
                <a:shade val="100000"/>
              </a:schemeClr>
            </a:gs>
            <a:gs pos="100000">
              <a:schemeClr val="accent2">
                <a:shade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6509" tIns="30480" rIns="30480" bIns="30480" numCol="1" spcCol="1270" anchor="ctr" anchorCtr="0">
          <a:noAutofit/>
        </a:bodyPr>
        <a:lstStyle/>
        <a:p>
          <a:pPr marL="0" lvl="0" indent="0" algn="l" defTabSz="533400">
            <a:lnSpc>
              <a:spcPct val="90000"/>
            </a:lnSpc>
            <a:spcBef>
              <a:spcPct val="0"/>
            </a:spcBef>
            <a:spcAft>
              <a:spcPct val="35000"/>
            </a:spcAft>
            <a:buNone/>
          </a:pPr>
          <a:r>
            <a:rPr lang="en-IN" sz="1200" kern="1200"/>
            <a:t>Recognised complexity of stakeholder relationships</a:t>
          </a:r>
        </a:p>
      </dsp:txBody>
      <dsp:txXfrm>
        <a:off x="193441" y="123839"/>
        <a:ext cx="5258933" cy="247570"/>
      </dsp:txXfrm>
    </dsp:sp>
    <dsp:sp modelId="{9853C874-307F-4178-8610-3F0DF0C09033}">
      <dsp:nvSpPr>
        <dsp:cNvPr id="0" name=""/>
        <dsp:cNvSpPr/>
      </dsp:nvSpPr>
      <dsp:spPr>
        <a:xfrm>
          <a:off x="38709" y="92893"/>
          <a:ext cx="309463" cy="309463"/>
        </a:xfrm>
        <a:prstGeom prst="ellipse">
          <a:avLst/>
        </a:prstGeom>
        <a:solidFill>
          <a:schemeClr val="lt1">
            <a:hueOff val="0"/>
            <a:satOff val="0"/>
            <a:lumOff val="0"/>
            <a:alphaOff val="0"/>
          </a:schemeClr>
        </a:solidFill>
        <a:ln w="6350" cap="flat" cmpd="sng" algn="ctr">
          <a:solidFill>
            <a:schemeClr val="accent2">
              <a:shade val="5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E4D44C3E-60A2-4139-929C-0DD902EE250A}">
      <dsp:nvSpPr>
        <dsp:cNvPr id="0" name=""/>
        <dsp:cNvSpPr/>
      </dsp:nvSpPr>
      <dsp:spPr>
        <a:xfrm>
          <a:off x="417639" y="495413"/>
          <a:ext cx="5034735" cy="247570"/>
        </a:xfrm>
        <a:prstGeom prst="rect">
          <a:avLst/>
        </a:prstGeom>
        <a:gradFill rotWithShape="0">
          <a:gsLst>
            <a:gs pos="0">
              <a:schemeClr val="accent2">
                <a:shade val="50000"/>
                <a:hueOff val="-168907"/>
                <a:satOff val="2224"/>
                <a:lumOff val="13319"/>
                <a:alphaOff val="0"/>
                <a:satMod val="103000"/>
                <a:lumMod val="102000"/>
                <a:tint val="94000"/>
              </a:schemeClr>
            </a:gs>
            <a:gs pos="50000">
              <a:schemeClr val="accent2">
                <a:shade val="50000"/>
                <a:hueOff val="-168907"/>
                <a:satOff val="2224"/>
                <a:lumOff val="13319"/>
                <a:alphaOff val="0"/>
                <a:satMod val="110000"/>
                <a:lumMod val="100000"/>
                <a:shade val="100000"/>
              </a:schemeClr>
            </a:gs>
            <a:gs pos="100000">
              <a:schemeClr val="accent2">
                <a:shade val="50000"/>
                <a:hueOff val="-168907"/>
                <a:satOff val="2224"/>
                <a:lumOff val="1331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6509" tIns="30480" rIns="30480" bIns="30480" numCol="1" spcCol="1270" anchor="ctr" anchorCtr="0">
          <a:noAutofit/>
        </a:bodyPr>
        <a:lstStyle/>
        <a:p>
          <a:pPr marL="0" lvl="0" indent="0" algn="l" defTabSz="533400">
            <a:lnSpc>
              <a:spcPct val="90000"/>
            </a:lnSpc>
            <a:spcBef>
              <a:spcPct val="0"/>
            </a:spcBef>
            <a:spcAft>
              <a:spcPct val="35000"/>
            </a:spcAft>
            <a:buNone/>
          </a:pPr>
          <a:r>
            <a:rPr lang="en-IN" sz="1200" kern="1200"/>
            <a:t>Understood importance of collaboration</a:t>
          </a:r>
        </a:p>
      </dsp:txBody>
      <dsp:txXfrm>
        <a:off x="417639" y="495413"/>
        <a:ext cx="5034735" cy="247570"/>
      </dsp:txXfrm>
    </dsp:sp>
    <dsp:sp modelId="{46442868-1AE1-40E7-ACCB-F83192C867F6}">
      <dsp:nvSpPr>
        <dsp:cNvPr id="0" name=""/>
        <dsp:cNvSpPr/>
      </dsp:nvSpPr>
      <dsp:spPr>
        <a:xfrm>
          <a:off x="262907" y="464467"/>
          <a:ext cx="309463" cy="309463"/>
        </a:xfrm>
        <a:prstGeom prst="ellipse">
          <a:avLst/>
        </a:prstGeom>
        <a:solidFill>
          <a:schemeClr val="lt1">
            <a:hueOff val="0"/>
            <a:satOff val="0"/>
            <a:lumOff val="0"/>
            <a:alphaOff val="0"/>
          </a:schemeClr>
        </a:solidFill>
        <a:ln w="6350" cap="flat" cmpd="sng" algn="ctr">
          <a:solidFill>
            <a:schemeClr val="accent2">
              <a:shade val="50000"/>
              <a:hueOff val="-158855"/>
              <a:satOff val="2474"/>
              <a:lumOff val="12321"/>
              <a:alphaOff val="0"/>
            </a:schemeClr>
          </a:solidFill>
          <a:prstDash val="solid"/>
          <a:miter lim="800000"/>
        </a:ln>
        <a:effectLst/>
      </dsp:spPr>
      <dsp:style>
        <a:lnRef idx="1">
          <a:scrgbClr r="0" g="0" b="0"/>
        </a:lnRef>
        <a:fillRef idx="1">
          <a:scrgbClr r="0" g="0" b="0"/>
        </a:fillRef>
        <a:effectRef idx="2">
          <a:scrgbClr r="0" g="0" b="0"/>
        </a:effectRef>
        <a:fontRef idx="minor"/>
      </dsp:style>
    </dsp:sp>
    <dsp:sp modelId="{1199B80E-2D5C-4FD9-988F-CA9D8619ED40}">
      <dsp:nvSpPr>
        <dsp:cNvPr id="0" name=""/>
        <dsp:cNvSpPr/>
      </dsp:nvSpPr>
      <dsp:spPr>
        <a:xfrm>
          <a:off x="540498" y="866715"/>
          <a:ext cx="4911876" cy="247570"/>
        </a:xfrm>
        <a:prstGeom prst="rect">
          <a:avLst/>
        </a:prstGeom>
        <a:gradFill rotWithShape="0">
          <a:gsLst>
            <a:gs pos="0">
              <a:schemeClr val="accent2">
                <a:shade val="50000"/>
                <a:hueOff val="-337813"/>
                <a:satOff val="4447"/>
                <a:lumOff val="26638"/>
                <a:alphaOff val="0"/>
                <a:satMod val="103000"/>
                <a:lumMod val="102000"/>
                <a:tint val="94000"/>
              </a:schemeClr>
            </a:gs>
            <a:gs pos="50000">
              <a:schemeClr val="accent2">
                <a:shade val="50000"/>
                <a:hueOff val="-337813"/>
                <a:satOff val="4447"/>
                <a:lumOff val="26638"/>
                <a:alphaOff val="0"/>
                <a:satMod val="110000"/>
                <a:lumMod val="100000"/>
                <a:shade val="100000"/>
              </a:schemeClr>
            </a:gs>
            <a:gs pos="100000">
              <a:schemeClr val="accent2">
                <a:shade val="50000"/>
                <a:hueOff val="-337813"/>
                <a:satOff val="4447"/>
                <a:lumOff val="266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6509" tIns="30480" rIns="30480" bIns="30480" numCol="1" spcCol="1270" anchor="ctr" anchorCtr="0">
          <a:noAutofit/>
        </a:bodyPr>
        <a:lstStyle/>
        <a:p>
          <a:pPr marL="0" lvl="0" indent="0" algn="l" defTabSz="533400">
            <a:lnSpc>
              <a:spcPct val="90000"/>
            </a:lnSpc>
            <a:spcBef>
              <a:spcPct val="0"/>
            </a:spcBef>
            <a:spcAft>
              <a:spcPct val="35000"/>
            </a:spcAft>
            <a:buNone/>
          </a:pPr>
          <a:r>
            <a:rPr lang="en-IN" sz="1200" kern="1200"/>
            <a:t>Learned value of inclusive communication</a:t>
          </a:r>
        </a:p>
      </dsp:txBody>
      <dsp:txXfrm>
        <a:off x="540498" y="866715"/>
        <a:ext cx="4911876" cy="247570"/>
      </dsp:txXfrm>
    </dsp:sp>
    <dsp:sp modelId="{280F5661-BFBE-4AD3-9EFE-65E61B2F8508}">
      <dsp:nvSpPr>
        <dsp:cNvPr id="0" name=""/>
        <dsp:cNvSpPr/>
      </dsp:nvSpPr>
      <dsp:spPr>
        <a:xfrm>
          <a:off x="385766" y="835769"/>
          <a:ext cx="309463" cy="309463"/>
        </a:xfrm>
        <a:prstGeom prst="ellipse">
          <a:avLst/>
        </a:prstGeom>
        <a:solidFill>
          <a:schemeClr val="lt1">
            <a:hueOff val="0"/>
            <a:satOff val="0"/>
            <a:lumOff val="0"/>
            <a:alphaOff val="0"/>
          </a:schemeClr>
        </a:solidFill>
        <a:ln w="6350" cap="flat" cmpd="sng" algn="ctr">
          <a:solidFill>
            <a:schemeClr val="accent2">
              <a:shade val="50000"/>
              <a:hueOff val="-317709"/>
              <a:satOff val="4947"/>
              <a:lumOff val="24642"/>
              <a:alphaOff val="0"/>
            </a:schemeClr>
          </a:solidFill>
          <a:prstDash val="solid"/>
          <a:miter lim="800000"/>
        </a:ln>
        <a:effectLst/>
      </dsp:spPr>
      <dsp:style>
        <a:lnRef idx="1">
          <a:scrgbClr r="0" g="0" b="0"/>
        </a:lnRef>
        <a:fillRef idx="1">
          <a:scrgbClr r="0" g="0" b="0"/>
        </a:fillRef>
        <a:effectRef idx="2">
          <a:scrgbClr r="0" g="0" b="0"/>
        </a:effectRef>
        <a:fontRef idx="minor"/>
      </dsp:style>
    </dsp:sp>
    <dsp:sp modelId="{0CEB7425-1FE4-42B5-8F7A-D8B4E0B92E2C}">
      <dsp:nvSpPr>
        <dsp:cNvPr id="0" name=""/>
        <dsp:cNvSpPr/>
      </dsp:nvSpPr>
      <dsp:spPr>
        <a:xfrm>
          <a:off x="579725" y="1238289"/>
          <a:ext cx="4872649" cy="247570"/>
        </a:xfrm>
        <a:prstGeom prst="rect">
          <a:avLst/>
        </a:prstGeom>
        <a:gradFill rotWithShape="0">
          <a:gsLst>
            <a:gs pos="0">
              <a:schemeClr val="accent2">
                <a:shade val="50000"/>
                <a:hueOff val="-506720"/>
                <a:satOff val="6671"/>
                <a:lumOff val="39957"/>
                <a:alphaOff val="0"/>
                <a:satMod val="103000"/>
                <a:lumMod val="102000"/>
                <a:tint val="94000"/>
              </a:schemeClr>
            </a:gs>
            <a:gs pos="50000">
              <a:schemeClr val="accent2">
                <a:shade val="50000"/>
                <a:hueOff val="-506720"/>
                <a:satOff val="6671"/>
                <a:lumOff val="39957"/>
                <a:alphaOff val="0"/>
                <a:satMod val="110000"/>
                <a:lumMod val="100000"/>
                <a:shade val="100000"/>
              </a:schemeClr>
            </a:gs>
            <a:gs pos="100000">
              <a:schemeClr val="accent2">
                <a:shade val="50000"/>
                <a:hueOff val="-506720"/>
                <a:satOff val="6671"/>
                <a:lumOff val="3995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6509" tIns="30480" rIns="30480" bIns="30480" numCol="1" spcCol="1270" anchor="ctr" anchorCtr="0">
          <a:noAutofit/>
        </a:bodyPr>
        <a:lstStyle/>
        <a:p>
          <a:pPr marL="0" lvl="0" indent="0" algn="l" defTabSz="533400">
            <a:lnSpc>
              <a:spcPct val="90000"/>
            </a:lnSpc>
            <a:spcBef>
              <a:spcPct val="0"/>
            </a:spcBef>
            <a:spcAft>
              <a:spcPct val="35000"/>
            </a:spcAft>
            <a:buNone/>
          </a:pPr>
          <a:r>
            <a:rPr lang="en-IN" sz="1200" kern="1200"/>
            <a:t>Observed power differences among stakeholders</a:t>
          </a:r>
        </a:p>
      </dsp:txBody>
      <dsp:txXfrm>
        <a:off x="579725" y="1238289"/>
        <a:ext cx="4872649" cy="247570"/>
      </dsp:txXfrm>
    </dsp:sp>
    <dsp:sp modelId="{AADF033E-8F92-475B-88FE-28A632D00818}">
      <dsp:nvSpPr>
        <dsp:cNvPr id="0" name=""/>
        <dsp:cNvSpPr/>
      </dsp:nvSpPr>
      <dsp:spPr>
        <a:xfrm>
          <a:off x="424994" y="1207343"/>
          <a:ext cx="309463" cy="309463"/>
        </a:xfrm>
        <a:prstGeom prst="ellipse">
          <a:avLst/>
        </a:prstGeom>
        <a:solidFill>
          <a:schemeClr val="lt1">
            <a:hueOff val="0"/>
            <a:satOff val="0"/>
            <a:lumOff val="0"/>
            <a:alphaOff val="0"/>
          </a:schemeClr>
        </a:solidFill>
        <a:ln w="6350" cap="flat" cmpd="sng" algn="ctr">
          <a:solidFill>
            <a:schemeClr val="accent2">
              <a:shade val="50000"/>
              <a:hueOff val="-476564"/>
              <a:satOff val="7421"/>
              <a:lumOff val="36963"/>
              <a:alphaOff val="0"/>
            </a:schemeClr>
          </a:solidFill>
          <a:prstDash val="solid"/>
          <a:miter lim="800000"/>
        </a:ln>
        <a:effectLst/>
      </dsp:spPr>
      <dsp:style>
        <a:lnRef idx="1">
          <a:scrgbClr r="0" g="0" b="0"/>
        </a:lnRef>
        <a:fillRef idx="1">
          <a:scrgbClr r="0" g="0" b="0"/>
        </a:fillRef>
        <a:effectRef idx="2">
          <a:scrgbClr r="0" g="0" b="0"/>
        </a:effectRef>
        <a:fontRef idx="minor"/>
      </dsp:style>
    </dsp:sp>
    <dsp:sp modelId="{99321B3E-37B2-4046-B79C-D388FEBEB94F}">
      <dsp:nvSpPr>
        <dsp:cNvPr id="0" name=""/>
        <dsp:cNvSpPr/>
      </dsp:nvSpPr>
      <dsp:spPr>
        <a:xfrm>
          <a:off x="540498" y="1609863"/>
          <a:ext cx="4911876" cy="247570"/>
        </a:xfrm>
        <a:prstGeom prst="rect">
          <a:avLst/>
        </a:prstGeom>
        <a:gradFill rotWithShape="0">
          <a:gsLst>
            <a:gs pos="0">
              <a:schemeClr val="accent2">
                <a:shade val="50000"/>
                <a:hueOff val="-506720"/>
                <a:satOff val="6671"/>
                <a:lumOff val="39957"/>
                <a:alphaOff val="0"/>
                <a:satMod val="103000"/>
                <a:lumMod val="102000"/>
                <a:tint val="94000"/>
              </a:schemeClr>
            </a:gs>
            <a:gs pos="50000">
              <a:schemeClr val="accent2">
                <a:shade val="50000"/>
                <a:hueOff val="-506720"/>
                <a:satOff val="6671"/>
                <a:lumOff val="39957"/>
                <a:alphaOff val="0"/>
                <a:satMod val="110000"/>
                <a:lumMod val="100000"/>
                <a:shade val="100000"/>
              </a:schemeClr>
            </a:gs>
            <a:gs pos="100000">
              <a:schemeClr val="accent2">
                <a:shade val="50000"/>
                <a:hueOff val="-506720"/>
                <a:satOff val="6671"/>
                <a:lumOff val="3995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6509" tIns="30480" rIns="30480" bIns="30480" numCol="1" spcCol="1270" anchor="ctr" anchorCtr="0">
          <a:noAutofit/>
        </a:bodyPr>
        <a:lstStyle/>
        <a:p>
          <a:pPr marL="0" lvl="0" indent="0" algn="l" defTabSz="533400">
            <a:lnSpc>
              <a:spcPct val="90000"/>
            </a:lnSpc>
            <a:spcBef>
              <a:spcPct val="0"/>
            </a:spcBef>
            <a:spcAft>
              <a:spcPct val="35000"/>
            </a:spcAft>
            <a:buNone/>
          </a:pPr>
          <a:r>
            <a:rPr lang="en-IN" sz="1200" kern="1200"/>
            <a:t>Appreciated role of ethical leadership</a:t>
          </a:r>
        </a:p>
      </dsp:txBody>
      <dsp:txXfrm>
        <a:off x="540498" y="1609863"/>
        <a:ext cx="4911876" cy="247570"/>
      </dsp:txXfrm>
    </dsp:sp>
    <dsp:sp modelId="{5E68124E-C5B7-4A26-A155-9BFADF40EE90}">
      <dsp:nvSpPr>
        <dsp:cNvPr id="0" name=""/>
        <dsp:cNvSpPr/>
      </dsp:nvSpPr>
      <dsp:spPr>
        <a:xfrm>
          <a:off x="385766" y="1578917"/>
          <a:ext cx="309463" cy="309463"/>
        </a:xfrm>
        <a:prstGeom prst="ellipse">
          <a:avLst/>
        </a:prstGeom>
        <a:solidFill>
          <a:schemeClr val="lt1">
            <a:hueOff val="0"/>
            <a:satOff val="0"/>
            <a:lumOff val="0"/>
            <a:alphaOff val="0"/>
          </a:schemeClr>
        </a:solidFill>
        <a:ln w="6350" cap="flat" cmpd="sng" algn="ctr">
          <a:solidFill>
            <a:schemeClr val="accent2">
              <a:shade val="50000"/>
              <a:hueOff val="-476564"/>
              <a:satOff val="7421"/>
              <a:lumOff val="36963"/>
              <a:alphaOff val="0"/>
            </a:schemeClr>
          </a:solidFill>
          <a:prstDash val="solid"/>
          <a:miter lim="800000"/>
        </a:ln>
        <a:effectLst/>
      </dsp:spPr>
      <dsp:style>
        <a:lnRef idx="1">
          <a:scrgbClr r="0" g="0" b="0"/>
        </a:lnRef>
        <a:fillRef idx="1">
          <a:scrgbClr r="0" g="0" b="0"/>
        </a:fillRef>
        <a:effectRef idx="2">
          <a:scrgbClr r="0" g="0" b="0"/>
        </a:effectRef>
        <a:fontRef idx="minor"/>
      </dsp:style>
    </dsp:sp>
    <dsp:sp modelId="{A30A8BD4-1249-4AF8-BCEB-8AB9A8A50C0D}">
      <dsp:nvSpPr>
        <dsp:cNvPr id="0" name=""/>
        <dsp:cNvSpPr/>
      </dsp:nvSpPr>
      <dsp:spPr>
        <a:xfrm>
          <a:off x="417639" y="1981165"/>
          <a:ext cx="5034735" cy="247570"/>
        </a:xfrm>
        <a:prstGeom prst="rect">
          <a:avLst/>
        </a:prstGeom>
        <a:gradFill rotWithShape="0">
          <a:gsLst>
            <a:gs pos="0">
              <a:schemeClr val="accent2">
                <a:shade val="50000"/>
                <a:hueOff val="-337813"/>
                <a:satOff val="4447"/>
                <a:lumOff val="26638"/>
                <a:alphaOff val="0"/>
                <a:satMod val="103000"/>
                <a:lumMod val="102000"/>
                <a:tint val="94000"/>
              </a:schemeClr>
            </a:gs>
            <a:gs pos="50000">
              <a:schemeClr val="accent2">
                <a:shade val="50000"/>
                <a:hueOff val="-337813"/>
                <a:satOff val="4447"/>
                <a:lumOff val="26638"/>
                <a:alphaOff val="0"/>
                <a:satMod val="110000"/>
                <a:lumMod val="100000"/>
                <a:shade val="100000"/>
              </a:schemeClr>
            </a:gs>
            <a:gs pos="100000">
              <a:schemeClr val="accent2">
                <a:shade val="50000"/>
                <a:hueOff val="-337813"/>
                <a:satOff val="4447"/>
                <a:lumOff val="266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6509" tIns="30480" rIns="30480" bIns="30480" numCol="1" spcCol="1270" anchor="ctr" anchorCtr="0">
          <a:noAutofit/>
        </a:bodyPr>
        <a:lstStyle/>
        <a:p>
          <a:pPr marL="0" lvl="0" indent="0" algn="l" defTabSz="533400">
            <a:lnSpc>
              <a:spcPct val="90000"/>
            </a:lnSpc>
            <a:spcBef>
              <a:spcPct val="0"/>
            </a:spcBef>
            <a:spcAft>
              <a:spcPct val="35000"/>
            </a:spcAft>
            <a:buNone/>
          </a:pPr>
          <a:r>
            <a:rPr lang="en-IN" sz="1200" kern="1200"/>
            <a:t>Connected theory with real-world practice</a:t>
          </a:r>
        </a:p>
      </dsp:txBody>
      <dsp:txXfrm>
        <a:off x="417639" y="1981165"/>
        <a:ext cx="5034735" cy="247570"/>
      </dsp:txXfrm>
    </dsp:sp>
    <dsp:sp modelId="{1C39D949-3F56-4AA4-B297-AC2BEF9A4A66}">
      <dsp:nvSpPr>
        <dsp:cNvPr id="0" name=""/>
        <dsp:cNvSpPr/>
      </dsp:nvSpPr>
      <dsp:spPr>
        <a:xfrm>
          <a:off x="262907" y="1950218"/>
          <a:ext cx="309463" cy="309463"/>
        </a:xfrm>
        <a:prstGeom prst="ellipse">
          <a:avLst/>
        </a:prstGeom>
        <a:solidFill>
          <a:schemeClr val="lt1">
            <a:hueOff val="0"/>
            <a:satOff val="0"/>
            <a:lumOff val="0"/>
            <a:alphaOff val="0"/>
          </a:schemeClr>
        </a:solidFill>
        <a:ln w="6350" cap="flat" cmpd="sng" algn="ctr">
          <a:solidFill>
            <a:schemeClr val="accent2">
              <a:shade val="50000"/>
              <a:hueOff val="-317709"/>
              <a:satOff val="4947"/>
              <a:lumOff val="24642"/>
              <a:alphaOff val="0"/>
            </a:schemeClr>
          </a:solidFill>
          <a:prstDash val="solid"/>
          <a:miter lim="800000"/>
        </a:ln>
        <a:effectLst/>
      </dsp:spPr>
      <dsp:style>
        <a:lnRef idx="1">
          <a:scrgbClr r="0" g="0" b="0"/>
        </a:lnRef>
        <a:fillRef idx="1">
          <a:scrgbClr r="0" g="0" b="0"/>
        </a:fillRef>
        <a:effectRef idx="2">
          <a:scrgbClr r="0" g="0" b="0"/>
        </a:effectRef>
        <a:fontRef idx="minor"/>
      </dsp:style>
    </dsp:sp>
    <dsp:sp modelId="{58AFBE70-F2E9-4550-90A3-5AB25C79B339}">
      <dsp:nvSpPr>
        <dsp:cNvPr id="0" name=""/>
        <dsp:cNvSpPr/>
      </dsp:nvSpPr>
      <dsp:spPr>
        <a:xfrm>
          <a:off x="193441" y="2352739"/>
          <a:ext cx="5258933" cy="247570"/>
        </a:xfrm>
        <a:prstGeom prst="rect">
          <a:avLst/>
        </a:prstGeom>
        <a:gradFill rotWithShape="0">
          <a:gsLst>
            <a:gs pos="0">
              <a:schemeClr val="accent2">
                <a:shade val="50000"/>
                <a:hueOff val="-168907"/>
                <a:satOff val="2224"/>
                <a:lumOff val="13319"/>
                <a:alphaOff val="0"/>
                <a:satMod val="103000"/>
                <a:lumMod val="102000"/>
                <a:tint val="94000"/>
              </a:schemeClr>
            </a:gs>
            <a:gs pos="50000">
              <a:schemeClr val="accent2">
                <a:shade val="50000"/>
                <a:hueOff val="-168907"/>
                <a:satOff val="2224"/>
                <a:lumOff val="13319"/>
                <a:alphaOff val="0"/>
                <a:satMod val="110000"/>
                <a:lumMod val="100000"/>
                <a:shade val="100000"/>
              </a:schemeClr>
            </a:gs>
            <a:gs pos="100000">
              <a:schemeClr val="accent2">
                <a:shade val="50000"/>
                <a:hueOff val="-168907"/>
                <a:satOff val="2224"/>
                <a:lumOff val="1331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6509" tIns="30480" rIns="30480" bIns="30480" numCol="1" spcCol="1270" anchor="ctr" anchorCtr="0">
          <a:noAutofit/>
        </a:bodyPr>
        <a:lstStyle/>
        <a:p>
          <a:pPr marL="0" lvl="0" indent="0" algn="l" defTabSz="533400">
            <a:lnSpc>
              <a:spcPct val="90000"/>
            </a:lnSpc>
            <a:spcBef>
              <a:spcPct val="0"/>
            </a:spcBef>
            <a:spcAft>
              <a:spcPct val="35000"/>
            </a:spcAft>
            <a:buNone/>
          </a:pPr>
          <a:r>
            <a:rPr lang="en-IN" sz="1200" kern="1200"/>
            <a:t>Developed awareness of sustainability priorities</a:t>
          </a:r>
        </a:p>
      </dsp:txBody>
      <dsp:txXfrm>
        <a:off x="193441" y="2352739"/>
        <a:ext cx="5258933" cy="247570"/>
      </dsp:txXfrm>
    </dsp:sp>
    <dsp:sp modelId="{AD564CB7-71A6-4CCB-B11E-5052C3D68C15}">
      <dsp:nvSpPr>
        <dsp:cNvPr id="0" name=""/>
        <dsp:cNvSpPr/>
      </dsp:nvSpPr>
      <dsp:spPr>
        <a:xfrm>
          <a:off x="38709" y="2321793"/>
          <a:ext cx="309463" cy="309463"/>
        </a:xfrm>
        <a:prstGeom prst="ellipse">
          <a:avLst/>
        </a:prstGeom>
        <a:solidFill>
          <a:schemeClr val="lt1">
            <a:hueOff val="0"/>
            <a:satOff val="0"/>
            <a:lumOff val="0"/>
            <a:alphaOff val="0"/>
          </a:schemeClr>
        </a:solidFill>
        <a:ln w="6350" cap="flat" cmpd="sng" algn="ctr">
          <a:solidFill>
            <a:schemeClr val="accent2">
              <a:shade val="50000"/>
              <a:hueOff val="-158855"/>
              <a:satOff val="2474"/>
              <a:lumOff val="12321"/>
              <a:alphaOff val="0"/>
            </a:schemeClr>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E75F4-ED02-49EE-AAC5-19BE10A8C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3833</Words>
  <Characters>23652</Characters>
  <Application>Microsoft Office Word</Application>
  <DocSecurity>0</DocSecurity>
  <Lines>438</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2026-02-27T10:52:00Z</dcterms:created>
  <dcterms:modified xsi:type="dcterms:W3CDTF">2026-03-22T09:29:00Z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7827623c-81d9-4f21-91c9-1cf9f0c489e0</vt:lpwstr>
  </property>
</Properties>
</file>