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8859E0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r w:rsidR="00B01590">
        <w:rPr>
          <w:rFonts w:ascii="Times New Roman" w:hAnsi="Times New Roman" w:cs="Times New Roman"/>
          <w:b/>
          <w:color w:val="auto"/>
          <w:sz w:val="48"/>
        </w:rPr>
        <w:t xml:space="preserve"> Task 3</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FF0D24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B7EE2">
              <w:rPr>
                <w:rFonts w:ascii="Times New Roman" w:hAnsi="Times New Roman" w:cs="Times New Roman"/>
                <w:b/>
                <w:color w:val="auto"/>
                <w:sz w:val="48"/>
              </w:rPr>
              <w:t xml:space="preserve">Helen Murphy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E5E768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B7EE2">
              <w:rPr>
                <w:rFonts w:ascii="Times New Roman" w:hAnsi="Times New Roman" w:cs="Times New Roman"/>
                <w:b/>
                <w:color w:val="auto"/>
                <w:sz w:val="48"/>
              </w:rPr>
              <w:t xml:space="preserve"> helen.murphy79@yahoo.co.uk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2928A51" w14:textId="6448EACA" w:rsidR="00BB7EE2" w:rsidRPr="005D3F07" w:rsidRDefault="00BB7EE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2323406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BB7EE2" w:rsidRDefault="006872A0" w:rsidP="00064063">
            <w:pPr>
              <w:jc w:val="both"/>
              <w:rPr>
                <w:b/>
                <w:sz w:val="22"/>
                <w:szCs w:val="22"/>
              </w:rPr>
            </w:pPr>
            <w:r w:rsidRPr="00BB7EE2">
              <w:rPr>
                <w:b/>
                <w:sz w:val="22"/>
                <w:szCs w:val="22"/>
              </w:rPr>
              <w:t>Question</w:t>
            </w:r>
            <w:r w:rsidR="007A628F" w:rsidRPr="00BB7EE2">
              <w:rPr>
                <w:b/>
                <w:sz w:val="22"/>
                <w:szCs w:val="22"/>
              </w:rPr>
              <w:t>:</w:t>
            </w:r>
          </w:p>
          <w:p w14:paraId="0C4C4BFD" w14:textId="77777777" w:rsidR="00BB7EE2" w:rsidRPr="00BB7EE2" w:rsidRDefault="00BB7EE2" w:rsidP="00064063">
            <w:pPr>
              <w:jc w:val="both"/>
              <w:rPr>
                <w:b/>
                <w:sz w:val="22"/>
                <w:szCs w:val="22"/>
              </w:rPr>
            </w:pPr>
          </w:p>
          <w:p w14:paraId="541B485B" w14:textId="4CB44B06" w:rsidR="00C77FA5" w:rsidRPr="00BB7EE2" w:rsidRDefault="000A584A">
            <w:pPr>
              <w:jc w:val="both"/>
              <w:rPr>
                <w:sz w:val="22"/>
                <w:szCs w:val="22"/>
              </w:rPr>
            </w:pPr>
            <w:r w:rsidRPr="00BB7EE2">
              <w:rPr>
                <w:sz w:val="22"/>
                <w:szCs w:val="22"/>
              </w:rPr>
              <w:t xml:space="preserve">Complete a critically reflective case study </w:t>
            </w:r>
            <w:r w:rsidR="00D0503D" w:rsidRPr="00BB7EE2">
              <w:rPr>
                <w:sz w:val="22"/>
                <w:szCs w:val="22"/>
              </w:rPr>
              <w:t>based</w:t>
            </w:r>
            <w:r w:rsidRPr="00BB7EE2">
              <w:rPr>
                <w:sz w:val="22"/>
                <w:szCs w:val="22"/>
              </w:rPr>
              <w:t xml:space="preserve"> on</w:t>
            </w:r>
            <w:r w:rsidR="00696A88" w:rsidRPr="00BB7EE2">
              <w:rPr>
                <w:sz w:val="22"/>
                <w:szCs w:val="22"/>
              </w:rPr>
              <w:t xml:space="preserve"> </w:t>
            </w:r>
            <w:r w:rsidR="00411EF7" w:rsidRPr="00BB7EE2">
              <w:rPr>
                <w:sz w:val="22"/>
                <w:szCs w:val="22"/>
              </w:rPr>
              <w:t>an assessment</w:t>
            </w:r>
            <w:r w:rsidR="007F312E" w:rsidRPr="00BB7EE2">
              <w:rPr>
                <w:sz w:val="22"/>
                <w:szCs w:val="22"/>
              </w:rPr>
              <w:t xml:space="preserve"> </w:t>
            </w:r>
            <w:r w:rsidR="007C5ABE" w:rsidRPr="00BB7EE2">
              <w:rPr>
                <w:sz w:val="22"/>
                <w:szCs w:val="22"/>
              </w:rPr>
              <w:t xml:space="preserve">that you have </w:t>
            </w:r>
            <w:r w:rsidRPr="00BB7EE2">
              <w:rPr>
                <w:sz w:val="22"/>
                <w:szCs w:val="22"/>
              </w:rPr>
              <w:t xml:space="preserve">undertaken with </w:t>
            </w:r>
            <w:r w:rsidR="00D0503D" w:rsidRPr="00BB7EE2">
              <w:rPr>
                <w:sz w:val="22"/>
                <w:szCs w:val="22"/>
              </w:rPr>
              <w:t>others,</w:t>
            </w:r>
            <w:r w:rsidR="00D0503D" w:rsidRPr="00BB7EE2">
              <w:rPr>
                <w:b/>
                <w:bCs/>
                <w:sz w:val="22"/>
                <w:szCs w:val="22"/>
              </w:rPr>
              <w:t xml:space="preserve"> </w:t>
            </w:r>
            <w:r w:rsidR="00D0503D" w:rsidRPr="00BB7EE2">
              <w:rPr>
                <w:sz w:val="22"/>
                <w:szCs w:val="22"/>
              </w:rPr>
              <w:t>in</w:t>
            </w:r>
            <w:r w:rsidR="0002440E" w:rsidRPr="00BB7EE2">
              <w:rPr>
                <w:sz w:val="22"/>
                <w:szCs w:val="22"/>
              </w:rPr>
              <w:t xml:space="preserve"> your own area of work</w:t>
            </w:r>
            <w:r w:rsidR="00D0503D" w:rsidRPr="00BB7EE2">
              <w:rPr>
                <w:sz w:val="22"/>
                <w:szCs w:val="22"/>
              </w:rPr>
              <w:t xml:space="preserve">, </w:t>
            </w:r>
            <w:r w:rsidR="00587923" w:rsidRPr="00BB7EE2">
              <w:rPr>
                <w:sz w:val="22"/>
                <w:szCs w:val="22"/>
              </w:rPr>
              <w:t>c</w:t>
            </w:r>
            <w:r w:rsidR="008B28E7" w:rsidRPr="00BB7EE2">
              <w:rPr>
                <w:sz w:val="22"/>
                <w:szCs w:val="22"/>
              </w:rPr>
              <w:t>oncerning the safeguarding of either an adult or a child</w:t>
            </w:r>
            <w:r w:rsidRPr="00BB7EE2">
              <w:rPr>
                <w:sz w:val="22"/>
                <w:szCs w:val="22"/>
              </w:rPr>
              <w:t xml:space="preserve">. </w:t>
            </w:r>
            <w:r w:rsidR="00216563" w:rsidRPr="00BB7EE2">
              <w:rPr>
                <w:sz w:val="22"/>
                <w:szCs w:val="22"/>
              </w:rPr>
              <w:t xml:space="preserve">You must demonstrate how </w:t>
            </w:r>
            <w:r w:rsidR="00F34C86" w:rsidRPr="00BB7EE2">
              <w:rPr>
                <w:sz w:val="22"/>
                <w:szCs w:val="22"/>
              </w:rPr>
              <w:t xml:space="preserve">the case relates to or could relate to safeguarding </w:t>
            </w:r>
            <w:r w:rsidR="00216563" w:rsidRPr="00BB7EE2">
              <w:rPr>
                <w:sz w:val="22"/>
                <w:szCs w:val="22"/>
              </w:rPr>
              <w:t>legislation, policies</w:t>
            </w:r>
            <w:r w:rsidR="00F34C86" w:rsidRPr="00BB7EE2">
              <w:rPr>
                <w:sz w:val="22"/>
                <w:szCs w:val="22"/>
              </w:rPr>
              <w:t>, strategies and procedures</w:t>
            </w:r>
            <w:r w:rsidR="7AAB400D" w:rsidRPr="00BB7EE2">
              <w:rPr>
                <w:sz w:val="22"/>
                <w:szCs w:val="22"/>
              </w:rPr>
              <w:t xml:space="preserve"> </w:t>
            </w:r>
            <w:r w:rsidR="623F2A43" w:rsidRPr="00BB7EE2">
              <w:rPr>
                <w:sz w:val="22"/>
                <w:szCs w:val="22"/>
              </w:rPr>
              <w:t>(</w:t>
            </w:r>
            <w:r w:rsidR="7AAB400D" w:rsidRPr="00BB7EE2">
              <w:rPr>
                <w:sz w:val="22"/>
                <w:szCs w:val="22"/>
              </w:rPr>
              <w:t>i</w:t>
            </w:r>
            <w:r w:rsidR="623F2A43" w:rsidRPr="00BB7EE2">
              <w:rPr>
                <w:sz w:val="22"/>
                <w:szCs w:val="22"/>
              </w:rPr>
              <w:t xml:space="preserve">ncluding </w:t>
            </w:r>
            <w:r w:rsidR="322513AD" w:rsidRPr="00BB7EE2">
              <w:rPr>
                <w:sz w:val="22"/>
                <w:szCs w:val="22"/>
              </w:rPr>
              <w:t>d</w:t>
            </w:r>
            <w:r w:rsidR="7E97696C" w:rsidRPr="00BB7EE2">
              <w:rPr>
                <w:sz w:val="22"/>
                <w:szCs w:val="22"/>
              </w:rPr>
              <w:t xml:space="preserve">emonstrating an understanding of </w:t>
            </w:r>
            <w:r w:rsidR="623F2A43" w:rsidRPr="00BB7EE2">
              <w:rPr>
                <w:sz w:val="22"/>
                <w:szCs w:val="22"/>
              </w:rPr>
              <w:t>the</w:t>
            </w:r>
            <w:r w:rsidR="350F702B" w:rsidRPr="00BB7EE2">
              <w:rPr>
                <w:sz w:val="22"/>
                <w:szCs w:val="22"/>
              </w:rPr>
              <w:t xml:space="preserve"> </w:t>
            </w:r>
            <w:r w:rsidR="3B2446CA" w:rsidRPr="00BB7EE2">
              <w:rPr>
                <w:rFonts w:eastAsia="Arial"/>
                <w:color w:val="000000" w:themeColor="text1"/>
                <w:sz w:val="22"/>
                <w:szCs w:val="22"/>
              </w:rPr>
              <w:t xml:space="preserve">interface </w:t>
            </w:r>
            <w:r w:rsidR="534A9052" w:rsidRPr="00BB7EE2">
              <w:rPr>
                <w:rFonts w:eastAsia="Arial"/>
                <w:color w:val="000000" w:themeColor="text1"/>
                <w:sz w:val="22"/>
                <w:szCs w:val="22"/>
              </w:rPr>
              <w:t>between social services provision in Wales with the United Kingdom, the European Union</w:t>
            </w:r>
            <w:r w:rsidR="007A628F" w:rsidRPr="00BB7EE2">
              <w:rPr>
                <w:rFonts w:eastAsia="Arial"/>
                <w:color w:val="000000" w:themeColor="text1"/>
                <w:sz w:val="22"/>
                <w:szCs w:val="22"/>
              </w:rPr>
              <w:t xml:space="preserve"> (EU)</w:t>
            </w:r>
            <w:r w:rsidR="534A9052" w:rsidRPr="00BB7EE2">
              <w:rPr>
                <w:rFonts w:eastAsia="Arial"/>
                <w:color w:val="000000" w:themeColor="text1"/>
                <w:sz w:val="22"/>
                <w:szCs w:val="22"/>
              </w:rPr>
              <w:t xml:space="preserve"> and outside the EU</w:t>
            </w:r>
            <w:r w:rsidR="623F2A43" w:rsidRPr="00BB7EE2">
              <w:rPr>
                <w:rFonts w:eastAsia="Arial"/>
                <w:color w:val="000000" w:themeColor="text1"/>
                <w:sz w:val="22"/>
                <w:szCs w:val="22"/>
              </w:rPr>
              <w:t>)</w:t>
            </w:r>
            <w:r w:rsidR="00411EF7" w:rsidRPr="00BB7EE2">
              <w:rPr>
                <w:sz w:val="22"/>
                <w:szCs w:val="22"/>
              </w:rPr>
              <w:t>.</w:t>
            </w:r>
            <w:r w:rsidR="00354B6D" w:rsidRPr="00BB7EE2">
              <w:rPr>
                <w:sz w:val="22"/>
                <w:szCs w:val="22"/>
              </w:rPr>
              <w:t xml:space="preserve"> </w:t>
            </w:r>
            <w:r w:rsidR="102A3950" w:rsidRPr="00BB7EE2">
              <w:rPr>
                <w:sz w:val="22"/>
                <w:szCs w:val="22"/>
              </w:rPr>
              <w:t>You</w:t>
            </w:r>
            <w:r w:rsidR="00354B6D" w:rsidRPr="00BB7EE2">
              <w:rPr>
                <w:sz w:val="22"/>
                <w:szCs w:val="22"/>
              </w:rPr>
              <w:t xml:space="preserve"> must</w:t>
            </w:r>
            <w:r w:rsidR="00411EF7" w:rsidRPr="00BB7EE2">
              <w:rPr>
                <w:sz w:val="22"/>
                <w:szCs w:val="22"/>
              </w:rPr>
              <w:t xml:space="preserve"> </w:t>
            </w:r>
            <w:r w:rsidR="00354B6D" w:rsidRPr="00BB7EE2">
              <w:rPr>
                <w:sz w:val="22"/>
                <w:szCs w:val="22"/>
              </w:rPr>
              <w:t>demonstrate your understanding of</w:t>
            </w:r>
            <w:r w:rsidR="00F34C86" w:rsidRPr="00BB7EE2">
              <w:rPr>
                <w:sz w:val="22"/>
                <w:szCs w:val="22"/>
              </w:rPr>
              <w:t xml:space="preserve"> </w:t>
            </w:r>
            <w:r w:rsidR="00411EF7" w:rsidRPr="00BB7EE2">
              <w:rPr>
                <w:sz w:val="22"/>
                <w:szCs w:val="22"/>
              </w:rPr>
              <w:t xml:space="preserve">the </w:t>
            </w:r>
            <w:r w:rsidR="00216563" w:rsidRPr="00BB7EE2">
              <w:rPr>
                <w:sz w:val="22"/>
                <w:szCs w:val="22"/>
              </w:rPr>
              <w:t xml:space="preserve">integration of </w:t>
            </w:r>
            <w:r w:rsidR="6A854C79" w:rsidRPr="00BB7EE2">
              <w:rPr>
                <w:sz w:val="22"/>
                <w:szCs w:val="22"/>
              </w:rPr>
              <w:t>analysis in asses</w:t>
            </w:r>
            <w:r w:rsidR="0F77E214" w:rsidRPr="00BB7EE2">
              <w:rPr>
                <w:sz w:val="22"/>
                <w:szCs w:val="22"/>
              </w:rPr>
              <w:t>sment, collabo</w:t>
            </w:r>
            <w:r w:rsidR="6A854C79" w:rsidRPr="00BB7EE2">
              <w:rPr>
                <w:sz w:val="22"/>
                <w:szCs w:val="22"/>
              </w:rPr>
              <w:t>rative work</w:t>
            </w:r>
            <w:r w:rsidR="0F77E214" w:rsidRPr="00BB7EE2">
              <w:rPr>
                <w:sz w:val="22"/>
                <w:szCs w:val="22"/>
              </w:rPr>
              <w:t>ing</w:t>
            </w:r>
            <w:r w:rsidR="6A854C79" w:rsidRPr="00BB7EE2">
              <w:rPr>
                <w:sz w:val="22"/>
                <w:szCs w:val="22"/>
              </w:rPr>
              <w:t xml:space="preserve"> a</w:t>
            </w:r>
            <w:r w:rsidR="0F77E214" w:rsidRPr="00BB7EE2">
              <w:rPr>
                <w:sz w:val="22"/>
                <w:szCs w:val="22"/>
              </w:rPr>
              <w:t xml:space="preserve">nd </w:t>
            </w:r>
            <w:r w:rsidR="6A854C79" w:rsidRPr="00BB7EE2">
              <w:rPr>
                <w:sz w:val="22"/>
                <w:szCs w:val="22"/>
              </w:rPr>
              <w:t>professional</w:t>
            </w:r>
            <w:r w:rsidR="00F34C86" w:rsidRPr="00BB7EE2">
              <w:rPr>
                <w:sz w:val="22"/>
                <w:szCs w:val="22"/>
              </w:rPr>
              <w:t xml:space="preserve"> </w:t>
            </w:r>
            <w:r w:rsidR="00216563" w:rsidRPr="00BB7EE2">
              <w:rPr>
                <w:sz w:val="22"/>
                <w:szCs w:val="22"/>
              </w:rPr>
              <w:t>judgements</w:t>
            </w:r>
            <w:r w:rsidR="0F77E214" w:rsidRPr="00BB7EE2">
              <w:rPr>
                <w:sz w:val="22"/>
                <w:szCs w:val="22"/>
              </w:rPr>
              <w:t xml:space="preserve"> in increasingly complex situations </w:t>
            </w:r>
            <w:r w:rsidR="00E5498A" w:rsidRPr="00BB7EE2">
              <w:rPr>
                <w:sz w:val="22"/>
                <w:szCs w:val="22"/>
              </w:rPr>
              <w:t>and</w:t>
            </w:r>
            <w:r w:rsidR="1D6670C0" w:rsidRPr="00BB7EE2">
              <w:rPr>
                <w:sz w:val="22"/>
                <w:szCs w:val="22"/>
              </w:rPr>
              <w:t xml:space="preserve"> </w:t>
            </w:r>
            <w:r w:rsidR="39C47EB7" w:rsidRPr="00BB7EE2">
              <w:rPr>
                <w:sz w:val="22"/>
                <w:szCs w:val="22"/>
              </w:rPr>
              <w:t>the</w:t>
            </w:r>
            <w:r w:rsidR="25F327FB" w:rsidRPr="00BB7EE2">
              <w:rPr>
                <w:sz w:val="22"/>
                <w:szCs w:val="22"/>
              </w:rPr>
              <w:t xml:space="preserve"> </w:t>
            </w:r>
            <w:r w:rsidR="00F34C86" w:rsidRPr="00BB7EE2">
              <w:rPr>
                <w:sz w:val="22"/>
                <w:szCs w:val="22"/>
              </w:rPr>
              <w:t>use of social work theories</w:t>
            </w:r>
            <w:r w:rsidR="756EEE2D" w:rsidRPr="00BB7EE2">
              <w:rPr>
                <w:sz w:val="22"/>
                <w:szCs w:val="22"/>
              </w:rPr>
              <w:t>.</w:t>
            </w:r>
            <w:r w:rsidR="00216563" w:rsidRPr="00BB7EE2">
              <w:rPr>
                <w:sz w:val="22"/>
                <w:szCs w:val="22"/>
              </w:rPr>
              <w:t xml:space="preserve"> </w:t>
            </w:r>
            <w:r w:rsidR="756EEE2D" w:rsidRPr="00BB7EE2">
              <w:rPr>
                <w:sz w:val="22"/>
                <w:szCs w:val="22"/>
              </w:rPr>
              <w:t>You</w:t>
            </w:r>
            <w:r w:rsidR="00216563" w:rsidRPr="00BB7EE2">
              <w:rPr>
                <w:sz w:val="22"/>
                <w:szCs w:val="22"/>
              </w:rPr>
              <w:t xml:space="preserve"> </w:t>
            </w:r>
            <w:r w:rsidR="00E5498A" w:rsidRPr="00BB7EE2">
              <w:rPr>
                <w:sz w:val="22"/>
                <w:szCs w:val="22"/>
              </w:rPr>
              <w:t xml:space="preserve">must </w:t>
            </w:r>
            <w:r w:rsidR="00F030D4" w:rsidRPr="00BB7EE2">
              <w:rPr>
                <w:sz w:val="22"/>
                <w:szCs w:val="22"/>
              </w:rPr>
              <w:t>refer to</w:t>
            </w:r>
            <w:r w:rsidR="00216563" w:rsidRPr="00BB7EE2">
              <w:rPr>
                <w:sz w:val="22"/>
                <w:szCs w:val="22"/>
              </w:rPr>
              <w:t xml:space="preserve"> </w:t>
            </w:r>
            <w:r w:rsidR="00F34C86" w:rsidRPr="00BB7EE2">
              <w:rPr>
                <w:sz w:val="22"/>
                <w:szCs w:val="22"/>
              </w:rPr>
              <w:t>the specific dimensions of working in Wales</w:t>
            </w:r>
            <w:r w:rsidR="00411EF7" w:rsidRPr="00BB7EE2">
              <w:rPr>
                <w:sz w:val="22"/>
                <w:szCs w:val="22"/>
              </w:rPr>
              <w:t xml:space="preserve">. </w:t>
            </w:r>
          </w:p>
          <w:p w14:paraId="2F8A7CA5" w14:textId="6EDC9DFB" w:rsidR="008D5999" w:rsidRPr="00BB7EE2" w:rsidRDefault="008D5999" w:rsidP="00064063">
            <w:pPr>
              <w:jc w:val="both"/>
              <w:rPr>
                <w:sz w:val="22"/>
                <w:szCs w:val="22"/>
              </w:rPr>
            </w:pPr>
          </w:p>
          <w:p w14:paraId="20A5906F" w14:textId="77777777" w:rsidR="008D5999" w:rsidRPr="00BB7EE2" w:rsidRDefault="008D5999" w:rsidP="00064063">
            <w:pPr>
              <w:jc w:val="both"/>
              <w:rPr>
                <w:sz w:val="22"/>
                <w:szCs w:val="22"/>
              </w:rPr>
            </w:pPr>
          </w:p>
          <w:p w14:paraId="51AF4546" w14:textId="476CB9AF" w:rsidR="00D3203C" w:rsidRPr="00BB7EE2" w:rsidRDefault="00045C40" w:rsidP="00FF7EBB">
            <w:pPr>
              <w:jc w:val="both"/>
              <w:rPr>
                <w:i/>
                <w:sz w:val="22"/>
                <w:szCs w:val="22"/>
              </w:rPr>
            </w:pPr>
            <w:r w:rsidRPr="00BB7EE2">
              <w:rPr>
                <w:i/>
                <w:sz w:val="22"/>
                <w:szCs w:val="22"/>
              </w:rPr>
              <w:t xml:space="preserve">4000 </w:t>
            </w:r>
            <w:r w:rsidR="008B28E7" w:rsidRPr="00BB7EE2">
              <w:rPr>
                <w:i/>
                <w:sz w:val="22"/>
                <w:szCs w:val="22"/>
              </w:rPr>
              <w:t>words</w:t>
            </w:r>
            <w:r w:rsidR="008B28E7" w:rsidRPr="00BB7EE2">
              <w:rPr>
                <w:sz w:val="22"/>
                <w:szCs w:val="22"/>
              </w:rPr>
              <w:t xml:space="preserve"> </w:t>
            </w:r>
            <w:r w:rsidR="008B28E7" w:rsidRPr="00BB7EE2">
              <w:rPr>
                <w:i/>
                <w:sz w:val="22"/>
                <w:szCs w:val="22"/>
              </w:rPr>
              <w:t>(+/- 10%: include your actual word count at the end of each section)</w:t>
            </w:r>
            <w:r w:rsidR="007A628F" w:rsidRPr="00BB7EE2">
              <w:rPr>
                <w:i/>
                <w:sz w:val="22"/>
                <w:szCs w:val="22"/>
              </w:rPr>
              <w:t>.</w:t>
            </w:r>
          </w:p>
          <w:p w14:paraId="1B193623" w14:textId="77777777" w:rsidR="00BB7EE2" w:rsidRPr="00BB7EE2" w:rsidRDefault="00BB7EE2" w:rsidP="00BB7EE2">
            <w:pPr>
              <w:spacing w:before="100" w:beforeAutospacing="1" w:after="100" w:afterAutospacing="1" w:line="276" w:lineRule="auto"/>
              <w:jc w:val="both"/>
              <w:rPr>
                <w:sz w:val="22"/>
                <w:szCs w:val="22"/>
              </w:rPr>
            </w:pPr>
          </w:p>
          <w:p w14:paraId="313EA878" w14:textId="77777777" w:rsidR="00BB7EE2" w:rsidRPr="00BB7EE2" w:rsidRDefault="00BB7EE2" w:rsidP="00BB7EE2">
            <w:pPr>
              <w:spacing w:before="100" w:beforeAutospacing="1" w:after="100" w:afterAutospacing="1" w:line="276" w:lineRule="auto"/>
              <w:jc w:val="both"/>
              <w:outlineLvl w:val="1"/>
              <w:rPr>
                <w:b/>
                <w:bCs/>
                <w:sz w:val="22"/>
                <w:szCs w:val="22"/>
              </w:rPr>
            </w:pPr>
            <w:r w:rsidRPr="00BB7EE2">
              <w:rPr>
                <w:b/>
                <w:bCs/>
                <w:sz w:val="22"/>
                <w:szCs w:val="22"/>
              </w:rPr>
              <w:t xml:space="preserve">Introduction and Learning Outcomes. </w:t>
            </w:r>
          </w:p>
          <w:p w14:paraId="4BD1CF92" w14:textId="77777777" w:rsidR="00BB7EE2" w:rsidRPr="00BB7EE2" w:rsidRDefault="00BB7EE2" w:rsidP="00BB7EE2">
            <w:pPr>
              <w:pStyle w:val="ListParagraph"/>
              <w:spacing w:line="276" w:lineRule="auto"/>
              <w:ind w:left="0"/>
              <w:jc w:val="both"/>
              <w:rPr>
                <w:rFonts w:ascii="Arial" w:hAnsi="Arial" w:cs="Arial"/>
              </w:rPr>
            </w:pPr>
            <w:r w:rsidRPr="00BB7EE2">
              <w:rPr>
                <w:rFonts w:ascii="Arial" w:hAnsi="Arial" w:cs="Arial"/>
              </w:rPr>
              <w:t xml:space="preserve">This case study refers to C1, C2 and C3 featured in task one. C1 is a lone parent with substance misuse issues, and their children are under statutory child protection procedures. </w:t>
            </w:r>
            <w:r w:rsidRPr="00BB7EE2">
              <w:rPr>
                <w:rFonts w:ascii="Arial" w:eastAsia="Times New Roman" w:hAnsi="Arial" w:cs="Arial"/>
                <w:lang w:eastAsia="en-GB"/>
              </w:rPr>
              <w:t xml:space="preserve">C2 alleged C1 assaulted them, and a strategy meeting concluded the threshold for statutory S47 enquiries was met. A joint investigation decided that while there was not enough evidence to charge C1, the risk of continued physical harm and neglect was substantiated, and the children were placed on the child protection register. </w:t>
            </w:r>
            <w:r w:rsidRPr="00BB7EE2">
              <w:rPr>
                <w:rFonts w:ascii="Arial" w:hAnsi="Arial" w:cs="Arial"/>
              </w:rPr>
              <w:t>C1 is unemployed and a full-time carer for C3 who has autism and learning disability, and they live in an area ranked among the 10% of most deprived areas of Wales (</w:t>
            </w:r>
            <w:r w:rsidRPr="00BB7EE2">
              <w:rPr>
                <w:rFonts w:ascii="Arial" w:hAnsi="Arial" w:cs="Arial"/>
                <w:b/>
              </w:rPr>
              <w:t>Welsh Index of Multiple Deprivation, 2019</w:t>
            </w:r>
            <w:r w:rsidRPr="00BB7EE2">
              <w:rPr>
                <w:rFonts w:ascii="Arial" w:hAnsi="Arial" w:cs="Arial"/>
              </w:rPr>
              <w:t xml:space="preserve">). The family have a limited community support network, and the children were exposed to unsafe situations with unknown adults frequenting the family home, placing them at risk of harm or abuse by individuals who may be under the influence. The assignment demonstrates evidence of meeting learning outcomes 1, 2 and 3 for Consolidation of Practice Experience and Learning   (SCW, 2019). </w:t>
            </w:r>
          </w:p>
          <w:p w14:paraId="4B14F4EC" w14:textId="77777777" w:rsidR="00BB7EE2" w:rsidRPr="00BB7EE2" w:rsidRDefault="00BB7EE2" w:rsidP="00BB7EE2">
            <w:pPr>
              <w:pStyle w:val="ListParagraph"/>
              <w:spacing w:line="276" w:lineRule="auto"/>
              <w:ind w:left="0"/>
              <w:jc w:val="both"/>
              <w:rPr>
                <w:rFonts w:ascii="Arial" w:hAnsi="Arial" w:cs="Arial"/>
              </w:rPr>
            </w:pPr>
          </w:p>
          <w:p w14:paraId="7E04D640" w14:textId="77777777" w:rsidR="00BB7EE2" w:rsidRPr="00BB7EE2" w:rsidRDefault="00BB7EE2" w:rsidP="00BB7EE2">
            <w:pPr>
              <w:pStyle w:val="ListParagraph"/>
              <w:spacing w:before="100" w:beforeAutospacing="1" w:after="100" w:afterAutospacing="1" w:line="276" w:lineRule="auto"/>
              <w:ind w:left="0"/>
              <w:jc w:val="both"/>
              <w:rPr>
                <w:rFonts w:ascii="Arial" w:eastAsia="Times New Roman" w:hAnsi="Arial" w:cs="Arial"/>
                <w:lang w:eastAsia="en-GB"/>
              </w:rPr>
            </w:pPr>
            <w:r w:rsidRPr="00BB7EE2">
              <w:rPr>
                <w:rFonts w:ascii="Arial" w:eastAsia="Times New Roman" w:hAnsi="Arial" w:cs="Arial"/>
                <w:lang w:eastAsia="en-GB"/>
              </w:rPr>
              <w:t>Evidence of Social Care Wales learning outcome 1 (SCW, 2019) is demonstrated through the application of legislation, policy and standards; person/rights centred practice and analysis/assessment and professional judgment.  Outcome 2 is evidenced through effective communication and collaboration with individuals and multi-agency professionals. Outcome 3 is evidenced by working with the law for effective children’s safeguarding in increasingly complex situations.</w:t>
            </w:r>
          </w:p>
          <w:p w14:paraId="1A9C5142" w14:textId="77777777" w:rsidR="00BB7EE2" w:rsidRPr="00BB7EE2" w:rsidRDefault="00BB7EE2" w:rsidP="00BB7EE2">
            <w:pPr>
              <w:pStyle w:val="ListParagraph"/>
              <w:spacing w:before="100" w:beforeAutospacing="1" w:after="100" w:afterAutospacing="1" w:line="276" w:lineRule="auto"/>
              <w:ind w:left="0"/>
              <w:jc w:val="both"/>
              <w:rPr>
                <w:rFonts w:ascii="Arial" w:eastAsia="Times New Roman" w:hAnsi="Arial" w:cs="Arial"/>
                <w:lang w:eastAsia="en-GB"/>
              </w:rPr>
            </w:pPr>
          </w:p>
          <w:p w14:paraId="79E61C20" w14:textId="77777777" w:rsidR="00BB7EE2" w:rsidRPr="00BB7EE2" w:rsidRDefault="00BB7EE2" w:rsidP="00BB7EE2">
            <w:pPr>
              <w:pStyle w:val="ListParagraph"/>
              <w:spacing w:before="100" w:beforeAutospacing="1" w:after="100" w:afterAutospacing="1" w:line="276" w:lineRule="auto"/>
              <w:ind w:left="0"/>
              <w:jc w:val="both"/>
              <w:rPr>
                <w:rFonts w:ascii="Arial" w:eastAsia="Times New Roman" w:hAnsi="Arial" w:cs="Arial"/>
                <w:lang w:eastAsia="en-GB"/>
              </w:rPr>
            </w:pPr>
            <w:r w:rsidRPr="00BB7EE2">
              <w:rPr>
                <w:rFonts w:ascii="Arial" w:eastAsia="Times New Roman" w:hAnsi="Arial" w:cs="Arial"/>
                <w:lang w:eastAsia="en-GB"/>
              </w:rPr>
              <w:t>(247 words)</w:t>
            </w:r>
          </w:p>
          <w:p w14:paraId="0BD1FEF3" w14:textId="77777777" w:rsidR="00BB7EE2" w:rsidRPr="00BB7EE2" w:rsidRDefault="00BB7EE2" w:rsidP="00BB7EE2">
            <w:pPr>
              <w:pStyle w:val="ListParagraph"/>
              <w:spacing w:before="100" w:beforeAutospacing="1" w:after="100" w:afterAutospacing="1" w:line="276" w:lineRule="auto"/>
              <w:ind w:left="0"/>
              <w:jc w:val="both"/>
              <w:rPr>
                <w:rFonts w:ascii="Arial" w:eastAsia="Times New Roman" w:hAnsi="Arial" w:cs="Arial"/>
                <w:lang w:eastAsia="en-GB"/>
              </w:rPr>
            </w:pPr>
          </w:p>
          <w:p w14:paraId="122E658E" w14:textId="77777777" w:rsidR="00BB7EE2" w:rsidRPr="00BB7EE2" w:rsidRDefault="00BB7EE2" w:rsidP="00BB7EE2">
            <w:pPr>
              <w:pStyle w:val="ListParagraph"/>
              <w:spacing w:before="100" w:beforeAutospacing="1" w:after="100" w:afterAutospacing="1" w:line="276" w:lineRule="auto"/>
              <w:ind w:left="0"/>
              <w:jc w:val="both"/>
              <w:rPr>
                <w:rFonts w:ascii="Arial" w:eastAsia="Times New Roman" w:hAnsi="Arial" w:cs="Arial"/>
                <w:b/>
                <w:bCs/>
                <w:lang w:eastAsia="en-GB"/>
              </w:rPr>
            </w:pPr>
            <w:r w:rsidRPr="00BB7EE2">
              <w:rPr>
                <w:rFonts w:ascii="Arial" w:eastAsia="Times New Roman" w:hAnsi="Arial" w:cs="Arial"/>
                <w:b/>
                <w:bCs/>
                <w:lang w:eastAsia="en-GB"/>
              </w:rPr>
              <w:t>Legislation, Policy, Rights and Standards.</w:t>
            </w:r>
          </w:p>
          <w:p w14:paraId="18FAB1AF" w14:textId="77777777" w:rsidR="00BB7EE2" w:rsidRPr="00BB7EE2" w:rsidRDefault="00BB7EE2" w:rsidP="00BB7EE2">
            <w:pPr>
              <w:pStyle w:val="ListParagraph"/>
              <w:spacing w:before="100" w:beforeAutospacing="1" w:after="100" w:afterAutospacing="1" w:line="276" w:lineRule="auto"/>
              <w:ind w:left="0"/>
              <w:jc w:val="both"/>
              <w:rPr>
                <w:rFonts w:ascii="Arial" w:eastAsia="Times New Roman" w:hAnsi="Arial" w:cs="Arial"/>
                <w:b/>
                <w:bCs/>
                <w:lang w:eastAsia="en-GB"/>
              </w:rPr>
            </w:pPr>
          </w:p>
          <w:p w14:paraId="647F49C8" w14:textId="77777777" w:rsidR="00BB7EE2" w:rsidRPr="00BB7EE2" w:rsidRDefault="00BB7EE2" w:rsidP="00BB7EE2">
            <w:pPr>
              <w:pStyle w:val="ListParagraph"/>
              <w:spacing w:before="100" w:beforeAutospacing="1" w:after="100" w:afterAutospacing="1" w:line="276" w:lineRule="auto"/>
              <w:ind w:left="0"/>
              <w:jc w:val="both"/>
              <w:rPr>
                <w:rFonts w:ascii="Arial" w:eastAsia="Times New Roman" w:hAnsi="Arial" w:cs="Arial"/>
                <w:bCs/>
                <w:lang w:eastAsia="en-GB"/>
              </w:rPr>
            </w:pPr>
            <w:r w:rsidRPr="00BB7EE2">
              <w:rPr>
                <w:rFonts w:ascii="Arial" w:eastAsia="Times New Roman" w:hAnsi="Arial" w:cs="Arial"/>
                <w:bCs/>
                <w:lang w:eastAsia="en-GB"/>
              </w:rPr>
              <w:t xml:space="preserve">The first piece of legislation to be considered is the Welsh Language (Wales) Measure 2011, which places duties on public bodies to treat Welsh language no less favourably than English. For social workers this means making the “Active Offer” (SCW, which ensures provision of Welsh language services without an individual having to ask for them directly. The Measure and Active Offer are important for safeguarding if Welsh is the child’s first language. However, in this case, the family’s first language is English, so they declined the Active Offer. </w:t>
            </w:r>
          </w:p>
          <w:p w14:paraId="023E7B3D" w14:textId="77777777" w:rsidR="00BB7EE2" w:rsidRPr="00BB7EE2" w:rsidRDefault="00BB7EE2" w:rsidP="00BB7EE2">
            <w:pPr>
              <w:spacing w:before="100" w:beforeAutospacing="1" w:after="100" w:afterAutospacing="1" w:line="276" w:lineRule="auto"/>
              <w:jc w:val="both"/>
              <w:outlineLvl w:val="1"/>
              <w:rPr>
                <w:b/>
                <w:bCs/>
                <w:sz w:val="22"/>
                <w:szCs w:val="22"/>
              </w:rPr>
            </w:pPr>
            <w:r w:rsidRPr="00BB7EE2">
              <w:rPr>
                <w:sz w:val="22"/>
                <w:szCs w:val="22"/>
              </w:rPr>
              <w:t xml:space="preserve">Safeguarding is governed by a framework incorporating these four elements, and the case study explores their individual and collective impacts on lawful, ethical, and accountable practice. The </w:t>
            </w:r>
            <w:r w:rsidRPr="00BB7EE2">
              <w:rPr>
                <w:b/>
                <w:bCs/>
                <w:sz w:val="22"/>
                <w:szCs w:val="22"/>
              </w:rPr>
              <w:t>Social Services and Well</w:t>
            </w:r>
            <w:r w:rsidRPr="00BB7EE2">
              <w:rPr>
                <w:b/>
                <w:bCs/>
                <w:sz w:val="22"/>
                <w:szCs w:val="22"/>
              </w:rPr>
              <w:noBreakHyphen/>
              <w:t>being (Wales) Act 2014 (SSWBA)</w:t>
            </w:r>
            <w:r w:rsidRPr="00BB7EE2">
              <w:rPr>
                <w:sz w:val="22"/>
                <w:szCs w:val="22"/>
              </w:rPr>
              <w:t xml:space="preserve"> provides overarching Welsh-specific safeguarding legislation focusing on early intervention, prevention, well-being, and strengths</w:t>
            </w:r>
            <w:r w:rsidRPr="00BB7EE2">
              <w:rPr>
                <w:sz w:val="22"/>
                <w:szCs w:val="22"/>
              </w:rPr>
              <w:noBreakHyphen/>
              <w:t xml:space="preserve">based practice. This was reflected in the case with evidence from health, education and early help services showing that poor engagement from C1 had not resulted in good enough/sustained change, and subsequent referrals escalated child protection concerns. In this scenario, use of Part 7 of SSWBA framework helped me to establish early intervention was insufficient and had failed to safeguard the children </w:t>
            </w:r>
          </w:p>
          <w:p w14:paraId="320A971F" w14:textId="724750C7" w:rsidR="00BB7EE2" w:rsidRPr="00BB7EE2" w:rsidRDefault="00BB7EE2" w:rsidP="00BB7EE2">
            <w:pPr>
              <w:spacing w:before="100" w:beforeAutospacing="1" w:after="100" w:afterAutospacing="1" w:line="276" w:lineRule="auto"/>
              <w:jc w:val="both"/>
              <w:rPr>
                <w:sz w:val="22"/>
                <w:szCs w:val="22"/>
              </w:rPr>
            </w:pPr>
            <w:r w:rsidRPr="00BB7EE2">
              <w:rPr>
                <w:sz w:val="22"/>
                <w:szCs w:val="22"/>
              </w:rPr>
              <w:t xml:space="preserve">While the SSWBA sets out the safeguarding duties and responsibilities for practitioners, the </w:t>
            </w:r>
            <w:r w:rsidRPr="00BB7EE2">
              <w:rPr>
                <w:b/>
                <w:bCs/>
                <w:sz w:val="22"/>
                <w:szCs w:val="22"/>
              </w:rPr>
              <w:t>Children Act 1989 and 2004</w:t>
            </w:r>
            <w:r w:rsidRPr="00BB7EE2">
              <w:rPr>
                <w:sz w:val="22"/>
                <w:szCs w:val="22"/>
              </w:rPr>
              <w:t xml:space="preserve"> provides the legal authority for social workers to act. Child protection concerns were evident early in the case but C1’s lack of engagement impacted efficacy of voluntary support, and there were suspicions of disguised compliance. Working under Section 47 of the Children Act enabled me to establish an evidence-informed child protection plan, with clear responsibilities for C1 as a parent, and the team of multi-disciplinary practitioners around the family. Safeguarding practice is not guided by law alone; the </w:t>
            </w:r>
            <w:r w:rsidRPr="00BB7EE2">
              <w:rPr>
                <w:b/>
                <w:bCs/>
                <w:sz w:val="22"/>
                <w:szCs w:val="22"/>
              </w:rPr>
              <w:t>Wales Safeguarding Procedures</w:t>
            </w:r>
            <w:r w:rsidRPr="00BB7EE2">
              <w:rPr>
                <w:sz w:val="22"/>
                <w:szCs w:val="22"/>
              </w:rPr>
              <w:t xml:space="preserve"> (2019) translate between statutory and organisational duties. The procedures emphasise all participants’ responsibilities to gather accurate and timely information, share it appropriately and analyse it collabo</w:t>
            </w:r>
            <w:r w:rsidR="005B2076">
              <w:rPr>
                <w:sz w:val="22"/>
                <w:szCs w:val="22"/>
              </w:rPr>
              <w:t>ratively. In this case, the Independent Child Protection Conference (ICPC)</w:t>
            </w:r>
            <w:r w:rsidRPr="00BB7EE2">
              <w:rPr>
                <w:sz w:val="22"/>
                <w:szCs w:val="22"/>
              </w:rPr>
              <w:t xml:space="preserve"> and core group meetings revealed unmet health needs for the family, concerns about home safety, and a pattern of dysfunction in C1’s relationships. Specific, measurable responsibilities were delegated to family members and professionals, placing accountability on health, education, and housing to address wider safeguarding concerns. Use of the procedures helped encourage the family’s participation and illustrate a realistic evidenced-based assessment of the presenting risk to the children. As a result, a safety plan was agreed with grandparents to ensure continuity of the children’s care routines if C1 were intoxicated at any time. By using law and practice guidance together, I was able to defensibly justify the level of multi-agency involvement and prepare C1 with what to expect from child-protection at statutory level. Had these procedures not been followed, a distorted perception of the children’s vulnerabilities may have been assumed, leaving them at continued risk. </w:t>
            </w:r>
          </w:p>
          <w:p w14:paraId="5B545070" w14:textId="77777777" w:rsidR="00BB7EE2" w:rsidRPr="00BB7EE2" w:rsidRDefault="00BB7EE2" w:rsidP="00BB7EE2">
            <w:pPr>
              <w:spacing w:before="100" w:beforeAutospacing="1" w:after="100" w:afterAutospacing="1" w:line="276" w:lineRule="auto"/>
              <w:jc w:val="both"/>
              <w:rPr>
                <w:sz w:val="22"/>
                <w:szCs w:val="22"/>
              </w:rPr>
            </w:pPr>
            <w:r w:rsidRPr="00BB7EE2">
              <w:rPr>
                <w:sz w:val="22"/>
                <w:szCs w:val="22"/>
              </w:rPr>
              <w:t xml:space="preserve">Sharing concerns at multi-agency level was difficult for C1, and their situation went undetected due to their self-isolation and lack of commitment to voluntary support. C1 found speculation of their family </w:t>
            </w:r>
            <w:r w:rsidRPr="00BB7EE2">
              <w:rPr>
                <w:sz w:val="22"/>
                <w:szCs w:val="22"/>
              </w:rPr>
              <w:lastRenderedPageBreak/>
              <w:t xml:space="preserve">life intimidating, and they reacted angrily to professionals sharing information. Inevitably, intrusion into a family’s private life is necessary for safeguarding, and this brings Article 8 of the </w:t>
            </w:r>
            <w:r w:rsidRPr="00BB7EE2">
              <w:rPr>
                <w:b/>
                <w:sz w:val="22"/>
                <w:szCs w:val="22"/>
              </w:rPr>
              <w:t xml:space="preserve">Human Rights Act </w:t>
            </w:r>
            <w:r w:rsidRPr="00BB7EE2">
              <w:rPr>
                <w:sz w:val="22"/>
                <w:szCs w:val="22"/>
              </w:rPr>
              <w:t xml:space="preserve">(UK Government, 1998) into the spotlight. The right to private and family life is just, but not absolute, which gives way to tensions between rights-based practice and statutory involvement. When necessary, the powers granted by the Children Act to gather and share evidence relevant to children’s welfare supersede Article 8. The children’s rights come under the </w:t>
            </w:r>
            <w:r w:rsidRPr="00BB7EE2">
              <w:rPr>
                <w:b/>
                <w:sz w:val="22"/>
                <w:szCs w:val="22"/>
              </w:rPr>
              <w:t>United Nations Convention on the Rights of the Child</w:t>
            </w:r>
            <w:r w:rsidRPr="00BB7EE2">
              <w:rPr>
                <w:sz w:val="22"/>
                <w:szCs w:val="22"/>
              </w:rPr>
              <w:t xml:space="preserve"> (United Nations, 1989) which establish their independent rights at civil, political, economic, social, and cultural levels. The four key principles of children’s rights concern anti-discrimination (Article 2); the best interests of the child (Article 3); right of development in life (Article 6) and for freedom of expression of their views in matters affecting them (Article 12). The latter is crucial for children’s safeguarding as practitioners must listen to, and promote the children’s wishes and best interests in all decisions they are being supported with. Knowledge of rights versus statutory duties helped me to validate a proportionate response to the risks and a measure as to whether my intervention was sufficient, but not excessive.  Balancing the children’s rights to be safe with C1’s rights as a parent gave me confidence in my professional judgement and enabled me to defend uncomfortable interventions such as increased scrutiny and unannounced visits to the family home. </w:t>
            </w:r>
          </w:p>
          <w:p w14:paraId="4C9EB0CD" w14:textId="569AB315" w:rsidR="00BB7EE2" w:rsidRPr="00BB7EE2" w:rsidRDefault="00BB7EE2" w:rsidP="00BB7EE2">
            <w:pPr>
              <w:spacing w:before="100" w:beforeAutospacing="1" w:after="100" w:afterAutospacing="1" w:line="276" w:lineRule="auto"/>
              <w:jc w:val="both"/>
              <w:rPr>
                <w:sz w:val="22"/>
                <w:szCs w:val="22"/>
              </w:rPr>
            </w:pPr>
            <w:r w:rsidRPr="00BB7EE2">
              <w:rPr>
                <w:sz w:val="22"/>
                <w:szCs w:val="22"/>
              </w:rPr>
              <w:t xml:space="preserve">Safeguarding practice is further underpinned by professional standards. The </w:t>
            </w:r>
            <w:r w:rsidRPr="00BB7EE2">
              <w:rPr>
                <w:b/>
                <w:bCs/>
                <w:sz w:val="22"/>
                <w:szCs w:val="22"/>
              </w:rPr>
              <w:t>Social Care Wales Code of Professional Practice</w:t>
            </w:r>
            <w:r w:rsidRPr="00BB7EE2">
              <w:rPr>
                <w:sz w:val="22"/>
                <w:szCs w:val="22"/>
              </w:rPr>
              <w:t xml:space="preserve"> (2018) requires practitioners to promote wellbeing, respect dignity, maintain confidentiality, and act with integrity. These principles were essential in my developing professional relationship with C1, who argued their rights to privacy and confidentiality had been breached. By embedding the Code, I could defensibly argue the necessity of sharing information in the interests of safeguarding the children. Furthermore, use of the Code helped me assess the family’s needs holistically, recognising their needs as a family, aligned with professional values and transparency. Across all four of the frameworks, application of the law in social work serves to protect individuals’ rights and challenge oppressive or discriminative practice. However, </w:t>
            </w:r>
            <w:r w:rsidRPr="00BB7EE2">
              <w:rPr>
                <w:b/>
                <w:sz w:val="22"/>
                <w:szCs w:val="22"/>
              </w:rPr>
              <w:t>Williams</w:t>
            </w:r>
            <w:r w:rsidRPr="00BB7EE2">
              <w:rPr>
                <w:sz w:val="22"/>
                <w:szCs w:val="22"/>
              </w:rPr>
              <w:t xml:space="preserve"> (2004) argues that using the law in social work is complex, because it both empowers and restricts individuals’ rights. This is true for Welsh practice as social workers must use a combination of UK legislation (Children Act) and Welsh specific law (SSWBA). Rights based tensions for families who live close to the </w:t>
            </w:r>
            <w:r w:rsidR="00495998" w:rsidRPr="00BB7EE2">
              <w:rPr>
                <w:sz w:val="22"/>
                <w:szCs w:val="22"/>
              </w:rPr>
              <w:t>English Welsh</w:t>
            </w:r>
            <w:r w:rsidRPr="00BB7EE2">
              <w:rPr>
                <w:sz w:val="22"/>
                <w:szCs w:val="22"/>
              </w:rPr>
              <w:t xml:space="preserve"> border can develop as there may be differences in how universal services are delivered. Therefore, practitioners must know the differences between the laws of the </w:t>
            </w:r>
            <w:r w:rsidR="00495998" w:rsidRPr="00BB7EE2">
              <w:rPr>
                <w:sz w:val="22"/>
                <w:szCs w:val="22"/>
              </w:rPr>
              <w:t>UK, and</w:t>
            </w:r>
            <w:r w:rsidRPr="00BB7EE2">
              <w:rPr>
                <w:sz w:val="22"/>
                <w:szCs w:val="22"/>
              </w:rPr>
              <w:t xml:space="preserve"> the law of Wales as a devolved nation. Williams also suggests that practitioners are expected to demonstrate certainty of law in uncertain situations; with emotionally charged and ethically sensitive circumstances presenting challenges in maintaining peoples’ continued trust and confidence. Therefore, Williams proposes that law can both help and hinder social work practice. While the law provides authority, structure, and professional accountability, it can also hinder relationship-based practice if individuals perceive the law as imputative and restrictive, creating tensions between elements of care and control. Williams argues that practitioners must know the law, but they must also apply legal literacy, ethical judgement, and professional values to ensure its use with families is lawful and proportionate. The care versus control dilemma has been widely recognised as contributing to rights-based tension in social work practice. </w:t>
            </w:r>
            <w:r w:rsidRPr="00BB7EE2">
              <w:rPr>
                <w:b/>
                <w:sz w:val="22"/>
                <w:szCs w:val="22"/>
              </w:rPr>
              <w:t>Alfandari et al. (2023)</w:t>
            </w:r>
            <w:r w:rsidRPr="00BB7EE2">
              <w:rPr>
                <w:sz w:val="22"/>
                <w:szCs w:val="22"/>
              </w:rPr>
              <w:t xml:space="preserve"> also agree that professionals are continually balancing risk and rights with an appropriate level of support.</w:t>
            </w:r>
          </w:p>
          <w:p w14:paraId="7EF199B0" w14:textId="77777777" w:rsidR="00BB7EE2" w:rsidRPr="00BB7EE2" w:rsidRDefault="00BB7EE2" w:rsidP="00BB7EE2">
            <w:pPr>
              <w:spacing w:before="100" w:beforeAutospacing="1" w:after="100" w:afterAutospacing="1" w:line="276" w:lineRule="auto"/>
              <w:jc w:val="both"/>
              <w:rPr>
                <w:sz w:val="22"/>
                <w:szCs w:val="22"/>
              </w:rPr>
            </w:pPr>
            <w:r w:rsidRPr="00BB7EE2">
              <w:rPr>
                <w:sz w:val="22"/>
                <w:szCs w:val="22"/>
              </w:rPr>
              <w:t xml:space="preserve"> (1107 words)</w:t>
            </w:r>
          </w:p>
          <w:p w14:paraId="15A1E063" w14:textId="77777777" w:rsidR="00BB7EE2" w:rsidRPr="00BB7EE2" w:rsidRDefault="00BB7EE2" w:rsidP="00BB7EE2">
            <w:pPr>
              <w:spacing w:before="100" w:beforeAutospacing="1" w:after="100" w:afterAutospacing="1" w:line="276" w:lineRule="auto"/>
              <w:jc w:val="both"/>
              <w:rPr>
                <w:b/>
                <w:sz w:val="22"/>
                <w:szCs w:val="22"/>
              </w:rPr>
            </w:pPr>
            <w:r w:rsidRPr="00BB7EE2">
              <w:rPr>
                <w:b/>
                <w:sz w:val="22"/>
                <w:szCs w:val="22"/>
              </w:rPr>
              <w:lastRenderedPageBreak/>
              <w:t>Social Work Values and Professional Accountability.</w:t>
            </w:r>
          </w:p>
          <w:p w14:paraId="7E29FBB8" w14:textId="77777777" w:rsidR="00BB7EE2" w:rsidRPr="00BB7EE2" w:rsidRDefault="00BB7EE2" w:rsidP="00BB7EE2">
            <w:pPr>
              <w:spacing w:before="100" w:beforeAutospacing="1" w:after="100" w:afterAutospacing="1" w:line="276" w:lineRule="auto"/>
              <w:jc w:val="both"/>
              <w:rPr>
                <w:sz w:val="22"/>
                <w:szCs w:val="22"/>
              </w:rPr>
            </w:pPr>
            <w:r w:rsidRPr="00BB7EE2">
              <w:rPr>
                <w:sz w:val="22"/>
                <w:szCs w:val="22"/>
              </w:rPr>
              <w:t>The case study now explores my role in managing acts of defensible and accountable practice with social work skills and values. To fully understand the risk to the children of C1’s mental health and substance misuse, a relationship-based approach was required from the outset. Their use of drugs and alcohol exacerbated already evident issues of poverty and isolation for the family and remained a primary concern. As stated, early intervention alone had been ineffective, and C1’s continued anger and mistrust of professionals increased concerns and stalled initial progress of the child protection plan.</w:t>
            </w:r>
          </w:p>
          <w:p w14:paraId="2BAAC62B" w14:textId="77777777" w:rsidR="00BB7EE2" w:rsidRPr="00BB7EE2" w:rsidRDefault="00BB7EE2" w:rsidP="00BB7EE2">
            <w:pPr>
              <w:spacing w:before="100" w:beforeAutospacing="1" w:after="100" w:afterAutospacing="1" w:line="276" w:lineRule="auto"/>
              <w:jc w:val="both"/>
              <w:rPr>
                <w:sz w:val="22"/>
                <w:szCs w:val="22"/>
              </w:rPr>
            </w:pPr>
            <w:r w:rsidRPr="00BB7EE2">
              <w:rPr>
                <w:b/>
                <w:sz w:val="22"/>
                <w:szCs w:val="22"/>
              </w:rPr>
              <w:t>Ruch</w:t>
            </w:r>
            <w:r w:rsidRPr="00BB7EE2">
              <w:rPr>
                <w:sz w:val="22"/>
                <w:szCs w:val="22"/>
              </w:rPr>
              <w:t xml:space="preserve"> describes relationships as the “heart of social work practice” and draws together key themes on why emotions matter in social work and how the elements of care versus control impact on the professional relationship. She suggests the relationship itself is a vehicle for change; helping people feel their needs are heard, understood and are central to assessment and intervention. According to Ruch, emotions matter because social work is a humanitarian task navigating individual loss, trauma, shame, and fear. C1’s sibling had died suddenly some years prior, and they had been in an abusive co-parenting relationship. C1 felt equally blamed and criticised by the absent parent, and their own parents. Using Ruch’s skills for relationship-based practice allowed me to reflect that had I not demonstrated empathy and understanding to the family, they may not have shared their adverse experiences so early in the intervention. While this invoked my own emotions, I could rationalise them and move forward from my initial feelings of anxiety for the children and frustration at the lack of progress. Ruch argues that exercising authority to safeguard children creates significant emotional distress for families which validates the need for the professional relationship to be maintained, especially in times of discomfort. </w:t>
            </w:r>
          </w:p>
          <w:p w14:paraId="51813111" w14:textId="6E21ABB2" w:rsidR="00BB7EE2" w:rsidRPr="00BB7EE2" w:rsidRDefault="00BB7EE2" w:rsidP="00BB7EE2">
            <w:pPr>
              <w:spacing w:before="100" w:beforeAutospacing="1" w:after="100" w:afterAutospacing="1" w:line="276" w:lineRule="auto"/>
              <w:jc w:val="both"/>
              <w:rPr>
                <w:sz w:val="22"/>
                <w:szCs w:val="22"/>
              </w:rPr>
            </w:pPr>
            <w:r w:rsidRPr="00BB7EE2">
              <w:rPr>
                <w:b/>
                <w:sz w:val="22"/>
                <w:szCs w:val="22"/>
              </w:rPr>
              <w:t>Ferguson et al</w:t>
            </w:r>
            <w:r w:rsidRPr="00BB7EE2">
              <w:rPr>
                <w:sz w:val="22"/>
                <w:szCs w:val="22"/>
              </w:rPr>
              <w:t xml:space="preserve"> (2022) agree that while procedures for risk management are unavoidable, continued efficacy in child-protection depends on the quality of the relationship between practitioners and families. They suggest the concept of “holding relationships” with families, where professionals are seen as consistent, dependable, and emotionally available. They add that this helps them to stay present and focused on positive outcomes, even </w:t>
            </w:r>
            <w:r w:rsidR="00495998">
              <w:rPr>
                <w:sz w:val="22"/>
                <w:szCs w:val="22"/>
              </w:rPr>
              <w:t xml:space="preserve">with </w:t>
            </w:r>
            <w:r w:rsidRPr="00BB7EE2">
              <w:rPr>
                <w:sz w:val="22"/>
                <w:szCs w:val="22"/>
              </w:rPr>
              <w:t xml:space="preserve">complications or disagreements. Considering Ferguson et al.’s perspective, I was able to think more critically about how the family’s own lived experiences of domestic abuse and trauma had constructed disadvantage in their lives. Their feelings of failure were compounded by fear of repeated family criticism and domestic violence. Having awareness of how disadvantage shaped itself within the family, Ferguson et al’s arguments gave me clarity on the difference between active and passive empathy, and how meaningful change may not come about without persistence and tenacity in building and maintaining trust. </w:t>
            </w:r>
          </w:p>
          <w:p w14:paraId="64444406" w14:textId="77777777" w:rsidR="00BB7EE2" w:rsidRPr="00BB7EE2" w:rsidRDefault="00BB7EE2" w:rsidP="00BB7EE2">
            <w:pPr>
              <w:spacing w:before="100" w:beforeAutospacing="1" w:after="100" w:afterAutospacing="1" w:line="276" w:lineRule="auto"/>
              <w:jc w:val="both"/>
              <w:rPr>
                <w:sz w:val="22"/>
                <w:szCs w:val="22"/>
              </w:rPr>
            </w:pPr>
            <w:r w:rsidRPr="00BB7EE2">
              <w:rPr>
                <w:sz w:val="22"/>
                <w:szCs w:val="22"/>
              </w:rPr>
              <w:t xml:space="preserve">Relationship-based practice is also crucial for direct work with children. </w:t>
            </w:r>
            <w:r w:rsidRPr="00BB7EE2">
              <w:rPr>
                <w:b/>
                <w:sz w:val="22"/>
                <w:szCs w:val="22"/>
              </w:rPr>
              <w:t xml:space="preserve">O’ Loughlin and O’Loughlin (2016) </w:t>
            </w:r>
            <w:r w:rsidRPr="00BB7EE2">
              <w:rPr>
                <w:sz w:val="22"/>
                <w:szCs w:val="22"/>
              </w:rPr>
              <w:t xml:space="preserve">emphasise the child’s view is as important as any other, and their approach aligns with UNCRC responsibilities to view children as individuals and to understand and uphold their wishes seriously. They note the risks of accepting information at face value from adults and suggest the child’s voice can only be heard and understood by collaborating with them directly, and in ways appropriate for their age and understanding. With caring responsibilities for C3, C2 had little opportunity to mix with peers, but demonstrated maturity beyond their chronological age. They also had an inappropriate knowledge of substances and their effects; for example, they could identify drugs and associated paraphernalia </w:t>
            </w:r>
            <w:r w:rsidRPr="00BB7EE2">
              <w:rPr>
                <w:sz w:val="22"/>
                <w:szCs w:val="22"/>
              </w:rPr>
              <w:lastRenderedPageBreak/>
              <w:t>and how their parent was affected by substance misuse. C2 described how C1’s prioritisation of funds for drugs and alcohol impacted on their physical needs and home conditions causing them to feel shame and embarrassment of their current circumstances and fear for the future. C3, on the other hand, was unable to verbally communicate how they were affected, so considering their voice and views was more complex and required increased observation of their behaviours.</w:t>
            </w:r>
          </w:p>
          <w:p w14:paraId="29F274C5" w14:textId="77777777" w:rsidR="00BB7EE2" w:rsidRPr="00BB7EE2" w:rsidRDefault="00BB7EE2" w:rsidP="00BB7EE2">
            <w:pPr>
              <w:spacing w:before="100" w:beforeAutospacing="1" w:after="100" w:afterAutospacing="1" w:line="276" w:lineRule="auto"/>
              <w:jc w:val="both"/>
              <w:rPr>
                <w:sz w:val="22"/>
                <w:szCs w:val="22"/>
              </w:rPr>
            </w:pPr>
            <w:r w:rsidRPr="00BB7EE2">
              <w:rPr>
                <w:sz w:val="22"/>
                <w:szCs w:val="22"/>
              </w:rPr>
              <w:t xml:space="preserve">Aspects of relationship-based practice also align with anti-oppressive/discriminatory practice. Ruch and Ferguson suggest that practitioners must recognise and challenge power imbalances, emphasising the strengths of a person’s life experiences rather than focusing on their difficulties or disadvantage. They also indicate that failure to do so can deconstruct the social work relationship. </w:t>
            </w:r>
            <w:r w:rsidRPr="00BB7EE2">
              <w:rPr>
                <w:b/>
                <w:sz w:val="22"/>
                <w:szCs w:val="22"/>
              </w:rPr>
              <w:t xml:space="preserve">Thompson’s (2020) </w:t>
            </w:r>
            <w:r w:rsidRPr="00BB7EE2">
              <w:rPr>
                <w:sz w:val="22"/>
                <w:szCs w:val="22"/>
              </w:rPr>
              <w:t xml:space="preserve">PCS theory examines how oppression operates at personal, cultural, and societal levels. At personal level, C1’s experiences stemmed from their self-perceptions of failure and limitations in caring for a disabled child. At cultural level, limited opportunity access support contributed to their social isolation while at societal level, living in an area characterised by deprivation and poverty reinforced their disadvantage. As Thompson argues, oppression is not a result of individual actions but culturally embedded within social systems. Use of Thompson’s model helped me to reframe C1’s resistance as a response to their experiences of disadvantage and stigma, rather than non-compliance. Application of an anti-oppressive context to the family’s needs aided a more empathetic and relationship-based approach that encouraged dignity, participation, and empowerment. </w:t>
            </w:r>
          </w:p>
          <w:p w14:paraId="55767432" w14:textId="77777777" w:rsidR="00BB7EE2" w:rsidRPr="00BB7EE2" w:rsidRDefault="00BB7EE2" w:rsidP="00BB7EE2">
            <w:pPr>
              <w:spacing w:before="100" w:beforeAutospacing="1" w:after="100" w:afterAutospacing="1" w:line="276" w:lineRule="auto"/>
              <w:jc w:val="both"/>
              <w:rPr>
                <w:sz w:val="22"/>
                <w:szCs w:val="22"/>
              </w:rPr>
            </w:pPr>
            <w:r w:rsidRPr="00BB7EE2">
              <w:rPr>
                <w:sz w:val="22"/>
                <w:szCs w:val="22"/>
              </w:rPr>
              <w:t>(820 words)</w:t>
            </w:r>
          </w:p>
          <w:p w14:paraId="3C5478B5" w14:textId="6C21F128" w:rsidR="00BB7EE2" w:rsidRDefault="00BB7EE2" w:rsidP="00BB7EE2">
            <w:pPr>
              <w:spacing w:line="276" w:lineRule="auto"/>
              <w:jc w:val="both"/>
              <w:rPr>
                <w:b/>
                <w:sz w:val="22"/>
                <w:szCs w:val="22"/>
              </w:rPr>
            </w:pPr>
            <w:r w:rsidRPr="00BB7EE2">
              <w:rPr>
                <w:b/>
                <w:sz w:val="22"/>
                <w:szCs w:val="22"/>
              </w:rPr>
              <w:t xml:space="preserve">Evidence, </w:t>
            </w:r>
            <w:r w:rsidRPr="00BB7EE2">
              <w:rPr>
                <w:b/>
                <w:bCs/>
                <w:sz w:val="22"/>
                <w:szCs w:val="22"/>
              </w:rPr>
              <w:t>Analysis</w:t>
            </w:r>
            <w:r w:rsidRPr="00BB7EE2">
              <w:rPr>
                <w:b/>
                <w:sz w:val="22"/>
                <w:szCs w:val="22"/>
              </w:rPr>
              <w:t xml:space="preserve"> and Theory </w:t>
            </w:r>
          </w:p>
          <w:p w14:paraId="6D2D82F7" w14:textId="77777777" w:rsidR="005B2076" w:rsidRPr="00BB7EE2" w:rsidRDefault="005B2076" w:rsidP="00BB7EE2">
            <w:pPr>
              <w:spacing w:line="276" w:lineRule="auto"/>
              <w:jc w:val="both"/>
              <w:rPr>
                <w:sz w:val="22"/>
                <w:szCs w:val="22"/>
              </w:rPr>
            </w:pPr>
          </w:p>
          <w:p w14:paraId="0FA789BB" w14:textId="071A6A80" w:rsidR="00BB7EE2" w:rsidRPr="00BB7EE2" w:rsidRDefault="00BB7EE2" w:rsidP="00BB7EE2">
            <w:pPr>
              <w:pStyle w:val="NoSpacing"/>
              <w:spacing w:line="276" w:lineRule="auto"/>
              <w:rPr>
                <w:rFonts w:ascii="Arial" w:hAnsi="Arial" w:cs="Arial"/>
              </w:rPr>
            </w:pPr>
            <w:r w:rsidRPr="00BB7EE2">
              <w:rPr>
                <w:rFonts w:ascii="Arial" w:hAnsi="Arial" w:cs="Arial"/>
              </w:rPr>
              <w:t xml:space="preserve">Effective assessment in child protection requires an approach that extends beyond gathering information alone. While it serves to identify what is known and what we are uncertain about, it must also identify what the known facts mean for the child’s safety. In this case, referrals showed repeated patterns of concern but lacked analysis of the impact to the children. Information from police and education indicated that C1 had asked for help with their mental wellbeing, which contradicted with information from health. Instead, a picture emerged of missed/cancelled appointments resulting in discharge from early help services. There were no records to suggest that C1 had asked for help with their drugs/alcohol use, and this informed my assessment of their capacity for change. </w:t>
            </w:r>
            <w:r w:rsidRPr="00BB7EE2">
              <w:rPr>
                <w:rFonts w:ascii="Arial" w:hAnsi="Arial" w:cs="Arial"/>
                <w:b/>
                <w:bCs/>
              </w:rPr>
              <w:t>Prochaska and DiClemente’s (1983)</w:t>
            </w:r>
            <w:r w:rsidRPr="00BB7EE2">
              <w:rPr>
                <w:rFonts w:ascii="Arial" w:hAnsi="Arial" w:cs="Arial"/>
              </w:rPr>
              <w:t xml:space="preserve"> Cycle</w:t>
            </w:r>
            <w:r w:rsidR="005B2076">
              <w:rPr>
                <w:rFonts w:ascii="Arial" w:hAnsi="Arial" w:cs="Arial"/>
              </w:rPr>
              <w:t xml:space="preserve"> of Change theory suggests this as less of a single event</w:t>
            </w:r>
            <w:r w:rsidRPr="00BB7EE2">
              <w:rPr>
                <w:rFonts w:ascii="Arial" w:hAnsi="Arial" w:cs="Arial"/>
              </w:rPr>
              <w:t xml:space="preserve">, but stages of contemplation and action. Use of the theory indicated C1 had been at contemplation stage at times by acknowledging their stressors, but in relation to their substance misuse, they remained pre-contemplative. This led me to consider the level of continued risk to the children, because without C1’s acknowledgment of their substance misuse, the children may stay exposed to neglect and harm from unsafe adults. I complied a chronology to assess if there were any patterns evident from single events. There had been past police callouts to arguments at home and suspicion of drugs use, which did not reach the threshold for significant harm. The referrals did, however, highlight family instability and a clear pattern of C1 initiating good enough change before withdrawing from early interventions. </w:t>
            </w:r>
            <w:r w:rsidRPr="00BB7EE2">
              <w:rPr>
                <w:rFonts w:ascii="Arial" w:hAnsi="Arial" w:cs="Arial"/>
                <w:b/>
                <w:bCs/>
              </w:rPr>
              <w:t>Reder, Duncan and Lucey (2003)</w:t>
            </w:r>
            <w:r w:rsidRPr="00BB7EE2">
              <w:rPr>
                <w:rFonts w:ascii="Arial" w:hAnsi="Arial" w:cs="Arial"/>
              </w:rPr>
              <w:t xml:space="preserve"> argue that a lack of information itself is not the cause of child protection failures but combined with ineffectiveness in recognising and connecting emerging or repeated patterns. They also link the use of chronologies in deciding not only if risks are increasing, but if they are being normalised. </w:t>
            </w:r>
          </w:p>
          <w:p w14:paraId="295B7379" w14:textId="77777777" w:rsidR="00BB7EE2" w:rsidRPr="00BB7EE2" w:rsidRDefault="00BB7EE2" w:rsidP="00BB7EE2">
            <w:pPr>
              <w:pStyle w:val="NoSpacing"/>
              <w:spacing w:line="276" w:lineRule="auto"/>
              <w:rPr>
                <w:rFonts w:ascii="Arial" w:hAnsi="Arial" w:cs="Arial"/>
              </w:rPr>
            </w:pPr>
          </w:p>
          <w:p w14:paraId="3469A6B3" w14:textId="15B6B94F" w:rsidR="00BB7EE2" w:rsidRDefault="00BB7EE2" w:rsidP="00BB7EE2">
            <w:pPr>
              <w:spacing w:line="276" w:lineRule="auto"/>
              <w:jc w:val="both"/>
              <w:rPr>
                <w:kern w:val="2"/>
                <w:sz w:val="22"/>
                <w:szCs w:val="22"/>
                <w14:ligatures w14:val="standardContextual"/>
              </w:rPr>
            </w:pPr>
            <w:r w:rsidRPr="00BB7EE2">
              <w:rPr>
                <w:sz w:val="22"/>
                <w:szCs w:val="22"/>
              </w:rPr>
              <w:t>T</w:t>
            </w:r>
            <w:r w:rsidRPr="00BB7EE2">
              <w:rPr>
                <w:kern w:val="2"/>
                <w:sz w:val="22"/>
                <w:szCs w:val="22"/>
                <w14:ligatures w14:val="standardContextual"/>
              </w:rPr>
              <w:t xml:space="preserve">hroughout the case study, I reference the integrated approach taken in assessment, with consideration of how the family’s experiences contributed to disadvantage at both individual and systemic levels. </w:t>
            </w:r>
            <w:r w:rsidRPr="00BB7EE2">
              <w:rPr>
                <w:b/>
                <w:kern w:val="2"/>
                <w:sz w:val="22"/>
                <w:szCs w:val="22"/>
                <w14:ligatures w14:val="standardContextual"/>
              </w:rPr>
              <w:t>Bronfenbrenner’s</w:t>
            </w:r>
            <w:r w:rsidRPr="00BB7EE2">
              <w:rPr>
                <w:kern w:val="2"/>
                <w:sz w:val="22"/>
                <w:szCs w:val="22"/>
                <w14:ligatures w14:val="standardContextual"/>
              </w:rPr>
              <w:t xml:space="preserve"> (1989) Ecological Systems Theory</w:t>
            </w:r>
            <w:r w:rsidRPr="00BB7EE2">
              <w:rPr>
                <w:b/>
                <w:kern w:val="2"/>
                <w:sz w:val="22"/>
                <w:szCs w:val="22"/>
                <w14:ligatures w14:val="standardContextual"/>
              </w:rPr>
              <w:t xml:space="preserve"> </w:t>
            </w:r>
            <w:r w:rsidRPr="00BB7EE2">
              <w:rPr>
                <w:kern w:val="2"/>
                <w:sz w:val="22"/>
                <w:szCs w:val="22"/>
                <w14:ligatures w14:val="standardContextual"/>
              </w:rPr>
              <w:t>helped me understand how individuals interact with their environment and how this may have affected the family’s patterns of dysfunction. Grandparents’ ongoing criticism of C1’s parenting and lifestyle choices fuelled tension in their relationship; C1 withdrew from them which worsened their sense of isolation and maintained their reliance on drugs and alcohol. There were occasions where C2 was chastised by C1 for their disclosures to professionals and grand</w:t>
            </w:r>
            <w:r w:rsidR="005B2076">
              <w:rPr>
                <w:kern w:val="2"/>
                <w:sz w:val="22"/>
                <w:szCs w:val="22"/>
                <w14:ligatures w14:val="standardContextual"/>
              </w:rPr>
              <w:t>parents, perpetuating a</w:t>
            </w:r>
            <w:r w:rsidRPr="00BB7EE2">
              <w:rPr>
                <w:kern w:val="2"/>
                <w:sz w:val="22"/>
                <w:szCs w:val="22"/>
                <w14:ligatures w14:val="standardContextual"/>
              </w:rPr>
              <w:t xml:space="preserve"> cycle of concern, good enough change, disengagement, then repeated concern. The theory also helped me recognise a shortfall in support between C1’s family and community environments. C3 attends a specialist education provision some distance from home and uses school transport. As a result, C1 lacked opportunities to interact with peers and parents or access support further afield which kept them isolated. Their community influences were characterised by poverty and criminality, confining them in dysfunctional systems. The ecological approach did not minimise the child protection outcomes or the requirement for a clear safeguarding intervention, but its application helped me develop ways of supporting C1 with more empathy and understanding. </w:t>
            </w:r>
          </w:p>
          <w:p w14:paraId="2BAD819F" w14:textId="77777777" w:rsidR="00BB7EE2" w:rsidRPr="00BB7EE2" w:rsidRDefault="00BB7EE2" w:rsidP="00BB7EE2">
            <w:pPr>
              <w:spacing w:line="276" w:lineRule="auto"/>
              <w:jc w:val="both"/>
              <w:rPr>
                <w:kern w:val="2"/>
                <w:sz w:val="22"/>
                <w:szCs w:val="22"/>
                <w14:ligatures w14:val="standardContextual"/>
              </w:rPr>
            </w:pPr>
          </w:p>
          <w:p w14:paraId="542CEE47" w14:textId="77777777" w:rsidR="00BB7EE2" w:rsidRDefault="00BB7EE2" w:rsidP="00BB7EE2">
            <w:pPr>
              <w:spacing w:line="300" w:lineRule="atLeast"/>
              <w:jc w:val="both"/>
              <w:rPr>
                <w:sz w:val="22"/>
                <w:szCs w:val="22"/>
              </w:rPr>
            </w:pPr>
            <w:r w:rsidRPr="00BB7EE2">
              <w:rPr>
                <w:sz w:val="22"/>
                <w:szCs w:val="22"/>
              </w:rPr>
              <w:t>Consideration of attachment theory (</w:t>
            </w:r>
            <w:r w:rsidRPr="00BB7EE2">
              <w:rPr>
                <w:b/>
                <w:sz w:val="22"/>
                <w:szCs w:val="22"/>
              </w:rPr>
              <w:t>Bowlby, 1969; Ainsworth, 1978</w:t>
            </w:r>
            <w:r w:rsidRPr="00BB7EE2">
              <w:rPr>
                <w:sz w:val="22"/>
                <w:szCs w:val="22"/>
              </w:rPr>
              <w:t>) was also relevant in this case because the family had experienced loss and relationship breakdown. Bowlby and Ainsworth suggest that that inconsistent/unreliable care can result in children developing an unorganised attachment to caregivers. In these situations, they argue that children experience anxiety of their needs being met which can present in their behaviours. They suggest this disorganisation creates confusion for children who perceive the caregiver as both a source of comfort and fear and can link to past trauma. The absent parent was subject to license conditions not to contact them due to risk of domestic violence, and the impact of this trauma on the family required further understanding. Considering the child-caregiver relationship allowed me to think more deeply about the children’s emotions and behaviour. Unable to verbalise their needs, C3 began to exhibit self-orientation and overt independence; there had been occasions where they had absconded from home and found alone in the community, unable to express their needs. Attachment theorists suggest that such behaviours can stem from trauma, as carer unavailability may prompt children to satisfy their own interests. When there were improvements, C2’s accounts of issues at home became inconsistent and appeared accompanied by a sense of loyalty to C1. However, C2 also exhibited trauma responses such as anxiety, self-harm, and mistrust of adults. While attachment theory helped me to understand the children’s emotions/behaviours, I was concerned risk was escalating and being potentially concealed.</w:t>
            </w:r>
          </w:p>
          <w:p w14:paraId="77D9570F" w14:textId="77777777" w:rsidR="00BB7EE2" w:rsidRPr="00BB7EE2" w:rsidRDefault="00BB7EE2" w:rsidP="00BB7EE2">
            <w:pPr>
              <w:spacing w:line="300" w:lineRule="atLeast"/>
              <w:jc w:val="both"/>
              <w:rPr>
                <w:sz w:val="22"/>
                <w:szCs w:val="22"/>
              </w:rPr>
            </w:pPr>
          </w:p>
          <w:p w14:paraId="5ABDFE0C" w14:textId="23BCA73B" w:rsidR="00BB7EE2" w:rsidRDefault="00BB7EE2" w:rsidP="00BB7EE2">
            <w:pPr>
              <w:spacing w:line="276" w:lineRule="auto"/>
              <w:jc w:val="both"/>
              <w:rPr>
                <w:sz w:val="22"/>
                <w:szCs w:val="22"/>
              </w:rPr>
            </w:pPr>
            <w:r w:rsidRPr="00BB7EE2">
              <w:rPr>
                <w:sz w:val="22"/>
                <w:szCs w:val="22"/>
              </w:rPr>
              <w:t>Trauma Informed Practice (</w:t>
            </w:r>
            <w:r w:rsidRPr="00BB7EE2">
              <w:rPr>
                <w:b/>
                <w:sz w:val="22"/>
                <w:szCs w:val="22"/>
              </w:rPr>
              <w:t>Levenson, 2016</w:t>
            </w:r>
            <w:r w:rsidRPr="00BB7EE2">
              <w:rPr>
                <w:sz w:val="22"/>
                <w:szCs w:val="22"/>
              </w:rPr>
              <w:t xml:space="preserve">) helped me to understand how past emotional trauma of domestic violence and bereavement while pregnant may be impacting on their current behaviours. C1 was pregnant with C3 at the time of their sibling’s death and their relationship with the children’s father had featured abuse before C2 was born. Grandparents’ experience of bereavement was also key; they said C3’s birth was symbolic of hope and recovery and helped them move on from their loss. The prospect of losing their grandchildren and coping with additional adversities created complex emotional tensions in the family, and this may have reactivated unresolved grief and trauma. </w:t>
            </w:r>
            <w:r w:rsidRPr="00BB7EE2">
              <w:rPr>
                <w:b/>
                <w:sz w:val="22"/>
                <w:szCs w:val="22"/>
              </w:rPr>
              <w:t xml:space="preserve">Worden </w:t>
            </w:r>
            <w:r w:rsidRPr="00BB7EE2">
              <w:rPr>
                <w:sz w:val="22"/>
                <w:szCs w:val="22"/>
              </w:rPr>
              <w:lastRenderedPageBreak/>
              <w:t>(2018) suggests that bereavement impairs relationships and may result in re-negotiation of family roles. In the family’s case, grandparents continued to meet the children’s needs in times of crisis, which continued to impact already fractured family relationships. In addition to their criticism of C1, at times grandparents reacted with anger towards them and this made me question if verbal aggression had featured in C1’s early childhood experiences. Research suggests that intergenerational cycles of abuse can increase the likelihood of becoming an abuse victim in adulthood, perpetrating violence in intimate relationships and resolving difficulties with conflict. (</w:t>
            </w:r>
            <w:r w:rsidRPr="00BB7EE2">
              <w:rPr>
                <w:b/>
                <w:sz w:val="22"/>
                <w:szCs w:val="22"/>
              </w:rPr>
              <w:t>Mullender et al. 2002</w:t>
            </w:r>
            <w:r w:rsidRPr="00BB7EE2">
              <w:rPr>
                <w:sz w:val="22"/>
                <w:szCs w:val="22"/>
              </w:rPr>
              <w:t xml:space="preserve">) </w:t>
            </w:r>
          </w:p>
          <w:p w14:paraId="17684CD7" w14:textId="77777777" w:rsidR="005B2076" w:rsidRPr="00BB7EE2" w:rsidRDefault="005B2076" w:rsidP="00BB7EE2">
            <w:pPr>
              <w:spacing w:line="276" w:lineRule="auto"/>
              <w:jc w:val="both"/>
              <w:rPr>
                <w:sz w:val="22"/>
                <w:szCs w:val="22"/>
              </w:rPr>
            </w:pPr>
          </w:p>
          <w:p w14:paraId="45C7ED8C" w14:textId="77777777" w:rsidR="00BB7EE2" w:rsidRDefault="00BB7EE2" w:rsidP="00BB7EE2">
            <w:pPr>
              <w:spacing w:line="276" w:lineRule="auto"/>
              <w:jc w:val="both"/>
              <w:rPr>
                <w:sz w:val="22"/>
                <w:szCs w:val="22"/>
              </w:rPr>
            </w:pPr>
            <w:r w:rsidRPr="00BB7EE2">
              <w:rPr>
                <w:sz w:val="22"/>
                <w:szCs w:val="22"/>
              </w:rPr>
              <w:t>(985 words)</w:t>
            </w:r>
          </w:p>
          <w:p w14:paraId="3032271B" w14:textId="77777777" w:rsidR="00BB7EE2" w:rsidRPr="00BB7EE2" w:rsidRDefault="00BB7EE2" w:rsidP="00BB7EE2">
            <w:pPr>
              <w:spacing w:line="276" w:lineRule="auto"/>
              <w:jc w:val="both"/>
              <w:rPr>
                <w:sz w:val="22"/>
                <w:szCs w:val="22"/>
              </w:rPr>
            </w:pPr>
          </w:p>
          <w:p w14:paraId="21F0EFE0" w14:textId="77777777" w:rsidR="00BB7EE2" w:rsidRDefault="00BB7EE2" w:rsidP="00BB7EE2">
            <w:pPr>
              <w:spacing w:line="276" w:lineRule="auto"/>
              <w:jc w:val="both"/>
              <w:rPr>
                <w:b/>
                <w:bCs/>
                <w:sz w:val="22"/>
                <w:szCs w:val="22"/>
              </w:rPr>
            </w:pPr>
            <w:r w:rsidRPr="00BB7EE2">
              <w:rPr>
                <w:b/>
                <w:bCs/>
                <w:sz w:val="22"/>
                <w:szCs w:val="22"/>
              </w:rPr>
              <w:t>Risk, Disguised Compliance and Professional Curiosity</w:t>
            </w:r>
          </w:p>
          <w:p w14:paraId="6578EFC2" w14:textId="77777777" w:rsidR="00BB7EE2" w:rsidRPr="00BB7EE2" w:rsidRDefault="00BB7EE2" w:rsidP="00BB7EE2">
            <w:pPr>
              <w:spacing w:line="276" w:lineRule="auto"/>
              <w:jc w:val="both"/>
              <w:rPr>
                <w:sz w:val="22"/>
                <w:szCs w:val="22"/>
              </w:rPr>
            </w:pPr>
          </w:p>
          <w:p w14:paraId="332F19F3" w14:textId="77777777" w:rsidR="00BB7EE2" w:rsidRPr="00BB7EE2" w:rsidRDefault="00BB7EE2" w:rsidP="00BB7EE2">
            <w:pPr>
              <w:spacing w:line="276" w:lineRule="auto"/>
              <w:jc w:val="both"/>
              <w:rPr>
                <w:sz w:val="22"/>
                <w:szCs w:val="22"/>
              </w:rPr>
            </w:pPr>
            <w:r w:rsidRPr="00BB7EE2">
              <w:rPr>
                <w:sz w:val="22"/>
                <w:szCs w:val="22"/>
              </w:rPr>
              <w:t xml:space="preserve">The risk to the children required analysis of both immediate danger and longer-term harm. The immediate risks included the possibility of C1 being unable to keep the children safe while under the influence, unknown adults being present in the home, and C2’s allegation of assault. Longer-term risks related to poor routines, unmet needs, emotional harm, and continued attachment trauma. Considering risks as both dynamic and cumulative helped me to understand its interchangeable impact and response to intervention. </w:t>
            </w:r>
            <w:r w:rsidRPr="00BB7EE2">
              <w:rPr>
                <w:b/>
                <w:sz w:val="22"/>
                <w:szCs w:val="22"/>
              </w:rPr>
              <w:t>Hothersall and Maas-Lowit’s</w:t>
            </w:r>
            <w:r w:rsidRPr="00BB7EE2">
              <w:rPr>
                <w:sz w:val="22"/>
                <w:szCs w:val="22"/>
              </w:rPr>
              <w:t xml:space="preserve"> (2010) theories of dynamic and cumulative risk helped me understand that the dynamic risks (parental mental health, substance misuse, and relationship conflict), were immediate but could change. The cumulative risk related to the harm already caused (by poverty, isolation, and inconsistent care) and its impact on their future outcomes. The dynamic perspective considers how things may improve or deteriorate. There was a likelihood that if C1 responded initially to their mental health, their reliance on substances may reduce, improve their financial situation, and increase their parenting capacity. However, wider assessment presented the risk of relapse, and triggers for this such as continued family dysfunction and isolation. The interface between these changeable levels would require me to remain alert to change in family circumstance and decide if positive change could be maintained. Cumulative harm considers the consequences of current and past risk on the children in the long term. According to </w:t>
            </w:r>
            <w:r w:rsidRPr="00BB7EE2">
              <w:rPr>
                <w:b/>
                <w:sz w:val="22"/>
                <w:szCs w:val="22"/>
              </w:rPr>
              <w:t>Herman</w:t>
            </w:r>
            <w:r w:rsidRPr="00BB7EE2">
              <w:rPr>
                <w:sz w:val="22"/>
                <w:szCs w:val="22"/>
              </w:rPr>
              <w:t xml:space="preserve"> (1992), temporary or un-sustained improvements are unlikely to mitigate the long-term effects of harm and neglect, which can have a profound effect on an individual’s psychological wellbeing and functioning. In response to this, the family were referred for intensive therapeutic support aimed at addressing the underlying impact of trauma to promote long term stability. </w:t>
            </w:r>
          </w:p>
          <w:p w14:paraId="3103543F" w14:textId="77777777" w:rsidR="00BB7EE2" w:rsidRPr="00BB7EE2" w:rsidRDefault="00BB7EE2" w:rsidP="00BB7EE2">
            <w:pPr>
              <w:spacing w:line="276" w:lineRule="auto"/>
              <w:jc w:val="both"/>
              <w:rPr>
                <w:sz w:val="22"/>
                <w:szCs w:val="22"/>
              </w:rPr>
            </w:pPr>
            <w:r w:rsidRPr="00BB7EE2">
              <w:rPr>
                <w:sz w:val="22"/>
                <w:szCs w:val="22"/>
              </w:rPr>
              <w:t>The continued analysis of dynamic and cumulative risk also became more complex as elements of disguised compliance became apparent. This occurs when parents appear to co-operate in child protection plans without making genuine, sustained change (</w:t>
            </w:r>
            <w:r w:rsidRPr="00BB7EE2">
              <w:rPr>
                <w:b/>
                <w:sz w:val="22"/>
                <w:szCs w:val="22"/>
              </w:rPr>
              <w:t>Leigh, Beddoe and Keddell, 2020</w:t>
            </w:r>
            <w:r w:rsidRPr="00BB7EE2">
              <w:rPr>
                <w:sz w:val="22"/>
                <w:szCs w:val="22"/>
              </w:rPr>
              <w:t xml:space="preserve">). C1’s participation in core groups improved, as did the children’s attendance at school and health appointments, but there was little evidence of abstinence/reduction in substance use. This led me to think more critically about parental engagement in relation to risk. C1 was demonstrating greater accountability, but they lacked acknowledgement of, and action for their mental health meaning their participation remained superficial. </w:t>
            </w:r>
            <w:r w:rsidRPr="00BB7EE2">
              <w:rPr>
                <w:b/>
                <w:sz w:val="22"/>
                <w:szCs w:val="22"/>
              </w:rPr>
              <w:t>Turnell and Edwards’</w:t>
            </w:r>
            <w:r w:rsidRPr="00BB7EE2">
              <w:rPr>
                <w:sz w:val="22"/>
                <w:szCs w:val="22"/>
              </w:rPr>
              <w:t xml:space="preserve"> (1999) Signs of Safety (SoS) approach is encouraged within the organisation for its guidance in recognising and working with disguised compliance. Turnell and Edwards suggest that parents’ co-operation in child protection plans alone is not tangible evidence of child safety. Instead of questioning if parents are compliant, SoS suggests practitioners ask, “what actions has the parent taken to keep the child safe”. Use of this approach </w:t>
            </w:r>
            <w:r w:rsidRPr="00BB7EE2">
              <w:rPr>
                <w:sz w:val="22"/>
                <w:szCs w:val="22"/>
              </w:rPr>
              <w:lastRenderedPageBreak/>
              <w:t>helped me to evidence that while C1 had taken steps forward, the initial improvements were not good enough in the context of the overall aims of the child protection plan and may not be sustainable.</w:t>
            </w:r>
          </w:p>
          <w:p w14:paraId="67C3CDF9" w14:textId="77777777" w:rsidR="00BB7EE2" w:rsidRPr="00BB7EE2" w:rsidRDefault="00BB7EE2" w:rsidP="00BB7EE2">
            <w:pPr>
              <w:spacing w:line="276" w:lineRule="auto"/>
              <w:jc w:val="both"/>
              <w:rPr>
                <w:sz w:val="22"/>
                <w:szCs w:val="22"/>
              </w:rPr>
            </w:pPr>
            <w:r w:rsidRPr="00BB7EE2">
              <w:rPr>
                <w:sz w:val="22"/>
                <w:szCs w:val="22"/>
              </w:rPr>
              <w:t xml:space="preserve">Considering these theories increased my sense of professional curiosity; the requirement to continually explore and question evidence within the professional environment. It serves to understand how things may, or may not, work in practice situations and identify improvements. Adopting professional curiosity meant that asking “what” had improved alone did not offer evidence of meaningful and sustained change. Suspicions of continued substance misuse and the children’s exposure to harmful environments helped me to stay focused on the negative impact of adult behaviour on the children’s safety. Professional curiosity also enables practitioners to question practice in the context of learning from past failures. Serious Case Reviews repeatedly highlight a lack of curiosity in connecting patterns or challenging face-value explanations in child protection, emphasising the need for continued professional judgement and critical thinking in keeping the children lived experiences at the centre of my assessment (Munro, 2011). </w:t>
            </w:r>
          </w:p>
          <w:p w14:paraId="5DC1C889" w14:textId="77777777" w:rsidR="00BB7EE2" w:rsidRPr="00BB7EE2" w:rsidRDefault="00BB7EE2" w:rsidP="00BB7EE2">
            <w:pPr>
              <w:spacing w:line="276" w:lineRule="auto"/>
              <w:jc w:val="both"/>
              <w:rPr>
                <w:sz w:val="22"/>
                <w:szCs w:val="22"/>
              </w:rPr>
            </w:pPr>
            <w:r w:rsidRPr="00BB7EE2">
              <w:rPr>
                <w:sz w:val="22"/>
                <w:szCs w:val="22"/>
              </w:rPr>
              <w:t>(634 words)</w:t>
            </w:r>
          </w:p>
          <w:p w14:paraId="6E370C01" w14:textId="77777777" w:rsidR="00BB7EE2" w:rsidRPr="00BB7EE2" w:rsidRDefault="00BB7EE2" w:rsidP="00BB7EE2">
            <w:pPr>
              <w:spacing w:before="100" w:beforeAutospacing="1" w:after="100" w:afterAutospacing="1"/>
              <w:outlineLvl w:val="2"/>
              <w:rPr>
                <w:b/>
                <w:bCs/>
                <w:sz w:val="22"/>
                <w:szCs w:val="22"/>
              </w:rPr>
            </w:pPr>
            <w:r w:rsidRPr="00BB7EE2">
              <w:rPr>
                <w:b/>
                <w:bCs/>
                <w:sz w:val="22"/>
                <w:szCs w:val="22"/>
              </w:rPr>
              <w:t xml:space="preserve">Reflective Conclusion </w:t>
            </w:r>
          </w:p>
          <w:p w14:paraId="50D47334" w14:textId="77777777" w:rsidR="00BB7EE2" w:rsidRPr="00BB7EE2" w:rsidRDefault="00BB7EE2" w:rsidP="00BB7EE2">
            <w:pPr>
              <w:spacing w:before="100" w:beforeAutospacing="1" w:after="100" w:afterAutospacing="1" w:line="276" w:lineRule="auto"/>
              <w:outlineLvl w:val="2"/>
              <w:rPr>
                <w:bCs/>
                <w:sz w:val="22"/>
                <w:szCs w:val="22"/>
              </w:rPr>
            </w:pPr>
            <w:r w:rsidRPr="00BB7EE2">
              <w:rPr>
                <w:bCs/>
                <w:sz w:val="22"/>
                <w:szCs w:val="22"/>
              </w:rPr>
              <w:t>Reflecting on the case study highlighted the complexities of safeguarding children while balancing care, control, rights and risk. My work with the family challenged me to critically analyse how legislation, professional standards and theory interact in real time and how these combined elements defend practice decisions. The study reinforced that safeguarding decisions are rarely linear and require increased analysis and professional curiosity through changing situations. Key learning points recognised how trauma, poverty and isolation featured in the family’s lived experiences and contributed to continued cycles of risk. Application of ecological and systems theories with attachment and trauma informed perspectives helped me to understand individual behaviour at a deeper level and recognise how disadvantage can manifest itself as mistrust, resistance or disguised compliance. This facilitated a wider interpretation of risk to consider its past, immediate and future impact and helped develop focus from “what” had changed to “how” this improved the children’s outcomes. The work undertaken also challenged me to address assumptions about C1’s motivation and capacity for change that may have developed had I not considered analysis and theory in practice. This has reminded me that meaningful and sustained engagement requires a practitioner to be willing to hold discomfort while practising with empathy and persistence.</w:t>
            </w:r>
          </w:p>
          <w:p w14:paraId="01548103" w14:textId="120752FB" w:rsidR="00BB7EE2" w:rsidRPr="00BB7EE2" w:rsidRDefault="00BB7EE2" w:rsidP="00BB7EE2">
            <w:pPr>
              <w:spacing w:before="100" w:beforeAutospacing="1" w:after="100" w:afterAutospacing="1" w:line="276" w:lineRule="auto"/>
              <w:outlineLvl w:val="2"/>
              <w:rPr>
                <w:bCs/>
                <w:sz w:val="22"/>
                <w:szCs w:val="22"/>
              </w:rPr>
            </w:pPr>
            <w:r w:rsidRPr="00BB7EE2">
              <w:rPr>
                <w:bCs/>
                <w:sz w:val="22"/>
                <w:szCs w:val="22"/>
              </w:rPr>
              <w:t>The case also deepened my understanding of professional accountability as I navigated tensions between children’s best interests and parents’ rights while exercising statutory responsibilities. I learned that legal literacy and confidence in my professional judgement was essential in continuing to defend and justify evidence informed actions with honesty and transparency. Another key learning point was the importance of relationship-based practice for a holistic approach to supporting the family while ensuring the children</w:t>
            </w:r>
            <w:r>
              <w:rPr>
                <w:bCs/>
                <w:sz w:val="22"/>
                <w:szCs w:val="22"/>
              </w:rPr>
              <w:t xml:space="preserve">’s </w:t>
            </w:r>
            <w:r w:rsidRPr="00BB7EE2">
              <w:rPr>
                <w:bCs/>
                <w:sz w:val="22"/>
                <w:szCs w:val="22"/>
              </w:rPr>
              <w:t>lived experiences remained central to assessment. Overall, this case strengthened my understanding of professional values by highlighting the importance of curiosity, critical thinking and reflection in balancing integrity and authority in children’s safeguarding.</w:t>
            </w:r>
          </w:p>
          <w:p w14:paraId="21E611E1" w14:textId="77777777" w:rsidR="00BB7EE2" w:rsidRPr="00BB7EE2" w:rsidRDefault="00BB7EE2" w:rsidP="00BB7EE2">
            <w:pPr>
              <w:spacing w:before="100" w:beforeAutospacing="1" w:after="100" w:afterAutospacing="1" w:line="276" w:lineRule="auto"/>
              <w:outlineLvl w:val="2"/>
              <w:rPr>
                <w:bCs/>
                <w:sz w:val="22"/>
                <w:szCs w:val="22"/>
              </w:rPr>
            </w:pPr>
            <w:r w:rsidRPr="00BB7EE2">
              <w:rPr>
                <w:bCs/>
                <w:sz w:val="22"/>
                <w:szCs w:val="22"/>
              </w:rPr>
              <w:t>(310 words)</w:t>
            </w:r>
          </w:p>
          <w:p w14:paraId="1248AAA7" w14:textId="77777777" w:rsidR="00BB7EE2" w:rsidRPr="00BB7EE2" w:rsidRDefault="00BB7EE2" w:rsidP="00BB7EE2">
            <w:pPr>
              <w:spacing w:before="100" w:beforeAutospacing="1" w:after="100" w:afterAutospacing="1" w:line="276" w:lineRule="auto"/>
              <w:outlineLvl w:val="2"/>
              <w:rPr>
                <w:b/>
                <w:bCs/>
                <w:sz w:val="22"/>
                <w:szCs w:val="22"/>
              </w:rPr>
            </w:pPr>
            <w:r w:rsidRPr="00BB7EE2">
              <w:rPr>
                <w:b/>
                <w:bCs/>
                <w:sz w:val="22"/>
                <w:szCs w:val="22"/>
              </w:rPr>
              <w:t>Total Word Count = 4103</w:t>
            </w:r>
          </w:p>
          <w:p w14:paraId="08C77358" w14:textId="77777777" w:rsidR="00BB7EE2" w:rsidRPr="00BB7EE2" w:rsidRDefault="00BB7EE2" w:rsidP="00BB7EE2">
            <w:pPr>
              <w:spacing w:line="276" w:lineRule="auto"/>
              <w:jc w:val="both"/>
              <w:rPr>
                <w:sz w:val="22"/>
                <w:szCs w:val="22"/>
              </w:rPr>
            </w:pPr>
          </w:p>
          <w:p w14:paraId="47F21B6A" w14:textId="007FFCCE" w:rsidR="007A628F" w:rsidRPr="00BB7EE2" w:rsidRDefault="007A628F" w:rsidP="00FF7EBB">
            <w:pPr>
              <w:jc w:val="both"/>
              <w:rPr>
                <w:sz w:val="22"/>
                <w:szCs w:val="22"/>
              </w:rPr>
            </w:pPr>
            <w:bookmarkStart w:id="0" w:name="_GoBack"/>
            <w:bookmarkEnd w:id="0"/>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0AB6A2" w14:textId="77777777" w:rsidR="00163796" w:rsidRDefault="00163796">
      <w:r>
        <w:separator/>
      </w:r>
    </w:p>
  </w:endnote>
  <w:endnote w:type="continuationSeparator" w:id="0">
    <w:p w14:paraId="0566365A" w14:textId="77777777" w:rsidR="00163796" w:rsidRDefault="001637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7F92F5B" w:rsidR="00A5656A" w:rsidRDefault="00A5656A">
    <w:pPr>
      <w:pStyle w:val="Footer"/>
      <w:jc w:val="right"/>
    </w:pPr>
    <w:r>
      <w:fldChar w:fldCharType="begin"/>
    </w:r>
    <w:r>
      <w:instrText xml:space="preserve"> PAGE   \* MERGEFORMAT </w:instrText>
    </w:r>
    <w:r>
      <w:fldChar w:fldCharType="separate"/>
    </w:r>
    <w:r w:rsidR="00B01590">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104F18" w14:textId="77777777" w:rsidR="00163796" w:rsidRDefault="00163796">
      <w:r>
        <w:separator/>
      </w:r>
    </w:p>
  </w:footnote>
  <w:footnote w:type="continuationSeparator" w:id="0">
    <w:p w14:paraId="3BE6EA9E" w14:textId="77777777" w:rsidR="00163796" w:rsidRDefault="001637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3796"/>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3E27"/>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3A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5998"/>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5261"/>
    <w:rsid w:val="005A1B4C"/>
    <w:rsid w:val="005A545C"/>
    <w:rsid w:val="005B2076"/>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01C7"/>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57E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1590"/>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EE2"/>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4C5E"/>
    <w:rsid w:val="00C05D70"/>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BB2"/>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BB7EE2"/>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paragraph" w:styleId="NoSpacing">
    <w:name w:val="No Spacing"/>
    <w:uiPriority w:val="1"/>
    <w:qFormat/>
    <w:rsid w:val="00BB7EE2"/>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2C755C4-9F85-48F2-9572-6115CD4C2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4413</Words>
  <Characters>25159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cp:lastModifiedBy>
  <cp:revision>4</cp:revision>
  <cp:lastPrinted>2020-02-11T19:20:00Z</cp:lastPrinted>
  <dcterms:created xsi:type="dcterms:W3CDTF">2026-09-25T15:01:00Z</dcterms:created>
  <dcterms:modified xsi:type="dcterms:W3CDTF">2026-09-28T15:33:00Z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