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EE1B50" w14:textId="77777777" w:rsidR="00261674" w:rsidRDefault="00261674">
      <w:pPr>
        <w:rPr>
          <w:b/>
          <w:u w:val="single"/>
        </w:rPr>
      </w:pPr>
      <w:bookmarkStart w:id="0" w:name="_GoBack"/>
      <w:bookmarkEnd w:id="0"/>
    </w:p>
    <w:p w14:paraId="7955D5BC" w14:textId="212EA1C4" w:rsidR="00261674" w:rsidRDefault="00261674">
      <w:pPr>
        <w:rPr>
          <w:b/>
          <w:u w:val="single"/>
        </w:rPr>
      </w:pPr>
    </w:p>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261674" w14:paraId="2A3DA154" w14:textId="77777777" w:rsidTr="00261674">
        <w:trPr>
          <w:trHeight w:val="849"/>
        </w:trPr>
        <w:tc>
          <w:tcPr>
            <w:tcW w:w="8755" w:type="dxa"/>
            <w:gridSpan w:val="4"/>
            <w:tcBorders>
              <w:top w:val="single" w:sz="4" w:space="0" w:color="auto"/>
              <w:left w:val="single" w:sz="4" w:space="0" w:color="auto"/>
              <w:bottom w:val="single" w:sz="4" w:space="0" w:color="auto"/>
              <w:right w:val="single" w:sz="4" w:space="0" w:color="auto"/>
            </w:tcBorders>
          </w:tcPr>
          <w:p w14:paraId="6CF58495" w14:textId="77777777" w:rsidR="00261674" w:rsidRDefault="00261674">
            <w:pPr>
              <w:pStyle w:val="NormalWeb"/>
              <w:spacing w:before="0" w:beforeAutospacing="0" w:after="0" w:afterAutospacing="0"/>
              <w:ind w:right="34"/>
              <w:rPr>
                <w:rFonts w:ascii="Calibri" w:hAnsi="Calibri" w:cs="Calibri"/>
                <w:i/>
                <w:iCs/>
                <w:sz w:val="24"/>
                <w:szCs w:val="24"/>
                <w:lang w:val="cy-GB"/>
              </w:rPr>
            </w:pPr>
          </w:p>
          <w:p w14:paraId="21EC2890" w14:textId="77777777" w:rsidR="00261674" w:rsidRDefault="00261674">
            <w:pPr>
              <w:pStyle w:val="NormalWeb"/>
              <w:spacing w:before="0" w:beforeAutospacing="0" w:after="0" w:afterAutospacing="0"/>
              <w:ind w:right="34"/>
              <w:jc w:val="center"/>
              <w:rPr>
                <w:rFonts w:ascii="Calibri" w:hAnsi="Calibri" w:cs="Calibri"/>
                <w:b/>
                <w:bCs/>
                <w:sz w:val="24"/>
                <w:szCs w:val="24"/>
                <w:lang w:val="cy-GB"/>
              </w:rPr>
            </w:pPr>
            <w:proofErr w:type="spellStart"/>
            <w:r>
              <w:rPr>
                <w:rFonts w:ascii="Calibri" w:hAnsi="Calibri" w:cs="Calibri"/>
                <w:b/>
                <w:bCs/>
                <w:sz w:val="24"/>
                <w:szCs w:val="24"/>
                <w:lang w:val="cy-GB"/>
              </w:rPr>
              <w:t>Assignment</w:t>
            </w:r>
            <w:proofErr w:type="spellEnd"/>
            <w:r>
              <w:rPr>
                <w:rFonts w:ascii="Calibri" w:hAnsi="Calibri" w:cs="Calibri"/>
                <w:b/>
                <w:bCs/>
                <w:sz w:val="24"/>
                <w:szCs w:val="24"/>
                <w:lang w:val="cy-GB"/>
              </w:rPr>
              <w:t xml:space="preserve"> </w:t>
            </w:r>
            <w:proofErr w:type="spellStart"/>
            <w:r>
              <w:rPr>
                <w:rFonts w:ascii="Calibri" w:hAnsi="Calibri" w:cs="Calibri"/>
                <w:b/>
                <w:bCs/>
                <w:sz w:val="24"/>
                <w:szCs w:val="24"/>
                <w:lang w:val="cy-GB"/>
              </w:rPr>
              <w:t>feedback</w:t>
            </w:r>
            <w:proofErr w:type="spellEnd"/>
            <w:r>
              <w:rPr>
                <w:rFonts w:ascii="Calibri" w:hAnsi="Calibri" w:cs="Calibri"/>
                <w:b/>
                <w:bCs/>
                <w:sz w:val="24"/>
                <w:szCs w:val="24"/>
                <w:lang w:val="cy-GB"/>
              </w:rPr>
              <w:t xml:space="preserve"> </w:t>
            </w:r>
          </w:p>
          <w:p w14:paraId="7BDCED75" w14:textId="77777777" w:rsidR="00261674" w:rsidRDefault="00261674">
            <w:pPr>
              <w:pStyle w:val="NormalWeb"/>
              <w:spacing w:before="0" w:beforeAutospacing="0" w:after="0" w:afterAutospacing="0"/>
              <w:ind w:right="34"/>
              <w:jc w:val="center"/>
              <w:rPr>
                <w:rFonts w:ascii="Calibri" w:hAnsi="Calibri" w:cs="Calibri"/>
                <w:b/>
                <w:bCs/>
                <w:sz w:val="24"/>
                <w:szCs w:val="24"/>
                <w:lang w:val="cy-GB"/>
              </w:rPr>
            </w:pPr>
          </w:p>
          <w:p w14:paraId="658E96D7" w14:textId="77777777" w:rsidR="00261674" w:rsidRDefault="00261674">
            <w:pPr>
              <w:pStyle w:val="NormalWeb"/>
              <w:spacing w:before="0" w:beforeAutospacing="0" w:after="0" w:afterAutospacing="0"/>
              <w:ind w:right="34"/>
              <w:jc w:val="center"/>
              <w:rPr>
                <w:rFonts w:ascii="Calibri" w:hAnsi="Calibri" w:cs="Calibri"/>
                <w:b/>
                <w:bCs/>
                <w:sz w:val="24"/>
                <w:szCs w:val="24"/>
              </w:rPr>
            </w:pPr>
          </w:p>
        </w:tc>
      </w:tr>
      <w:tr w:rsidR="00261674" w14:paraId="02CE3285" w14:textId="77777777" w:rsidTr="00261674">
        <w:trPr>
          <w:trHeight w:val="373"/>
        </w:trPr>
        <w:tc>
          <w:tcPr>
            <w:tcW w:w="8755" w:type="dxa"/>
            <w:gridSpan w:val="4"/>
            <w:tcBorders>
              <w:top w:val="single" w:sz="4" w:space="0" w:color="auto"/>
              <w:left w:val="single" w:sz="4" w:space="0" w:color="auto"/>
              <w:bottom w:val="single" w:sz="4" w:space="0" w:color="auto"/>
              <w:right w:val="single" w:sz="4" w:space="0" w:color="auto"/>
            </w:tcBorders>
          </w:tcPr>
          <w:p w14:paraId="1962EA96" w14:textId="77777777" w:rsidR="00261674" w:rsidRDefault="00261674">
            <w:pPr>
              <w:pStyle w:val="NormalWeb"/>
              <w:spacing w:before="0" w:beforeAutospacing="0" w:after="0" w:afterAutospacing="0"/>
              <w:ind w:right="34"/>
              <w:rPr>
                <w:rFonts w:ascii="Calibri" w:hAnsi="Calibri" w:cs="Calibri"/>
                <w:i/>
                <w:iCs/>
                <w:sz w:val="24"/>
                <w:szCs w:val="24"/>
              </w:rPr>
            </w:pPr>
          </w:p>
        </w:tc>
      </w:tr>
      <w:tr w:rsidR="00261674" w14:paraId="1338A958" w14:textId="77777777" w:rsidTr="00261674">
        <w:trPr>
          <w:trHeight w:val="373"/>
        </w:trPr>
        <w:tc>
          <w:tcPr>
            <w:tcW w:w="8755" w:type="dxa"/>
            <w:gridSpan w:val="4"/>
            <w:tcBorders>
              <w:top w:val="single" w:sz="4" w:space="0" w:color="auto"/>
              <w:left w:val="single" w:sz="4" w:space="0" w:color="auto"/>
              <w:bottom w:val="single" w:sz="4" w:space="0" w:color="auto"/>
              <w:right w:val="single" w:sz="4" w:space="0" w:color="auto"/>
            </w:tcBorders>
            <w:hideMark/>
          </w:tcPr>
          <w:p w14:paraId="3B74CA5E" w14:textId="3C654704"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Name: Kirsty Parkes</w:t>
            </w:r>
          </w:p>
          <w:p w14:paraId="0A845EE2" w14:textId="61238DAD"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University Email: 1600408@student.uwtsd.ac.uk</w:t>
            </w:r>
          </w:p>
        </w:tc>
      </w:tr>
      <w:tr w:rsidR="00261674" w14:paraId="221ED5C5" w14:textId="77777777" w:rsidTr="00261674">
        <w:trPr>
          <w:trHeight w:val="849"/>
        </w:trPr>
        <w:tc>
          <w:tcPr>
            <w:tcW w:w="5148" w:type="dxa"/>
            <w:tcBorders>
              <w:top w:val="single" w:sz="4" w:space="0" w:color="auto"/>
              <w:left w:val="single" w:sz="4" w:space="0" w:color="auto"/>
              <w:bottom w:val="single" w:sz="4" w:space="0" w:color="auto"/>
              <w:right w:val="single" w:sz="4" w:space="0" w:color="auto"/>
            </w:tcBorders>
          </w:tcPr>
          <w:p w14:paraId="7FC55301" w14:textId="489E11B5"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Module code: HPAR4006</w:t>
            </w:r>
          </w:p>
          <w:p w14:paraId="500E5CDA" w14:textId="77777777" w:rsidR="00261674" w:rsidRDefault="00261674">
            <w:pPr>
              <w:pStyle w:val="NormalWeb"/>
              <w:spacing w:before="0" w:beforeAutospacing="0" w:after="0" w:afterAutospacing="0"/>
              <w:ind w:right="34"/>
              <w:rPr>
                <w:rFonts w:ascii="Calibri" w:hAnsi="Calibri" w:cs="Calibri"/>
                <w:i/>
                <w:iCs/>
                <w:sz w:val="24"/>
                <w:szCs w:val="24"/>
              </w:rPr>
            </w:pPr>
          </w:p>
          <w:p w14:paraId="520CEB0A" w14:textId="0381CF1F"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Module title: What Makes Civilisation</w:t>
            </w:r>
          </w:p>
        </w:tc>
        <w:tc>
          <w:tcPr>
            <w:tcW w:w="1906" w:type="dxa"/>
            <w:gridSpan w:val="2"/>
            <w:tcBorders>
              <w:top w:val="single" w:sz="4" w:space="0" w:color="auto"/>
              <w:left w:val="single" w:sz="4" w:space="0" w:color="auto"/>
              <w:bottom w:val="single" w:sz="4" w:space="0" w:color="auto"/>
              <w:right w:val="single" w:sz="4" w:space="0" w:color="auto"/>
            </w:tcBorders>
          </w:tcPr>
          <w:p w14:paraId="54A1C249" w14:textId="21DBB5AB"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ID number: 1600408</w:t>
            </w:r>
          </w:p>
          <w:p w14:paraId="5CA75AB0" w14:textId="77777777" w:rsidR="00261674" w:rsidRDefault="00261674">
            <w:pPr>
              <w:pStyle w:val="NormalWeb"/>
              <w:spacing w:before="0" w:beforeAutospacing="0" w:after="0" w:afterAutospacing="0"/>
              <w:ind w:right="34"/>
              <w:rPr>
                <w:rFonts w:ascii="Calibri" w:hAnsi="Calibri" w:cs="Calibri"/>
                <w:i/>
                <w:iCs/>
                <w:color w:val="A6A6A6"/>
                <w:sz w:val="24"/>
                <w:szCs w:val="24"/>
              </w:rPr>
            </w:pPr>
          </w:p>
        </w:tc>
        <w:tc>
          <w:tcPr>
            <w:tcW w:w="1701" w:type="dxa"/>
            <w:tcBorders>
              <w:top w:val="single" w:sz="4" w:space="0" w:color="auto"/>
              <w:left w:val="single" w:sz="4" w:space="0" w:color="auto"/>
              <w:bottom w:val="single" w:sz="4" w:space="0" w:color="auto"/>
              <w:right w:val="single" w:sz="4" w:space="0" w:color="auto"/>
            </w:tcBorders>
          </w:tcPr>
          <w:p w14:paraId="1B4EE88F" w14:textId="77777777"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Educational support needs:</w:t>
            </w:r>
          </w:p>
          <w:p w14:paraId="3D3C6887" w14:textId="77777777" w:rsidR="00261674" w:rsidRDefault="00261674">
            <w:pPr>
              <w:pStyle w:val="NormalWeb"/>
              <w:spacing w:before="0" w:beforeAutospacing="0" w:after="0" w:afterAutospacing="0"/>
              <w:ind w:right="34"/>
              <w:rPr>
                <w:rFonts w:ascii="Calibri" w:hAnsi="Calibri" w:cs="Calibri"/>
                <w:i/>
                <w:iCs/>
                <w:sz w:val="24"/>
                <w:szCs w:val="24"/>
              </w:rPr>
            </w:pPr>
          </w:p>
          <w:p w14:paraId="5182CDD2" w14:textId="77777777"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No</w:t>
            </w:r>
          </w:p>
        </w:tc>
      </w:tr>
      <w:tr w:rsidR="00261674" w14:paraId="1909E20A" w14:textId="77777777" w:rsidTr="00261674">
        <w:trPr>
          <w:trHeight w:val="849"/>
        </w:trPr>
        <w:tc>
          <w:tcPr>
            <w:tcW w:w="8755" w:type="dxa"/>
            <w:gridSpan w:val="4"/>
            <w:tcBorders>
              <w:top w:val="single" w:sz="4" w:space="0" w:color="auto"/>
              <w:left w:val="single" w:sz="4" w:space="0" w:color="auto"/>
              <w:bottom w:val="single" w:sz="4" w:space="0" w:color="auto"/>
              <w:right w:val="single" w:sz="4" w:space="0" w:color="auto"/>
            </w:tcBorders>
          </w:tcPr>
          <w:p w14:paraId="13FBB04D" w14:textId="11906613"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title: Portfolio Part 3</w:t>
            </w:r>
          </w:p>
          <w:p w14:paraId="39A72342" w14:textId="77777777" w:rsidR="00261674" w:rsidRDefault="00261674">
            <w:pPr>
              <w:pStyle w:val="NormalWeb"/>
              <w:spacing w:before="0" w:beforeAutospacing="0" w:after="0" w:afterAutospacing="0"/>
              <w:ind w:right="34"/>
              <w:rPr>
                <w:rFonts w:ascii="Calibri" w:hAnsi="Calibri" w:cs="Calibri"/>
                <w:i/>
                <w:iCs/>
                <w:sz w:val="24"/>
                <w:szCs w:val="24"/>
              </w:rPr>
            </w:pPr>
          </w:p>
          <w:p w14:paraId="5C007809" w14:textId="2A57477B"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 01/02/19</w:t>
            </w:r>
          </w:p>
        </w:tc>
      </w:tr>
      <w:tr w:rsidR="00261674" w14:paraId="2357F132" w14:textId="77777777" w:rsidTr="00261674">
        <w:trPr>
          <w:trHeight w:val="504"/>
        </w:trPr>
        <w:tc>
          <w:tcPr>
            <w:tcW w:w="8755" w:type="dxa"/>
            <w:gridSpan w:val="4"/>
            <w:tcBorders>
              <w:top w:val="single" w:sz="4" w:space="0" w:color="auto"/>
              <w:left w:val="single" w:sz="4" w:space="0" w:color="auto"/>
              <w:bottom w:val="single" w:sz="4" w:space="0" w:color="auto"/>
              <w:right w:val="single" w:sz="4" w:space="0" w:color="auto"/>
            </w:tcBorders>
            <w:hideMark/>
          </w:tcPr>
          <w:p w14:paraId="2B315B46" w14:textId="6BA89821"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 3</w:t>
            </w:r>
          </w:p>
          <w:p w14:paraId="1F874467" w14:textId="77777777" w:rsidR="00261674" w:rsidRDefault="0026167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261674" w14:paraId="07284D3F" w14:textId="77777777" w:rsidTr="00261674">
        <w:trPr>
          <w:trHeight w:val="6165"/>
        </w:trPr>
        <w:tc>
          <w:tcPr>
            <w:tcW w:w="8755" w:type="dxa"/>
            <w:gridSpan w:val="4"/>
            <w:tcBorders>
              <w:top w:val="single" w:sz="4" w:space="0" w:color="auto"/>
              <w:left w:val="single" w:sz="4" w:space="0" w:color="auto"/>
              <w:bottom w:val="single" w:sz="4" w:space="0" w:color="auto"/>
              <w:right w:val="single" w:sz="4" w:space="0" w:color="auto"/>
            </w:tcBorders>
          </w:tcPr>
          <w:p w14:paraId="7FCCD377" w14:textId="77777777" w:rsidR="00261674" w:rsidRDefault="00261674">
            <w:pPr>
              <w:pStyle w:val="NormalWeb"/>
              <w:rPr>
                <w:rFonts w:ascii="Calibri" w:hAnsi="Calibri" w:cs="Calibri"/>
                <w:i/>
                <w:iCs/>
                <w:sz w:val="24"/>
                <w:szCs w:val="24"/>
              </w:rPr>
            </w:pPr>
          </w:p>
          <w:p w14:paraId="6FD9874B" w14:textId="77777777" w:rsidR="00261674" w:rsidRDefault="00261674">
            <w:pPr>
              <w:pStyle w:val="NormalWeb"/>
              <w:rPr>
                <w:rFonts w:ascii="Calibri" w:hAnsi="Calibri" w:cs="Calibri"/>
                <w:i/>
                <w:iCs/>
                <w:sz w:val="24"/>
                <w:szCs w:val="24"/>
              </w:rPr>
            </w:pPr>
          </w:p>
        </w:tc>
      </w:tr>
      <w:tr w:rsidR="00261674" w14:paraId="24370CDA" w14:textId="77777777" w:rsidTr="00261674">
        <w:tc>
          <w:tcPr>
            <w:tcW w:w="6768" w:type="dxa"/>
            <w:gridSpan w:val="2"/>
            <w:tcBorders>
              <w:top w:val="single" w:sz="4" w:space="0" w:color="auto"/>
              <w:left w:val="single" w:sz="4" w:space="0" w:color="auto"/>
              <w:bottom w:val="single" w:sz="4" w:space="0" w:color="auto"/>
              <w:right w:val="single" w:sz="4" w:space="0" w:color="auto"/>
            </w:tcBorders>
          </w:tcPr>
          <w:p w14:paraId="30282D40" w14:textId="77777777" w:rsidR="00261674" w:rsidRDefault="00261674">
            <w:pPr>
              <w:pStyle w:val="NormalWeb"/>
              <w:spacing w:beforeAutospacing="0" w:afterAutospacing="0"/>
              <w:ind w:left="142" w:right="34"/>
              <w:rPr>
                <w:rFonts w:ascii="Calibri" w:hAnsi="Calibri" w:cs="Calibri"/>
                <w:i/>
                <w:iCs/>
                <w:sz w:val="24"/>
                <w:szCs w:val="24"/>
              </w:rPr>
            </w:pPr>
            <w:r>
              <w:rPr>
                <w:rFonts w:ascii="Calibri" w:hAnsi="Calibri" w:cs="Calibri"/>
                <w:i/>
                <w:iCs/>
                <w:sz w:val="24"/>
                <w:szCs w:val="24"/>
              </w:rPr>
              <w:t xml:space="preserve">Marker’s  signature: </w:t>
            </w:r>
          </w:p>
          <w:p w14:paraId="105CAF0B" w14:textId="77777777" w:rsidR="00261674" w:rsidRDefault="00261674">
            <w:pPr>
              <w:pStyle w:val="NormalWeb"/>
              <w:spacing w:beforeAutospacing="0" w:afterAutospacing="0"/>
              <w:ind w:left="142" w:right="34"/>
              <w:rPr>
                <w:rFonts w:ascii="Calibri" w:hAnsi="Calibri" w:cs="Calibri"/>
                <w:i/>
                <w:iCs/>
                <w:sz w:val="24"/>
                <w:szCs w:val="24"/>
              </w:rPr>
            </w:pPr>
          </w:p>
        </w:tc>
        <w:tc>
          <w:tcPr>
            <w:tcW w:w="1987" w:type="dxa"/>
            <w:gridSpan w:val="2"/>
            <w:tcBorders>
              <w:top w:val="single" w:sz="4" w:space="0" w:color="auto"/>
              <w:left w:val="single" w:sz="4" w:space="0" w:color="auto"/>
              <w:bottom w:val="single" w:sz="4" w:space="0" w:color="auto"/>
              <w:right w:val="single" w:sz="4" w:space="0" w:color="auto"/>
            </w:tcBorders>
          </w:tcPr>
          <w:p w14:paraId="4EB3F4B7" w14:textId="77777777" w:rsidR="00261674" w:rsidRDefault="00261674">
            <w:pPr>
              <w:pStyle w:val="NormalWeb"/>
              <w:spacing w:beforeAutospacing="0" w:after="0" w:afterAutospacing="0"/>
              <w:ind w:left="142" w:right="34"/>
              <w:rPr>
                <w:rFonts w:ascii="Calibri" w:hAnsi="Calibri" w:cs="Calibri"/>
                <w:i/>
                <w:iCs/>
                <w:sz w:val="24"/>
                <w:szCs w:val="24"/>
              </w:rPr>
            </w:pPr>
            <w:r>
              <w:rPr>
                <w:rFonts w:ascii="Calibri" w:hAnsi="Calibri" w:cs="Calibri"/>
                <w:i/>
                <w:iCs/>
                <w:sz w:val="24"/>
                <w:szCs w:val="24"/>
              </w:rPr>
              <w:t>Date:</w:t>
            </w:r>
          </w:p>
          <w:p w14:paraId="68BFE167" w14:textId="77777777" w:rsidR="00261674" w:rsidRDefault="00261674">
            <w:pPr>
              <w:pStyle w:val="NormalWeb"/>
              <w:spacing w:beforeAutospacing="0" w:after="0" w:afterAutospacing="0"/>
              <w:ind w:left="142" w:right="34"/>
              <w:rPr>
                <w:rFonts w:ascii="Calibri" w:hAnsi="Calibri" w:cs="Calibri"/>
                <w:i/>
                <w:iCs/>
                <w:sz w:val="24"/>
                <w:szCs w:val="24"/>
              </w:rPr>
            </w:pPr>
          </w:p>
        </w:tc>
      </w:tr>
      <w:tr w:rsidR="00261674" w14:paraId="3551E0ED" w14:textId="77777777" w:rsidTr="00261674">
        <w:tc>
          <w:tcPr>
            <w:tcW w:w="8755" w:type="dxa"/>
            <w:gridSpan w:val="4"/>
            <w:tcBorders>
              <w:top w:val="single" w:sz="4" w:space="0" w:color="auto"/>
              <w:left w:val="single" w:sz="4" w:space="0" w:color="auto"/>
              <w:bottom w:val="single" w:sz="4" w:space="0" w:color="auto"/>
              <w:right w:val="single" w:sz="4" w:space="0" w:color="auto"/>
            </w:tcBorders>
            <w:hideMark/>
          </w:tcPr>
          <w:p w14:paraId="6EF4D844" w14:textId="77777777" w:rsidR="00261674" w:rsidRDefault="00261674">
            <w:pPr>
              <w:pStyle w:val="NormalWeb"/>
              <w:spacing w:before="0" w:beforeAutospacing="0" w:after="0" w:afterAutospacing="0"/>
              <w:ind w:left="142" w:right="34"/>
              <w:rPr>
                <w:rFonts w:ascii="Calibri" w:hAnsi="Calibri" w:cs="Calibri"/>
                <w:i/>
                <w:iCs/>
                <w:sz w:val="24"/>
                <w:szCs w:val="24"/>
              </w:rPr>
            </w:pPr>
            <w:r>
              <w:rPr>
                <w:rFonts w:ascii="Calibri" w:hAnsi="Calibri" w:cs="Calibri"/>
                <w:i/>
                <w:iCs/>
                <w:sz w:val="24"/>
                <w:szCs w:val="24"/>
              </w:rPr>
              <w:t>Provisional.</w:t>
            </w:r>
          </w:p>
          <w:p w14:paraId="42199713" w14:textId="77777777" w:rsidR="00261674" w:rsidRDefault="00261674">
            <w:pPr>
              <w:pStyle w:val="NormalWeb"/>
              <w:spacing w:before="0" w:beforeAutospacing="0" w:after="0" w:afterAutospacing="0"/>
              <w:ind w:left="142" w:right="34"/>
              <w:rPr>
                <w:rFonts w:ascii="Calibri" w:hAnsi="Calibri" w:cs="Calibri"/>
                <w:i/>
                <w:iCs/>
                <w:sz w:val="24"/>
                <w:szCs w:val="24"/>
              </w:rPr>
            </w:pPr>
            <w:r>
              <w:rPr>
                <w:rFonts w:ascii="Calibri" w:hAnsi="Calibri" w:cs="Calibri"/>
                <w:b/>
                <w:bCs/>
                <w:i/>
                <w:iCs/>
                <w:sz w:val="24"/>
                <w:szCs w:val="24"/>
              </w:rPr>
              <w:t>NB.</w:t>
            </w:r>
            <w:r>
              <w:rPr>
                <w:rFonts w:ascii="Calibri" w:hAnsi="Calibri" w:cs="Calibri"/>
                <w:i/>
                <w:iCs/>
                <w:sz w:val="24"/>
                <w:szCs w:val="24"/>
              </w:rPr>
              <w:t xml:space="preserve">  All marks are provisional until confirmed by the final examination board. </w:t>
            </w:r>
          </w:p>
          <w:p w14:paraId="6AC57CCE" w14:textId="77777777" w:rsidR="00261674" w:rsidRDefault="00261674">
            <w:pPr>
              <w:pStyle w:val="NormalWeb"/>
              <w:spacing w:before="0" w:beforeAutospacing="0" w:after="0" w:afterAutospacing="0"/>
              <w:ind w:left="142" w:right="34"/>
              <w:rPr>
                <w:rFonts w:ascii="Calibri" w:hAnsi="Calibri" w:cs="Calibri"/>
                <w:i/>
                <w:iCs/>
                <w:sz w:val="24"/>
                <w:szCs w:val="24"/>
              </w:rPr>
            </w:pPr>
            <w:r>
              <w:rPr>
                <w:rFonts w:ascii="Calibri" w:hAnsi="Calibri" w:cs="Calibri"/>
                <w:i/>
                <w:iCs/>
                <w:sz w:val="24"/>
                <w:szCs w:val="24"/>
              </w:rPr>
              <w:t xml:space="preserve"> </w:t>
            </w:r>
          </w:p>
        </w:tc>
      </w:tr>
    </w:tbl>
    <w:p w14:paraId="4133A31B" w14:textId="54D137C8" w:rsidR="00261674" w:rsidRDefault="00261674">
      <w:pPr>
        <w:rPr>
          <w:b/>
          <w:u w:val="single"/>
        </w:rPr>
      </w:pPr>
    </w:p>
    <w:p w14:paraId="3B0DD8B7" w14:textId="049AC992" w:rsidR="00B26F07" w:rsidRDefault="00216FB3">
      <w:pPr>
        <w:rPr>
          <w:b/>
          <w:u w:val="single"/>
        </w:rPr>
      </w:pPr>
      <w:r w:rsidRPr="00216FB3">
        <w:rPr>
          <w:b/>
          <w:u w:val="single"/>
        </w:rPr>
        <w:t>What Makes Civilisation</w:t>
      </w:r>
    </w:p>
    <w:p w14:paraId="1D3FC6F0" w14:textId="77777777" w:rsidR="00D66877" w:rsidRDefault="00D66877">
      <w:r>
        <w:t xml:space="preserve">Childe outlines ten criteria of an early civilisation </w:t>
      </w:r>
      <w:r w:rsidRPr="00D66877">
        <w:rPr>
          <w:i/>
        </w:rPr>
        <w:t>(Trigger, 2007)</w:t>
      </w:r>
      <w:r>
        <w:rPr>
          <w:i/>
        </w:rPr>
        <w:t xml:space="preserve">. </w:t>
      </w:r>
      <w:r>
        <w:t>For the purpose of this essay I will focus on monumental art and monumental architecture in ancient Egypt.</w:t>
      </w:r>
    </w:p>
    <w:p w14:paraId="2609E9C8" w14:textId="7647B086" w:rsidR="00204402" w:rsidRDefault="00204402">
      <w:r>
        <w:t xml:space="preserve">Ancient Egyptians did not have the concept of art, but they created many things from daily items to grand temples with the intention of making them symmetrical and beautiful </w:t>
      </w:r>
      <w:proofErr w:type="gramStart"/>
      <w:r>
        <w:t>so as to</w:t>
      </w:r>
      <w:proofErr w:type="gramEnd"/>
      <w:r>
        <w:t xml:space="preserve"> present them to the gods </w:t>
      </w:r>
      <w:r w:rsidRPr="00204402">
        <w:rPr>
          <w:i/>
        </w:rPr>
        <w:t>(</w:t>
      </w:r>
      <w:r w:rsidR="00B64495">
        <w:rPr>
          <w:i/>
        </w:rPr>
        <w:t>Baines, 1994</w:t>
      </w:r>
      <w:r w:rsidRPr="00204402">
        <w:rPr>
          <w:i/>
        </w:rPr>
        <w:t>)</w:t>
      </w:r>
      <w:r>
        <w:rPr>
          <w:i/>
        </w:rPr>
        <w:t xml:space="preserve">. </w:t>
      </w:r>
      <w:r>
        <w:t xml:space="preserve">This also applies to architecture and grand monuments </w:t>
      </w:r>
      <w:r w:rsidRPr="00204402">
        <w:rPr>
          <w:i/>
        </w:rPr>
        <w:t>(Riggs, 2014)</w:t>
      </w:r>
      <w:r>
        <w:rPr>
          <w:i/>
        </w:rPr>
        <w:t xml:space="preserve"> </w:t>
      </w:r>
      <w:r>
        <w:t>which means that architecture in ancient Egypt was a subset of art</w:t>
      </w:r>
      <w:r>
        <w:rPr>
          <w:i/>
        </w:rPr>
        <w:t xml:space="preserve">. </w:t>
      </w:r>
      <w:r>
        <w:t>Art as a form of representation</w:t>
      </w:r>
      <w:r w:rsidR="00B64495">
        <w:t xml:space="preserve"> of themselves to the gods</w:t>
      </w:r>
      <w:r>
        <w:t xml:space="preserve"> shows they were </w:t>
      </w:r>
      <w:r w:rsidR="00B64495">
        <w:t>culturally self-</w:t>
      </w:r>
      <w:r>
        <w:t>aware</w:t>
      </w:r>
      <w:r w:rsidR="00B64495">
        <w:t xml:space="preserve"> which does indicate complexity</w:t>
      </w:r>
      <w:r>
        <w:t>.</w:t>
      </w:r>
    </w:p>
    <w:p w14:paraId="0501CE87" w14:textId="4C0D514A" w:rsidR="00261674" w:rsidRDefault="00204402">
      <w:r>
        <w:t xml:space="preserve">More than </w:t>
      </w:r>
      <w:r w:rsidR="006F1052">
        <w:t>that,</w:t>
      </w:r>
      <w:r>
        <w:t xml:space="preserve"> </w:t>
      </w:r>
      <w:r w:rsidR="00B64495">
        <w:t xml:space="preserve">we can learn a lot about their culture from looking at their art. For instance, we can </w:t>
      </w:r>
      <w:r w:rsidR="006F1052">
        <w:t xml:space="preserve">gain a lot about what life was like in Egypt by looking at a king’s tomb, as the idea was that these items would go with him to the afterlife so not only were there </w:t>
      </w:r>
      <w:r w:rsidR="00372B33">
        <w:t>ornamental depictions of scenes</w:t>
      </w:r>
      <w:r w:rsidR="006F1052">
        <w:t xml:space="preserve">, but he was also stocked with everything </w:t>
      </w:r>
      <w:r w:rsidR="00261674">
        <w:t>consider</w:t>
      </w:r>
      <w:r w:rsidR="00372B33">
        <w:t>ed</w:t>
      </w:r>
      <w:r w:rsidR="00261674">
        <w:t xml:space="preserve"> necessary to liv</w:t>
      </w:r>
      <w:r w:rsidR="00372B33">
        <w:t>e</w:t>
      </w:r>
      <w:r w:rsidR="00261674">
        <w:t xml:space="preserve"> in the next world</w:t>
      </w:r>
      <w:r w:rsidR="006F1052">
        <w:t xml:space="preserve"> </w:t>
      </w:r>
      <w:r w:rsidR="006F1052" w:rsidRPr="006F1052">
        <w:rPr>
          <w:i/>
        </w:rPr>
        <w:t>(</w:t>
      </w:r>
      <w:proofErr w:type="spellStart"/>
      <w:r w:rsidR="006F1052" w:rsidRPr="006F1052">
        <w:rPr>
          <w:i/>
        </w:rPr>
        <w:t>Hartwig</w:t>
      </w:r>
      <w:proofErr w:type="spellEnd"/>
      <w:r w:rsidR="006F1052" w:rsidRPr="006F1052">
        <w:rPr>
          <w:i/>
        </w:rPr>
        <w:t>, 2014)</w:t>
      </w:r>
      <w:r w:rsidR="00B64495" w:rsidRPr="006F1052">
        <w:rPr>
          <w:i/>
        </w:rPr>
        <w:t xml:space="preserve">. </w:t>
      </w:r>
      <w:r w:rsidR="00B64495">
        <w:t>The best ex</w:t>
      </w:r>
      <w:r w:rsidR="006F1052">
        <w:t xml:space="preserve">ample of this is Tutankhamun’s tomb, which contained gilded statues of gods, ebony gaming boards, and a Naos depicting daily life and hunting among other things </w:t>
      </w:r>
      <w:r w:rsidR="006F1052" w:rsidRPr="006F1052">
        <w:rPr>
          <w:i/>
        </w:rPr>
        <w:t>(Carter &amp; Mace, 1923)</w:t>
      </w:r>
      <w:r w:rsidR="006F1052">
        <w:rPr>
          <w:i/>
        </w:rPr>
        <w:t xml:space="preserve">. </w:t>
      </w:r>
      <w:r w:rsidR="006F1052">
        <w:t xml:space="preserve">The Naos itself shows </w:t>
      </w:r>
      <w:r w:rsidR="00261674">
        <w:t xml:space="preserve">Tutankhamun and </w:t>
      </w:r>
      <w:proofErr w:type="spellStart"/>
      <w:r w:rsidR="00261674">
        <w:t>Ankhesenamun</w:t>
      </w:r>
      <w:proofErr w:type="spellEnd"/>
      <w:r w:rsidR="00261674">
        <w:t xml:space="preserve"> hunting, which tells us that the king would hunt and, even more interestingly, that women would hunt in ancient Egypt.</w:t>
      </w:r>
      <w:r w:rsidR="006F1052">
        <w:t xml:space="preserve"> </w:t>
      </w:r>
    </w:p>
    <w:p w14:paraId="09A15BC9" w14:textId="61259076" w:rsidR="00C37360" w:rsidRDefault="00261674">
      <w:r>
        <w:t>Eg</w:t>
      </w:r>
      <w:r w:rsidR="006C2F64">
        <w:t>yptian Art change</w:t>
      </w:r>
      <w:r w:rsidR="00372B33">
        <w:t>s</w:t>
      </w:r>
      <w:r w:rsidR="006C2F64">
        <w:t xml:space="preserve"> depending on the period</w:t>
      </w:r>
      <w:r w:rsidR="00CF6A7D">
        <w:t xml:space="preserve"> as it reflects the </w:t>
      </w:r>
      <w:r w:rsidR="00372B33">
        <w:t>state of</w:t>
      </w:r>
      <w:r w:rsidR="00CF6A7D">
        <w:t xml:space="preserve"> Egyptian civilisation at the time</w:t>
      </w:r>
      <w:r w:rsidR="006C2F64">
        <w:t xml:space="preserve">. </w:t>
      </w:r>
      <w:r w:rsidR="00372B33">
        <w:t>Due to a period of unification,</w:t>
      </w:r>
      <w:r w:rsidR="00CF6A7D">
        <w:t xml:space="preserve"> </w:t>
      </w:r>
      <w:r w:rsidR="006C2F64">
        <w:t>the</w:t>
      </w:r>
      <w:r w:rsidR="00372B33">
        <w:t xml:space="preserve"> government of the</w:t>
      </w:r>
      <w:r w:rsidR="006C2F64">
        <w:t xml:space="preserve"> Old Kingdom commissioned great monuments such as the Great Pyramids and the Sphinx and, as a result of combining </w:t>
      </w:r>
      <w:r w:rsidR="00372B33">
        <w:t>the construction experience</w:t>
      </w:r>
      <w:r w:rsidR="006C2F64">
        <w:t xml:space="preserve"> and </w:t>
      </w:r>
      <w:r w:rsidR="00372B33">
        <w:t>uniform style of the monuments</w:t>
      </w:r>
      <w:r w:rsidR="006C2F64">
        <w:t xml:space="preserve">, the style of art in ancient Egypt became both much more skilled and much less individual </w:t>
      </w:r>
      <w:r w:rsidR="006C2F64" w:rsidRPr="006C2F64">
        <w:rPr>
          <w:i/>
        </w:rPr>
        <w:t>(Mark, 2017)</w:t>
      </w:r>
      <w:r w:rsidR="006C2F64">
        <w:t>. In the more anarchic First Intermediate Period</w:t>
      </w:r>
      <w:r w:rsidR="00CF6A7D">
        <w:t xml:space="preserve">, there were no great monuments commissioned, as there was no unified government to commission them </w:t>
      </w:r>
      <w:r w:rsidR="00CF6A7D" w:rsidRPr="00CF6A7D">
        <w:rPr>
          <w:i/>
        </w:rPr>
        <w:t>(Gay, 2008)</w:t>
      </w:r>
      <w:r w:rsidR="00CF6A7D">
        <w:t xml:space="preserve">. While many critics consider this the dark age of art, we see an explosion in individuality and exploration of </w:t>
      </w:r>
      <w:r w:rsidR="00372B33">
        <w:t xml:space="preserve">individual </w:t>
      </w:r>
      <w:r w:rsidR="00CF6A7D">
        <w:t xml:space="preserve">style, which does not happen in the other intermediate periods </w:t>
      </w:r>
      <w:r w:rsidR="00CF6A7D" w:rsidRPr="00CF6A7D">
        <w:rPr>
          <w:i/>
        </w:rPr>
        <w:t>(</w:t>
      </w:r>
      <w:proofErr w:type="spellStart"/>
      <w:r w:rsidR="00CF6A7D" w:rsidRPr="00CF6A7D">
        <w:rPr>
          <w:i/>
        </w:rPr>
        <w:t>Hartwig</w:t>
      </w:r>
      <w:proofErr w:type="spellEnd"/>
      <w:r w:rsidR="00CF6A7D" w:rsidRPr="00CF6A7D">
        <w:rPr>
          <w:i/>
        </w:rPr>
        <w:t>, 2014)</w:t>
      </w:r>
      <w:r w:rsidR="00CF6A7D">
        <w:t xml:space="preserve">. In the Middle </w:t>
      </w:r>
      <w:proofErr w:type="gramStart"/>
      <w:r w:rsidR="00CF6A7D">
        <w:t>Kingdom</w:t>
      </w:r>
      <w:proofErr w:type="gramEnd"/>
      <w:r w:rsidR="00CF6A7D">
        <w:t xml:space="preserve"> those styles </w:t>
      </w:r>
      <w:r w:rsidR="00372B33">
        <w:t>are encouraged by</w:t>
      </w:r>
      <w:r w:rsidR="00CF6A7D">
        <w:t xml:space="preserve"> the rulers</w:t>
      </w:r>
      <w:r w:rsidR="00372B33">
        <w:t xml:space="preserve"> who</w:t>
      </w:r>
      <w:r w:rsidR="00CF6A7D">
        <w:t xml:space="preserve"> </w:t>
      </w:r>
      <w:r w:rsidR="00372B33">
        <w:t>commissioned</w:t>
      </w:r>
      <w:r w:rsidR="00C37360">
        <w:t xml:space="preserve"> monuments, temples and statues</w:t>
      </w:r>
      <w:r w:rsidR="00C73291">
        <w:t xml:space="preserve">, which also </w:t>
      </w:r>
      <w:r w:rsidR="00372B33">
        <w:t>allowed</w:t>
      </w:r>
      <w:r w:rsidR="00C73291">
        <w:t xml:space="preserve"> artists to become more skilled</w:t>
      </w:r>
      <w:r w:rsidR="00CF6A7D">
        <w:t xml:space="preserve"> </w:t>
      </w:r>
      <w:r w:rsidR="00CF6A7D" w:rsidRPr="00CF6A7D">
        <w:rPr>
          <w:i/>
        </w:rPr>
        <w:t>(Mark, 2017)</w:t>
      </w:r>
      <w:r w:rsidR="00CF6A7D">
        <w:t>.</w:t>
      </w:r>
      <w:r w:rsidR="00C73291">
        <w:t xml:space="preserve"> The style from then until the beginning of the late period became more realistic, depicting people as aging, allowing minor deformities and really showing a progression in the civilisation through art </w:t>
      </w:r>
      <w:r w:rsidR="00C73291" w:rsidRPr="00C73291">
        <w:rPr>
          <w:i/>
        </w:rPr>
        <w:t>(</w:t>
      </w:r>
      <w:proofErr w:type="spellStart"/>
      <w:r w:rsidR="00C73291" w:rsidRPr="00C73291">
        <w:rPr>
          <w:i/>
        </w:rPr>
        <w:t>Hartwig</w:t>
      </w:r>
      <w:proofErr w:type="spellEnd"/>
      <w:r w:rsidR="00C73291" w:rsidRPr="00C73291">
        <w:rPr>
          <w:i/>
        </w:rPr>
        <w:t>, 2014)</w:t>
      </w:r>
      <w:r w:rsidR="00C73291">
        <w:t xml:space="preserve">. The Late Period and the Ptolemaic Period are interesting to contrast, as the </w:t>
      </w:r>
      <w:proofErr w:type="spellStart"/>
      <w:r w:rsidR="00C73291">
        <w:t>Kushites</w:t>
      </w:r>
      <w:proofErr w:type="spellEnd"/>
      <w:r w:rsidR="00C73291">
        <w:t xml:space="preserve"> of the Late Period revive the Old Kingdom style, not just keeping the previous art style but returning it to what they considered the purest most Egyptian form of art</w:t>
      </w:r>
      <w:r w:rsidR="00372B33">
        <w:t>, where</w:t>
      </w:r>
      <w:r w:rsidR="00C73291">
        <w:t xml:space="preserve">as the </w:t>
      </w:r>
      <w:proofErr w:type="spellStart"/>
      <w:r w:rsidR="00C73291">
        <w:t>Ptolemys</w:t>
      </w:r>
      <w:proofErr w:type="spellEnd"/>
      <w:r w:rsidR="00C73291">
        <w:t xml:space="preserve"> blend Greek and Egyptian art, changing it </w:t>
      </w:r>
      <w:r w:rsidR="00C73291" w:rsidRPr="00C73291">
        <w:rPr>
          <w:i/>
        </w:rPr>
        <w:t>(Gay, 2008)</w:t>
      </w:r>
      <w:r w:rsidR="00C73291">
        <w:t xml:space="preserve">. This is interesting because it shows two very distinct cultural approaches: you have the </w:t>
      </w:r>
      <w:proofErr w:type="spellStart"/>
      <w:r w:rsidR="00C73291">
        <w:t>Kushites</w:t>
      </w:r>
      <w:proofErr w:type="spellEnd"/>
      <w:r w:rsidR="00C73291">
        <w:t xml:space="preserve"> trying to appear </w:t>
      </w:r>
      <w:proofErr w:type="gramStart"/>
      <w:r w:rsidR="00C73291">
        <w:t>more Egyptian</w:t>
      </w:r>
      <w:proofErr w:type="gramEnd"/>
      <w:r w:rsidR="00C73291">
        <w:t xml:space="preserve"> and please the people by making them feel they are still being ruled by the kings of Egypt, then you have the </w:t>
      </w:r>
      <w:proofErr w:type="spellStart"/>
      <w:r w:rsidR="00C73291">
        <w:t>Ptolemys</w:t>
      </w:r>
      <w:proofErr w:type="spellEnd"/>
      <w:r w:rsidR="00C73291">
        <w:t xml:space="preserve"> making bold statements about integration and </w:t>
      </w:r>
      <w:r w:rsidR="00C37360">
        <w:t xml:space="preserve">changing Egyptian culture to be more like theirs. The vast political differences between different periods in ancient Egypt makes it easy to draw connections between art and the state of civilisation. </w:t>
      </w:r>
    </w:p>
    <w:p w14:paraId="588D8CFE" w14:textId="4F45A7A7" w:rsidR="00204402" w:rsidRPr="00204402" w:rsidRDefault="00C37360">
      <w:r>
        <w:t xml:space="preserve">In conclusion, art and architecture are important criteria to look at when studying a civilisation. Just as they planned to communicate what their civilisation was to the gods, they communicated the same to us through the preservation of this art over time. Through ancient Egyptian art we can learn not just about what their surface level activities were or how they wanted the gods to see them, but we can determine in which periods the Egyptian people were most unified (such as the Old Kingdom) and in which they were allowed to exercise the most personal freedom (such as the </w:t>
      </w:r>
      <w:r>
        <w:lastRenderedPageBreak/>
        <w:t xml:space="preserve">Middle Kingdom). Art is important because without seeing the interconnectedness of the people in a civilisation, you cannot really determine what makes that civilisation. </w:t>
      </w:r>
      <w:r w:rsidR="00204402">
        <w:rPr>
          <w:i/>
        </w:rPr>
        <w:br w:type="page"/>
      </w:r>
    </w:p>
    <w:p w14:paraId="4286F3BE" w14:textId="5375C63B" w:rsidR="00B64495" w:rsidRDefault="00B64495">
      <w:r>
        <w:lastRenderedPageBreak/>
        <w:t xml:space="preserve">Baines, J. (1994). </w:t>
      </w:r>
      <w:r w:rsidR="00C57C3F">
        <w:t>‘</w:t>
      </w:r>
      <w:r w:rsidRPr="00C57C3F">
        <w:t>On the Status and Purposes of Ancient Egyptian Art</w:t>
      </w:r>
      <w:r w:rsidR="00C57C3F">
        <w:t>’</w:t>
      </w:r>
      <w:r w:rsidRPr="00C57C3F">
        <w:t>.</w:t>
      </w:r>
      <w:r>
        <w:t xml:space="preserve"> </w:t>
      </w:r>
      <w:r w:rsidRPr="00C57C3F">
        <w:rPr>
          <w:i/>
        </w:rPr>
        <w:t>Cambridge Archaeological Journal</w:t>
      </w:r>
      <w:r>
        <w:t xml:space="preserve"> (Vol. 4, pp 67-94). Cambridge: Cambridge University Press.</w:t>
      </w:r>
    </w:p>
    <w:p w14:paraId="7EEFD0D2" w14:textId="7A46F7D6" w:rsidR="006F1052" w:rsidRPr="00D66877" w:rsidRDefault="00B64495" w:rsidP="006F1052">
      <w:r>
        <w:t>Carter, H</w:t>
      </w:r>
      <w:r w:rsidR="006F1052">
        <w:t>. &amp; Mace A.C</w:t>
      </w:r>
      <w:r>
        <w:t xml:space="preserve">. (1923). </w:t>
      </w:r>
      <w:r w:rsidRPr="00C57C3F">
        <w:rPr>
          <w:i/>
        </w:rPr>
        <w:t xml:space="preserve">The </w:t>
      </w:r>
      <w:r w:rsidR="006F1052" w:rsidRPr="00C57C3F">
        <w:rPr>
          <w:i/>
        </w:rPr>
        <w:t>Tomb of Tut-ankh-Amen.</w:t>
      </w:r>
      <w:r w:rsidR="006F1052">
        <w:t xml:space="preserve"> Cambridge: Cambridge University Press.</w:t>
      </w:r>
    </w:p>
    <w:p w14:paraId="4E418F5F" w14:textId="52386279" w:rsidR="00B64495" w:rsidRDefault="00B64495">
      <w:r>
        <w:t xml:space="preserve">Gay, R. (2008). </w:t>
      </w:r>
      <w:r w:rsidRPr="00C57C3F">
        <w:rPr>
          <w:i/>
        </w:rPr>
        <w:t>The art of ancient Egypt.</w:t>
      </w:r>
      <w:r>
        <w:t xml:space="preserve"> Cambridge, Mass: Harvard University Press.</w:t>
      </w:r>
    </w:p>
    <w:p w14:paraId="44261710" w14:textId="77777777" w:rsidR="00B64495" w:rsidRDefault="00B64495">
      <w:proofErr w:type="spellStart"/>
      <w:r>
        <w:t>Hartwig</w:t>
      </w:r>
      <w:proofErr w:type="spellEnd"/>
      <w:r>
        <w:t xml:space="preserve">, M. K. (2014). </w:t>
      </w:r>
      <w:r w:rsidRPr="00C57C3F">
        <w:rPr>
          <w:i/>
        </w:rPr>
        <w:t>A companion to ancient Egyptian art</w:t>
      </w:r>
      <w:r>
        <w:t>. Oxford: Wiley-Blackwell.</w:t>
      </w:r>
    </w:p>
    <w:p w14:paraId="15799F46" w14:textId="11F0E513" w:rsidR="006C2F64" w:rsidRDefault="006C2F64">
      <w:r>
        <w:t>Mark, J. J. (2017</w:t>
      </w:r>
      <w:r w:rsidR="00C57C3F">
        <w:t>)</w:t>
      </w:r>
      <w:r>
        <w:t xml:space="preserve">. </w:t>
      </w:r>
      <w:r w:rsidR="00C57C3F">
        <w:t>‘</w:t>
      </w:r>
      <w:r>
        <w:t>A Brief History of Egyptian Art</w:t>
      </w:r>
      <w:r w:rsidR="00C57C3F">
        <w:t>’</w:t>
      </w:r>
      <w:r>
        <w:t xml:space="preserve">. </w:t>
      </w:r>
      <w:r w:rsidRPr="00C57C3F">
        <w:rPr>
          <w:i/>
        </w:rPr>
        <w:t xml:space="preserve">Ancient History </w:t>
      </w:r>
      <w:proofErr w:type="spellStart"/>
      <w:r w:rsidRPr="00C57C3F">
        <w:rPr>
          <w:i/>
        </w:rPr>
        <w:t>Encyclopedia</w:t>
      </w:r>
      <w:proofErr w:type="spellEnd"/>
      <w:r>
        <w:t>. Retrieved from https://www.ancient.eu/article/1077/.</w:t>
      </w:r>
    </w:p>
    <w:p w14:paraId="044F9BB4" w14:textId="4EFE8679" w:rsidR="00B64495" w:rsidRDefault="00B64495">
      <w:r>
        <w:t xml:space="preserve">Riggs, C. (2014). </w:t>
      </w:r>
      <w:r w:rsidRPr="00C57C3F">
        <w:rPr>
          <w:i/>
        </w:rPr>
        <w:t xml:space="preserve">Ancient Egyptian art and </w:t>
      </w:r>
      <w:proofErr w:type="gramStart"/>
      <w:r w:rsidRPr="00C57C3F">
        <w:rPr>
          <w:i/>
        </w:rPr>
        <w:t>architecture :</w:t>
      </w:r>
      <w:proofErr w:type="gramEnd"/>
      <w:r w:rsidRPr="00C57C3F">
        <w:rPr>
          <w:i/>
        </w:rPr>
        <w:t xml:space="preserve"> a very short introduction</w:t>
      </w:r>
      <w:r>
        <w:t>. Oxford: Oxford University Press.</w:t>
      </w:r>
    </w:p>
    <w:p w14:paraId="3034188E" w14:textId="0CF60E4A" w:rsidR="00B64495" w:rsidRDefault="00B64495">
      <w:r>
        <w:t xml:space="preserve">Trigger, B. G. (2007). </w:t>
      </w:r>
      <w:r w:rsidRPr="00C57C3F">
        <w:rPr>
          <w:i/>
        </w:rPr>
        <w:t xml:space="preserve">Understanding Early Civilisations </w:t>
      </w:r>
      <w:proofErr w:type="gramStart"/>
      <w:r w:rsidRPr="00C57C3F">
        <w:rPr>
          <w:i/>
        </w:rPr>
        <w:t>A</w:t>
      </w:r>
      <w:proofErr w:type="gramEnd"/>
      <w:r w:rsidRPr="00C57C3F">
        <w:rPr>
          <w:i/>
        </w:rPr>
        <w:t xml:space="preserve"> Comparative Study</w:t>
      </w:r>
      <w:r>
        <w:t>. Cambridge: Cambridge University Press.</w:t>
      </w:r>
    </w:p>
    <w:p w14:paraId="568EEF45" w14:textId="0F5323D0" w:rsidR="0075331D" w:rsidRPr="00D66877" w:rsidRDefault="0075331D" w:rsidP="0075331D">
      <w:pPr>
        <w:jc w:val="right"/>
      </w:pPr>
      <w:proofErr w:type="gramStart"/>
      <w:r>
        <w:rPr>
          <w:b/>
        </w:rPr>
        <w:t>694</w:t>
      </w:r>
      <w:proofErr w:type="gramEnd"/>
      <w:r>
        <w:rPr>
          <w:b/>
        </w:rPr>
        <w:t xml:space="preserve"> words.</w:t>
      </w:r>
    </w:p>
    <w:sectPr w:rsidR="0075331D" w:rsidRPr="00D668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6FB3"/>
    <w:rsid w:val="00067946"/>
    <w:rsid w:val="00096930"/>
    <w:rsid w:val="00204402"/>
    <w:rsid w:val="00216FB3"/>
    <w:rsid w:val="00261674"/>
    <w:rsid w:val="00372B33"/>
    <w:rsid w:val="00594DBE"/>
    <w:rsid w:val="0066580C"/>
    <w:rsid w:val="006C2F64"/>
    <w:rsid w:val="006F1052"/>
    <w:rsid w:val="0075331D"/>
    <w:rsid w:val="007D5A8A"/>
    <w:rsid w:val="00A56C9F"/>
    <w:rsid w:val="00B03946"/>
    <w:rsid w:val="00B26F07"/>
    <w:rsid w:val="00B64495"/>
    <w:rsid w:val="00C37360"/>
    <w:rsid w:val="00C57C3F"/>
    <w:rsid w:val="00C73291"/>
    <w:rsid w:val="00CF6A7D"/>
    <w:rsid w:val="00D546DD"/>
    <w:rsid w:val="00D66877"/>
    <w:rsid w:val="00E737AA"/>
    <w:rsid w:val="00FA7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89D62"/>
  <w15:chartTrackingRefBased/>
  <w15:docId w15:val="{720FF9EB-299C-4815-8308-FB16F40E1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1674"/>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5321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823</Words>
  <Characters>4696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Parkes (1600408)</dc:creator>
  <cp:keywords/>
  <dc:description/>
  <cp:lastModifiedBy>Kirsty Parkes (1600408)</cp:lastModifiedBy>
  <cp:revision>2</cp:revision>
  <dcterms:created xsi:type="dcterms:W3CDTF">2019-02-01T23:44:00Z</dcterms:created>
  <dcterms:modified xsi:type="dcterms:W3CDTF">2019-02-01T23:44:00Z</dcterms:modified>
</cp:coreProperties>
</file>