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AE0A38A" wp14:paraId="2C078E63" wp14:textId="42914C1B">
      <w:pPr>
        <w:pStyle w:val="Title"/>
      </w:pPr>
      <w:r w:rsidR="29A81BA4">
        <w:rPr/>
        <w:t>Abuse of the older person and factors of living well.</w:t>
      </w:r>
    </w:p>
    <w:p w:rsidR="2AE0A38A" w:rsidP="2AE0A38A" w:rsidRDefault="2AE0A38A" w14:paraId="17309E60" w14:textId="6A7C4C55">
      <w:pPr>
        <w:pStyle w:val="Normal"/>
      </w:pPr>
    </w:p>
    <w:p w:rsidR="29A81BA4" w:rsidP="2AE0A38A" w:rsidRDefault="29A81BA4" w14:paraId="1AE374B4" w14:textId="5FC06C24">
      <w:pPr>
        <w:pStyle w:val="Normal"/>
      </w:pPr>
      <w:r w:rsidR="29A81BA4">
        <w:rPr/>
        <w:t>Clare Mwenya 2238202.</w:t>
      </w:r>
    </w:p>
    <w:p w:rsidR="29A81BA4" w:rsidP="2AE0A38A" w:rsidRDefault="29A81BA4" w14:paraId="095970D4" w14:textId="68C1C43B">
      <w:pPr>
        <w:pStyle w:val="Normal"/>
      </w:pPr>
      <w:r w:rsidR="29A81BA4">
        <w:rPr/>
        <w:t>Living well the older person in context (BMNS5003).</w:t>
      </w:r>
    </w:p>
    <w:p w:rsidR="29A81BA4" w:rsidP="2AE0A38A" w:rsidRDefault="29A81BA4" w14:paraId="64CA66B1" w14:textId="278173FF">
      <w:pPr>
        <w:pStyle w:val="Normal"/>
      </w:pPr>
      <w:r w:rsidR="29A81BA4">
        <w:rPr/>
        <w:t>Amanda Owens.</w:t>
      </w:r>
    </w:p>
    <w:p w:rsidR="184C4E1E" w:rsidP="2AE0A38A" w:rsidRDefault="184C4E1E" w14:paraId="326C5FB9" w14:textId="2EC3B9EE">
      <w:pPr>
        <w:pStyle w:val="Normal"/>
      </w:pPr>
      <w:r w:rsidR="184C4E1E">
        <w:rPr/>
        <w:t>27</w:t>
      </w:r>
      <w:r w:rsidRPr="2AE0A38A" w:rsidR="184C4E1E">
        <w:rPr>
          <w:vertAlign w:val="superscript"/>
        </w:rPr>
        <w:t>th</w:t>
      </w:r>
      <w:r w:rsidR="184C4E1E">
        <w:rPr/>
        <w:t xml:space="preserve"> June 2024.</w:t>
      </w:r>
    </w:p>
    <w:p w:rsidR="2AE0A38A" w:rsidRDefault="2AE0A38A" w14:paraId="51CB1AE3" w14:textId="1961651D">
      <w:r>
        <w:br w:type="page"/>
      </w:r>
    </w:p>
    <w:sdt>
      <w:sdtPr>
        <w:id w:val="2040402087"/>
        <w:docPartObj>
          <w:docPartGallery w:val="Table of Contents"/>
          <w:docPartUnique/>
        </w:docPartObj>
      </w:sdtPr>
      <w:sdtContent>
        <w:p w:rsidR="2AE0A38A" w:rsidP="2AE0A38A" w:rsidRDefault="2AE0A38A" w14:paraId="4BD0FE1E" w14:textId="1C737650">
          <w:pPr>
            <w:pStyle w:val="TOC3"/>
            <w:tabs>
              <w:tab w:val="right" w:leader="dot" w:pos="9360"/>
            </w:tabs>
            <w:bidi w:val="0"/>
            <w:rPr>
              <w:rStyle w:val="Hyperlink"/>
            </w:rPr>
          </w:pPr>
          <w:r>
            <w:fldChar w:fldCharType="begin"/>
          </w:r>
          <w:r>
            <w:instrText xml:space="preserve">TOC \o \z \u \h</w:instrText>
          </w:r>
          <w:r>
            <w:fldChar w:fldCharType="separate"/>
          </w:r>
          <w:hyperlink w:anchor="_Toc1609983397">
            <w:r w:rsidRPr="2AE0A38A" w:rsidR="2AE0A38A">
              <w:rPr>
                <w:rStyle w:val="Hyperlink"/>
              </w:rPr>
              <w:t>Introduction.</w:t>
            </w:r>
            <w:r>
              <w:tab/>
            </w:r>
            <w:r>
              <w:fldChar w:fldCharType="begin"/>
            </w:r>
            <w:r>
              <w:instrText xml:space="preserve">PAGEREF _Toc1609983397 \h</w:instrText>
            </w:r>
            <w:r>
              <w:fldChar w:fldCharType="separate"/>
            </w:r>
            <w:r w:rsidRPr="2AE0A38A" w:rsidR="2AE0A38A">
              <w:rPr>
                <w:rStyle w:val="Hyperlink"/>
              </w:rPr>
              <w:t>1</w:t>
            </w:r>
            <w:r>
              <w:fldChar w:fldCharType="end"/>
            </w:r>
          </w:hyperlink>
        </w:p>
        <w:p w:rsidR="2AE0A38A" w:rsidP="2AE0A38A" w:rsidRDefault="2AE0A38A" w14:paraId="5E989701" w14:textId="66A88704">
          <w:pPr>
            <w:pStyle w:val="TOC3"/>
            <w:tabs>
              <w:tab w:val="right" w:leader="dot" w:pos="9360"/>
            </w:tabs>
            <w:bidi w:val="0"/>
            <w:rPr>
              <w:rStyle w:val="Hyperlink"/>
            </w:rPr>
          </w:pPr>
          <w:hyperlink w:anchor="_Toc1993765354">
            <w:r w:rsidRPr="2AE0A38A" w:rsidR="2AE0A38A">
              <w:rPr>
                <w:rStyle w:val="Hyperlink"/>
              </w:rPr>
              <w:t>The Ageing population of the United Kingdom.</w:t>
            </w:r>
            <w:r>
              <w:tab/>
            </w:r>
            <w:r>
              <w:fldChar w:fldCharType="begin"/>
            </w:r>
            <w:r>
              <w:instrText xml:space="preserve">PAGEREF _Toc1993765354 \h</w:instrText>
            </w:r>
            <w:r>
              <w:fldChar w:fldCharType="separate"/>
            </w:r>
            <w:r w:rsidRPr="2AE0A38A" w:rsidR="2AE0A38A">
              <w:rPr>
                <w:rStyle w:val="Hyperlink"/>
              </w:rPr>
              <w:t>2</w:t>
            </w:r>
            <w:r>
              <w:fldChar w:fldCharType="end"/>
            </w:r>
          </w:hyperlink>
        </w:p>
        <w:p w:rsidR="2AE0A38A" w:rsidP="2AE0A38A" w:rsidRDefault="2AE0A38A" w14:paraId="2D99D96D" w14:textId="4A87BB21">
          <w:pPr>
            <w:pStyle w:val="TOC3"/>
            <w:tabs>
              <w:tab w:val="right" w:leader="dot" w:pos="9360"/>
            </w:tabs>
            <w:bidi w:val="0"/>
            <w:rPr>
              <w:rStyle w:val="Hyperlink"/>
            </w:rPr>
          </w:pPr>
          <w:hyperlink w:anchor="_Toc2092532566">
            <w:r w:rsidRPr="2AE0A38A" w:rsidR="2AE0A38A">
              <w:rPr>
                <w:rStyle w:val="Hyperlink"/>
              </w:rPr>
              <w:t>Abuse of the older person.</w:t>
            </w:r>
            <w:r>
              <w:tab/>
            </w:r>
            <w:r>
              <w:fldChar w:fldCharType="begin"/>
            </w:r>
            <w:r>
              <w:instrText xml:space="preserve">PAGEREF _Toc2092532566 \h</w:instrText>
            </w:r>
            <w:r>
              <w:fldChar w:fldCharType="separate"/>
            </w:r>
            <w:r w:rsidRPr="2AE0A38A" w:rsidR="2AE0A38A">
              <w:rPr>
                <w:rStyle w:val="Hyperlink"/>
              </w:rPr>
              <w:t>4</w:t>
            </w:r>
            <w:r>
              <w:fldChar w:fldCharType="end"/>
            </w:r>
          </w:hyperlink>
        </w:p>
        <w:p w:rsidR="2AE0A38A" w:rsidP="2AE0A38A" w:rsidRDefault="2AE0A38A" w14:paraId="212BB51D" w14:textId="1182B4E8">
          <w:pPr>
            <w:pStyle w:val="TOC3"/>
            <w:tabs>
              <w:tab w:val="right" w:leader="dot" w:pos="9360"/>
            </w:tabs>
            <w:bidi w:val="0"/>
            <w:rPr>
              <w:rStyle w:val="Hyperlink"/>
            </w:rPr>
          </w:pPr>
          <w:hyperlink w:anchor="_Toc856718037">
            <w:r w:rsidRPr="2AE0A38A" w:rsidR="2AE0A38A">
              <w:rPr>
                <w:rStyle w:val="Hyperlink"/>
              </w:rPr>
              <w:t>Recommendations</w:t>
            </w:r>
            <w:r>
              <w:tab/>
            </w:r>
            <w:r>
              <w:fldChar w:fldCharType="begin"/>
            </w:r>
            <w:r>
              <w:instrText xml:space="preserve">PAGEREF _Toc856718037 \h</w:instrText>
            </w:r>
            <w:r>
              <w:fldChar w:fldCharType="separate"/>
            </w:r>
            <w:r w:rsidRPr="2AE0A38A" w:rsidR="2AE0A38A">
              <w:rPr>
                <w:rStyle w:val="Hyperlink"/>
              </w:rPr>
              <w:t>6</w:t>
            </w:r>
            <w:r>
              <w:fldChar w:fldCharType="end"/>
            </w:r>
          </w:hyperlink>
        </w:p>
        <w:p w:rsidR="2AE0A38A" w:rsidP="2AE0A38A" w:rsidRDefault="2AE0A38A" w14:paraId="62315288" w14:textId="686BCD99">
          <w:pPr>
            <w:pStyle w:val="TOC3"/>
            <w:tabs>
              <w:tab w:val="right" w:leader="dot" w:pos="9360"/>
            </w:tabs>
            <w:bidi w:val="0"/>
            <w:rPr>
              <w:rStyle w:val="Hyperlink"/>
            </w:rPr>
          </w:pPr>
          <w:hyperlink w:anchor="_Toc1363471379">
            <w:r w:rsidRPr="2AE0A38A" w:rsidR="2AE0A38A">
              <w:rPr>
                <w:rStyle w:val="Hyperlink"/>
              </w:rPr>
              <w:t>Conclusion</w:t>
            </w:r>
            <w:r>
              <w:tab/>
            </w:r>
            <w:r>
              <w:fldChar w:fldCharType="begin"/>
            </w:r>
            <w:r>
              <w:instrText xml:space="preserve">PAGEREF _Toc1363471379 \h</w:instrText>
            </w:r>
            <w:r>
              <w:fldChar w:fldCharType="separate"/>
            </w:r>
            <w:r w:rsidRPr="2AE0A38A" w:rsidR="2AE0A38A">
              <w:rPr>
                <w:rStyle w:val="Hyperlink"/>
              </w:rPr>
              <w:t>7</w:t>
            </w:r>
            <w:r>
              <w:fldChar w:fldCharType="end"/>
            </w:r>
          </w:hyperlink>
        </w:p>
        <w:p w:rsidR="2AE0A38A" w:rsidP="2AE0A38A" w:rsidRDefault="2AE0A38A" w14:paraId="6C65C9DA" w14:textId="049AEC46">
          <w:pPr>
            <w:pStyle w:val="TOC3"/>
            <w:tabs>
              <w:tab w:val="right" w:leader="dot" w:pos="9360"/>
            </w:tabs>
            <w:bidi w:val="0"/>
            <w:rPr>
              <w:rStyle w:val="Hyperlink"/>
            </w:rPr>
          </w:pPr>
          <w:hyperlink w:anchor="_Toc412183781">
            <w:r w:rsidRPr="2AE0A38A" w:rsidR="2AE0A38A">
              <w:rPr>
                <w:rStyle w:val="Hyperlink"/>
              </w:rPr>
              <w:t>References.</w:t>
            </w:r>
            <w:r>
              <w:tab/>
            </w:r>
            <w:r>
              <w:fldChar w:fldCharType="begin"/>
            </w:r>
            <w:r>
              <w:instrText xml:space="preserve">PAGEREF _Toc412183781 \h</w:instrText>
            </w:r>
            <w:r>
              <w:fldChar w:fldCharType="separate"/>
            </w:r>
            <w:r w:rsidRPr="2AE0A38A" w:rsidR="2AE0A38A">
              <w:rPr>
                <w:rStyle w:val="Hyperlink"/>
              </w:rPr>
              <w:t>7</w:t>
            </w:r>
            <w:r>
              <w:fldChar w:fldCharType="end"/>
            </w:r>
          </w:hyperlink>
          <w:r>
            <w:fldChar w:fldCharType="end"/>
          </w:r>
        </w:p>
      </w:sdtContent>
    </w:sdt>
    <w:p w:rsidR="2AE0A38A" w:rsidP="2AE0A38A" w:rsidRDefault="2AE0A38A" w14:paraId="282641F6" w14:textId="5FFBA10F">
      <w:pPr>
        <w:pStyle w:val="Heading3"/>
      </w:pPr>
    </w:p>
    <w:p w:rsidR="2C4566DD" w:rsidP="2AE0A38A" w:rsidRDefault="2C4566DD" w14:paraId="0FF79609" w14:textId="78E97CBD">
      <w:pPr>
        <w:pStyle w:val="Heading3"/>
      </w:pPr>
      <w:bookmarkStart w:name="_Toc1609983397" w:id="1547921888"/>
      <w:r w:rsidR="2C4566DD">
        <w:rPr/>
        <w:t>Introduction.</w:t>
      </w:r>
      <w:bookmarkEnd w:id="1547921888"/>
      <w:r w:rsidR="2C4566DD">
        <w:rPr/>
        <w:t xml:space="preserve"> </w:t>
      </w:r>
    </w:p>
    <w:p w:rsidR="200BF301" w:rsidP="2AE0A38A" w:rsidRDefault="200BF301" w14:paraId="3CA3D13A" w14:textId="5C8166D5">
      <w:pPr>
        <w:pStyle w:val="Normal"/>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The purpose of this report is to define the older person, investigate the ageing population in the United Kingdom (UK) over the last century, and explore the reasons behind it. Additionally, it will delve into the concept of living well as a person gets older and examine the necessary factors to achieve it. Furthermore, the report will address the issue of abuse of the older person and provide recommendations to prevent such incidents.</w:t>
      </w:r>
    </w:p>
    <w:p w:rsidR="200BF301" w:rsidP="2AE0A38A" w:rsidRDefault="200BF301" w14:paraId="733B0686" w14:textId="624EDD8A">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 xml:space="preserve">A person over 65 years of age is regarded as an older person. The application of a strict definition, however, is difficult since biological rates of aging can vary </w:t>
      </w:r>
      <w:r w:rsidRPr="2AE0A38A" w:rsidR="59AD1403">
        <w:rPr>
          <w:rFonts w:ascii="Aptos" w:hAnsi="Aptos" w:eastAsia="Aptos" w:cs="Aptos"/>
          <w:b w:val="0"/>
          <w:bCs w:val="0"/>
          <w:i w:val="0"/>
          <w:iCs w:val="0"/>
          <w:caps w:val="0"/>
          <w:smallCaps w:val="0"/>
          <w:noProof w:val="0"/>
          <w:color w:val="000000" w:themeColor="text1" w:themeTint="FF" w:themeShade="FF"/>
          <w:sz w:val="24"/>
          <w:szCs w:val="24"/>
          <w:lang w:val="en-GB"/>
        </w:rPr>
        <w:t>from</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 xml:space="preserve"> person to person. For example, a person aged 75 may be healthier than a person aged 60. The world health organization (2022) believes it is important to consider the person's individual circumstances when </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determining</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 xml:space="preserve"> their age. It is also important to recognize that age is not the most </w:t>
      </w:r>
      <w:r w:rsidRPr="2AE0A38A" w:rsidR="7D605A7B">
        <w:rPr>
          <w:rFonts w:ascii="Aptos" w:hAnsi="Aptos" w:eastAsia="Aptos" w:cs="Aptos"/>
          <w:b w:val="0"/>
          <w:bCs w:val="0"/>
          <w:i w:val="0"/>
          <w:iCs w:val="0"/>
          <w:caps w:val="0"/>
          <w:smallCaps w:val="0"/>
          <w:noProof w:val="0"/>
          <w:color w:val="000000" w:themeColor="text1" w:themeTint="FF" w:themeShade="FF"/>
          <w:sz w:val="24"/>
          <w:szCs w:val="24"/>
          <w:lang w:val="en-GB"/>
        </w:rPr>
        <w:t>crucial factor</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 xml:space="preserve"> in </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determining</w:t>
      </w:r>
      <w:r w:rsidRPr="2AE0A38A" w:rsidR="200BF301">
        <w:rPr>
          <w:rFonts w:ascii="Aptos" w:hAnsi="Aptos" w:eastAsia="Aptos" w:cs="Aptos"/>
          <w:b w:val="0"/>
          <w:bCs w:val="0"/>
          <w:i w:val="0"/>
          <w:iCs w:val="0"/>
          <w:caps w:val="0"/>
          <w:smallCaps w:val="0"/>
          <w:noProof w:val="0"/>
          <w:color w:val="000000" w:themeColor="text1" w:themeTint="FF" w:themeShade="FF"/>
          <w:sz w:val="24"/>
          <w:szCs w:val="24"/>
          <w:lang w:val="en-GB"/>
        </w:rPr>
        <w:t xml:space="preserve"> a person's health.</w:t>
      </w:r>
    </w:p>
    <w:p w:rsidR="2AE0A38A" w:rsidP="2AE0A38A" w:rsidRDefault="2AE0A38A" w14:paraId="28AFC9C0" w14:textId="57B9FDBD">
      <w:pPr>
        <w:pStyle w:val="Normal"/>
      </w:pPr>
    </w:p>
    <w:p w:rsidR="50A3FBC0" w:rsidP="2AE0A38A" w:rsidRDefault="50A3FBC0" w14:paraId="3167F1C0" w14:textId="46F9B510">
      <w:pPr>
        <w:pStyle w:val="Heading3"/>
      </w:pPr>
      <w:bookmarkStart w:name="_Toc1993765354" w:id="558707480"/>
      <w:r w:rsidR="50A3FBC0">
        <w:rPr/>
        <w:t xml:space="preserve">The </w:t>
      </w:r>
      <w:r w:rsidR="50A3FBC0">
        <w:rPr/>
        <w:t>Ageing</w:t>
      </w:r>
      <w:r w:rsidR="50A3FBC0">
        <w:rPr/>
        <w:t xml:space="preserve"> population of the United Kingdom.</w:t>
      </w:r>
      <w:bookmarkEnd w:id="558707480"/>
    </w:p>
    <w:p w:rsidR="74823B71" w:rsidP="2AE0A38A" w:rsidRDefault="74823B71" w14:paraId="39748476" w14:textId="0FE55CD5">
      <w:pPr>
        <w:spacing w:before="240" w:beforeAutospacing="off" w:after="240" w:afterAutospacing="off" w:line="279" w:lineRule="auto"/>
        <w:rPr>
          <w:rFonts w:ascii="Aptos" w:hAnsi="Aptos" w:eastAsia="Aptos" w:cs="Aptos"/>
          <w:noProof w:val="0"/>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Over the last century, the life expectancy of the British population has increased significantly. The improvement in health has primarily been attributed to a reduction in mortality at an older age. According to the office for national statistics (2024) The advancement of health care and improvements in living and working conditions have been responsible for this. IEEE SA (2023) agree that in addition to advancements in healthcare and improvements in living and working conditions, the reduction in mortality at an older age can also be attributed to better access to preventive care, increased awareness of healthy lifestyle choices, and advancements in medical treatments for age-related diseases. These factors have collectively contributed to the increased life expectancy and improved health outcomes for the aging population in the United Kingdom. In 2020, the average life expectancy at birth in Wales was 77.9 years for males and 81.8 years for females. As a comparison, the life expectancy for a male in 1841 was 40.15 and that for a female was 42.25 years (Office for National Statistics, 2022). The significant increase in life expectancy between 1841 and 2020 highlights the remarkable progress in healthcare and living conditions over the past century. In just under 180 years, the average life expectancy at birth in Wales has more than doubled for both males and females, reflecting the tremendous advancements in medical science and societal well-being.</w:t>
      </w:r>
    </w:p>
    <w:p w:rsidR="63D7AB5A" w:rsidP="2AE0A38A" w:rsidRDefault="63D7AB5A" w14:paraId="2EEF3DB1" w14:textId="51C08809">
      <w:pPr>
        <w:pStyle w:val="Normal"/>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63D7AB5A">
        <w:drawing>
          <wp:inline wp14:editId="3524B2FD" wp14:anchorId="1FB6916B">
            <wp:extent cx="5943600" cy="4657725"/>
            <wp:effectExtent l="0" t="0" r="0" b="0"/>
            <wp:docPr id="2025838468" name="" title=""/>
            <wp:cNvGraphicFramePr>
              <a:graphicFrameLocks noChangeAspect="1"/>
            </wp:cNvGraphicFramePr>
            <a:graphic>
              <a:graphicData uri="http://schemas.openxmlformats.org/drawingml/2006/picture">
                <pic:pic>
                  <pic:nvPicPr>
                    <pic:cNvPr id="0" name=""/>
                    <pic:cNvPicPr/>
                  </pic:nvPicPr>
                  <pic:blipFill>
                    <a:blip r:embed="R4d9ebe5cb5664c38">
                      <a:extLst>
                        <a:ext xmlns:a="http://schemas.openxmlformats.org/drawingml/2006/main" uri="{28A0092B-C50C-407E-A947-70E740481C1C}">
                          <a14:useLocalDpi val="0"/>
                        </a:ext>
                      </a:extLst>
                    </a:blip>
                    <a:stretch>
                      <a:fillRect/>
                    </a:stretch>
                  </pic:blipFill>
                  <pic:spPr>
                    <a:xfrm>
                      <a:off x="0" y="0"/>
                      <a:ext cx="5943600" cy="4657725"/>
                    </a:xfrm>
                    <a:prstGeom prst="rect">
                      <a:avLst/>
                    </a:prstGeom>
                  </pic:spPr>
                </pic:pic>
              </a:graphicData>
            </a:graphic>
          </wp:inline>
        </w:drawing>
      </w:r>
    </w:p>
    <w:p w:rsidR="74823B71" w:rsidP="2AE0A38A" w:rsidRDefault="74823B71" w14:paraId="4925983B" w14:textId="23F1CE09">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Living well as an older person.</w:t>
      </w:r>
    </w:p>
    <w:p w:rsidR="74823B71" w:rsidP="2AE0A38A" w:rsidRDefault="74823B71" w14:paraId="30B93DEF" w14:textId="74D3F485">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Living well as an older person is a complex and multifaceted phenomenon that is influenced by various contextual factors. As we age, our health, social, and psychological well-being can impact our overall quality of life. The next part of this report will explore the key concepts surrounding living well for older adults, highlighting the specific considerations and challenges that need to be considered within the context in which they reside.</w:t>
      </w:r>
    </w:p>
    <w:p w:rsidR="74823B71" w:rsidP="2AE0A38A" w:rsidRDefault="74823B71" w14:paraId="6D0F3CC6" w14:textId="75F7339E">
      <w:pPr>
        <w:pStyle w:val="ListParagraph"/>
        <w:numPr>
          <w:ilvl w:val="0"/>
          <w:numId w:val="5"/>
        </w:num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Health Considerations</w:t>
      </w:r>
    </w:p>
    <w:p w:rsidR="74823B71" w:rsidP="2AE0A38A" w:rsidRDefault="74823B71" w14:paraId="362CE395" w14:textId="056E76BF">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Maintaining good physical health is crucial for older adults, as it directly impacts their ability to function independently and engage in daily activities. Factors such as chronic health conditions, medication management, and access to healthcare services all play significant roles in supporting older adults' well-being. A study conducted by Tse (2014) suggests that, in addition to reducing pain and improving physical and psychological functioning, exercise is an effective non-pharmacological intervention. Exercise has been shown to be particularly beneficial compared to other non-pharmacological interventions. It not only improves physical and psychological functioning but also helps in reducing the risk of chronic diseases such as cardiovascular disease and diabetes. Additionally, exercise promotes social interaction and enhances overall well-being, making it a comprehensive and effective intervention for older adults.</w:t>
      </w:r>
    </w:p>
    <w:p w:rsidR="74823B71" w:rsidP="2AE0A38A" w:rsidRDefault="74823B71" w14:paraId="10F89478" w14:textId="005CCBCE">
      <w:pPr>
        <w:pStyle w:val="ListParagraph"/>
        <w:numPr>
          <w:ilvl w:val="0"/>
          <w:numId w:val="6"/>
        </w:num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Social Support Networks</w:t>
      </w:r>
    </w:p>
    <w:p w:rsidR="74823B71" w:rsidP="2AE0A38A" w:rsidRDefault="74823B71" w14:paraId="200035F1" w14:textId="6F7FECEE">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An individual's social support network plays a critical role in enhancing their well-being and resilience as they age. People can find comfort, support, and practical </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assistance</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 by developing a strong network of friends, family, and community organizations. The availability of supportive care, such as home healthcare or senior centres, can contribute to their overall health and vitality. A study undertaken by </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Roos</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AE0A38A" w:rsidR="38EFB6B1">
        <w:rPr>
          <w:rFonts w:ascii="Aptos" w:hAnsi="Aptos" w:eastAsia="Aptos" w:cs="Aptos"/>
          <w:b w:val="0"/>
          <w:bCs w:val="0"/>
          <w:i w:val="0"/>
          <w:iCs w:val="0"/>
          <w:caps w:val="0"/>
          <w:smallCaps w:val="0"/>
          <w:noProof w:val="0"/>
          <w:color w:val="000000" w:themeColor="text1" w:themeTint="FF" w:themeShade="FF"/>
          <w:sz w:val="24"/>
          <w:szCs w:val="24"/>
          <w:lang w:val="en-GB"/>
        </w:rPr>
        <w:t xml:space="preserve">C. </w:t>
      </w:r>
      <w:r w:rsidRPr="2AE0A38A" w:rsidR="74823B71">
        <w:rPr>
          <w:rFonts w:ascii="Aptos" w:hAnsi="Aptos" w:eastAsia="Aptos" w:cs="Aptos"/>
          <w:b w:val="0"/>
          <w:bCs w:val="0"/>
          <w:i w:val="1"/>
          <w:iCs w:val="1"/>
          <w:caps w:val="0"/>
          <w:smallCaps w:val="0"/>
          <w:noProof w:val="0"/>
          <w:color w:val="000000" w:themeColor="text1" w:themeTint="FF" w:themeShade="FF"/>
          <w:sz w:val="24"/>
          <w:szCs w:val="24"/>
          <w:lang w:val="en-GB"/>
        </w:rPr>
        <w:t>et al. (2022) found that a person-centred practice framework, which targets staff attitudes and the care environment, can be used to develop improvement strategies that promote dignity and well-being.</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 Since registered nurses specialise in person-centred care and quality improvement, they should be given an active role as facilitators in such improvement strategies. A second study was conducted by </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Roos</w:t>
      </w: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C. et al</w:t>
      </w:r>
      <w:r w:rsidRPr="2AE0A38A" w:rsidR="74823B71">
        <w:rPr>
          <w:rFonts w:ascii="Aptos" w:hAnsi="Aptos" w:eastAsia="Aptos" w:cs="Aptos"/>
          <w:b w:val="0"/>
          <w:bCs w:val="0"/>
          <w:i w:val="1"/>
          <w:iCs w:val="1"/>
          <w:caps w:val="0"/>
          <w:smallCaps w:val="0"/>
          <w:noProof w:val="0"/>
          <w:color w:val="000000" w:themeColor="text1" w:themeTint="FF" w:themeShade="FF"/>
          <w:sz w:val="24"/>
          <w:szCs w:val="24"/>
          <w:lang w:val="en-GB"/>
        </w:rPr>
        <w:t xml:space="preserve"> (2023) which concurred and described the importance of dignity and well-being because of person-centred care.</w:t>
      </w:r>
    </w:p>
    <w:p w:rsidR="2AE0A38A" w:rsidP="2AE0A38A" w:rsidRDefault="2AE0A38A" w14:paraId="4E6EA44A" w14:textId="7FBB6C35">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510DE050" w14:textId="3A68F272">
      <w:pPr>
        <w:pStyle w:val="ListParagraph"/>
        <w:numPr>
          <w:ilvl w:val="0"/>
          <w:numId w:val="7"/>
        </w:num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Financial Stability</w:t>
      </w:r>
    </w:p>
    <w:p w:rsidR="74823B71" w:rsidP="2AE0A38A" w:rsidRDefault="74823B71" w14:paraId="468556A4" w14:textId="09A3ED6F">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Financial stability is another crucial factor that affects older adults' ability to live well. Adequate income, access to financial resources, and management of expenses all contribute to a sense of security and well-being. Older adults may face unique challenges such as retirement, estate planning and the cost of professional care. Age Uk (2022) believe that ensuring financial security, including access to benefits and financial planning, can help older adults maintain their independence and financial well-being.</w:t>
      </w:r>
    </w:p>
    <w:p w:rsidR="2AE0A38A" w:rsidP="2AE0A38A" w:rsidRDefault="2AE0A38A" w14:paraId="7B6004EB" w14:textId="0B11D553">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2B86DEA2" w14:textId="5DE6538E">
      <w:pPr>
        <w:pStyle w:val="Heading3"/>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2092532566" w:id="637211632"/>
      <w:r w:rsidRPr="2AE0A38A" w:rsidR="74823B71">
        <w:rPr>
          <w:noProof w:val="0"/>
          <w:lang w:val="en-GB"/>
        </w:rPr>
        <w:t>Abuse of the older person.</w:t>
      </w:r>
      <w:bookmarkEnd w:id="637211632"/>
    </w:p>
    <w:p w:rsidR="74823B71" w:rsidP="2AE0A38A" w:rsidRDefault="74823B71" w14:paraId="6FEB51A3" w14:textId="6C84C8D0">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It is the right of every individual, including older people, to live well and to be free of abuse. People of all ages, genders, and abilities deserve respect, dignity, and compassion. It is the right of older people to live their lives free from abuse and exploitation. Society is responsible for ensuring their rights are protected. Unfortunately, elder abuse is a common occurrence, often involving people the elderly are supposed to be able to trust, whether it occurs in the community or within institutions. Studies show elder abuse can occur in various settings. In community settings, around 90% of elder abuse cases are perpetrated by family members. A study conducted by the world health organization (2024) found that in institutional settings, such as nursing homes, approximately 64.2% of abuse cases are committed by staff members. These statistics highlight the need for increased awareness, prevention measures, and support systems to protect older individuals from abuse.</w:t>
      </w:r>
    </w:p>
    <w:p w:rsidR="2AE0A38A" w:rsidP="2AE0A38A" w:rsidRDefault="2AE0A38A" w14:paraId="70CBD64D" w14:textId="284A8B1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E0A38A" w:rsidP="2AE0A38A" w:rsidRDefault="2AE0A38A" w14:paraId="5791D46E" w14:textId="4292D33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746EDC4F" w14:textId="5EC27ED7">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The abuse of elders or elderly abuse can be classified into five broad categories: </w:t>
      </w:r>
    </w:p>
    <w:p w:rsidR="74823B71" w:rsidP="2AE0A38A" w:rsidRDefault="74823B71" w14:paraId="26A1B98C" w14:textId="521CD00C">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Physical abuse. Physical abuse is any non-accidental use of force against an elderly individual that causes injury or pain (Schlesinger and Schlesinger, 2018).</w:t>
      </w:r>
    </w:p>
    <w:p w:rsidR="74823B71" w:rsidP="2AE0A38A" w:rsidRDefault="74823B71" w14:paraId="0EAA4083" w14:textId="13562DF2">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Psychological abuse. Psychological abuse is repeated verbal or non-verbal behaviour intended to cause severe mental or emotional harm to an elderly individual (Wang, 2006).</w:t>
      </w:r>
    </w:p>
    <w:p w:rsidR="74823B71" w:rsidP="2AE0A38A" w:rsidRDefault="74823B71" w14:paraId="089B31BD" w14:textId="3938D282">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Sexual abuse. Sexual abuse is non-consensual sexual contact with elderly individuals (Chopin and Beauregard, 2020).</w:t>
      </w:r>
    </w:p>
    <w:p w:rsidR="74823B71" w:rsidP="2AE0A38A" w:rsidRDefault="74823B71" w14:paraId="6F525D72" w14:textId="2CF7EB19">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Financial abuse. Financial abuse is the use of elderly individuals' resources to deprive them of their assets or money (Weiler, 1989). </w:t>
      </w:r>
    </w:p>
    <w:p w:rsidR="74823B71" w:rsidP="2AE0A38A" w:rsidRDefault="74823B71" w14:paraId="58CC69C1" w14:textId="3CB1A4BA">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Neglect. Neglect is the failure to provide an elderly individual with the care or assistance they need (Age Cymru, 2024). </w:t>
      </w:r>
    </w:p>
    <w:p w:rsidR="74823B71" w:rsidP="2AE0A38A" w:rsidRDefault="74823B71" w14:paraId="7956FD0A" w14:textId="6AF39D62">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Although there may be a variation in the prevalence of each type of elder abuse, it is imperative to note that all forms of abuse can adversely affect the physical and mental well-being of elderly individuals. As noted by the National Institute on Ageing (2023), physical abuse can lead to serious injuries and long-term physical pain, while psychological abuse can result in anxiety, depression, and a decline in overall quality of life. Sexual abuse can cause serious emotional trauma and long-term effects on a victim's mental health. The consequences of financial abuse can include financial instability and the loss of independence. It is possible for neglect to result in malnutrition, medical complications, and increased vulnerability to other forms of abuse.</w:t>
      </w:r>
    </w:p>
    <w:p w:rsidR="74823B71" w:rsidP="2AE0A38A" w:rsidRDefault="74823B71" w14:paraId="6CE62347" w14:textId="3C0782BA">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The world health organization (2024) explain that the UN Decade of Healthy Ageing (2021-2030) is an initiative aimed at improving the lives of older people, their families, and their communities. The objectives of the UN Decade of Healthy Ageing include promoting the rights and well-being of older people, raising awareness about ageism and age-based discrimination, and ensuring that older people have access to quality healthcare, social support, and economic opportunities. It also aims to prevent and address all forms of abuse, including physical, emotional, and financial abuse, towards older individuals. A decade of coordinated, catalytic, and collaborative action brings together governments, civil society, international agencies, professionals, academia, and the media.</w:t>
      </w:r>
    </w:p>
    <w:p w:rsidR="74823B71" w:rsidP="2AE0A38A" w:rsidRDefault="74823B71" w14:paraId="6D38B26E" w14:textId="0E345EC3">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A key initiative of the UN Decade of Healthy Ageing is the development of a portfolio of effective approaches to prevent and treat abuse of older people. An extensive search and screening of almost 14 000 scientific studies resulted in the identification of 89 promising interventions that were included in the database. The UN Decade of healthy ageing (2024) believe these interventions aim to: (1) improve professional knowledge of abuse of older people to make it more likely that abuse will be detected and reported, (2) raise awareness about this issue, (3) reduce the mental health symptoms of abuse victims, and (4) prevent abuse from occurring. Overall, these interventions represent a promising step towards protecting older people from abuse.</w:t>
      </w:r>
    </w:p>
    <w:p w:rsidR="2AE0A38A" w:rsidP="2AE0A38A" w:rsidRDefault="2AE0A38A" w14:paraId="34072A34" w14:textId="7BC408A8">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7159B331" w14:textId="7711B08E">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Several factors have been suggested by Pilmer, Burnes, and MacNeil (2021) to contribute to elder abuse, including ageism, social isolation, and the absence of adequate support systems. Older adults are often viewed as less valuable or deserving of respect due to ageism, which makes them more susceptible to mistreatment. Social isolation can enable abusers to manipulate and control elderly individuals without being noticed. In addition, inadequate access to resources and support structures places older adults at an increased risk of abuse and restricts their ability to seek assistance. To address the lack of accessible resources for older adults, it is imperative to invest in community-based programs and services that are specifically designed to meet their needs (Suragarn, Hain, &amp; Pfaff, 2021). Among these are initiatives like the establishment of senior centres, meal delivery programs, transport services, and social support networks. By prioritizing funding and resources for these programs, we can ensure that older adults have the support and assistance they need to live safely and independently leaving them less vulnerable to abuse. To increase awareness of elder abuse prevention, educational campaigns targeting different segments of society can be implemented. These segments include healthcare professionals, caregivers, and the public. During these campaigns, information can be provided regarding the signs of elder abuse, the reporting mechanism, and resources for assistance. Furthermore, community leaders, organizations, and local authorities can help create a culture of prevention and protection for elderly individuals by spreading awareness and promoting zero-tolerance policies towards elder abuse (WHO, 2022).</w:t>
      </w:r>
    </w:p>
    <w:p w:rsidR="2AE0A38A" w:rsidP="2AE0A38A" w:rsidRDefault="2AE0A38A" w14:paraId="4378C871" w14:textId="1A90C6F5">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5D24A8AB" w14:textId="661304FA">
      <w:pPr>
        <w:pStyle w:val="Heading3"/>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856718037" w:id="1805128187"/>
      <w:r w:rsidRPr="2AE0A38A" w:rsidR="74823B71">
        <w:rPr>
          <w:noProof w:val="0"/>
          <w:lang w:val="en-GB"/>
        </w:rPr>
        <w:t>Recommendations</w:t>
      </w:r>
      <w:bookmarkEnd w:id="1805128187"/>
    </w:p>
    <w:p w:rsidR="74823B71" w:rsidP="2AE0A38A" w:rsidRDefault="74823B71" w14:paraId="1ED39F23" w14:textId="542EB8C3">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1. Education and Awareness: Raising awareness about elder abuse and the importance of respecting and caring for older adults can help create a culture of respect and protection.</w:t>
      </w:r>
    </w:p>
    <w:p w:rsidR="74823B71" w:rsidP="2AE0A38A" w:rsidRDefault="74823B71" w14:paraId="6B5A51BD" w14:textId="54439D30">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2. Early Intervention: Identifying signs of abuse early on and providing appropriate support can prevent escalation and harm.</w:t>
      </w:r>
    </w:p>
    <w:p w:rsidR="74823B71" w:rsidP="2AE0A38A" w:rsidRDefault="74823B71" w14:paraId="604E5D27" w14:textId="49C715D8">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3. Support Services: Establishing support services, such as helplines and counselling services, can provide older adults and carers with the necessary assistance and resources.</w:t>
      </w:r>
    </w:p>
    <w:p w:rsidR="74823B71" w:rsidP="2AE0A38A" w:rsidRDefault="74823B71" w14:paraId="6BD0E379" w14:textId="098922A1">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4. Legislation and Enforcement: Strengthening legal frameworks and providing adequate penalties for elder abuse can help deter perpetrators and promote a safer environment for older adults.</w:t>
      </w:r>
    </w:p>
    <w:p w:rsidR="74823B71" w:rsidP="2AE0A38A" w:rsidRDefault="74823B71" w14:paraId="34A80B5C" w14:textId="2A8CA2CD">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5. increase work force in caring facilities to reduce burn out and work overload for carers.</w:t>
      </w:r>
    </w:p>
    <w:p w:rsidR="74823B71" w:rsidP="2AE0A38A" w:rsidRDefault="74823B71" w14:paraId="041DC357" w14:textId="66339F84">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6. A more person-centred approach as everyone has unique needs, beliefs, and preferences.</w:t>
      </w:r>
    </w:p>
    <w:p w:rsidR="2AE0A38A" w:rsidP="2AE0A38A" w:rsidRDefault="2AE0A38A" w14:paraId="55E22D86" w14:textId="22CCC650">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253E9A96" w14:textId="0B57AAEC">
      <w:pPr>
        <w:pStyle w:val="Heading3"/>
        <w:rPr>
          <w:rFonts w:ascii="Aptos" w:hAnsi="Aptos" w:eastAsia="Aptos" w:cs="Aptos"/>
          <w:b w:val="0"/>
          <w:bCs w:val="0"/>
          <w:i w:val="0"/>
          <w:iCs w:val="0"/>
          <w:caps w:val="0"/>
          <w:smallCaps w:val="0"/>
          <w:noProof w:val="0"/>
          <w:color w:val="000000" w:themeColor="text1" w:themeTint="FF" w:themeShade="FF"/>
          <w:sz w:val="24"/>
          <w:szCs w:val="24"/>
          <w:lang w:val="en-US"/>
        </w:rPr>
      </w:pPr>
      <w:bookmarkStart w:name="_Toc1363471379" w:id="998834435"/>
      <w:r w:rsidRPr="2AE0A38A" w:rsidR="74823B71">
        <w:rPr>
          <w:noProof w:val="0"/>
          <w:lang w:val="en-GB"/>
        </w:rPr>
        <w:t>Conclusion</w:t>
      </w:r>
      <w:bookmarkEnd w:id="998834435"/>
    </w:p>
    <w:p w:rsidR="2AE0A38A" w:rsidP="2AE0A38A" w:rsidRDefault="2AE0A38A" w14:paraId="59FF4859" w14:textId="150F8ABA">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4823B71" w:rsidP="2AE0A38A" w:rsidRDefault="74823B71" w14:paraId="58212E5C" w14:textId="6313A41C">
      <w:pPr>
        <w:spacing w:before="240" w:beforeAutospacing="off" w:after="24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AE0A38A" w:rsidR="74823B71">
        <w:rPr>
          <w:rFonts w:ascii="Aptos" w:hAnsi="Aptos" w:eastAsia="Aptos" w:cs="Aptos"/>
          <w:b w:val="0"/>
          <w:bCs w:val="0"/>
          <w:i w:val="0"/>
          <w:iCs w:val="0"/>
          <w:caps w:val="0"/>
          <w:smallCaps w:val="0"/>
          <w:noProof w:val="0"/>
          <w:color w:val="000000" w:themeColor="text1" w:themeTint="FF" w:themeShade="FF"/>
          <w:sz w:val="24"/>
          <w:szCs w:val="24"/>
          <w:lang w:val="en-GB"/>
        </w:rPr>
        <w:t xml:space="preserve">Living well as an older person requires a multifaceted approach, considering the specific contextual factors affecting their well-being. Health considerations, social support networks, financial stability, housing options, and technology and innovation are all crucial factors in ensuring that older adults can lead fulfilling and independent lives. By recognizing and addressing the unique aspects of aging within a particular context, we can empower older adults to live well and age with dignity. There is a greater prevalence of abuse of older individuals than society realises, which should be considered a crime of zero tolerance. Therefore, it is essential to prioritize measures that protect older adults from abuse and promote a healthier aging process. </w:t>
      </w:r>
    </w:p>
    <w:p w:rsidR="1F6E0B66" w:rsidP="2AE0A38A" w:rsidRDefault="1F6E0B66" w14:paraId="1D0BE88C" w14:textId="26DB4D74">
      <w:pPr>
        <w:pStyle w:val="Heading3"/>
        <w:rPr>
          <w:noProof w:val="0"/>
          <w:lang w:val="en-GB"/>
        </w:rPr>
      </w:pPr>
      <w:bookmarkStart w:name="_Toc412183781" w:id="1551319039"/>
      <w:r w:rsidRPr="2AE0A38A" w:rsidR="1F6E0B66">
        <w:rPr>
          <w:noProof w:val="0"/>
          <w:lang w:val="en-GB"/>
        </w:rPr>
        <w:t>References.</w:t>
      </w:r>
      <w:bookmarkEnd w:id="1551319039"/>
    </w:p>
    <w:p w:rsidR="1F6E0B66" w:rsidP="2AE0A38A" w:rsidRDefault="1F6E0B66" w14:paraId="181994BF" w14:textId="5BCD364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Age Cymru (2024)</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What is abuse?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e5092041aced49bc">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https://www.ageuk.org.uk/cymru/our-work/safeguarding/what-is-abuse/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on 20 June 2024).</w:t>
      </w:r>
    </w:p>
    <w:p w:rsidR="2AE0A38A" w:rsidP="2AE0A38A" w:rsidRDefault="2AE0A38A" w14:paraId="171D9840" w14:textId="42B94EA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3609137A" w14:textId="79ECB5F3">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Age UK (2022) Managing money in later life. Available at: </w:t>
      </w:r>
      <w:hyperlink r:id="R9ea1e29bdcfe4ea2">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https://www.ageuk.org.uk/our-impact/policy-research/managing-money-in-later-life/.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27 June 2024).</w:t>
      </w:r>
    </w:p>
    <w:p w:rsidR="2AE0A38A" w:rsidP="2AE0A38A" w:rsidRDefault="2AE0A38A" w14:paraId="4DBAFF5E" w14:textId="399010FE">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756EF2A1" w14:textId="1C1E4C77">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Chopin, J. and Beauregard, E. (2020) ‘Elderly Sexual Abuse: An Examination of the Criminal Event’,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Sexual abuse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32(6), pp. 706–726.</w:t>
      </w:r>
    </w:p>
    <w:p w:rsidR="2AE0A38A" w:rsidP="2AE0A38A" w:rsidRDefault="2AE0A38A" w14:paraId="3F053855" w14:textId="0CA0997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26FE8659" w14:textId="3B4191A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Decade of healthy ageing (2024)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 decade of healthy ageing's database of promising interventions to prevent and respond to the abuse of older people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40251a6cea244f4f">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https://www.decadeofhealthyageing.org/find-knowledge/resources/databases-repositories/detail/un-decade-of-healthy-ageing-s-database-of-promising-interventions-to-prevent-and-respond-to-abuse-of-older-people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26 June 2024).</w:t>
      </w:r>
    </w:p>
    <w:p w:rsidR="2AE0A38A" w:rsidP="2AE0A38A" w:rsidRDefault="2AE0A38A" w14:paraId="1D86779C" w14:textId="17D93C6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76CF1E75" w14:textId="0E395B4C">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IEEE SA standards association (2023)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science, Technology, and data are contributing to a longer and better quality of life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Studies%20show%20environmental%20progress%20that,and%20access%20to%20medical%20care" r:id="Ra3f326c4f5d745c6">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https://standards.ieee.org/beyond-standards/how-science-technology-and-data-are-contributing-to-a-longer-and-better-quality-life/#:~:text=Studies%20show%20environmental%20progress%20that,and%20access%20to%20medical%20care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24 June 2024).</w:t>
      </w:r>
    </w:p>
    <w:p w:rsidR="2AE0A38A" w:rsidP="2AE0A38A" w:rsidRDefault="2AE0A38A" w14:paraId="36F0A4F4" w14:textId="13592CBA">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4DEA1D93" w14:textId="2313E3A0">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institute on aging (2023)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Elder abuse.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1408ddcda00d4226">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https://www.nia.nih.gov/health/elder-abuse/elder-abuse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on 21 June 2024).</w:t>
      </w:r>
    </w:p>
    <w:p w:rsidR="2AE0A38A" w:rsidP="2AE0A38A" w:rsidRDefault="2AE0A38A" w14:paraId="394F4451" w14:textId="0F81DA41">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06F3AC7F" w14:textId="2984C2D7">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for national statistics (2022)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mortality in England and Wales past and projected trends in the average life span.</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aca20143ba75407a">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https://www.ons.gov.uk/peoplepopulationandcommunity/birthsdeathsandmarriages/lifeexpectancies/articles/mortalityinenglandandwales/pastandprojectedtrendsinaveragelifespan</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24 June 2024). </w:t>
      </w:r>
    </w:p>
    <w:p w:rsidR="2AE0A38A" w:rsidP="2AE0A38A" w:rsidRDefault="2AE0A38A" w14:paraId="68C2A731" w14:textId="102E844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2593507D" w14:textId="616A0B62">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for national statistics (2024)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life tables- Life expectancy in the Uk: 2020 to 2022.</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oc" r:id="Rc1ab451681ff4c5b">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https://www.ons.gov.uk/peoplepopulationandcommunity/birthsdeathsandmarriages/lifeexpectancies/bulletins/nationallifetablesunitedkingdom/2020to2022#toc</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24 June 2024. </w:t>
      </w:r>
    </w:p>
    <w:p w:rsidR="2AE0A38A" w:rsidP="2AE0A38A" w:rsidRDefault="2AE0A38A" w14:paraId="7B680CFB" w14:textId="697FCFE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63BFAFB3" w14:textId="3C6580F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Int_uEKS9KIP" w:id="618843691"/>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Pillemer, K., Burnes, D. &amp; MacNeil, A. (2021) Investigating the connection between ageism and elder mistreatment.</w:t>
      </w:r>
      <w:bookmarkEnd w:id="618843691"/>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Nature Aging,</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1(2), pp159–164.</w:t>
      </w:r>
    </w:p>
    <w:p w:rsidR="2AE0A38A" w:rsidP="2AE0A38A" w:rsidRDefault="2AE0A38A" w14:paraId="5E18C98B" w14:textId="6AC9D69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5E6FE545" w14:textId="7102F5CC">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Roos, C., Alam, M., Swall, A., Bostrom, A., Hammar, L. (2022) ‘Factors associated with older persons’ perceptions of dignity and well-being over a three-year period. A retrospective national study in residential care facilities,’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BMC geriatrics</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22(1), pp. 1–515.</w:t>
      </w:r>
    </w:p>
    <w:p w:rsidR="2AE0A38A" w:rsidP="2AE0A38A" w:rsidRDefault="2AE0A38A" w14:paraId="53A9B48B" w14:textId="03B6B84E">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43046ABE" w14:textId="5A39A589">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Roos, C., Swall, A., Hammar, L., Bostrom, A., Skytt, B. (2023) ‘Promoting the person-centered aspects of dignity and well-being: learning from older persons’ experiences of living in residential care facilities’,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Working with older people (Brighton, England)</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27(3), pp. 219. </w:t>
      </w:r>
    </w:p>
    <w:p w:rsidR="2AE0A38A" w:rsidP="2AE0A38A" w:rsidRDefault="2AE0A38A" w14:paraId="73D0EF27" w14:textId="500F4D5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7D535275" w14:textId="02FC3AB4">
      <w:pPr>
        <w:spacing w:before="0" w:beforeAutospacing="off" w:after="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Tse, M., Tang, S., Wan, V., Vong, S.</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(2014) ‘The Effectiveness of Physical Exercise Training in Pain, Mobility, and Psychological Well-being of Older Persons Living in Nursing Homes’,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Pain management nursing</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15(4), pp. 778–788. </w:t>
      </w:r>
    </w:p>
    <w:p w:rsidR="1F6E0B66" w:rsidP="2AE0A38A" w:rsidRDefault="1F6E0B66" w14:paraId="5C83EB12" w14:textId="0728A8E6">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Health Organization (2022)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Aging and health</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936b11a8c124a86">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https://www.who.int/news-room/fact-sheets/detail/ageing-and-health</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25 June 2024)</w:t>
      </w:r>
      <w:r w:rsidRPr="2AE0A38A" w:rsidR="799DDD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F6E0B66" w:rsidP="2AE0A38A" w:rsidRDefault="1F6E0B66" w14:paraId="5DAF044C" w14:textId="46E2113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Suragarn,U., Hain,D., Pfaff, G. (2021) Approaches to enhance social connection in older adults: an integrative review of literature,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Science Direct</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1(3), pp. 1-9.</w:t>
      </w:r>
    </w:p>
    <w:p w:rsidR="2AE0A38A" w:rsidP="2AE0A38A" w:rsidRDefault="2AE0A38A" w14:paraId="56DE70FF" w14:textId="2A0BC4C7">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14BCC791" w14:textId="285D6698">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Schlesinger, R. and Schlesinger, B. (2018)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Abuse of the elderly: Issues and annotated bibliography</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Toronto: University of Toronto Press.</w:t>
      </w:r>
    </w:p>
    <w:p w:rsidR="2AE0A38A" w:rsidP="2AE0A38A" w:rsidRDefault="2AE0A38A" w14:paraId="5E5E79E4" w14:textId="2492BA66">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299D7831" w14:textId="3EC3D1D1">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Wang, J. (2006) Psychological abuse and its characteristic correlates among elderly Taiwanese,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Archives of gerontology and geriatrics</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42(3), pp 307-318.</w:t>
      </w:r>
    </w:p>
    <w:p w:rsidR="2AE0A38A" w:rsidP="2AE0A38A" w:rsidRDefault="2AE0A38A" w14:paraId="78E0E84D" w14:textId="166E2D7F">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4223561E" w14:textId="64F4AB22">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Weiler, K. (1989) ‘Financial abuse of the elderly. Recognizing and acting on it</w:t>
      </w:r>
      <w:r w:rsidRPr="2AE0A38A" w:rsidR="6F3A6B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gerontological nursing</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15(8), pp. 10–15.</w:t>
      </w:r>
    </w:p>
    <w:p w:rsidR="2AE0A38A" w:rsidP="2AE0A38A" w:rsidRDefault="2AE0A38A" w14:paraId="5B24CECB" w14:textId="6EAF0D90">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012552B9" w14:textId="11E2F905">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Health Organization (2024)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Abuse of older people.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e74e75059af945c8">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https://www.who.int/news-room/fact-sheets/detail/abuse-of-older-people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on 20 June 2024).</w:t>
      </w:r>
    </w:p>
    <w:p w:rsidR="2AE0A38A" w:rsidP="2AE0A38A" w:rsidRDefault="2AE0A38A" w14:paraId="35C24013" w14:textId="1A5D8E4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2415FCE5" w14:textId="062C6E8C">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Health Organization (2024) </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WHO releases database of promising interventions to prevent and respond to abuse of older people</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f613df94e154ced">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https://www.who.int/news/item/17-06-2024-who-releases-database-of-promising-interventions-to-prevent-and-respond-to-abuse-of-older-people</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on 21 June 2024). </w:t>
      </w:r>
    </w:p>
    <w:p w:rsidR="2AE0A38A" w:rsidP="2AE0A38A" w:rsidRDefault="2AE0A38A" w14:paraId="02A7893C" w14:textId="21A4F971">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F6E0B66" w:rsidP="2AE0A38A" w:rsidRDefault="1F6E0B66" w14:paraId="21071CB3" w14:textId="04D3F204">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World Health Organization (2024)</w:t>
      </w:r>
      <w:r w:rsidRPr="2AE0A38A" w:rsidR="1F6E0B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WHOS work on the UN decade of healthy ageing 2021-2030,</w:t>
      </w:r>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3fbbf37d84c41b0">
        <w:r w:rsidRPr="2AE0A38A" w:rsidR="1F6E0B6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https://www.who.int/initiatives/decade-of-healthy-ageing</w:t>
        </w:r>
      </w:hyperlink>
      <w:r w:rsidRPr="2AE0A38A" w:rsidR="1F6E0B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26 June 2024).</w:t>
      </w:r>
    </w:p>
    <w:p w:rsidR="2AE0A38A" w:rsidP="2AE0A38A" w:rsidRDefault="2AE0A38A" w14:paraId="506EAC5D" w14:textId="774B1FE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AE0A38A" w:rsidP="2AE0A38A" w:rsidRDefault="2AE0A38A" w14:paraId="213BD3BA" w14:textId="35D5D8CB">
      <w:pPr>
        <w:spacing w:after="160"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AE0A38A" w:rsidP="2AE0A38A" w:rsidRDefault="2AE0A38A" w14:paraId="26BD6754" w14:textId="34F921EC">
      <w:pPr>
        <w:pStyle w:val="Normal"/>
        <w:rPr>
          <w:noProof w:val="0"/>
          <w:lang w:val="en-GB"/>
        </w:rPr>
      </w:pPr>
    </w:p>
    <w:p w:rsidR="2AE0A38A" w:rsidP="2AE0A38A" w:rsidRDefault="2AE0A38A" w14:paraId="2C2CF055" w14:textId="7DBB7AA8">
      <w:pPr>
        <w:pStyle w:val="Normal"/>
        <w:rPr>
          <w:noProof w:val="0"/>
          <w:lang w:val="en-GB"/>
        </w:rPr>
      </w:pPr>
    </w:p>
    <w:p w:rsidR="2AE0A38A" w:rsidP="2AE0A38A" w:rsidRDefault="2AE0A38A" w14:paraId="039D1D23" w14:textId="3CA990E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E0A38A" w:rsidP="2AE0A38A" w:rsidRDefault="2AE0A38A" w14:paraId="07A513D3" w14:textId="09CF7CB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E0A38A" w:rsidP="2AE0A38A" w:rsidRDefault="2AE0A38A" w14:paraId="4C59737F" w14:textId="7AD1A657">
      <w:pPr>
        <w:pStyle w:val="Normal"/>
      </w:pPr>
    </w:p>
    <w:p w:rsidR="2AE0A38A" w:rsidRDefault="2AE0A38A" w14:paraId="1EB5003E" w14:textId="3E2A0374">
      <w:r>
        <w:br w:type="page"/>
      </w:r>
    </w:p>
    <w:p w:rsidR="2AE0A38A" w:rsidP="2AE0A38A" w:rsidRDefault="2AE0A38A" w14:paraId="2B8117DA" w14:textId="2B82DE8C">
      <w:pPr>
        <w:pStyle w:val="Heading3"/>
      </w:pPr>
    </w:p>
    <w:sectPr>
      <w:pgSz w:w="12240" w:h="15840" w:orient="portrait"/>
      <w:pgMar w:top="1440" w:right="1440" w:bottom="1440" w:left="1440" w:header="720" w:footer="720" w:gutter="0"/>
      <w:cols w:space="720"/>
      <w:docGrid w:linePitch="360"/>
      <w:headerReference w:type="default" r:id="Ra201a88170ae44ba"/>
      <w:footerReference w:type="default" r:id="Rff0bf5f705d344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232"/>
    </w:tblGrid>
    <w:tr w:rsidR="2AE0A38A" w:rsidTr="2AE0A38A" w14:paraId="754FC090">
      <w:trPr>
        <w:trHeight w:val="300"/>
      </w:trPr>
      <w:tc>
        <w:tcPr>
          <w:tcW w:w="3120" w:type="dxa"/>
          <w:tcMar/>
        </w:tcPr>
        <w:p w:rsidR="2AE0A38A" w:rsidP="2AE0A38A" w:rsidRDefault="2AE0A38A" w14:paraId="684A57E3" w14:textId="4B2697AC">
          <w:pPr>
            <w:pStyle w:val="Header"/>
            <w:bidi w:val="0"/>
            <w:ind w:left="-115"/>
            <w:jc w:val="left"/>
          </w:pPr>
        </w:p>
      </w:tc>
      <w:tc>
        <w:tcPr>
          <w:tcW w:w="3120" w:type="dxa"/>
          <w:tcMar/>
        </w:tcPr>
        <w:p w:rsidR="2AE0A38A" w:rsidP="2AE0A38A" w:rsidRDefault="2AE0A38A" w14:paraId="6BDF79D0" w14:textId="29A71515">
          <w:pPr>
            <w:pStyle w:val="Header"/>
            <w:bidi w:val="0"/>
            <w:jc w:val="center"/>
          </w:pPr>
        </w:p>
      </w:tc>
      <w:tc>
        <w:tcPr>
          <w:tcW w:w="3232" w:type="dxa"/>
          <w:tcMar/>
        </w:tcPr>
        <w:p w:rsidR="2AE0A38A" w:rsidP="2AE0A38A" w:rsidRDefault="2AE0A38A" w14:paraId="1D9642A3" w14:textId="0065F296">
          <w:pPr>
            <w:pStyle w:val="Header"/>
            <w:bidi w:val="0"/>
            <w:ind w:right="-115"/>
            <w:jc w:val="right"/>
          </w:pPr>
          <w:r>
            <w:fldChar w:fldCharType="begin"/>
          </w:r>
          <w:r>
            <w:instrText xml:space="preserve">PAGE</w:instrText>
          </w:r>
          <w:r>
            <w:fldChar w:fldCharType="separate"/>
          </w:r>
          <w:r>
            <w:fldChar w:fldCharType="end"/>
          </w:r>
        </w:p>
      </w:tc>
    </w:tr>
  </w:tbl>
  <w:p w:rsidR="2AE0A38A" w:rsidP="2AE0A38A" w:rsidRDefault="2AE0A38A" w14:paraId="5F4CEE88" w14:textId="6CCD62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AE0A38A" w:rsidTr="2AE0A38A" w14:paraId="175D51C6">
      <w:trPr>
        <w:trHeight w:val="300"/>
      </w:trPr>
      <w:tc>
        <w:tcPr>
          <w:tcW w:w="3120" w:type="dxa"/>
          <w:tcMar/>
        </w:tcPr>
        <w:p w:rsidR="2AE0A38A" w:rsidP="2AE0A38A" w:rsidRDefault="2AE0A38A" w14:paraId="548D63B4" w14:textId="2875BD58">
          <w:pPr>
            <w:pStyle w:val="Header"/>
            <w:bidi w:val="0"/>
            <w:ind w:left="-115"/>
            <w:jc w:val="left"/>
          </w:pPr>
          <w:r w:rsidR="2AE0A38A">
            <w:rPr/>
            <w:t>2238202.</w:t>
          </w:r>
        </w:p>
      </w:tc>
      <w:tc>
        <w:tcPr>
          <w:tcW w:w="3120" w:type="dxa"/>
          <w:tcMar/>
        </w:tcPr>
        <w:p w:rsidR="2AE0A38A" w:rsidP="2AE0A38A" w:rsidRDefault="2AE0A38A" w14:paraId="1D64086D" w14:textId="44CE8E9E">
          <w:pPr>
            <w:pStyle w:val="Header"/>
            <w:bidi w:val="0"/>
            <w:jc w:val="center"/>
          </w:pPr>
        </w:p>
      </w:tc>
      <w:tc>
        <w:tcPr>
          <w:tcW w:w="3120" w:type="dxa"/>
          <w:tcMar/>
        </w:tcPr>
        <w:p w:rsidR="2AE0A38A" w:rsidP="2AE0A38A" w:rsidRDefault="2AE0A38A" w14:paraId="0E2BDF6D" w14:textId="358E958E">
          <w:pPr>
            <w:pStyle w:val="Header"/>
            <w:bidi w:val="0"/>
            <w:ind w:right="-115"/>
            <w:jc w:val="right"/>
          </w:pPr>
        </w:p>
      </w:tc>
    </w:tr>
  </w:tbl>
  <w:p w:rsidR="2AE0A38A" w:rsidP="2AE0A38A" w:rsidRDefault="2AE0A38A" w14:paraId="440D5737" w14:textId="4EC5E1C2">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5PBMLyaQxR2p4A" int2:id="goDOaMmQ">
      <int2:state int2:type="AugLoop_Text_Critique" int2:value="Rejected"/>
    </int2:textHash>
    <int2:textHash int2:hashCode="6qXUgC6ZG5Jt9y" int2:id="l3rdCZXf">
      <int2:state int2:type="AugLoop_Text_Critique" int2:value="Rejected"/>
    </int2:textHash>
    <int2:textHash int2:hashCode="ESRyCa3x9Gb/GC" int2:id="E97ac1ON">
      <int2:state int2:type="AugLoop_Text_Critique" int2:value="Rejected"/>
    </int2:textHash>
    <int2:textHash int2:hashCode="hCfkzt80X+CJUN" int2:id="U6OXp22R">
      <int2:state int2:type="AugLoop_Text_Critique" int2:value="Rejected"/>
    </int2:textHash>
    <int2:bookmark int2:bookmarkName="_Int_uEKS9KIP" int2:invalidationBookmarkName="" int2:hashCode="CQu9Ug+XcUzy5P" int2:id="bSE2CaS0">
      <int2:state int2:type="AugLoop_Similarity_SimilarityAnnotation" int2:value="Rejected"/>
      <int2:extLst>
        <oel:ext uri="426473B9-03D8-482F-96C9-C2C85392BACA">
          <int2:similarityCritique int2:version="1" int2:context="Pillemer, K., Burnes, D. &amp; MacNeil, A. (2021) Investigating the connection between ageism and elder mistreatment.">
            <int2:source int2:sourceType="Online" int2:sourceTitle="NCEA | Elder Mistreatment and Diverse Communities" int2:sourceUrl="https://ncea.acl.gov/elder-mistreatment-diverse-communities" int2:sourceSnippet="Pillemer, K., Burnes, D., &amp; MacNeil, A. (2021). Investigating the connection between ageism and elder mistreatment. Nature Aging, 1(2), 159-164. Resources. Toolkits &amp; Guides . Advancing Equity in Aging Toolkit (Justice in Aging) Tribal Elder Protection Team Toolkit (National Indigenous Elder Justice Initiative)">
              <int2:suggestions int2:citationType="Inline">
                <int2:suggestion int2:citationStyle="Mla" int2:isIdentical="0">
                  <int2:citationText>(“NCEA | Elder Mistreatment and Diverse Communities”)</int2:citationText>
                </int2:suggestion>
                <int2:suggestion int2:citationStyle="Apa" int2:isIdentical="0">
                  <int2:citationText>(“NCEA | Elder Mistreatment and Diverse Communities”)</int2:citationText>
                </int2:suggestion>
                <int2:suggestion int2:citationStyle="Chicago" int2:isIdentical="0">
                  <int2:citationText>(“NCEA | Elder Mistreatment and Diverse Communities”)</int2:citationText>
                </int2:suggestion>
              </int2:suggestions>
              <int2:suggestions int2:citationType="Full">
                <int2:suggestion int2:citationStyle="Mla" int2:isIdentical="0">
                  <int2:citationText>&lt;i&gt;NCEA | Elder Mistreatment and Diverse Communities&lt;/i&gt;, https://ncea.acl.gov/elder-mistreatment-diverse-communities.</int2:citationText>
                </int2:suggestion>
                <int2:suggestion int2:citationStyle="Apa" int2:isIdentical="0">
                  <int2:citationText>&lt;i&gt;NCEA | Elder Mistreatment and Diverse Communities&lt;/i&gt;. (n.d.). Retrieved from https://ncea.acl.gov/elder-mistreatment-diverse-communities</int2:citationText>
                </int2:suggestion>
                <int2:suggestion int2:citationStyle="Chicago" int2:isIdentical="0">
                  <int2:citationText>“NCEA | Elder Mistreatment and Diverse Communities” n.d., https://ncea.acl.gov/elder-mistreatment-diverse-communities.</int2:citationText>
                </int2:suggestion>
              </int2:suggestions>
            </int2:source>
            <int2:source int2:sourceType="Online" int2:sourceTitle="Older Adult Mistreatment | SpringerLink" int2:sourceUrl="https://link.springer.com/chapter/10.1007/978-3-031-05640-6_35" int2:sourceSnippet="Pillemer K, Burnes D, MacNeil A (2021) Investigating the connection between ageism and elder mistreatment. Nat Aging 1(2):159–164. Article PubMed Google Scholar Rogers MM, Storey JE (2019) Elder homicide: a systematic literature review. Aggress Violent Behav 48:141–151. Article Google Scholar">
              <int2:suggestions int2:citationType="Inline">
                <int2:suggestion int2:citationStyle="Mla" int2:isIdentical="0">
                  <int2:citationText>(“Older Adult Mistreatment | SpringerLink”)</int2:citationText>
                </int2:suggestion>
                <int2:suggestion int2:citationStyle="Apa" int2:isIdentical="0">
                  <int2:citationText>(“Older Adult Mistreatment | SpringerLink”)</int2:citationText>
                </int2:suggestion>
                <int2:suggestion int2:citationStyle="Chicago" int2:isIdentical="0">
                  <int2:citationText>(“Older Adult Mistreatment | SpringerLink”)</int2:citationText>
                </int2:suggestion>
              </int2:suggestions>
              <int2:suggestions int2:citationType="Full">
                <int2:suggestion int2:citationStyle="Mla" int2:isIdentical="0">
                  <int2:citationText>&lt;i&gt;Older Adult Mistreatment | SpringerLink&lt;/i&gt;, https://link.springer.com/chapter/10.1007/978-3-031-05640-6_35.</int2:citationText>
                </int2:suggestion>
                <int2:suggestion int2:citationStyle="Apa" int2:isIdentical="0">
                  <int2:citationText>&lt;i&gt;Older Adult Mistreatment | SpringerLink&lt;/i&gt;. (n.d.). Retrieved from https://link.springer.com/chapter/10.1007/978-3-031-05640-6_35</int2:citationText>
                </int2:suggestion>
                <int2:suggestion int2:citationStyle="Chicago" int2:isIdentical="0">
                  <int2:citationText>“Older Adult Mistreatment | SpringerLink” n.d., https://link.springer.com/chapter/10.1007/978-3-031-05640-6_35.</int2:citationText>
                </int2:suggestion>
              </int2:suggestions>
            </int2:source>
            <int2:source int2:sourceType="Online" int2:sourceTitle="Investigating the connection between ageism and elder mistreatment ..." int2:sourceUrl="https://www.semanticscholar.org/paper/Investigating-the-connection-between-ageism-and-Pillemer-Burnes/5626d2275a58855a1f3ebee28c8ffc049afcf116" int2:sourceSnippet="Investigating the connection between ageism and elder mistreatment. K. Pillemer, D. Burnes, Andie MacNeil. Published in Nature Aging 1 February 2021. Sociology, Psychology. Elder mistreatment is recognized as a pervasive public health problem with detrimental consequences for older adults and society.">
              <int2:suggestions int2:citationType="Inline">
                <int2:suggestion int2:citationStyle="Mla" int2:isIdentical="0">
                  <int2:citationText>(“Investigating the connection between ageism and elder mistreatment ...”)</int2:citationText>
                </int2:suggestion>
                <int2:suggestion int2:citationStyle="Apa" int2:isIdentical="0">
                  <int2:citationText>(“Investigating the connection between ageism and elder mistreatment ...”)</int2:citationText>
                </int2:suggestion>
                <int2:suggestion int2:citationStyle="Chicago" int2:isIdentical="0">
                  <int2:citationText>(“Investigating the connection between ageism and elder mistreatment ...”)</int2:citationText>
                </int2:suggestion>
              </int2:suggestions>
              <int2:suggestions int2:citationType="Full">
                <int2:suggestion int2:citationStyle="Mla" int2:isIdentical="0">
                  <int2:citationText>&lt;i&gt;Investigating the connection between ageism and elder mistreatment ...&lt;/i&gt;, https://www.semanticscholar.org/paper/Investigating-the-connection-between-ageism-and-Pillemer-Burnes/5626d2275a58855a1f3ebee28c8ffc049afcf116.</int2:citationText>
                </int2:suggestion>
                <int2:suggestion int2:citationStyle="Apa" int2:isIdentical="0">
                  <int2:citationText>&lt;i&gt;Investigating the connection between ageism and elder mistreatment ...&lt;/i&gt;. (n.d.). Retrieved from https://www.semanticscholar.org/paper/Investigating-the-connection-between-ageism-and-Pillemer-Burnes/5626d2275a58855a1f3ebee28c8ffc049afcf116</int2:citationText>
                </int2:suggestion>
                <int2:suggestion int2:citationStyle="Chicago" int2:isIdentical="0">
                  <int2:citationText>“Investigating the connection between ageism and elder mistreatment ...” n.d., https://www.semanticscholar.org/paper/Investigating-the-connection-between-ageism-and-Pillemer-Burnes/5626d2275a58855a1f3ebee28c8ffc049afcf116.</int2:citationText>
                </int2:suggestion>
              </int2:suggestions>
            </int2:source>
          </int2:similarityCritique>
        </oel:ext>
      </int2:extLst>
    </int2:bookmark>
    <int2:entireDocument int2:id="QAY1YyAQ">
      <int2:extLst>
        <oel:ext uri="E302BA01-7950-474C-9AD3-286E660C40A8">
          <int2:similaritySummary int2:version="1" int2:runId="1719494040708" int2:tilesCheckedInThisRun="60" int2:totalNumOfTiles="60" int2:similarityAnnotationCount="1" int2:numWords="2442" int2:numFlaggedWords="15"/>
        </oel:ext>
      </int2:extLst>
    </int2:entireDocument>
  </int2:observations>
  <int2:intelligenceSettings/>
  <int2:onDemandWorkflows>
    <int2:onDemandWorkflow int2:type="SimilarityCheck" int2:paragraphVersions="2C078E63-42914C1B 17309E60-6A7C4C55 1AE374B4-5FC06C24 095970D4-68C1C43B 64CA66B1-278173FF 326C5FB9-2EC3B9EE 51CB1AE3-1961651D 0FF79609-78E97CBD 3CA3D13A-5C8166D5 733B0686-624EDD8A 28AFC9C0-57B9FDBD 3167F1C0-46F9B510 39748476-0FE55CD5 4925983B-23F1CE09 30B93DEF-74D3F485 6D0F3CC6-75F7339E 362CE395-056E76BF 10F89478-005CCBCE 200035F1-6F7FECEE 4E6EA44A-7FBB6C35 510DE050-3A68F272 468556A4-09A3ED6F 7B6004EB-0B11D553 2B86DEA2-5DE6538E 6FEB51A3-6C84C8D0 70CBD64D-284A8B1D 5791D46E-4292D335 746EDC4F-5EC27ED7 26A1B98C-521CD00C 0EAA4083-13562DF2 089B31BD-3938D282 6F525D72-2CF7EB19 58CC69C1-3CB1A4BA 7956FD0A-6AF39D62 6CE62347-3C0782BA 6D38B26E-0E345EC3 34072A34-7BC408A8 7159B331-7711B08E 4378C871-1A90C6F5 5D24A8AB-661304FA 1ED39F23-542EB8C3 6B5A51BD-54439D30 604E5D27-49C715D8 6BD0E379-098922A1 34A80B5C-2A8CA2CD 041DC357-66339F84 55E22D86-22CCC650 253E9A96-0B57AAEC 59FF4859-150F8ABA 58212E5C-6313A41C 1D0BE88C-26DB4D74 181994BF-5BCD3648 171D9840-42B94EA6 3609137A-79ECB5F3 4DBAFF5E-399010FE 756EF2A1-1C1E4C77 3F053855-0CA09978 26FE8659-3B4191A0 1D86779C-17D93C69 76CF1E75-0E395B4C 36F0A4F4-13592CBA 4DEA1D93-2313E3A0 394F4451-0F81DA41 06F3AC7F-2984C2D7 68C2A731-102E8445 2593507D-616A0B62 7B680CFB-697FCFE9 63BFAFB3-3C6580F3 5E18C98B-6AC9D695 5E6FE545-7102F5CC 53A9B48B-03B6B84E 43046ABE-5A39A589 73D0EF27-500F4D55 7D535275-02FC3AB4 5C83EB12-0728A8E6 5DAF044C-46E21134 56DE70FF-2A0BC4C7 14BCC791-285D6698 5E5E79E4-2492BA66 299D7831-3EC3D1D1 78E0E84D-166E2D7F 4223561E-64F4AB22 5B24CECB-6EAF0D90 012552B9-11E2F905 35C24013-1A5D8E44 2415FCE5-062C6E8C 02A7893C-21A4F971 21071CB3-04D3F204 506EAC5D-774B1FEB 213BD3BA-35D5D8CB 26BD6754-34F921EC 2C2CF055-7DBB7AA8 039D1D23-3CA990E2 07A513D3-09CF7CBC 4C59737F-7AD1A657 1EB5003E-3E2A0374 2B8117DA-2B82DE8C 548D63B4-2875BD58 1D64086D-44CE8E9E 0E2BDF6D-358E958E 440D5737-4EC5E1C2 684A57E3-4B2697AC 6BDF79D0-29A71515 1D9642A3-0065F296 5F4CEE88-6CCD6294"/>
  </int2:onDemandWorkflows>
</int2:intelligence>
</file>

<file path=word/numbering.xml><?xml version="1.0" encoding="utf-8"?>
<w:numbering xmlns:w="http://schemas.openxmlformats.org/wordprocessingml/2006/main">
  <w:abstractNum xmlns:w="http://schemas.openxmlformats.org/wordprocessingml/2006/main" w:abstractNumId="7">
    <w:nsid w:val="d319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ab5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f12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087b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40f30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383c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22ae3a"/>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46837D"/>
    <w:rsid w:val="083D9474"/>
    <w:rsid w:val="0A4A9DD8"/>
    <w:rsid w:val="13469C4C"/>
    <w:rsid w:val="184C4E1E"/>
    <w:rsid w:val="18577D37"/>
    <w:rsid w:val="1951D460"/>
    <w:rsid w:val="1DDE77E4"/>
    <w:rsid w:val="1E6B5266"/>
    <w:rsid w:val="1F6E0B66"/>
    <w:rsid w:val="200BF301"/>
    <w:rsid w:val="212B8BD4"/>
    <w:rsid w:val="227A57C4"/>
    <w:rsid w:val="279E7707"/>
    <w:rsid w:val="28698F0A"/>
    <w:rsid w:val="29A81BA4"/>
    <w:rsid w:val="2A75E762"/>
    <w:rsid w:val="2AE0A38A"/>
    <w:rsid w:val="2B95462A"/>
    <w:rsid w:val="2C4566DD"/>
    <w:rsid w:val="2D55FAD9"/>
    <w:rsid w:val="31AC4F4B"/>
    <w:rsid w:val="321D02A1"/>
    <w:rsid w:val="326F101D"/>
    <w:rsid w:val="3671384F"/>
    <w:rsid w:val="38EFB6B1"/>
    <w:rsid w:val="39DE04CF"/>
    <w:rsid w:val="413BAF1F"/>
    <w:rsid w:val="42399639"/>
    <w:rsid w:val="4B6D0E71"/>
    <w:rsid w:val="4EE8BB70"/>
    <w:rsid w:val="4F612C58"/>
    <w:rsid w:val="4F81D30C"/>
    <w:rsid w:val="50A3FBC0"/>
    <w:rsid w:val="54A8B8C6"/>
    <w:rsid w:val="5700FC7A"/>
    <w:rsid w:val="571CE219"/>
    <w:rsid w:val="588BE16D"/>
    <w:rsid w:val="59AD1403"/>
    <w:rsid w:val="5AD59FC8"/>
    <w:rsid w:val="5C19DECE"/>
    <w:rsid w:val="5E6C25CD"/>
    <w:rsid w:val="61A964C4"/>
    <w:rsid w:val="63D7AB5A"/>
    <w:rsid w:val="6AEAFC95"/>
    <w:rsid w:val="6B01E26C"/>
    <w:rsid w:val="6C03F7B5"/>
    <w:rsid w:val="6D1151AD"/>
    <w:rsid w:val="6F3A6B17"/>
    <w:rsid w:val="702E001A"/>
    <w:rsid w:val="7146837D"/>
    <w:rsid w:val="74823B71"/>
    <w:rsid w:val="748FF32F"/>
    <w:rsid w:val="76FCC24C"/>
    <w:rsid w:val="799DDD37"/>
    <w:rsid w:val="7A7B2FF3"/>
    <w:rsid w:val="7D605A7B"/>
    <w:rsid w:val="7F66D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837D"/>
  <w15:chartTrackingRefBased/>
  <w15:docId w15:val="{F888270B-F6C6-4277-A5A2-AA22E32882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d9ebe5cb5664c38" /><Relationship Type="http://schemas.openxmlformats.org/officeDocument/2006/relationships/hyperlink" Target="https://www.ageuk.org.uk/cymru/our-work/safeguarding/what-is-abuse/" TargetMode="External" Id="Re5092041aced49bc" /><Relationship Type="http://schemas.openxmlformats.org/officeDocument/2006/relationships/hyperlink" Target="https://www.ageuk.org.uk/our-impact/policy-research/managing-money-in-later-life/" TargetMode="External" Id="R9ea1e29bdcfe4ea2" /><Relationship Type="http://schemas.openxmlformats.org/officeDocument/2006/relationships/hyperlink" Target="https://www.decadeofhealthyageing.org/find-knowledge/resources/databases-repositories/detail/un-decade-of-healthy-ageing-s-database-of-promising-interventions-to-prevent-and-respond-to-abuse-of-older-people" TargetMode="External" Id="R40251a6cea244f4f" /><Relationship Type="http://schemas.openxmlformats.org/officeDocument/2006/relationships/hyperlink" Target="https://standards.ieee.org/beyond-standards/how-science-technology-and-data-are-contributing-to-a-longer-and-better-quality-life/" TargetMode="External" Id="Ra3f326c4f5d745c6" /><Relationship Type="http://schemas.openxmlformats.org/officeDocument/2006/relationships/hyperlink" Target="https://www.nia.nih.gov/health/elder-abuse/elder-abuse" TargetMode="External" Id="R1408ddcda00d4226" /><Relationship Type="http://schemas.openxmlformats.org/officeDocument/2006/relationships/hyperlink" Target="https://www.ons.gov.uk/peoplepopulationandcommunity/birthsdeathsandmarriages/lifeexpectancies/articles/mortalityinenglandandwales/pastandprojectedtrendsinaveragelifespan" TargetMode="External" Id="Raca20143ba75407a" /><Relationship Type="http://schemas.openxmlformats.org/officeDocument/2006/relationships/hyperlink" Target="https://www.ons.gov.uk/peoplepopulationandcommunity/birthsdeathsandmarriages/lifeexpectancies/bulletins/nationallifetablesunitedkingdom/2020to2022" TargetMode="External" Id="Rc1ab451681ff4c5b" /><Relationship Type="http://schemas.openxmlformats.org/officeDocument/2006/relationships/hyperlink" Target="https://www.who.int/news-room/fact-sheets/detail/ageing-and-health" TargetMode="External" Id="R9936b11a8c124a86" /><Relationship Type="http://schemas.openxmlformats.org/officeDocument/2006/relationships/hyperlink" Target="https://www.who.int/news-room/fact-sheets/detail/abuse-of-older-people" TargetMode="External" Id="Re74e75059af945c8" /><Relationship Type="http://schemas.openxmlformats.org/officeDocument/2006/relationships/hyperlink" Target="https://www.who.int/news/item/17-06-2024-who-releases-database-of-promising-interventions-to-prevent-and-respond-to-abuse-of-older-people" TargetMode="External" Id="Rdf613df94e154ced" /><Relationship Type="http://schemas.openxmlformats.org/officeDocument/2006/relationships/hyperlink" Target="https://www.who.int/initiatives/decade-of-healthy-ageing" TargetMode="External" Id="Rd3fbbf37d84c41b0" /><Relationship Type="http://schemas.openxmlformats.org/officeDocument/2006/relationships/header" Target="header.xml" Id="Ra201a88170ae44ba" /><Relationship Type="http://schemas.openxmlformats.org/officeDocument/2006/relationships/footer" Target="footer.xml" Id="Rff0bf5f705d34419" /><Relationship Type="http://schemas.microsoft.com/office/2020/10/relationships/intelligence" Target="intelligence2.xml" Id="Re429f7a543e94a8b" /><Relationship Type="http://schemas.openxmlformats.org/officeDocument/2006/relationships/numbering" Target="numbering.xml" Id="R2852409d09064e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2024-06-27T12:21:39.2418265Z</dcterms:created>
  <dcterms:modified xsi:type="dcterms:W3CDTF">2024-06-27T13:16:25.6789270Z</dcterms:modified>
  <dc:creator>Clare Mwenya (2238202)</dc:creator>
  <lastModifiedBy>Clare Mwenya (2238202)</lastModifiedBy>
</coreProperties>
</file>