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E8483C" w14:textId="77777777" w:rsidR="00774866" w:rsidRDefault="00774866"/>
    <w:p w14:paraId="14E6EE31" w14:textId="77777777" w:rsidR="00774866" w:rsidRDefault="00774866"/>
    <w:p w14:paraId="67DC865D" w14:textId="77777777" w:rsidR="00774866" w:rsidRDefault="00774866"/>
    <w:p w14:paraId="44D9EF00" w14:textId="77777777" w:rsidR="00774866" w:rsidRDefault="00774866"/>
    <w:p w14:paraId="7218E353" w14:textId="77777777" w:rsidR="00774866" w:rsidRDefault="00774866" w:rsidP="00774866">
      <w:pPr>
        <w:pStyle w:val="Title"/>
      </w:pPr>
    </w:p>
    <w:p w14:paraId="0C4D3469" w14:textId="77777777" w:rsidR="00774866" w:rsidRDefault="00774866" w:rsidP="00774866">
      <w:pPr>
        <w:pStyle w:val="Title"/>
      </w:pPr>
    </w:p>
    <w:p w14:paraId="1FE97877" w14:textId="77777777" w:rsidR="00774866" w:rsidRDefault="00774866" w:rsidP="00774866">
      <w:pPr>
        <w:pStyle w:val="Title"/>
      </w:pPr>
    </w:p>
    <w:p w14:paraId="7136F2D8" w14:textId="77777777" w:rsidR="00774866" w:rsidRDefault="00774866" w:rsidP="00774866">
      <w:pPr>
        <w:pStyle w:val="Title"/>
      </w:pPr>
    </w:p>
    <w:p w14:paraId="3A5DD50E" w14:textId="77777777" w:rsidR="00774866" w:rsidRDefault="00774866" w:rsidP="00774866">
      <w:pPr>
        <w:pStyle w:val="Title"/>
      </w:pPr>
    </w:p>
    <w:p w14:paraId="211B7C49" w14:textId="367BCA99" w:rsidR="00774866" w:rsidRDefault="00774866" w:rsidP="00774866">
      <w:pPr>
        <w:pStyle w:val="Title"/>
        <w:jc w:val="center"/>
      </w:pPr>
      <w:r w:rsidRPr="00774866">
        <w:t>Importance of ‘policing by consent’ and the impact it has upon</w:t>
      </w:r>
    </w:p>
    <w:p w14:paraId="1DE53709" w14:textId="1292B44C" w:rsidR="00774866" w:rsidRDefault="00774866" w:rsidP="00774866">
      <w:pPr>
        <w:pStyle w:val="Title"/>
        <w:jc w:val="center"/>
      </w:pPr>
      <w:r w:rsidRPr="00774866">
        <w:t>modern-day police service</w:t>
      </w:r>
    </w:p>
    <w:p w14:paraId="43181372" w14:textId="77777777" w:rsidR="00774866" w:rsidRDefault="00774866" w:rsidP="00774866"/>
    <w:p w14:paraId="0547A558" w14:textId="77777777" w:rsidR="00774866" w:rsidRDefault="00774866" w:rsidP="00774866"/>
    <w:p w14:paraId="701AED27" w14:textId="77777777" w:rsidR="00774866" w:rsidRDefault="00774866" w:rsidP="00774866"/>
    <w:p w14:paraId="74716EA8" w14:textId="77777777" w:rsidR="00774866" w:rsidRDefault="00774866" w:rsidP="00774866"/>
    <w:p w14:paraId="5BC895EE" w14:textId="77777777" w:rsidR="00774866" w:rsidRDefault="00774866" w:rsidP="00774866"/>
    <w:p w14:paraId="032CD15C" w14:textId="77777777" w:rsidR="00774866" w:rsidRDefault="00774866" w:rsidP="00774866"/>
    <w:p w14:paraId="678DB8E3" w14:textId="77777777" w:rsidR="00774866" w:rsidRDefault="00774866" w:rsidP="00774866"/>
    <w:p w14:paraId="2C2726D9" w14:textId="77777777" w:rsidR="00774866" w:rsidRDefault="00774866" w:rsidP="00774866"/>
    <w:p w14:paraId="1F8C34C0" w14:textId="77777777" w:rsidR="00774866" w:rsidRDefault="00774866" w:rsidP="00774866"/>
    <w:p w14:paraId="34F1479B" w14:textId="77777777" w:rsidR="00774866" w:rsidRDefault="00774866" w:rsidP="00774866"/>
    <w:p w14:paraId="7B6C6438" w14:textId="77777777" w:rsidR="00774866" w:rsidRDefault="00774866" w:rsidP="00774866"/>
    <w:p w14:paraId="26ED38C8" w14:textId="77777777" w:rsidR="00774866" w:rsidRDefault="00774866" w:rsidP="00774866"/>
    <w:p w14:paraId="4F08C098" w14:textId="77777777" w:rsidR="00774866" w:rsidRDefault="00774866" w:rsidP="00774866"/>
    <w:p w14:paraId="6B7B1FA6" w14:textId="77777777" w:rsidR="00774866" w:rsidRDefault="00774866" w:rsidP="00774866"/>
    <w:p w14:paraId="034CEACE" w14:textId="77777777" w:rsidR="00483F7D" w:rsidRDefault="00483F7D" w:rsidP="00CF44B7">
      <w:pPr>
        <w:ind w:firstLine="720"/>
        <w:rPr>
          <w:rFonts w:cstheme="minorHAnsi"/>
          <w:sz w:val="24"/>
          <w:szCs w:val="24"/>
        </w:rPr>
      </w:pPr>
      <w:r w:rsidRPr="00483F7D">
        <w:rPr>
          <w:rFonts w:cstheme="minorHAnsi"/>
          <w:sz w:val="24"/>
          <w:szCs w:val="24"/>
        </w:rPr>
        <w:lastRenderedPageBreak/>
        <w:t xml:space="preserve">The concept of "policing by consent" entails that law enforcement agencies are authorised to carry out their duties solely with the approval and cooperation of the </w:t>
      </w:r>
      <w:proofErr w:type="gramStart"/>
      <w:r w:rsidRPr="00483F7D">
        <w:rPr>
          <w:rFonts w:cstheme="minorHAnsi"/>
          <w:sz w:val="24"/>
          <w:szCs w:val="24"/>
        </w:rPr>
        <w:t>general public</w:t>
      </w:r>
      <w:proofErr w:type="gramEnd"/>
      <w:r w:rsidRPr="00483F7D">
        <w:rPr>
          <w:rFonts w:cstheme="minorHAnsi"/>
          <w:sz w:val="24"/>
          <w:szCs w:val="24"/>
        </w:rPr>
        <w:t>. This principle plays a crucial role in establishing the legitimacy of policing practises. The policing system employed in the United Kingdom differs from the military-state dominated police forces commonly seen in developing nations, thereby aligning with the principles of a liberal democracy. However, it is possible that certain communities may hold a different perspective. These populations hold the belief that the police force does not adhere to the principle of "policing by consent," instead operating within a more state-controlled framework.</w:t>
      </w:r>
    </w:p>
    <w:p w14:paraId="733F59A9" w14:textId="23F0A177" w:rsidR="00001057" w:rsidRDefault="00001057" w:rsidP="00CF44B7">
      <w:pPr>
        <w:ind w:firstLine="720"/>
        <w:rPr>
          <w:rFonts w:cstheme="minorHAnsi"/>
          <w:sz w:val="24"/>
          <w:szCs w:val="24"/>
        </w:rPr>
      </w:pPr>
      <w:r w:rsidRPr="00001057">
        <w:rPr>
          <w:rFonts w:cstheme="minorHAnsi"/>
          <w:sz w:val="24"/>
          <w:szCs w:val="24"/>
        </w:rPr>
        <w:t>I would place the majority of these communities in largely ethnic and/or low-income areas with little police interaction, and attribute their feelings to policing by a largely middle-class white male police force, low in diversity with little community interaction, strategies and target groups escalating feelings of victimisation due to targeted arrests, and an erosion of the legitimacy and trust of the police, resulting in those communities with low police interaction.</w:t>
      </w:r>
    </w:p>
    <w:p w14:paraId="10304DAA" w14:textId="4368A8DE" w:rsidR="00483F7D" w:rsidRDefault="00CF44B7" w:rsidP="00CF44B7">
      <w:pPr>
        <w:ind w:firstLine="720"/>
        <w:rPr>
          <w:rFonts w:cstheme="minorHAnsi"/>
          <w:sz w:val="24"/>
          <w:szCs w:val="24"/>
        </w:rPr>
      </w:pPr>
      <w:r w:rsidRPr="00CF44B7">
        <w:rPr>
          <w:rFonts w:cstheme="minorHAnsi"/>
          <w:sz w:val="24"/>
          <w:szCs w:val="24"/>
        </w:rPr>
        <w:t xml:space="preserve">The policing approach in the United Kingdom is firmly rooted in the fundamental premise of "policing by consent." The concept of "policing by consent" is based on the nine principles of policing formulated by Robert Peel, the founder of the Metropolitan Police. It asserts that </w:t>
      </w:r>
      <w:proofErr w:type="gramStart"/>
      <w:r w:rsidRPr="00CF44B7">
        <w:rPr>
          <w:rFonts w:cstheme="minorHAnsi"/>
          <w:sz w:val="24"/>
          <w:szCs w:val="24"/>
        </w:rPr>
        <w:t>in order for</w:t>
      </w:r>
      <w:proofErr w:type="gramEnd"/>
      <w:r w:rsidRPr="00CF44B7">
        <w:rPr>
          <w:rFonts w:cstheme="minorHAnsi"/>
          <w:sz w:val="24"/>
          <w:szCs w:val="24"/>
        </w:rPr>
        <w:t xml:space="preserve"> policing to be successful, there needs to be widespread public approval of the acts undertaken by the police force.</w:t>
      </w:r>
    </w:p>
    <w:p w14:paraId="5FF67D0F" w14:textId="77777777" w:rsidR="00D71747" w:rsidRDefault="00D71747" w:rsidP="00D71747">
      <w:pPr>
        <w:ind w:firstLine="720"/>
        <w:rPr>
          <w:rFonts w:cstheme="minorHAnsi"/>
          <w:sz w:val="24"/>
          <w:szCs w:val="24"/>
        </w:rPr>
      </w:pPr>
      <w:r w:rsidRPr="00D71747">
        <w:rPr>
          <w:rFonts w:cstheme="minorHAnsi"/>
          <w:sz w:val="24"/>
          <w:szCs w:val="24"/>
        </w:rPr>
        <w:t xml:space="preserve">Originally introduced in 1829 as a document titled "General Instructions" that was distributed to all members of the police force, these guiding principles emphasised the importance of police officers acknowledging that their ability to carry out their responsibilities and obligations relies on the support and endorsement of the public, as well as their capacity to establish and uphold public esteem. Additionally, the request was made for law enforcement officers to employ physical force exclusively in situations where attempts at persuasion, advise, and warning had proven inadequate in securing public cooperation. Furthermore, officers were instructed to utilise the least amount of physical force required to achieve </w:t>
      </w:r>
      <w:proofErr w:type="gramStart"/>
      <w:r w:rsidRPr="00D71747">
        <w:rPr>
          <w:rFonts w:cstheme="minorHAnsi"/>
          <w:sz w:val="24"/>
          <w:szCs w:val="24"/>
        </w:rPr>
        <w:t>a specific police</w:t>
      </w:r>
      <w:proofErr w:type="gramEnd"/>
      <w:r w:rsidRPr="00D71747">
        <w:rPr>
          <w:rFonts w:cstheme="minorHAnsi"/>
          <w:sz w:val="24"/>
          <w:szCs w:val="24"/>
        </w:rPr>
        <w:t xml:space="preserve"> aim in any given circumstance.</w:t>
      </w:r>
    </w:p>
    <w:p w14:paraId="2AD54873" w14:textId="319726E0" w:rsidR="00026BCB" w:rsidRDefault="00781180" w:rsidP="008F0B76">
      <w:pPr>
        <w:ind w:firstLine="720"/>
        <w:rPr>
          <w:rFonts w:cstheme="minorHAnsi"/>
          <w:sz w:val="24"/>
          <w:szCs w:val="24"/>
          <w:shd w:val="clear" w:color="auto" w:fill="FFFFFF"/>
        </w:rPr>
      </w:pPr>
      <w:r w:rsidRPr="00781180">
        <w:rPr>
          <w:rFonts w:cstheme="minorHAnsi"/>
          <w:sz w:val="24"/>
          <w:szCs w:val="24"/>
        </w:rPr>
        <w:t xml:space="preserve">The communities that tend to hold the belief that this phenomenon is a </w:t>
      </w:r>
      <w:r w:rsidR="00D77F69">
        <w:rPr>
          <w:rFonts w:cstheme="minorHAnsi"/>
          <w:sz w:val="24"/>
          <w:szCs w:val="24"/>
        </w:rPr>
        <w:t>fairy tale</w:t>
      </w:r>
      <w:r w:rsidRPr="00781180">
        <w:rPr>
          <w:rFonts w:cstheme="minorHAnsi"/>
          <w:sz w:val="24"/>
          <w:szCs w:val="24"/>
        </w:rPr>
        <w:t xml:space="preserve"> are typically characterised by low economic development and</w:t>
      </w:r>
      <w:r>
        <w:rPr>
          <w:rFonts w:cstheme="minorHAnsi"/>
          <w:sz w:val="24"/>
          <w:szCs w:val="24"/>
        </w:rPr>
        <w:t xml:space="preserve"> </w:t>
      </w:r>
      <w:r w:rsidRPr="00781180">
        <w:rPr>
          <w:rFonts w:cstheme="minorHAnsi"/>
          <w:sz w:val="24"/>
          <w:szCs w:val="24"/>
        </w:rPr>
        <w:t>or a high concentration of ethnic minorities (in relation to the ethnic majority). These communities often experience a sense of isolation from state authority, such as rural communities in the Welsh highlands, the North of England, or former mining</w:t>
      </w:r>
      <w:r>
        <w:rPr>
          <w:rFonts w:cstheme="minorHAnsi"/>
          <w:sz w:val="24"/>
          <w:szCs w:val="24"/>
        </w:rPr>
        <w:t xml:space="preserve"> and </w:t>
      </w:r>
      <w:r w:rsidRPr="00781180">
        <w:rPr>
          <w:rFonts w:cstheme="minorHAnsi"/>
          <w:sz w:val="24"/>
          <w:szCs w:val="24"/>
        </w:rPr>
        <w:t xml:space="preserve">factory communities. Additionally, this belief is prevalent among certain groups, such as religious, or similar organisations, whose committed members have frequently encountered conflicts with the police and </w:t>
      </w:r>
      <w:proofErr w:type="gramStart"/>
      <w:r w:rsidR="00D77F69" w:rsidRPr="00781180">
        <w:rPr>
          <w:rFonts w:cstheme="minorHAnsi"/>
          <w:sz w:val="24"/>
          <w:szCs w:val="24"/>
        </w:rPr>
        <w:t>Other</w:t>
      </w:r>
      <w:proofErr w:type="gramEnd"/>
      <w:r w:rsidR="00D77F69" w:rsidRPr="00781180">
        <w:rPr>
          <w:rFonts w:cstheme="minorHAnsi"/>
          <w:sz w:val="24"/>
          <w:szCs w:val="24"/>
        </w:rPr>
        <w:t xml:space="preserve"> </w:t>
      </w:r>
      <w:r w:rsidRPr="00781180">
        <w:rPr>
          <w:rFonts w:cstheme="minorHAnsi"/>
          <w:sz w:val="24"/>
          <w:szCs w:val="24"/>
        </w:rPr>
        <w:t>symbols of authority.</w:t>
      </w:r>
      <w:r w:rsidR="008F0B76">
        <w:rPr>
          <w:rFonts w:cstheme="minorHAnsi"/>
          <w:sz w:val="24"/>
          <w:szCs w:val="24"/>
        </w:rPr>
        <w:t xml:space="preserve"> </w:t>
      </w:r>
      <w:r w:rsidR="00026BCB" w:rsidRPr="00026BCB">
        <w:rPr>
          <w:rFonts w:cstheme="minorHAnsi"/>
          <w:sz w:val="24"/>
          <w:szCs w:val="24"/>
        </w:rPr>
        <w:t xml:space="preserve">The perception of victimisation among residents of inner-city neighbourhoods can be exemplified by their experiences with the police's utilisation of stop and search powers as granted under the 1994 Criminal Justice and Public Order Act. A recent study conducted by the London School of Economics (LSE) and the Open Society Justice Initiative utilised official data to reveal that individuals of black ethnicity faced a significantly higher likelihood, approximately 29.7 times greater, of being subjected to stop and search </w:t>
      </w:r>
      <w:r w:rsidR="00026BCB" w:rsidRPr="00026BCB">
        <w:rPr>
          <w:rFonts w:cstheme="minorHAnsi"/>
          <w:sz w:val="24"/>
          <w:szCs w:val="24"/>
        </w:rPr>
        <w:lastRenderedPageBreak/>
        <w:t xml:space="preserve">procedures under section 60 within the same </w:t>
      </w:r>
      <w:proofErr w:type="gramStart"/>
      <w:r w:rsidR="00026BCB" w:rsidRPr="00026BCB">
        <w:rPr>
          <w:rFonts w:cstheme="minorHAnsi"/>
          <w:sz w:val="24"/>
          <w:szCs w:val="24"/>
        </w:rPr>
        <w:t>time period</w:t>
      </w:r>
      <w:proofErr w:type="gramEnd"/>
      <w:r w:rsidR="00026BCB" w:rsidRPr="00026BCB">
        <w:rPr>
          <w:rFonts w:cstheme="minorHAnsi"/>
          <w:sz w:val="24"/>
          <w:szCs w:val="24"/>
        </w:rPr>
        <w:t xml:space="preserve">. However, allegations of racial profiling have arisen because to the overrepresentation of black teenagers in the utilisation of section 60 powers, coupled with a relatively low rate of arrests. </w:t>
      </w:r>
      <w:proofErr w:type="gramStart"/>
      <w:r w:rsidR="008F0B76">
        <w:rPr>
          <w:rFonts w:cstheme="minorHAnsi"/>
          <w:sz w:val="24"/>
          <w:szCs w:val="24"/>
        </w:rPr>
        <w:t xml:space="preserve">In </w:t>
      </w:r>
      <w:r w:rsidR="00026BCB" w:rsidRPr="00026BCB">
        <w:rPr>
          <w:rFonts w:cstheme="minorHAnsi"/>
          <w:sz w:val="24"/>
          <w:szCs w:val="24"/>
        </w:rPr>
        <w:t xml:space="preserve"> Brixton</w:t>
      </w:r>
      <w:proofErr w:type="gramEnd"/>
      <w:r w:rsidR="00026BCB" w:rsidRPr="00026BCB">
        <w:rPr>
          <w:rFonts w:cstheme="minorHAnsi"/>
          <w:sz w:val="24"/>
          <w:szCs w:val="24"/>
        </w:rPr>
        <w:t>, a district situated in the southern region of London, a discernible manifestation of discontent was observed among a cohort of black adolescents, who candidly relayed to the British Broadcasting Corporation (BBC) their adverse encounters pertaining to instances of being subjected to stop-and-search procedures</w:t>
      </w:r>
      <w:r w:rsidR="00026BCB">
        <w:rPr>
          <w:rFonts w:cstheme="minorHAnsi"/>
          <w:sz w:val="24"/>
          <w:szCs w:val="24"/>
        </w:rPr>
        <w:t xml:space="preserve"> </w:t>
      </w:r>
      <w:r w:rsidR="00026BCB" w:rsidRPr="00026BCB">
        <w:rPr>
          <w:rFonts w:cstheme="minorHAnsi"/>
          <w:sz w:val="24"/>
          <w:szCs w:val="24"/>
          <w:shd w:val="clear" w:color="auto" w:fill="FFFFFF"/>
        </w:rPr>
        <w:t>"</w:t>
      </w:r>
      <w:r w:rsidR="00026BCB">
        <w:rPr>
          <w:rFonts w:cstheme="minorHAnsi"/>
          <w:sz w:val="24"/>
          <w:szCs w:val="24"/>
          <w:shd w:val="clear" w:color="auto" w:fill="FFFFFF"/>
        </w:rPr>
        <w:t xml:space="preserve"> </w:t>
      </w:r>
      <w:r w:rsidR="00026BCB" w:rsidRPr="00026BCB">
        <w:rPr>
          <w:rFonts w:cstheme="minorHAnsi"/>
          <w:sz w:val="24"/>
          <w:szCs w:val="24"/>
          <w:shd w:val="clear" w:color="auto" w:fill="FFFFFF"/>
        </w:rPr>
        <w:t>If they approach us in a calmer way we would feel safer. But they come aggressive and grab you up against a wall".  Another said: "All of us are just criminals [in their eyes]."(BBC news 2012)</w:t>
      </w:r>
      <w:r w:rsidR="00026BCB">
        <w:rPr>
          <w:rFonts w:cstheme="minorHAnsi"/>
          <w:sz w:val="24"/>
          <w:szCs w:val="24"/>
          <w:shd w:val="clear" w:color="auto" w:fill="FFFFFF"/>
        </w:rPr>
        <w:t xml:space="preserve">. </w:t>
      </w:r>
      <w:r w:rsidR="00026BCB" w:rsidRPr="00026BCB">
        <w:rPr>
          <w:rFonts w:cstheme="minorHAnsi"/>
          <w:sz w:val="24"/>
          <w:szCs w:val="24"/>
          <w:shd w:val="clear" w:color="auto" w:fill="FFFFFF"/>
        </w:rPr>
        <w:t xml:space="preserve">This is clear evidence of erosion of the trust of the police as this group no longer feels that the police are being fair or just to them and are targeting them disproportionately. As a </w:t>
      </w:r>
      <w:proofErr w:type="gramStart"/>
      <w:r w:rsidR="00026BCB" w:rsidRPr="00026BCB">
        <w:rPr>
          <w:rFonts w:cstheme="minorHAnsi"/>
          <w:sz w:val="24"/>
          <w:szCs w:val="24"/>
          <w:shd w:val="clear" w:color="auto" w:fill="FFFFFF"/>
        </w:rPr>
        <w:t>result</w:t>
      </w:r>
      <w:proofErr w:type="gramEnd"/>
      <w:r w:rsidR="00026BCB" w:rsidRPr="00026BCB">
        <w:rPr>
          <w:rFonts w:cstheme="minorHAnsi"/>
          <w:sz w:val="24"/>
          <w:szCs w:val="24"/>
          <w:shd w:val="clear" w:color="auto" w:fill="FFFFFF"/>
        </w:rPr>
        <w:t xml:space="preserve"> they have withdrawn their consent to be policed by what they see as an authority figure of the government than a legitimate police force.</w:t>
      </w:r>
      <w:r w:rsidR="00026BCB">
        <w:rPr>
          <w:rFonts w:cstheme="minorHAnsi"/>
          <w:sz w:val="24"/>
          <w:szCs w:val="24"/>
          <w:shd w:val="clear" w:color="auto" w:fill="FFFFFF"/>
        </w:rPr>
        <w:t xml:space="preserve"> </w:t>
      </w:r>
      <w:r w:rsidR="00026BCB" w:rsidRPr="00026BCB">
        <w:rPr>
          <w:rFonts w:cstheme="minorHAnsi"/>
          <w:sz w:val="24"/>
          <w:szCs w:val="24"/>
        </w:rPr>
        <w:t xml:space="preserve">This assertion holds </w:t>
      </w:r>
      <w:proofErr w:type="gramStart"/>
      <w:r w:rsidR="00026BCB" w:rsidRPr="00026BCB">
        <w:rPr>
          <w:rFonts w:cstheme="minorHAnsi"/>
          <w:sz w:val="24"/>
          <w:szCs w:val="24"/>
        </w:rPr>
        <w:t>particular validity</w:t>
      </w:r>
      <w:proofErr w:type="gramEnd"/>
      <w:r w:rsidR="00026BCB" w:rsidRPr="00026BCB">
        <w:rPr>
          <w:rFonts w:cstheme="minorHAnsi"/>
          <w:sz w:val="24"/>
          <w:szCs w:val="24"/>
        </w:rPr>
        <w:t xml:space="preserve"> with respect to young African American males who perceive themselves as being specifically singled out or subjected to mistreatment. Regrettably, numerous instances, such as the case of Liam Stacy and various other individuals who opt to maintain their anonymity, lend substantial support to this claim. One of the anonymous sources interviewed by The Guardian stated</w:t>
      </w:r>
      <w:r w:rsidR="00026BCB">
        <w:rPr>
          <w:rFonts w:cstheme="minorHAnsi"/>
          <w:sz w:val="24"/>
          <w:szCs w:val="24"/>
        </w:rPr>
        <w:t xml:space="preserve"> </w:t>
      </w:r>
      <w:r w:rsidR="00026BCB" w:rsidRPr="00026BCB">
        <w:rPr>
          <w:rFonts w:cstheme="minorHAnsi"/>
          <w:sz w:val="24"/>
          <w:szCs w:val="24"/>
          <w:shd w:val="clear" w:color="auto" w:fill="FFFFFF"/>
        </w:rPr>
        <w:t>“I don't like the police. I hate the police. Because they victimise us.”</w:t>
      </w:r>
    </w:p>
    <w:p w14:paraId="6B414FFE" w14:textId="171BE644" w:rsidR="008F0B76" w:rsidRDefault="008F0B76" w:rsidP="008F0B76">
      <w:pPr>
        <w:ind w:firstLine="720"/>
        <w:rPr>
          <w:rFonts w:cstheme="minorHAnsi"/>
          <w:sz w:val="24"/>
          <w:szCs w:val="24"/>
        </w:rPr>
      </w:pPr>
      <w:r w:rsidRPr="008F0B76">
        <w:rPr>
          <w:rFonts w:cstheme="minorHAnsi"/>
          <w:sz w:val="24"/>
          <w:szCs w:val="24"/>
        </w:rPr>
        <w:t>The culmination of friction between law enforcement and the populace in Britain manifested in the Brixton riots of 1981</w:t>
      </w:r>
      <w:r>
        <w:rPr>
          <w:rFonts w:cstheme="minorHAnsi"/>
          <w:sz w:val="24"/>
          <w:szCs w:val="24"/>
        </w:rPr>
        <w:t>.</w:t>
      </w:r>
      <w:r w:rsidRPr="008F0B76">
        <w:t xml:space="preserve"> </w:t>
      </w:r>
      <w:r w:rsidRPr="008F0B76">
        <w:rPr>
          <w:rFonts w:cstheme="minorHAnsi"/>
          <w:sz w:val="24"/>
          <w:szCs w:val="24"/>
        </w:rPr>
        <w:t>The observed outcome can be attributed to racial discrimination against the black community by predominantly white law enforcement officers, particularly their heightened implementation of stop-and-search practises within the region. Additionally, persistent tensions arose due to the deaths of 13 black teenagers and young adults in the mysterious New Cross house fire that occurred in January. The primary riot that occurred on April 11th, which was referred to as "Bloody Saturday" by Time magazine, led to 279 injuries among police personnel and 45 injuries among civilians. Additionally, more than a hundred vehicles, including 56 police vehicles, were set on fire. The riot also caused damage to nearly 150 buildings, with thirty of them being completely burned down, and numerous shops were subjected to looting. A total of 82 individuals were apprehended. According to several reports, it has been alleged that a significant number of individuals, potentially reaching up to 5,000, were involved in the matter under consideration. The Brixton riot was subsequently succeeded by other riots in numerous English cities and towns during the month of July. The inquiry commissioned by the Thatcher government led to the production of the Scarman Report.</w:t>
      </w:r>
    </w:p>
    <w:p w14:paraId="1435A6A6" w14:textId="77777777" w:rsidR="00001057" w:rsidRDefault="00BE700C" w:rsidP="00001057">
      <w:pPr>
        <w:ind w:firstLine="720"/>
        <w:rPr>
          <w:rFonts w:cstheme="minorHAnsi"/>
          <w:sz w:val="24"/>
          <w:szCs w:val="24"/>
        </w:rPr>
      </w:pPr>
      <w:r w:rsidRPr="00BE700C">
        <w:rPr>
          <w:rFonts w:cstheme="minorHAnsi"/>
          <w:sz w:val="24"/>
          <w:szCs w:val="24"/>
        </w:rPr>
        <w:t>Scarman discovered unequivocal proof of the police's excessive and indiscriminate use of ‘stop and search' powers against black persons. As a result, the Police and Criminal Evidence Act 1984 established a new code for police behaviour, as well as an independent Police Complaints Authority, which was founded in 1985 to try to restore public trust in the police.</w:t>
      </w:r>
      <w:r>
        <w:rPr>
          <w:rFonts w:cstheme="minorHAnsi"/>
          <w:sz w:val="24"/>
          <w:szCs w:val="24"/>
        </w:rPr>
        <w:t xml:space="preserve"> </w:t>
      </w:r>
      <w:r w:rsidRPr="00BE700C">
        <w:rPr>
          <w:rFonts w:cstheme="minorHAnsi"/>
          <w:sz w:val="24"/>
          <w:szCs w:val="24"/>
        </w:rPr>
        <w:t xml:space="preserve">Scarman went on to say that "complex political, social and economic factors [created a] disposition towards violent protest" .The 1999 Macpherson Report, an examination of Stephen Lawrence's murder and the police's failure to establish adequate evidence for the prosecution of the suspected suspects, discovered that the 1981 Scarman Report's recommendations had been neglected. The police force was found to be "institutionally </w:t>
      </w:r>
      <w:r w:rsidRPr="00BE700C">
        <w:rPr>
          <w:rFonts w:cstheme="minorHAnsi"/>
          <w:sz w:val="24"/>
          <w:szCs w:val="24"/>
        </w:rPr>
        <w:lastRenderedPageBreak/>
        <w:t>racist" according to the investigation. This report, which did not include the events of the Brixton Riots, disagreed with Scarman's conclusions.</w:t>
      </w:r>
      <w:r>
        <w:rPr>
          <w:rFonts w:cstheme="minorHAnsi"/>
          <w:sz w:val="24"/>
          <w:szCs w:val="24"/>
        </w:rPr>
        <w:t xml:space="preserve"> </w:t>
      </w:r>
      <w:r w:rsidRPr="00BE700C">
        <w:rPr>
          <w:rFonts w:cstheme="minorHAnsi"/>
          <w:sz w:val="24"/>
          <w:szCs w:val="24"/>
        </w:rPr>
        <w:t>The Reunion, a programme including reminiscences of participants, including police and black Brixton residents, aired on BBC Radio 4 on March 25, 2011.</w:t>
      </w:r>
    </w:p>
    <w:p w14:paraId="0BC00E66" w14:textId="60D775BD" w:rsidR="00BE700C" w:rsidRDefault="00E5412D" w:rsidP="00001057">
      <w:pPr>
        <w:ind w:firstLine="720"/>
        <w:rPr>
          <w:rFonts w:cstheme="minorHAnsi"/>
          <w:sz w:val="24"/>
          <w:szCs w:val="24"/>
        </w:rPr>
      </w:pPr>
      <w:r w:rsidRPr="00E5412D">
        <w:rPr>
          <w:rFonts w:cstheme="minorHAnsi"/>
          <w:sz w:val="24"/>
          <w:szCs w:val="24"/>
        </w:rPr>
        <w:t>More proof that the police are policing by consent can be found in the fact that the police make a concerted effort to collaborate with the community. This demonstrates that they are fully aware that policing will be difficult, if not impossible, without the permission of the populace. Police involvement with communities represented by PCSOs,</w:t>
      </w:r>
      <w:r w:rsidR="00001057">
        <w:rPr>
          <w:rFonts w:cstheme="minorHAnsi"/>
          <w:sz w:val="24"/>
          <w:szCs w:val="24"/>
        </w:rPr>
        <w:t xml:space="preserve"> </w:t>
      </w:r>
      <w:r w:rsidRPr="00E5412D">
        <w:rPr>
          <w:rFonts w:cstheme="minorHAnsi"/>
          <w:sz w:val="24"/>
          <w:szCs w:val="24"/>
        </w:rPr>
        <w:t>neighbourhood watch, and similar organisations helps to minimise community alienation from the police and, in principle, allows the police to better detect issues and concerns within communities.</w:t>
      </w:r>
    </w:p>
    <w:p w14:paraId="5CE022B2" w14:textId="2E61B9CB" w:rsidR="00D42569" w:rsidRDefault="00001057" w:rsidP="00D42569">
      <w:pPr>
        <w:ind w:firstLine="720"/>
        <w:rPr>
          <w:rFonts w:cstheme="minorHAnsi"/>
          <w:sz w:val="24"/>
          <w:szCs w:val="24"/>
        </w:rPr>
      </w:pPr>
      <w:r w:rsidRPr="00001057">
        <w:rPr>
          <w:rFonts w:cstheme="minorHAnsi"/>
          <w:sz w:val="24"/>
          <w:szCs w:val="24"/>
        </w:rPr>
        <w:t>In conclusion, I previously expressed my personal viewpoint asserting that policing in the United Kingdom is indeed conducted with the consent of the communities. However, it is important to acknowledge that certain communities may perceive this notion as an illusion due to various challenges they face. Nonetheless, these communities are ultimately mistaken, as evidenced by the extensive endeavours undertaken by the police in terms of community engagement, legislative measures, and recognition of the crucial nature of consent, among other factors.</w:t>
      </w:r>
      <w:r w:rsidR="00D42569">
        <w:rPr>
          <w:rFonts w:cstheme="minorHAnsi"/>
          <w:sz w:val="24"/>
          <w:szCs w:val="24"/>
        </w:rPr>
        <w:t xml:space="preserve"> </w:t>
      </w:r>
      <w:r w:rsidR="00D42569" w:rsidRPr="00D42569">
        <w:rPr>
          <w:rFonts w:cstheme="minorHAnsi"/>
          <w:sz w:val="24"/>
          <w:szCs w:val="24"/>
        </w:rPr>
        <w:t xml:space="preserve">The police primarily operate under the principle of policing by consent, which implies that </w:t>
      </w:r>
      <w:proofErr w:type="gramStart"/>
      <w:r w:rsidR="00D42569" w:rsidRPr="00D42569">
        <w:rPr>
          <w:rFonts w:cstheme="minorHAnsi"/>
          <w:sz w:val="24"/>
          <w:szCs w:val="24"/>
        </w:rPr>
        <w:t>the majority of</w:t>
      </w:r>
      <w:proofErr w:type="gramEnd"/>
      <w:r w:rsidR="00D42569" w:rsidRPr="00D42569">
        <w:rPr>
          <w:rFonts w:cstheme="minorHAnsi"/>
          <w:sz w:val="24"/>
          <w:szCs w:val="24"/>
        </w:rPr>
        <w:t xml:space="preserve"> individuals acknowledge and accept their authority. However, it is important to recognise that there will inevitably be a minority who perceive a lack of consent in their interactions with law enforcement. In the United Kingdom, a country characterised by significant variety in several aspects, the presence of a substantial minority population leads to heightened disagreements on the appropriate conduct and behaviour of the police. Consequently, these differences contribute to the escalation of tensions and exacerbation of pre-existing conflicts. Nevertheless, it is important to note that the police, as an institution, do not actively and intentionally contribute to these tensions</w:t>
      </w:r>
      <w:r w:rsidR="00D42569">
        <w:rPr>
          <w:rFonts w:cstheme="minorHAnsi"/>
          <w:sz w:val="24"/>
          <w:szCs w:val="24"/>
        </w:rPr>
        <w:t>, i</w:t>
      </w:r>
      <w:r w:rsidR="00D42569" w:rsidRPr="00D42569">
        <w:rPr>
          <w:rFonts w:cstheme="minorHAnsi"/>
          <w:sz w:val="24"/>
          <w:szCs w:val="24"/>
        </w:rPr>
        <w:t>nstead, they strive to maintain a system of policing that is based on consent.</w:t>
      </w:r>
    </w:p>
    <w:p w14:paraId="7AE79B00" w14:textId="77777777" w:rsidR="00D42569" w:rsidRDefault="00D42569" w:rsidP="00D42569">
      <w:pPr>
        <w:ind w:firstLine="720"/>
        <w:rPr>
          <w:rFonts w:cstheme="minorHAnsi"/>
          <w:sz w:val="24"/>
          <w:szCs w:val="24"/>
        </w:rPr>
      </w:pPr>
    </w:p>
    <w:p w14:paraId="7EC4D341" w14:textId="77777777" w:rsidR="00D42569" w:rsidRDefault="00D42569" w:rsidP="00D42569">
      <w:pPr>
        <w:ind w:firstLine="720"/>
        <w:rPr>
          <w:rFonts w:cstheme="minorHAnsi"/>
          <w:sz w:val="24"/>
          <w:szCs w:val="24"/>
        </w:rPr>
      </w:pPr>
    </w:p>
    <w:p w14:paraId="18D30BFB" w14:textId="77777777" w:rsidR="00D42569" w:rsidRDefault="00D42569" w:rsidP="00D42569">
      <w:pPr>
        <w:ind w:firstLine="720"/>
        <w:rPr>
          <w:rFonts w:cstheme="minorHAnsi"/>
          <w:sz w:val="24"/>
          <w:szCs w:val="24"/>
        </w:rPr>
      </w:pPr>
    </w:p>
    <w:p w14:paraId="796FD1E9" w14:textId="77777777" w:rsidR="00D42569" w:rsidRDefault="00D42569" w:rsidP="00D42569">
      <w:pPr>
        <w:ind w:firstLine="720"/>
        <w:rPr>
          <w:rFonts w:cstheme="minorHAnsi"/>
          <w:sz w:val="24"/>
          <w:szCs w:val="24"/>
        </w:rPr>
      </w:pPr>
    </w:p>
    <w:p w14:paraId="6F241DA9" w14:textId="77777777" w:rsidR="00D42569" w:rsidRDefault="00D42569" w:rsidP="00D42569">
      <w:pPr>
        <w:ind w:firstLine="720"/>
        <w:rPr>
          <w:rFonts w:cstheme="minorHAnsi"/>
          <w:sz w:val="24"/>
          <w:szCs w:val="24"/>
        </w:rPr>
      </w:pPr>
    </w:p>
    <w:p w14:paraId="3600A3F5" w14:textId="77777777" w:rsidR="00D42569" w:rsidRDefault="00D42569" w:rsidP="00D42569">
      <w:pPr>
        <w:ind w:firstLine="720"/>
        <w:rPr>
          <w:rFonts w:cstheme="minorHAnsi"/>
          <w:sz w:val="24"/>
          <w:szCs w:val="24"/>
        </w:rPr>
      </w:pPr>
    </w:p>
    <w:p w14:paraId="508E3BDC" w14:textId="77777777" w:rsidR="00D42569" w:rsidRDefault="00D42569" w:rsidP="00D42569">
      <w:pPr>
        <w:ind w:firstLine="720"/>
        <w:rPr>
          <w:rFonts w:cstheme="minorHAnsi"/>
          <w:sz w:val="24"/>
          <w:szCs w:val="24"/>
        </w:rPr>
      </w:pPr>
    </w:p>
    <w:p w14:paraId="0F049F86" w14:textId="77777777" w:rsidR="00D42569" w:rsidRDefault="00D42569" w:rsidP="00D42569">
      <w:pPr>
        <w:ind w:firstLine="720"/>
        <w:rPr>
          <w:rFonts w:cstheme="minorHAnsi"/>
          <w:sz w:val="24"/>
          <w:szCs w:val="24"/>
        </w:rPr>
      </w:pPr>
    </w:p>
    <w:p w14:paraId="27E05884" w14:textId="77777777" w:rsidR="00D42569" w:rsidRDefault="00D42569" w:rsidP="00D42569">
      <w:pPr>
        <w:ind w:firstLine="720"/>
        <w:rPr>
          <w:rFonts w:cstheme="minorHAnsi"/>
          <w:sz w:val="24"/>
          <w:szCs w:val="24"/>
        </w:rPr>
      </w:pPr>
    </w:p>
    <w:p w14:paraId="6470A4C8" w14:textId="77777777" w:rsidR="00D42569" w:rsidRDefault="00D42569" w:rsidP="00D42569">
      <w:pPr>
        <w:ind w:firstLine="720"/>
        <w:rPr>
          <w:rFonts w:cstheme="minorHAnsi"/>
          <w:sz w:val="24"/>
          <w:szCs w:val="24"/>
        </w:rPr>
      </w:pPr>
    </w:p>
    <w:p w14:paraId="37C357C6" w14:textId="6E31C6A7" w:rsidR="00D42569" w:rsidRDefault="00D42569" w:rsidP="00D42569">
      <w:pPr>
        <w:pStyle w:val="Heading1"/>
      </w:pPr>
      <w:r>
        <w:lastRenderedPageBreak/>
        <w:t>References</w:t>
      </w:r>
    </w:p>
    <w:p w14:paraId="2D3CD331" w14:textId="3940449A" w:rsidR="00D42569" w:rsidRDefault="00D42569" w:rsidP="00D42569"/>
    <w:p w14:paraId="4931F7D1" w14:textId="77777777" w:rsidR="00D42569" w:rsidRDefault="00D42569" w:rsidP="00D4256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GOV.UK. (n.d.). </w:t>
      </w:r>
      <w:r>
        <w:rPr>
          <w:rFonts w:ascii="Calibri" w:hAnsi="Calibri" w:cs="Calibri"/>
          <w:i/>
          <w:iCs/>
          <w:color w:val="000000"/>
          <w:sz w:val="27"/>
          <w:szCs w:val="27"/>
        </w:rPr>
        <w:t>Police workforce, England and Wales, 31 March 2014</w:t>
      </w:r>
      <w:r>
        <w:rPr>
          <w:rFonts w:ascii="Calibri" w:hAnsi="Calibri" w:cs="Calibri"/>
          <w:color w:val="000000"/>
          <w:sz w:val="27"/>
          <w:szCs w:val="27"/>
        </w:rPr>
        <w:t>. [online] Available at: https://www.gov.uk/government/publications/police-workforce-england-and-wales-31-march-2014/police-workforce-england-and-wales-31-march-2014 [Accessed 17 Nov. 2023].</w:t>
      </w:r>
    </w:p>
    <w:p w14:paraId="1F861751" w14:textId="77777777" w:rsidR="00D42569" w:rsidRDefault="00D42569" w:rsidP="00D4256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4F46E7DB" w14:textId="7AAED09D" w:rsidR="00D42569" w:rsidRDefault="00D42569" w:rsidP="00D4256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Stop and search use and alternative police tactics. (2012). </w:t>
      </w:r>
      <w:r>
        <w:rPr>
          <w:rFonts w:ascii="Calibri" w:hAnsi="Calibri" w:cs="Calibri"/>
          <w:i/>
          <w:iCs/>
          <w:color w:val="000000"/>
          <w:sz w:val="27"/>
          <w:szCs w:val="27"/>
        </w:rPr>
        <w:t>BBC News</w:t>
      </w:r>
      <w:r>
        <w:rPr>
          <w:rFonts w:ascii="Calibri" w:hAnsi="Calibri" w:cs="Calibri"/>
          <w:color w:val="000000"/>
          <w:sz w:val="27"/>
          <w:szCs w:val="27"/>
        </w:rPr>
        <w:t>. [online] 17 Jan. Available at: http://www.bbc.co.uk/news/uk-16552489 [Accessed 17 Nov. 2023].</w:t>
      </w:r>
    </w:p>
    <w:p w14:paraId="0B0E3EAA" w14:textId="77777777" w:rsidR="00D42569" w:rsidRDefault="00D42569" w:rsidP="00D42569">
      <w:pPr>
        <w:pStyle w:val="NormalWeb"/>
        <w:spacing w:before="0" w:beforeAutospacing="0" w:after="0" w:afterAutospacing="0" w:line="360" w:lineRule="atLeast"/>
        <w:rPr>
          <w:rFonts w:ascii="Calibri" w:hAnsi="Calibri" w:cs="Calibri"/>
          <w:color w:val="000000"/>
          <w:sz w:val="27"/>
          <w:szCs w:val="27"/>
        </w:rPr>
      </w:pPr>
    </w:p>
    <w:p w14:paraId="24234315" w14:textId="50F78F88" w:rsidR="00D42569" w:rsidRDefault="00D42569" w:rsidP="00D4256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Carter, H. (2011). Profile: ‘I hate the police. Because they victimise </w:t>
      </w:r>
      <w:r>
        <w:rPr>
          <w:rFonts w:ascii="Calibri" w:hAnsi="Calibri" w:cs="Calibri"/>
          <w:color w:val="000000"/>
          <w:sz w:val="27"/>
          <w:szCs w:val="27"/>
        </w:rPr>
        <w:t>us</w:t>
      </w:r>
      <w:r>
        <w:rPr>
          <w:rFonts w:ascii="Calibri" w:hAnsi="Calibri" w:cs="Calibri"/>
          <w:color w:val="000000"/>
          <w:sz w:val="27"/>
          <w:szCs w:val="27"/>
        </w:rPr>
        <w:t>.</w:t>
      </w:r>
      <w:r>
        <w:rPr>
          <w:rFonts w:ascii="Calibri" w:hAnsi="Calibri" w:cs="Calibri"/>
          <w:color w:val="000000"/>
          <w:sz w:val="27"/>
          <w:szCs w:val="27"/>
        </w:rPr>
        <w:t>’</w:t>
      </w:r>
      <w:r>
        <w:rPr>
          <w:rFonts w:ascii="Calibri" w:hAnsi="Calibri" w:cs="Calibri"/>
          <w:color w:val="000000"/>
          <w:sz w:val="27"/>
          <w:szCs w:val="27"/>
        </w:rPr>
        <w:t> </w:t>
      </w:r>
      <w:r>
        <w:rPr>
          <w:rFonts w:ascii="Calibri" w:hAnsi="Calibri" w:cs="Calibri"/>
          <w:i/>
          <w:iCs/>
          <w:color w:val="000000"/>
          <w:sz w:val="27"/>
          <w:szCs w:val="27"/>
        </w:rPr>
        <w:t>The Guardian</w:t>
      </w:r>
      <w:r>
        <w:rPr>
          <w:rFonts w:ascii="Calibri" w:hAnsi="Calibri" w:cs="Calibri"/>
          <w:color w:val="000000"/>
          <w:sz w:val="27"/>
          <w:szCs w:val="27"/>
        </w:rPr>
        <w:t>. [online] 8 Dec. Available at: http://www.theguardian.com/uk/2011/dec/08/rioter-profile-hate-police-victimise [Accessed 17 Nov. 2023].</w:t>
      </w:r>
    </w:p>
    <w:p w14:paraId="23729430" w14:textId="77777777" w:rsidR="00D42569" w:rsidRDefault="00D42569" w:rsidP="00D4256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263C55E0" w14:textId="52C9D163" w:rsidR="00D42569" w:rsidRDefault="00D42569" w:rsidP="00D4256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Bryant, R. and Bryant, S. (2014). </w:t>
      </w:r>
      <w:r>
        <w:rPr>
          <w:rFonts w:ascii="Calibri" w:hAnsi="Calibri" w:cs="Calibri"/>
          <w:i/>
          <w:iCs/>
          <w:color w:val="000000"/>
          <w:sz w:val="27"/>
          <w:szCs w:val="27"/>
        </w:rPr>
        <w:t>Blackstone’s Handbook for Policing Students 2015</w:t>
      </w:r>
      <w:r>
        <w:rPr>
          <w:rFonts w:ascii="Calibri" w:hAnsi="Calibri" w:cs="Calibri"/>
          <w:color w:val="000000"/>
          <w:sz w:val="27"/>
          <w:szCs w:val="27"/>
        </w:rPr>
        <w:t>.</w:t>
      </w:r>
    </w:p>
    <w:p w14:paraId="42A62F31" w14:textId="77777777" w:rsidR="00D42569" w:rsidRDefault="00D42569" w:rsidP="00D42569">
      <w:pPr>
        <w:pStyle w:val="NormalWeb"/>
        <w:spacing w:before="0" w:beforeAutospacing="0" w:after="0" w:afterAutospacing="0" w:line="360" w:lineRule="atLeast"/>
        <w:rPr>
          <w:rFonts w:ascii="Calibri" w:hAnsi="Calibri" w:cs="Calibri"/>
          <w:color w:val="000000"/>
          <w:sz w:val="27"/>
          <w:szCs w:val="27"/>
        </w:rPr>
      </w:pPr>
    </w:p>
    <w:p w14:paraId="643EF689" w14:textId="77777777" w:rsidR="006241E0" w:rsidRDefault="006241E0" w:rsidP="006241E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Jefferson, T. and Grimshaw, R. (1984). </w:t>
      </w:r>
      <w:r>
        <w:rPr>
          <w:rFonts w:ascii="Calibri" w:hAnsi="Calibri" w:cs="Calibri"/>
          <w:i/>
          <w:iCs/>
          <w:color w:val="000000"/>
          <w:sz w:val="27"/>
          <w:szCs w:val="27"/>
        </w:rPr>
        <w:t>Controlling the Constable</w:t>
      </w:r>
      <w:r>
        <w:rPr>
          <w:rFonts w:ascii="Calibri" w:hAnsi="Calibri" w:cs="Calibri"/>
          <w:color w:val="000000"/>
          <w:sz w:val="27"/>
          <w:szCs w:val="27"/>
        </w:rPr>
        <w:t>.</w:t>
      </w:r>
    </w:p>
    <w:p w14:paraId="1C8352E2" w14:textId="77777777" w:rsidR="006241E0" w:rsidRDefault="006241E0" w:rsidP="006241E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79B665E3" w14:textId="183AA2C6" w:rsidR="006241E0" w:rsidRDefault="006241E0" w:rsidP="006241E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Grover, C. (2013). </w:t>
      </w:r>
      <w:r>
        <w:rPr>
          <w:rFonts w:ascii="Calibri" w:hAnsi="Calibri" w:cs="Calibri"/>
          <w:i/>
          <w:iCs/>
          <w:color w:val="000000"/>
          <w:sz w:val="27"/>
          <w:szCs w:val="27"/>
        </w:rPr>
        <w:t>Crime and Inequality</w:t>
      </w:r>
      <w:r>
        <w:rPr>
          <w:rFonts w:ascii="Calibri" w:hAnsi="Calibri" w:cs="Calibri"/>
          <w:color w:val="000000"/>
          <w:sz w:val="27"/>
          <w:szCs w:val="27"/>
        </w:rPr>
        <w:t>. Routledge.</w:t>
      </w:r>
    </w:p>
    <w:p w14:paraId="6C5B0A5A" w14:textId="77777777" w:rsidR="006241E0" w:rsidRDefault="006241E0" w:rsidP="006241E0">
      <w:pPr>
        <w:pStyle w:val="NormalWeb"/>
        <w:spacing w:before="0" w:beforeAutospacing="0" w:after="0" w:afterAutospacing="0" w:line="360" w:lineRule="atLeast"/>
        <w:rPr>
          <w:rFonts w:ascii="Calibri" w:hAnsi="Calibri" w:cs="Calibri"/>
          <w:color w:val="000000"/>
          <w:sz w:val="27"/>
          <w:szCs w:val="27"/>
        </w:rPr>
      </w:pPr>
    </w:p>
    <w:p w14:paraId="227D677D" w14:textId="77777777" w:rsidR="001F65EB" w:rsidRDefault="001F65EB" w:rsidP="001F65E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Hibbert, C. and Weinreb, B. (2008). </w:t>
      </w:r>
      <w:r>
        <w:rPr>
          <w:rFonts w:ascii="Calibri" w:hAnsi="Calibri" w:cs="Calibri"/>
          <w:i/>
          <w:iCs/>
          <w:color w:val="000000"/>
          <w:sz w:val="27"/>
          <w:szCs w:val="27"/>
        </w:rPr>
        <w:t>The London encyclopaedia</w:t>
      </w:r>
      <w:r>
        <w:rPr>
          <w:rFonts w:ascii="Calibri" w:hAnsi="Calibri" w:cs="Calibri"/>
          <w:color w:val="000000"/>
          <w:sz w:val="27"/>
          <w:szCs w:val="27"/>
        </w:rPr>
        <w:t>. London: Macmillan.</w:t>
      </w:r>
    </w:p>
    <w:p w14:paraId="75FFE040" w14:textId="6EBE31C7" w:rsidR="001F65EB" w:rsidRDefault="001F65EB" w:rsidP="001F65EB">
      <w:pPr>
        <w:pStyle w:val="NormalWeb"/>
        <w:rPr>
          <w:rFonts w:ascii="Calibri" w:hAnsi="Calibri" w:cs="Calibri"/>
          <w:color w:val="000000"/>
          <w:sz w:val="27"/>
          <w:szCs w:val="27"/>
        </w:rPr>
      </w:pPr>
      <w:r>
        <w:rPr>
          <w:rFonts w:ascii="Calibri" w:hAnsi="Calibri" w:cs="Calibri"/>
          <w:color w:val="000000"/>
          <w:sz w:val="27"/>
          <w:szCs w:val="27"/>
        </w:rPr>
        <w:t>‌Waddington, D.P. (1992). </w:t>
      </w:r>
      <w:r>
        <w:rPr>
          <w:rFonts w:ascii="Calibri" w:hAnsi="Calibri" w:cs="Calibri"/>
          <w:i/>
          <w:iCs/>
          <w:color w:val="000000"/>
          <w:sz w:val="27"/>
          <w:szCs w:val="27"/>
        </w:rPr>
        <w:t xml:space="preserve">Contemporary issues in public </w:t>
      </w:r>
      <w:proofErr w:type="gramStart"/>
      <w:r>
        <w:rPr>
          <w:rFonts w:ascii="Calibri" w:hAnsi="Calibri" w:cs="Calibri"/>
          <w:i/>
          <w:iCs/>
          <w:color w:val="000000"/>
          <w:sz w:val="27"/>
          <w:szCs w:val="27"/>
        </w:rPr>
        <w:t>disorder :</w:t>
      </w:r>
      <w:proofErr w:type="gramEnd"/>
      <w:r>
        <w:rPr>
          <w:rFonts w:ascii="Calibri" w:hAnsi="Calibri" w:cs="Calibri"/>
          <w:i/>
          <w:iCs/>
          <w:color w:val="000000"/>
          <w:sz w:val="27"/>
          <w:szCs w:val="27"/>
        </w:rPr>
        <w:t xml:space="preserve"> a comparative and historical approach</w:t>
      </w:r>
      <w:r>
        <w:rPr>
          <w:rFonts w:ascii="Calibri" w:hAnsi="Calibri" w:cs="Calibri"/>
          <w:color w:val="000000"/>
          <w:sz w:val="27"/>
          <w:szCs w:val="27"/>
        </w:rPr>
        <w:t xml:space="preserve">. </w:t>
      </w:r>
      <w:proofErr w:type="gramStart"/>
      <w:r>
        <w:rPr>
          <w:rFonts w:ascii="Calibri" w:hAnsi="Calibri" w:cs="Calibri"/>
          <w:color w:val="000000"/>
          <w:sz w:val="27"/>
          <w:szCs w:val="27"/>
        </w:rPr>
        <w:t>London ;</w:t>
      </w:r>
      <w:proofErr w:type="gramEnd"/>
      <w:r>
        <w:rPr>
          <w:rFonts w:ascii="Calibri" w:hAnsi="Calibri" w:cs="Calibri"/>
          <w:color w:val="000000"/>
          <w:sz w:val="27"/>
          <w:szCs w:val="27"/>
        </w:rPr>
        <w:t xml:space="preserve"> New York: Routledge.</w:t>
      </w:r>
    </w:p>
    <w:p w14:paraId="0A63508E" w14:textId="77777777" w:rsidR="001F65EB" w:rsidRDefault="001F65EB" w:rsidP="001F65EB">
      <w:pPr>
        <w:pStyle w:val="NormalWeb"/>
        <w:rPr>
          <w:rFonts w:ascii="Calibri" w:hAnsi="Calibri" w:cs="Calibri"/>
          <w:color w:val="000000"/>
          <w:sz w:val="27"/>
          <w:szCs w:val="27"/>
        </w:rPr>
      </w:pPr>
    </w:p>
    <w:p w14:paraId="78F59DBD" w14:textId="77777777" w:rsidR="001F65EB" w:rsidRDefault="001F65EB" w:rsidP="001F65E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BBC (2009). </w:t>
      </w:r>
      <w:r>
        <w:rPr>
          <w:rFonts w:ascii="Calibri" w:hAnsi="Calibri" w:cs="Calibri"/>
          <w:i/>
          <w:iCs/>
          <w:color w:val="000000"/>
          <w:sz w:val="27"/>
          <w:szCs w:val="27"/>
        </w:rPr>
        <w:t>BBC NEWS | Programmes | BBC Parliament | Q&amp;A: The Scarman Report</w:t>
      </w:r>
      <w:r>
        <w:rPr>
          <w:rFonts w:ascii="Calibri" w:hAnsi="Calibri" w:cs="Calibri"/>
          <w:color w:val="000000"/>
          <w:sz w:val="27"/>
          <w:szCs w:val="27"/>
        </w:rPr>
        <w:t>. [online] Bbc.co.uk. Available at: http://news.bbc.co.uk/1/hi/programmes/bbc_parliament/3631579.stm.</w:t>
      </w:r>
    </w:p>
    <w:p w14:paraId="01B14C22" w14:textId="77777777" w:rsidR="001F65EB" w:rsidRDefault="001F65EB" w:rsidP="001F65EB">
      <w:pPr>
        <w:pStyle w:val="NormalWeb"/>
        <w:rPr>
          <w:rFonts w:ascii="Calibri" w:hAnsi="Calibri" w:cs="Calibri"/>
          <w:color w:val="000000"/>
          <w:sz w:val="27"/>
          <w:szCs w:val="27"/>
        </w:rPr>
      </w:pPr>
      <w:r>
        <w:rPr>
          <w:rFonts w:ascii="Calibri" w:hAnsi="Calibri" w:cs="Calibri"/>
          <w:color w:val="000000"/>
          <w:sz w:val="27"/>
          <w:szCs w:val="27"/>
        </w:rPr>
        <w:t>‌</w:t>
      </w:r>
    </w:p>
    <w:p w14:paraId="6D3EA12C" w14:textId="77777777" w:rsidR="001F65EB" w:rsidRDefault="001F65EB" w:rsidP="001F65E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George, L. and Scarman, L. (1982). </w:t>
      </w:r>
      <w:r>
        <w:rPr>
          <w:rFonts w:ascii="Calibri" w:hAnsi="Calibri" w:cs="Calibri"/>
          <w:i/>
          <w:iCs/>
          <w:color w:val="000000"/>
          <w:sz w:val="27"/>
          <w:szCs w:val="27"/>
        </w:rPr>
        <w:t>The Brixton Disorders, 10-12 April 1981</w:t>
      </w:r>
      <w:r>
        <w:rPr>
          <w:rFonts w:ascii="Calibri" w:hAnsi="Calibri" w:cs="Calibri"/>
          <w:color w:val="000000"/>
          <w:sz w:val="27"/>
          <w:szCs w:val="27"/>
        </w:rPr>
        <w:t>.</w:t>
      </w:r>
    </w:p>
    <w:p w14:paraId="16BA0B99" w14:textId="77777777" w:rsidR="001F65EB" w:rsidRDefault="001F65EB" w:rsidP="001F65EB">
      <w:pPr>
        <w:pStyle w:val="NormalWeb"/>
        <w:rPr>
          <w:rFonts w:ascii="Calibri" w:hAnsi="Calibri" w:cs="Calibri"/>
          <w:color w:val="000000"/>
          <w:sz w:val="27"/>
          <w:szCs w:val="27"/>
        </w:rPr>
      </w:pPr>
      <w:r>
        <w:rPr>
          <w:rFonts w:ascii="Calibri" w:hAnsi="Calibri" w:cs="Calibri"/>
          <w:color w:val="000000"/>
          <w:sz w:val="27"/>
          <w:szCs w:val="27"/>
        </w:rPr>
        <w:t>‌</w:t>
      </w:r>
    </w:p>
    <w:p w14:paraId="295A7184" w14:textId="77777777" w:rsidR="001F65EB" w:rsidRDefault="001F65EB" w:rsidP="001F65EB">
      <w:pPr>
        <w:pStyle w:val="NormalWeb"/>
        <w:rPr>
          <w:rFonts w:ascii="Calibri" w:hAnsi="Calibri" w:cs="Calibri"/>
          <w:color w:val="000000"/>
          <w:sz w:val="27"/>
          <w:szCs w:val="27"/>
        </w:rPr>
      </w:pPr>
    </w:p>
    <w:p w14:paraId="3FF72CEC" w14:textId="77777777" w:rsidR="001F65EB" w:rsidRDefault="001F65EB" w:rsidP="001F65EB">
      <w:pPr>
        <w:pStyle w:val="NormalWeb"/>
        <w:rPr>
          <w:rFonts w:ascii="Calibri" w:hAnsi="Calibri" w:cs="Calibri"/>
          <w:color w:val="000000"/>
          <w:sz w:val="27"/>
          <w:szCs w:val="27"/>
        </w:rPr>
      </w:pPr>
    </w:p>
    <w:p w14:paraId="297021D4" w14:textId="77777777" w:rsidR="001F65EB" w:rsidRDefault="001F65EB" w:rsidP="001F65EB">
      <w:pPr>
        <w:pStyle w:val="NormalWeb"/>
        <w:rPr>
          <w:rFonts w:ascii="Calibri" w:hAnsi="Calibri" w:cs="Calibri"/>
          <w:color w:val="000000"/>
          <w:sz w:val="27"/>
          <w:szCs w:val="27"/>
        </w:rPr>
      </w:pPr>
    </w:p>
    <w:p w14:paraId="744AF427" w14:textId="77777777" w:rsidR="001F65EB" w:rsidRDefault="001F65EB" w:rsidP="001F65EB">
      <w:pPr>
        <w:pStyle w:val="NormalWeb"/>
        <w:rPr>
          <w:rFonts w:ascii="Calibri" w:hAnsi="Calibri" w:cs="Calibri"/>
          <w:color w:val="000000"/>
          <w:sz w:val="27"/>
          <w:szCs w:val="27"/>
        </w:rPr>
      </w:pPr>
      <w:r>
        <w:rPr>
          <w:rFonts w:ascii="Calibri" w:hAnsi="Calibri" w:cs="Calibri"/>
          <w:color w:val="000000"/>
          <w:sz w:val="27"/>
          <w:szCs w:val="27"/>
        </w:rPr>
        <w:t>‌</w:t>
      </w:r>
    </w:p>
    <w:p w14:paraId="222FEE03" w14:textId="77777777" w:rsidR="006241E0" w:rsidRDefault="006241E0" w:rsidP="006241E0">
      <w:pPr>
        <w:pStyle w:val="NormalWeb"/>
        <w:spacing w:before="0" w:beforeAutospacing="0" w:after="0" w:afterAutospacing="0" w:line="360" w:lineRule="atLeast"/>
        <w:rPr>
          <w:rFonts w:ascii="Calibri" w:hAnsi="Calibri" w:cs="Calibri"/>
          <w:color w:val="000000"/>
          <w:sz w:val="27"/>
          <w:szCs w:val="27"/>
        </w:rPr>
      </w:pPr>
    </w:p>
    <w:p w14:paraId="656FB032" w14:textId="77777777" w:rsidR="006241E0" w:rsidRDefault="006241E0" w:rsidP="006241E0">
      <w:pPr>
        <w:pStyle w:val="NormalWeb"/>
        <w:rPr>
          <w:rFonts w:ascii="Calibri" w:hAnsi="Calibri" w:cs="Calibri"/>
          <w:color w:val="000000"/>
          <w:sz w:val="27"/>
          <w:szCs w:val="27"/>
        </w:rPr>
      </w:pPr>
      <w:r>
        <w:rPr>
          <w:rFonts w:ascii="Calibri" w:hAnsi="Calibri" w:cs="Calibri"/>
          <w:color w:val="000000"/>
          <w:sz w:val="27"/>
          <w:szCs w:val="27"/>
        </w:rPr>
        <w:t>‌</w:t>
      </w:r>
    </w:p>
    <w:p w14:paraId="5E84DE2E" w14:textId="08C75C63" w:rsidR="006241E0" w:rsidRDefault="006241E0" w:rsidP="006241E0">
      <w:pPr>
        <w:pStyle w:val="NormalWeb"/>
        <w:rPr>
          <w:rFonts w:ascii="Calibri" w:hAnsi="Calibri" w:cs="Calibri"/>
          <w:color w:val="000000"/>
          <w:sz w:val="27"/>
          <w:szCs w:val="27"/>
        </w:rPr>
      </w:pPr>
    </w:p>
    <w:p w14:paraId="04823530" w14:textId="77777777" w:rsidR="00D42569" w:rsidRDefault="00D42569" w:rsidP="00D42569">
      <w:pPr>
        <w:pStyle w:val="NormalWeb"/>
        <w:spacing w:before="0" w:beforeAutospacing="0" w:after="0" w:afterAutospacing="0" w:line="360" w:lineRule="atLeast"/>
        <w:rPr>
          <w:rFonts w:ascii="Calibri" w:hAnsi="Calibri" w:cs="Calibri"/>
          <w:color w:val="000000"/>
          <w:sz w:val="27"/>
          <w:szCs w:val="27"/>
        </w:rPr>
      </w:pPr>
    </w:p>
    <w:p w14:paraId="73B745EB" w14:textId="77777777" w:rsidR="00D42569" w:rsidRDefault="00D42569" w:rsidP="00D42569">
      <w:pPr>
        <w:pStyle w:val="NormalWeb"/>
        <w:rPr>
          <w:rFonts w:ascii="Calibri" w:hAnsi="Calibri" w:cs="Calibri"/>
          <w:color w:val="000000"/>
          <w:sz w:val="27"/>
          <w:szCs w:val="27"/>
        </w:rPr>
      </w:pPr>
      <w:r>
        <w:rPr>
          <w:rFonts w:ascii="Calibri" w:hAnsi="Calibri" w:cs="Calibri"/>
          <w:color w:val="000000"/>
          <w:sz w:val="27"/>
          <w:szCs w:val="27"/>
        </w:rPr>
        <w:t>‌</w:t>
      </w:r>
    </w:p>
    <w:p w14:paraId="77D1429C" w14:textId="59023684" w:rsidR="00D42569" w:rsidRDefault="00D42569" w:rsidP="00D42569">
      <w:pPr>
        <w:pStyle w:val="NormalWeb"/>
        <w:rPr>
          <w:rFonts w:ascii="Calibri" w:hAnsi="Calibri" w:cs="Calibri"/>
          <w:color w:val="000000"/>
          <w:sz w:val="27"/>
          <w:szCs w:val="27"/>
        </w:rPr>
      </w:pPr>
    </w:p>
    <w:p w14:paraId="14ED699D" w14:textId="705DD035" w:rsidR="00D42569" w:rsidRDefault="00D42569" w:rsidP="00D42569">
      <w:pPr>
        <w:pStyle w:val="NormalWeb"/>
        <w:spacing w:before="0" w:beforeAutospacing="0" w:after="0" w:afterAutospacing="0" w:line="360" w:lineRule="atLeast"/>
        <w:rPr>
          <w:rFonts w:ascii="Calibri" w:hAnsi="Calibri" w:cs="Calibri"/>
          <w:color w:val="000000"/>
          <w:sz w:val="27"/>
          <w:szCs w:val="27"/>
        </w:rPr>
      </w:pPr>
    </w:p>
    <w:p w14:paraId="6E398B9B" w14:textId="77777777" w:rsidR="00D42569" w:rsidRDefault="00D42569" w:rsidP="00D42569">
      <w:pPr>
        <w:pStyle w:val="NormalWeb"/>
        <w:rPr>
          <w:rFonts w:ascii="Calibri" w:hAnsi="Calibri" w:cs="Calibri"/>
          <w:color w:val="000000"/>
          <w:sz w:val="27"/>
          <w:szCs w:val="27"/>
        </w:rPr>
      </w:pPr>
      <w:r>
        <w:rPr>
          <w:rFonts w:ascii="Calibri" w:hAnsi="Calibri" w:cs="Calibri"/>
          <w:color w:val="000000"/>
          <w:sz w:val="27"/>
          <w:szCs w:val="27"/>
        </w:rPr>
        <w:t>‌</w:t>
      </w:r>
    </w:p>
    <w:p w14:paraId="1CFCEB6A" w14:textId="30ADAB5A" w:rsidR="00D42569" w:rsidRDefault="00D42569" w:rsidP="00D42569">
      <w:pPr>
        <w:pStyle w:val="NormalWeb"/>
        <w:rPr>
          <w:rFonts w:ascii="Calibri" w:hAnsi="Calibri" w:cs="Calibri"/>
          <w:color w:val="000000"/>
          <w:sz w:val="27"/>
          <w:szCs w:val="27"/>
        </w:rPr>
      </w:pPr>
    </w:p>
    <w:p w14:paraId="6DC4B10D" w14:textId="77777777" w:rsidR="00D42569" w:rsidRPr="00D42569" w:rsidRDefault="00D42569" w:rsidP="00D42569"/>
    <w:p w14:paraId="30A7D667" w14:textId="77777777" w:rsidR="00D42569" w:rsidRPr="008F0B76" w:rsidRDefault="00D42569" w:rsidP="00001057">
      <w:pPr>
        <w:ind w:firstLine="720"/>
        <w:rPr>
          <w:rFonts w:cstheme="minorHAnsi"/>
          <w:sz w:val="24"/>
          <w:szCs w:val="24"/>
        </w:rPr>
      </w:pPr>
    </w:p>
    <w:p w14:paraId="7B77169A" w14:textId="77777777" w:rsidR="00026BCB" w:rsidRPr="00026BCB" w:rsidRDefault="00026BCB" w:rsidP="00026BCB">
      <w:pPr>
        <w:ind w:firstLine="720"/>
        <w:rPr>
          <w:rFonts w:cstheme="minorHAnsi"/>
          <w:sz w:val="24"/>
          <w:szCs w:val="24"/>
          <w:shd w:val="clear" w:color="auto" w:fill="FFFFFF"/>
        </w:rPr>
      </w:pPr>
    </w:p>
    <w:sectPr w:rsidR="00026BCB" w:rsidRPr="00026B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497D"/>
    <w:rsid w:val="00001057"/>
    <w:rsid w:val="00026BCB"/>
    <w:rsid w:val="000B1618"/>
    <w:rsid w:val="001F65EB"/>
    <w:rsid w:val="003B497D"/>
    <w:rsid w:val="00483F7D"/>
    <w:rsid w:val="005E0068"/>
    <w:rsid w:val="006241E0"/>
    <w:rsid w:val="006E3079"/>
    <w:rsid w:val="00774866"/>
    <w:rsid w:val="00781180"/>
    <w:rsid w:val="008F0B76"/>
    <w:rsid w:val="00BE700C"/>
    <w:rsid w:val="00C635EA"/>
    <w:rsid w:val="00CF44B7"/>
    <w:rsid w:val="00D42569"/>
    <w:rsid w:val="00D43F56"/>
    <w:rsid w:val="00D71747"/>
    <w:rsid w:val="00D77F69"/>
    <w:rsid w:val="00E541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147AD7"/>
  <w15:chartTrackingRefBased/>
  <w15:docId w15:val="{D6E92CBC-7B2E-4E41-B0DA-A3C559EEA9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256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7486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4866"/>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D42569"/>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D4256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6859994">
      <w:bodyDiv w:val="1"/>
      <w:marLeft w:val="0"/>
      <w:marRight w:val="0"/>
      <w:marTop w:val="0"/>
      <w:marBottom w:val="0"/>
      <w:divBdr>
        <w:top w:val="none" w:sz="0" w:space="0" w:color="auto"/>
        <w:left w:val="none" w:sz="0" w:space="0" w:color="auto"/>
        <w:bottom w:val="none" w:sz="0" w:space="0" w:color="auto"/>
        <w:right w:val="none" w:sz="0" w:space="0" w:color="auto"/>
      </w:divBdr>
    </w:div>
    <w:div w:id="245382688">
      <w:bodyDiv w:val="1"/>
      <w:marLeft w:val="0"/>
      <w:marRight w:val="0"/>
      <w:marTop w:val="0"/>
      <w:marBottom w:val="0"/>
      <w:divBdr>
        <w:top w:val="none" w:sz="0" w:space="0" w:color="auto"/>
        <w:left w:val="none" w:sz="0" w:space="0" w:color="auto"/>
        <w:bottom w:val="none" w:sz="0" w:space="0" w:color="auto"/>
        <w:right w:val="none" w:sz="0" w:space="0" w:color="auto"/>
      </w:divBdr>
    </w:div>
    <w:div w:id="317808351">
      <w:bodyDiv w:val="1"/>
      <w:marLeft w:val="0"/>
      <w:marRight w:val="0"/>
      <w:marTop w:val="0"/>
      <w:marBottom w:val="0"/>
      <w:divBdr>
        <w:top w:val="none" w:sz="0" w:space="0" w:color="auto"/>
        <w:left w:val="none" w:sz="0" w:space="0" w:color="auto"/>
        <w:bottom w:val="none" w:sz="0" w:space="0" w:color="auto"/>
        <w:right w:val="none" w:sz="0" w:space="0" w:color="auto"/>
      </w:divBdr>
    </w:div>
    <w:div w:id="368723863">
      <w:bodyDiv w:val="1"/>
      <w:marLeft w:val="0"/>
      <w:marRight w:val="0"/>
      <w:marTop w:val="0"/>
      <w:marBottom w:val="0"/>
      <w:divBdr>
        <w:top w:val="none" w:sz="0" w:space="0" w:color="auto"/>
        <w:left w:val="none" w:sz="0" w:space="0" w:color="auto"/>
        <w:bottom w:val="none" w:sz="0" w:space="0" w:color="auto"/>
        <w:right w:val="none" w:sz="0" w:space="0" w:color="auto"/>
      </w:divBdr>
    </w:div>
    <w:div w:id="397048056">
      <w:bodyDiv w:val="1"/>
      <w:marLeft w:val="0"/>
      <w:marRight w:val="0"/>
      <w:marTop w:val="0"/>
      <w:marBottom w:val="0"/>
      <w:divBdr>
        <w:top w:val="none" w:sz="0" w:space="0" w:color="auto"/>
        <w:left w:val="none" w:sz="0" w:space="0" w:color="auto"/>
        <w:bottom w:val="none" w:sz="0" w:space="0" w:color="auto"/>
        <w:right w:val="none" w:sz="0" w:space="0" w:color="auto"/>
      </w:divBdr>
      <w:divsChild>
        <w:div w:id="1266353130">
          <w:marLeft w:val="0"/>
          <w:marRight w:val="0"/>
          <w:marTop w:val="0"/>
          <w:marBottom w:val="0"/>
          <w:divBdr>
            <w:top w:val="none" w:sz="0" w:space="0" w:color="auto"/>
            <w:left w:val="none" w:sz="0" w:space="0" w:color="auto"/>
            <w:bottom w:val="none" w:sz="0" w:space="0" w:color="auto"/>
            <w:right w:val="none" w:sz="0" w:space="0" w:color="auto"/>
          </w:divBdr>
        </w:div>
        <w:div w:id="688990004">
          <w:marLeft w:val="0"/>
          <w:marRight w:val="0"/>
          <w:marTop w:val="0"/>
          <w:marBottom w:val="0"/>
          <w:divBdr>
            <w:top w:val="none" w:sz="0" w:space="0" w:color="auto"/>
            <w:left w:val="none" w:sz="0" w:space="0" w:color="auto"/>
            <w:bottom w:val="none" w:sz="0" w:space="0" w:color="auto"/>
            <w:right w:val="none" w:sz="0" w:space="0" w:color="auto"/>
          </w:divBdr>
        </w:div>
        <w:div w:id="2140176200">
          <w:marLeft w:val="0"/>
          <w:marRight w:val="0"/>
          <w:marTop w:val="0"/>
          <w:marBottom w:val="0"/>
          <w:divBdr>
            <w:top w:val="none" w:sz="0" w:space="0" w:color="auto"/>
            <w:left w:val="none" w:sz="0" w:space="0" w:color="auto"/>
            <w:bottom w:val="none" w:sz="0" w:space="0" w:color="auto"/>
            <w:right w:val="none" w:sz="0" w:space="0" w:color="auto"/>
          </w:divBdr>
        </w:div>
        <w:div w:id="568923485">
          <w:marLeft w:val="0"/>
          <w:marRight w:val="0"/>
          <w:marTop w:val="0"/>
          <w:marBottom w:val="0"/>
          <w:divBdr>
            <w:top w:val="none" w:sz="0" w:space="0" w:color="auto"/>
            <w:left w:val="none" w:sz="0" w:space="0" w:color="auto"/>
            <w:bottom w:val="none" w:sz="0" w:space="0" w:color="auto"/>
            <w:right w:val="none" w:sz="0" w:space="0" w:color="auto"/>
          </w:divBdr>
        </w:div>
      </w:divsChild>
    </w:div>
    <w:div w:id="463042865">
      <w:bodyDiv w:val="1"/>
      <w:marLeft w:val="0"/>
      <w:marRight w:val="0"/>
      <w:marTop w:val="0"/>
      <w:marBottom w:val="0"/>
      <w:divBdr>
        <w:top w:val="none" w:sz="0" w:space="0" w:color="auto"/>
        <w:left w:val="none" w:sz="0" w:space="0" w:color="auto"/>
        <w:bottom w:val="none" w:sz="0" w:space="0" w:color="auto"/>
        <w:right w:val="none" w:sz="0" w:space="0" w:color="auto"/>
      </w:divBdr>
      <w:divsChild>
        <w:div w:id="509754304">
          <w:marLeft w:val="0"/>
          <w:marRight w:val="0"/>
          <w:marTop w:val="0"/>
          <w:marBottom w:val="0"/>
          <w:divBdr>
            <w:top w:val="none" w:sz="0" w:space="0" w:color="auto"/>
            <w:left w:val="none" w:sz="0" w:space="0" w:color="auto"/>
            <w:bottom w:val="none" w:sz="0" w:space="0" w:color="auto"/>
            <w:right w:val="none" w:sz="0" w:space="0" w:color="auto"/>
          </w:divBdr>
        </w:div>
        <w:div w:id="1255548942">
          <w:marLeft w:val="0"/>
          <w:marRight w:val="0"/>
          <w:marTop w:val="0"/>
          <w:marBottom w:val="0"/>
          <w:divBdr>
            <w:top w:val="none" w:sz="0" w:space="0" w:color="auto"/>
            <w:left w:val="none" w:sz="0" w:space="0" w:color="auto"/>
            <w:bottom w:val="none" w:sz="0" w:space="0" w:color="auto"/>
            <w:right w:val="none" w:sz="0" w:space="0" w:color="auto"/>
          </w:divBdr>
        </w:div>
        <w:div w:id="826365004">
          <w:marLeft w:val="0"/>
          <w:marRight w:val="0"/>
          <w:marTop w:val="0"/>
          <w:marBottom w:val="0"/>
          <w:divBdr>
            <w:top w:val="none" w:sz="0" w:space="0" w:color="auto"/>
            <w:left w:val="none" w:sz="0" w:space="0" w:color="auto"/>
            <w:bottom w:val="none" w:sz="0" w:space="0" w:color="auto"/>
            <w:right w:val="none" w:sz="0" w:space="0" w:color="auto"/>
          </w:divBdr>
        </w:div>
        <w:div w:id="294144888">
          <w:marLeft w:val="0"/>
          <w:marRight w:val="0"/>
          <w:marTop w:val="0"/>
          <w:marBottom w:val="0"/>
          <w:divBdr>
            <w:top w:val="none" w:sz="0" w:space="0" w:color="auto"/>
            <w:left w:val="none" w:sz="0" w:space="0" w:color="auto"/>
            <w:bottom w:val="none" w:sz="0" w:space="0" w:color="auto"/>
            <w:right w:val="none" w:sz="0" w:space="0" w:color="auto"/>
          </w:divBdr>
        </w:div>
        <w:div w:id="1577402112">
          <w:marLeft w:val="0"/>
          <w:marRight w:val="0"/>
          <w:marTop w:val="0"/>
          <w:marBottom w:val="0"/>
          <w:divBdr>
            <w:top w:val="none" w:sz="0" w:space="0" w:color="auto"/>
            <w:left w:val="none" w:sz="0" w:space="0" w:color="auto"/>
            <w:bottom w:val="none" w:sz="0" w:space="0" w:color="auto"/>
            <w:right w:val="none" w:sz="0" w:space="0" w:color="auto"/>
          </w:divBdr>
        </w:div>
        <w:div w:id="2136287956">
          <w:marLeft w:val="0"/>
          <w:marRight w:val="0"/>
          <w:marTop w:val="0"/>
          <w:marBottom w:val="0"/>
          <w:divBdr>
            <w:top w:val="none" w:sz="0" w:space="0" w:color="auto"/>
            <w:left w:val="none" w:sz="0" w:space="0" w:color="auto"/>
            <w:bottom w:val="none" w:sz="0" w:space="0" w:color="auto"/>
            <w:right w:val="none" w:sz="0" w:space="0" w:color="auto"/>
          </w:divBdr>
        </w:div>
      </w:divsChild>
    </w:div>
    <w:div w:id="465971825">
      <w:bodyDiv w:val="1"/>
      <w:marLeft w:val="0"/>
      <w:marRight w:val="0"/>
      <w:marTop w:val="0"/>
      <w:marBottom w:val="0"/>
      <w:divBdr>
        <w:top w:val="none" w:sz="0" w:space="0" w:color="auto"/>
        <w:left w:val="none" w:sz="0" w:space="0" w:color="auto"/>
        <w:bottom w:val="none" w:sz="0" w:space="0" w:color="auto"/>
        <w:right w:val="none" w:sz="0" w:space="0" w:color="auto"/>
      </w:divBdr>
    </w:div>
    <w:div w:id="484976825">
      <w:bodyDiv w:val="1"/>
      <w:marLeft w:val="0"/>
      <w:marRight w:val="0"/>
      <w:marTop w:val="0"/>
      <w:marBottom w:val="0"/>
      <w:divBdr>
        <w:top w:val="none" w:sz="0" w:space="0" w:color="auto"/>
        <w:left w:val="none" w:sz="0" w:space="0" w:color="auto"/>
        <w:bottom w:val="none" w:sz="0" w:space="0" w:color="auto"/>
        <w:right w:val="none" w:sz="0" w:space="0" w:color="auto"/>
      </w:divBdr>
    </w:div>
    <w:div w:id="657922216">
      <w:bodyDiv w:val="1"/>
      <w:marLeft w:val="0"/>
      <w:marRight w:val="0"/>
      <w:marTop w:val="0"/>
      <w:marBottom w:val="0"/>
      <w:divBdr>
        <w:top w:val="none" w:sz="0" w:space="0" w:color="auto"/>
        <w:left w:val="none" w:sz="0" w:space="0" w:color="auto"/>
        <w:bottom w:val="none" w:sz="0" w:space="0" w:color="auto"/>
        <w:right w:val="none" w:sz="0" w:space="0" w:color="auto"/>
      </w:divBdr>
    </w:div>
    <w:div w:id="1094285012">
      <w:bodyDiv w:val="1"/>
      <w:marLeft w:val="0"/>
      <w:marRight w:val="0"/>
      <w:marTop w:val="0"/>
      <w:marBottom w:val="0"/>
      <w:divBdr>
        <w:top w:val="none" w:sz="0" w:space="0" w:color="auto"/>
        <w:left w:val="none" w:sz="0" w:space="0" w:color="auto"/>
        <w:bottom w:val="none" w:sz="0" w:space="0" w:color="auto"/>
        <w:right w:val="none" w:sz="0" w:space="0" w:color="auto"/>
      </w:divBdr>
      <w:divsChild>
        <w:div w:id="219828841">
          <w:marLeft w:val="0"/>
          <w:marRight w:val="0"/>
          <w:marTop w:val="0"/>
          <w:marBottom w:val="0"/>
          <w:divBdr>
            <w:top w:val="none" w:sz="0" w:space="0" w:color="auto"/>
            <w:left w:val="none" w:sz="0" w:space="0" w:color="auto"/>
            <w:bottom w:val="none" w:sz="0" w:space="0" w:color="auto"/>
            <w:right w:val="none" w:sz="0" w:space="0" w:color="auto"/>
          </w:divBdr>
        </w:div>
        <w:div w:id="686251384">
          <w:marLeft w:val="0"/>
          <w:marRight w:val="0"/>
          <w:marTop w:val="0"/>
          <w:marBottom w:val="0"/>
          <w:divBdr>
            <w:top w:val="none" w:sz="0" w:space="0" w:color="auto"/>
            <w:left w:val="none" w:sz="0" w:space="0" w:color="auto"/>
            <w:bottom w:val="none" w:sz="0" w:space="0" w:color="auto"/>
            <w:right w:val="none" w:sz="0" w:space="0" w:color="auto"/>
          </w:divBdr>
        </w:div>
        <w:div w:id="1567185109">
          <w:marLeft w:val="0"/>
          <w:marRight w:val="0"/>
          <w:marTop w:val="0"/>
          <w:marBottom w:val="0"/>
          <w:divBdr>
            <w:top w:val="none" w:sz="0" w:space="0" w:color="auto"/>
            <w:left w:val="none" w:sz="0" w:space="0" w:color="auto"/>
            <w:bottom w:val="none" w:sz="0" w:space="0" w:color="auto"/>
            <w:right w:val="none" w:sz="0" w:space="0" w:color="auto"/>
          </w:divBdr>
        </w:div>
        <w:div w:id="27727653">
          <w:marLeft w:val="0"/>
          <w:marRight w:val="0"/>
          <w:marTop w:val="0"/>
          <w:marBottom w:val="0"/>
          <w:divBdr>
            <w:top w:val="none" w:sz="0" w:space="0" w:color="auto"/>
            <w:left w:val="none" w:sz="0" w:space="0" w:color="auto"/>
            <w:bottom w:val="none" w:sz="0" w:space="0" w:color="auto"/>
            <w:right w:val="none" w:sz="0" w:space="0" w:color="auto"/>
          </w:divBdr>
        </w:div>
        <w:div w:id="68626100">
          <w:marLeft w:val="0"/>
          <w:marRight w:val="0"/>
          <w:marTop w:val="0"/>
          <w:marBottom w:val="0"/>
          <w:divBdr>
            <w:top w:val="none" w:sz="0" w:space="0" w:color="auto"/>
            <w:left w:val="none" w:sz="0" w:space="0" w:color="auto"/>
            <w:bottom w:val="none" w:sz="0" w:space="0" w:color="auto"/>
            <w:right w:val="none" w:sz="0" w:space="0" w:color="auto"/>
          </w:divBdr>
        </w:div>
        <w:div w:id="1293052764">
          <w:marLeft w:val="0"/>
          <w:marRight w:val="0"/>
          <w:marTop w:val="0"/>
          <w:marBottom w:val="0"/>
          <w:divBdr>
            <w:top w:val="none" w:sz="0" w:space="0" w:color="auto"/>
            <w:left w:val="none" w:sz="0" w:space="0" w:color="auto"/>
            <w:bottom w:val="none" w:sz="0" w:space="0" w:color="auto"/>
            <w:right w:val="none" w:sz="0" w:space="0" w:color="auto"/>
          </w:divBdr>
        </w:div>
      </w:divsChild>
    </w:div>
    <w:div w:id="1532259899">
      <w:bodyDiv w:val="1"/>
      <w:marLeft w:val="0"/>
      <w:marRight w:val="0"/>
      <w:marTop w:val="0"/>
      <w:marBottom w:val="0"/>
      <w:divBdr>
        <w:top w:val="none" w:sz="0" w:space="0" w:color="auto"/>
        <w:left w:val="none" w:sz="0" w:space="0" w:color="auto"/>
        <w:bottom w:val="none" w:sz="0" w:space="0" w:color="auto"/>
        <w:right w:val="none" w:sz="0" w:space="0" w:color="auto"/>
      </w:divBdr>
    </w:div>
    <w:div w:id="1618366023">
      <w:bodyDiv w:val="1"/>
      <w:marLeft w:val="0"/>
      <w:marRight w:val="0"/>
      <w:marTop w:val="0"/>
      <w:marBottom w:val="0"/>
      <w:divBdr>
        <w:top w:val="none" w:sz="0" w:space="0" w:color="auto"/>
        <w:left w:val="none" w:sz="0" w:space="0" w:color="auto"/>
        <w:bottom w:val="none" w:sz="0" w:space="0" w:color="auto"/>
        <w:right w:val="none" w:sz="0" w:space="0" w:color="auto"/>
      </w:divBdr>
    </w:div>
    <w:div w:id="1896889927">
      <w:bodyDiv w:val="1"/>
      <w:marLeft w:val="0"/>
      <w:marRight w:val="0"/>
      <w:marTop w:val="0"/>
      <w:marBottom w:val="0"/>
      <w:divBdr>
        <w:top w:val="none" w:sz="0" w:space="0" w:color="auto"/>
        <w:left w:val="none" w:sz="0" w:space="0" w:color="auto"/>
        <w:bottom w:val="none" w:sz="0" w:space="0" w:color="auto"/>
        <w:right w:val="none" w:sz="0" w:space="0" w:color="auto"/>
      </w:divBdr>
    </w:div>
    <w:div w:id="1963077505">
      <w:bodyDiv w:val="1"/>
      <w:marLeft w:val="0"/>
      <w:marRight w:val="0"/>
      <w:marTop w:val="0"/>
      <w:marBottom w:val="0"/>
      <w:divBdr>
        <w:top w:val="none" w:sz="0" w:space="0" w:color="auto"/>
        <w:left w:val="none" w:sz="0" w:space="0" w:color="auto"/>
        <w:bottom w:val="none" w:sz="0" w:space="0" w:color="auto"/>
        <w:right w:val="none" w:sz="0" w:space="0" w:color="auto"/>
      </w:divBdr>
      <w:divsChild>
        <w:div w:id="234946882">
          <w:marLeft w:val="0"/>
          <w:marRight w:val="0"/>
          <w:marTop w:val="0"/>
          <w:marBottom w:val="0"/>
          <w:divBdr>
            <w:top w:val="none" w:sz="0" w:space="0" w:color="auto"/>
            <w:left w:val="none" w:sz="0" w:space="0" w:color="auto"/>
            <w:bottom w:val="none" w:sz="0" w:space="0" w:color="auto"/>
            <w:right w:val="none" w:sz="0" w:space="0" w:color="auto"/>
          </w:divBdr>
        </w:div>
        <w:div w:id="1297099404">
          <w:marLeft w:val="0"/>
          <w:marRight w:val="0"/>
          <w:marTop w:val="0"/>
          <w:marBottom w:val="0"/>
          <w:divBdr>
            <w:top w:val="none" w:sz="0" w:space="0" w:color="auto"/>
            <w:left w:val="none" w:sz="0" w:space="0" w:color="auto"/>
            <w:bottom w:val="none" w:sz="0" w:space="0" w:color="auto"/>
            <w:right w:val="none" w:sz="0" w:space="0" w:color="auto"/>
          </w:divBdr>
        </w:div>
        <w:div w:id="1582910864">
          <w:marLeft w:val="0"/>
          <w:marRight w:val="0"/>
          <w:marTop w:val="0"/>
          <w:marBottom w:val="0"/>
          <w:divBdr>
            <w:top w:val="none" w:sz="0" w:space="0" w:color="auto"/>
            <w:left w:val="none" w:sz="0" w:space="0" w:color="auto"/>
            <w:bottom w:val="none" w:sz="0" w:space="0" w:color="auto"/>
            <w:right w:val="none" w:sz="0" w:space="0" w:color="auto"/>
          </w:divBdr>
        </w:div>
        <w:div w:id="82840185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209</TotalTime>
  <Pages>6</Pages>
  <Words>1651</Words>
  <Characters>9412</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Teo Catalin</dc:creator>
  <cp:keywords/>
  <dc:description/>
  <cp:lastModifiedBy>Teo Catalin</cp:lastModifiedBy>
  <cp:revision>4</cp:revision>
  <dcterms:created xsi:type="dcterms:W3CDTF">2023-11-17T12:27:00Z</dcterms:created>
  <dcterms:modified xsi:type="dcterms:W3CDTF">2023-11-17T16:02:00Z</dcterms:modified>
</cp:coreProperties>
</file>