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6E0148" w14:textId="77777777" w:rsidR="00096AD9" w:rsidRPr="00E773F5" w:rsidRDefault="00096AD9" w:rsidP="00870FDA">
      <w:pPr>
        <w:spacing w:after="0" w:line="480" w:lineRule="auto"/>
        <w:jc w:val="center"/>
        <w:rPr>
          <w:rFonts w:ascii="Times New Roman" w:hAnsi="Times New Roman" w:cs="Times New Roman"/>
          <w:sz w:val="24"/>
          <w:szCs w:val="24"/>
        </w:rPr>
      </w:pPr>
    </w:p>
    <w:p w14:paraId="7C33EC63" w14:textId="77777777" w:rsidR="00096AD9" w:rsidRPr="00E773F5" w:rsidRDefault="00096AD9" w:rsidP="00870FDA">
      <w:pPr>
        <w:spacing w:after="0" w:line="480" w:lineRule="auto"/>
        <w:jc w:val="center"/>
        <w:rPr>
          <w:rFonts w:ascii="Times New Roman" w:hAnsi="Times New Roman" w:cs="Times New Roman"/>
          <w:sz w:val="24"/>
          <w:szCs w:val="24"/>
        </w:rPr>
      </w:pPr>
    </w:p>
    <w:p w14:paraId="6F008BDF" w14:textId="77777777" w:rsidR="00096AD9" w:rsidRPr="00E773F5" w:rsidRDefault="00096AD9" w:rsidP="00870FDA">
      <w:pPr>
        <w:spacing w:after="0" w:line="480" w:lineRule="auto"/>
        <w:jc w:val="center"/>
        <w:rPr>
          <w:rFonts w:ascii="Times New Roman" w:hAnsi="Times New Roman" w:cs="Times New Roman"/>
          <w:sz w:val="24"/>
          <w:szCs w:val="24"/>
        </w:rPr>
      </w:pPr>
    </w:p>
    <w:p w14:paraId="0302D83C" w14:textId="5A1A87AE" w:rsidR="0093301B" w:rsidRDefault="007830AB" w:rsidP="00870FDA">
      <w:pPr>
        <w:spacing w:after="0" w:line="480" w:lineRule="auto"/>
        <w:jc w:val="center"/>
        <w:rPr>
          <w:rFonts w:ascii="Times New Roman" w:hAnsi="Times New Roman" w:cs="Times New Roman"/>
          <w:sz w:val="24"/>
          <w:szCs w:val="24"/>
        </w:rPr>
      </w:pPr>
      <w:r w:rsidRPr="00E773F5">
        <w:rPr>
          <w:rFonts w:ascii="Times New Roman" w:hAnsi="Times New Roman" w:cs="Times New Roman"/>
          <w:sz w:val="24"/>
          <w:szCs w:val="24"/>
        </w:rPr>
        <w:t>EMPLOYEE ENGAGEMENT</w:t>
      </w:r>
    </w:p>
    <w:p w14:paraId="46D41054" w14:textId="5083327E" w:rsidR="003246C1" w:rsidRDefault="003246C1" w:rsidP="00870FDA">
      <w:pPr>
        <w:spacing w:after="0" w:line="480" w:lineRule="auto"/>
        <w:jc w:val="center"/>
        <w:rPr>
          <w:rFonts w:ascii="Times New Roman" w:hAnsi="Times New Roman" w:cs="Times New Roman"/>
          <w:sz w:val="24"/>
          <w:szCs w:val="24"/>
        </w:rPr>
      </w:pPr>
    </w:p>
    <w:p w14:paraId="5434ECA8" w14:textId="0D67BD8E" w:rsidR="003246C1" w:rsidRDefault="003246C1" w:rsidP="00870FDA">
      <w:pPr>
        <w:spacing w:after="0" w:line="480" w:lineRule="auto"/>
        <w:jc w:val="center"/>
        <w:rPr>
          <w:rFonts w:ascii="Times New Roman" w:hAnsi="Times New Roman" w:cs="Times New Roman"/>
          <w:sz w:val="24"/>
          <w:szCs w:val="24"/>
        </w:rPr>
      </w:pPr>
    </w:p>
    <w:p w14:paraId="5FDF9FDD" w14:textId="77777777" w:rsidR="003246C1" w:rsidRDefault="003246C1" w:rsidP="00870FDA">
      <w:pPr>
        <w:spacing w:after="0" w:line="480" w:lineRule="auto"/>
        <w:jc w:val="center"/>
        <w:rPr>
          <w:rFonts w:ascii="Times New Roman" w:hAnsi="Times New Roman" w:cs="Times New Roman"/>
          <w:sz w:val="24"/>
          <w:szCs w:val="24"/>
        </w:rPr>
      </w:pPr>
    </w:p>
    <w:p w14:paraId="20117DF9" w14:textId="77777777" w:rsidR="003246C1" w:rsidRDefault="003246C1" w:rsidP="003246C1">
      <w:pPr>
        <w:spacing w:after="0" w:line="480" w:lineRule="auto"/>
        <w:rPr>
          <w:rFonts w:ascii="Times New Roman" w:hAnsi="Times New Roman" w:cs="Times New Roman"/>
          <w:sz w:val="24"/>
          <w:szCs w:val="24"/>
        </w:rPr>
      </w:pPr>
      <w:r>
        <w:rPr>
          <w:rFonts w:ascii="Times New Roman" w:hAnsi="Times New Roman" w:cs="Times New Roman"/>
          <w:sz w:val="24"/>
          <w:szCs w:val="24"/>
        </w:rPr>
        <w:t>Student’s Name:Andreea Diana Carabus(1914045)</w:t>
      </w:r>
    </w:p>
    <w:p w14:paraId="3171E3B4" w14:textId="457B2399" w:rsidR="00096AD9" w:rsidRPr="00E773F5" w:rsidRDefault="003246C1" w:rsidP="003246C1">
      <w:pPr>
        <w:spacing w:after="0" w:line="480" w:lineRule="auto"/>
        <w:rPr>
          <w:rFonts w:ascii="Times New Roman" w:hAnsi="Times New Roman" w:cs="Times New Roman"/>
          <w:sz w:val="24"/>
          <w:szCs w:val="24"/>
        </w:rPr>
      </w:pPr>
      <w:r>
        <w:rPr>
          <w:rFonts w:ascii="Times New Roman" w:hAnsi="Times New Roman" w:cs="Times New Roman"/>
          <w:sz w:val="24"/>
          <w:szCs w:val="24"/>
        </w:rPr>
        <w:t>Module:Managing People</w:t>
      </w:r>
    </w:p>
    <w:p w14:paraId="6E67FCB9" w14:textId="5896FDCC" w:rsidR="00096AD9" w:rsidRPr="00E773F5" w:rsidRDefault="003246C1" w:rsidP="003246C1">
      <w:pPr>
        <w:spacing w:after="0" w:line="480" w:lineRule="auto"/>
        <w:rPr>
          <w:rFonts w:ascii="Times New Roman" w:hAnsi="Times New Roman" w:cs="Times New Roman"/>
          <w:sz w:val="24"/>
          <w:szCs w:val="24"/>
        </w:rPr>
      </w:pPr>
      <w:r>
        <w:rPr>
          <w:rFonts w:ascii="Times New Roman" w:hAnsi="Times New Roman" w:cs="Times New Roman"/>
          <w:sz w:val="24"/>
          <w:szCs w:val="24"/>
        </w:rPr>
        <w:t>Lecturer:Tanja Nathan</w:t>
      </w:r>
    </w:p>
    <w:p w14:paraId="26572AA9" w14:textId="2DE5DD35" w:rsidR="00096AD9" w:rsidRPr="00E773F5" w:rsidRDefault="00096AD9" w:rsidP="003246C1">
      <w:pPr>
        <w:spacing w:after="0" w:line="480" w:lineRule="auto"/>
        <w:rPr>
          <w:rFonts w:ascii="Times New Roman" w:hAnsi="Times New Roman" w:cs="Times New Roman"/>
          <w:sz w:val="24"/>
          <w:szCs w:val="24"/>
        </w:rPr>
      </w:pPr>
      <w:r w:rsidRPr="00E773F5">
        <w:rPr>
          <w:rFonts w:ascii="Times New Roman" w:hAnsi="Times New Roman" w:cs="Times New Roman"/>
          <w:sz w:val="24"/>
          <w:szCs w:val="24"/>
        </w:rPr>
        <w:t>Date</w:t>
      </w:r>
      <w:r w:rsidR="003246C1">
        <w:rPr>
          <w:rFonts w:ascii="Times New Roman" w:hAnsi="Times New Roman" w:cs="Times New Roman"/>
          <w:sz w:val="24"/>
          <w:szCs w:val="24"/>
        </w:rPr>
        <w:t>:01.09.2021</w:t>
      </w:r>
    </w:p>
    <w:p w14:paraId="790C6D22" w14:textId="77777777" w:rsidR="00096AD9" w:rsidRPr="00E773F5" w:rsidRDefault="00096AD9" w:rsidP="00870FDA">
      <w:pPr>
        <w:spacing w:after="0" w:line="480" w:lineRule="auto"/>
        <w:rPr>
          <w:rFonts w:ascii="Times New Roman" w:hAnsi="Times New Roman" w:cs="Times New Roman"/>
          <w:sz w:val="24"/>
          <w:szCs w:val="24"/>
        </w:rPr>
      </w:pPr>
      <w:r w:rsidRPr="00E773F5">
        <w:rPr>
          <w:rFonts w:ascii="Times New Roman" w:hAnsi="Times New Roman" w:cs="Times New Roman"/>
          <w:sz w:val="24"/>
          <w:szCs w:val="24"/>
        </w:rPr>
        <w:br w:type="page"/>
      </w:r>
    </w:p>
    <w:p w14:paraId="6CC3A616" w14:textId="77777777" w:rsidR="00096AD9" w:rsidRPr="00E773F5" w:rsidRDefault="00870F89" w:rsidP="00870FDA">
      <w:pPr>
        <w:spacing w:after="0" w:line="480" w:lineRule="auto"/>
        <w:jc w:val="center"/>
        <w:rPr>
          <w:rFonts w:ascii="Times New Roman" w:hAnsi="Times New Roman" w:cs="Times New Roman"/>
          <w:sz w:val="24"/>
          <w:szCs w:val="24"/>
        </w:rPr>
      </w:pPr>
      <w:r w:rsidRPr="00E773F5">
        <w:rPr>
          <w:rFonts w:ascii="Times New Roman" w:hAnsi="Times New Roman" w:cs="Times New Roman"/>
          <w:sz w:val="24"/>
          <w:szCs w:val="24"/>
        </w:rPr>
        <w:lastRenderedPageBreak/>
        <w:t xml:space="preserve">Employee </w:t>
      </w:r>
      <w:r w:rsidR="005B2431" w:rsidRPr="00E773F5">
        <w:rPr>
          <w:rFonts w:ascii="Times New Roman" w:hAnsi="Times New Roman" w:cs="Times New Roman"/>
          <w:sz w:val="24"/>
          <w:szCs w:val="24"/>
        </w:rPr>
        <w:t>Engagement</w:t>
      </w:r>
    </w:p>
    <w:p w14:paraId="28C79A32" w14:textId="77777777" w:rsidR="004579BB" w:rsidRPr="004579BB" w:rsidRDefault="008D2676" w:rsidP="004579BB">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4579BB" w:rsidRPr="004579BB">
        <w:rPr>
          <w:rFonts w:ascii="Times New Roman" w:hAnsi="Times New Roman" w:cs="Times New Roman"/>
          <w:sz w:val="24"/>
          <w:szCs w:val="24"/>
        </w:rPr>
        <w:t>Employee engagement refers to how enthusiastic workers are about their jobs, how devoted they are to their organisation, and how much discretionary effort they put into their work. This concept has grown in popularity partly because of the coronavirus pandemic. The pandemic has triggered changes that will last for a long time. For instance, employees have been forced to work from home, an arrangement that impacts employee engagement. Even though this arrangement (work-from-home arrangement) distracts specific aspects of business, it is believed that it positively affects employee engagement (Mani and Mishra, 2020). For example, Mani and Mishra (2020) noted that the work-from-home structure increases employee autonomy decreases commuting time and, more importantly, improves work-life balance, which according to Mani and Mishra (2020), strengthens employees’ mental and emotional connection towards their work. Engaged employees are twice as likely to invest in their work, resulting in better productivity levels; they (engaged employees) possess twice the chance of success compared to less engaged workers (Risley, 2020). This report examines the concepts and drivers of employee engagement. It also evaluates diagnostic tools for measuring engagement and, more importantly, builds an employee value proposition based on the report’s ideas.</w:t>
      </w:r>
    </w:p>
    <w:p w14:paraId="0C7341EA" w14:textId="77777777" w:rsidR="004579BB" w:rsidRPr="004579BB" w:rsidRDefault="004579BB" w:rsidP="008D2676">
      <w:pPr>
        <w:spacing w:after="0" w:line="480" w:lineRule="auto"/>
        <w:jc w:val="center"/>
        <w:rPr>
          <w:rFonts w:ascii="Times New Roman" w:hAnsi="Times New Roman" w:cs="Times New Roman"/>
          <w:sz w:val="24"/>
          <w:szCs w:val="24"/>
        </w:rPr>
      </w:pPr>
      <w:r w:rsidRPr="004579BB">
        <w:rPr>
          <w:rFonts w:ascii="Times New Roman" w:hAnsi="Times New Roman" w:cs="Times New Roman"/>
          <w:sz w:val="24"/>
          <w:szCs w:val="24"/>
        </w:rPr>
        <w:t>Concepts and Drivers of Employee Engagement</w:t>
      </w:r>
    </w:p>
    <w:p w14:paraId="3CB46801"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 xml:space="preserve">To win in the marketplace, a company must first win in the workplace. In other words, companies must invest in the welfare of their employees before they consider the factors in the marketplace; companies must address their employees’ happiness as this affects the overall success of a business. To effectively improve employee </w:t>
      </w:r>
      <w:r w:rsidRPr="004579BB">
        <w:rPr>
          <w:rFonts w:ascii="Times New Roman" w:hAnsi="Times New Roman" w:cs="Times New Roman"/>
          <w:sz w:val="24"/>
          <w:szCs w:val="24"/>
        </w:rPr>
        <w:lastRenderedPageBreak/>
        <w:t>engagement, managers must first understand what motivates employees and note the factors that push employees to invest in their work. There are numerous concepts and drivers of employee engagement, but values and purpose top the list. Employees feel more engaged with their work when it aligns with the company values, according to Bedarkar and Pandita (2014). Therefore, a business must outline its mission and proposition. Communicating company values and mission provides employees with a sense of purpose and offers direction; employees also feel more engaged when working for employers who understand their purpose.</w:t>
      </w:r>
    </w:p>
    <w:p w14:paraId="7006B877"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In addition to values and purpose, companies must address workplace issues that adversely affect employees’ mental and physical health. One method for businesses to do this is by investing in or fostering work-life balance routines. Employees consider work-life balance a priority when looking for their next employment; in fact, Cahill et al. (2015) found that 80 per cent of people choose to work for employers who advocate for equilibrium between an employee’s private life and career. Mitigating or eliminating factors that cause stress within the workplace is another way companies can address their employees’ mental and physical issues. Johari et al. (2018) found that by encouraging regular breaks, offering flexible and remote working routines, and encouraging managers to focus on productivity rather than hours, a business can improve employee engagement while, at the same time, strengthening the mental and physical strength of employees.</w:t>
      </w:r>
    </w:p>
    <w:p w14:paraId="4CDF9FB8"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 xml:space="preserve">The third driver of employee engagement is the work environment. A healthy working environment, according to Chakraborty and Ganguly (2019), improves productivity and reduces costs related to absenteeism, turnover, and medical claims. </w:t>
      </w:r>
      <w:r w:rsidRPr="004579BB">
        <w:rPr>
          <w:rFonts w:ascii="Times New Roman" w:hAnsi="Times New Roman" w:cs="Times New Roman"/>
          <w:sz w:val="24"/>
          <w:szCs w:val="24"/>
        </w:rPr>
        <w:lastRenderedPageBreak/>
        <w:t>Also, a well-established working environment increases employee morale. Numerous work environment factors might affect employees. For instance, 65 per cent of employees cite factors such as lighting and high temperatures as hindrances to their productivity. Others cite issues such as gossip, bullying, and harassment as factors that affect their productivity. To be productive and, more importantly, improve employee engagement, managers must ensure that they address such issues. Managers must understand that while a selected group of people work well in silence with bright light, others prefer working with background noise and dim light environments. Rather than setting up offices with departments, it is high time managers started setting up offices with work style.</w:t>
      </w:r>
    </w:p>
    <w:p w14:paraId="39FF44AA"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 xml:space="preserve">Developing a conducive workplace with explicit values and good working routines is never easy; it requires leadership. Leadership is a critical driver of employee engagement. Leaders and their leadership styles play a crucial role in developing engagement; they project the ideals and traits connected to engagement drivers, such as providing a vision to employees and showing support when needed. Leaders’ impact on employee engagement is well documented. According to Popli and Rizvi (2016), leadership has the greatest ability to influence employee psychological safety by providing a welcoming environment in which employees feel comfortable to fully engage in their tasks. Employees also work their best when they work with people they like. Popli and Rizvi’s (2016) study expanded on the role of managers in creating a supportive psychological climate and agreed with early theories of employee engagement (such as the Kahn theory of employee engagement) by implying that workers need a supportive environment to complete their work. Understanding the </w:t>
      </w:r>
      <w:r w:rsidRPr="004579BB">
        <w:rPr>
          <w:rFonts w:ascii="Times New Roman" w:hAnsi="Times New Roman" w:cs="Times New Roman"/>
          <w:sz w:val="24"/>
          <w:szCs w:val="24"/>
        </w:rPr>
        <w:lastRenderedPageBreak/>
        <w:t>concepts and drivers of employee engagement is the first step. To successfully create engagement strategies and a workplace environment where employees are fully engaged, managers must note and understand the different diagnostic tools useful in measuring employee engagement.</w:t>
      </w:r>
    </w:p>
    <w:p w14:paraId="10F9FA0A" w14:textId="77777777" w:rsidR="004579BB" w:rsidRPr="004579BB" w:rsidRDefault="004579BB" w:rsidP="008D2676">
      <w:pPr>
        <w:spacing w:after="0" w:line="480" w:lineRule="auto"/>
        <w:jc w:val="center"/>
        <w:rPr>
          <w:rFonts w:ascii="Times New Roman" w:hAnsi="Times New Roman" w:cs="Times New Roman"/>
          <w:sz w:val="24"/>
          <w:szCs w:val="24"/>
        </w:rPr>
      </w:pPr>
      <w:r w:rsidRPr="004579BB">
        <w:rPr>
          <w:rFonts w:ascii="Times New Roman" w:hAnsi="Times New Roman" w:cs="Times New Roman"/>
          <w:sz w:val="24"/>
          <w:szCs w:val="24"/>
        </w:rPr>
        <w:t>Diagnostic Tools to Measure Employee Engagement</w:t>
      </w:r>
    </w:p>
    <w:p w14:paraId="60FA01A9"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Employee engagement cannot be compared to the level of happiness or the quality of work completed by an employee, as there is more to it. It is a workplace concept connected to the level of commitment and motivation employees have in their work. Also, it is critical to note that employees do not have the same level of engagement. Furthermore, these levels of engagement tend to fluctuate from time to time. Therefore, managers must consistently measure employee engagement to nurture it and make changes within their organisations. One should consider several tools when measuring employee engagement, but employee surveys stand out from the rest.</w:t>
      </w:r>
    </w:p>
    <w:p w14:paraId="721E9ACA"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 xml:space="preserve">Surveys are common and practical tools for getting feedback on employees’ attitudes and feelings. To increase participation and honest responses from employees, managers are often encouraged to conduct anonymous surveys. Also, using third-party administrators such as Survey Monkey could help by increasing employees’ comfort in giving truthful opinions without fear of retaliation (Shantz et al., 2013). Surveys also help by improving employee motivation and getting ideas from employees. This two-way communication is vital in ensuring that a company has an engaged workforce. There are different benefits associated with surveying employees. Surveys are an excellent way to identify potential and challenges in a company. By gaining valuable insight from employees, one is allowed to address concerns and also gauge employee sentiments. </w:t>
      </w:r>
      <w:r w:rsidRPr="004579BB">
        <w:rPr>
          <w:rFonts w:ascii="Times New Roman" w:hAnsi="Times New Roman" w:cs="Times New Roman"/>
          <w:sz w:val="24"/>
          <w:szCs w:val="24"/>
        </w:rPr>
        <w:lastRenderedPageBreak/>
        <w:t xml:space="preserve">Surveys can also increase employee engagement. Surveys can help managers gather information on issues and discover what motivates employees. The feedback offered by employees can help managers implement change and ultimately increase employee satisfaction (Shantz et al., 2013). Nevertheless, and like any other tool, there are several disadvantages associated with conducting employee surveys. One significant disadvantage of surveys is that results can easily be manipulated. Managers can influence the results of a survey.  </w:t>
      </w:r>
    </w:p>
    <w:p w14:paraId="1B2534E4"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Conducting a stay interview is also a method that could measure the level of employee engagement. Many reasons push employees to leave an organisation; understanding these reasons is critical, as it can help human resource managers to initiate change and plan. Employees frequently mention reasons such as a lack of engagement as the primary motivators for leaving a company. Conducting exit and stay interviews may help human resource managers understand the areas they should work on improving employee engagement (Gupta and Sharma, 2016). Exit interviews may help managers understand what they can do differently to improve engagement. At the same time, stay interviews may help them (human resource managers) know what they are already excelling at. To be consistent in improving employee engagement, managers must conduct exist and stay interviews regularly. This may help them (managers) understand arising issues that affect retention and productivity and, more importantly, employee satisfaction and engagement. While this is an essential manager, should always consider and plan for resistance. Most employees feel that surveys are conducted to question their loyalty and commitment, and as a result, they may resist.</w:t>
      </w:r>
    </w:p>
    <w:p w14:paraId="7D6ACBE4"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lastRenderedPageBreak/>
        <w:t>Besides conducting exit and stay interviews, human resource managers should consider measuring productivity and retention rates. Productivity metrics are used to track and examine how well a team is completing its assignments. Retention rate, on the other hand, is the percentage of employees an organisation can retain over a given period (Collini et al., 2013). Productivity metrics and retention rates can, in a significant way, help managers determine how engages a workforce is. In most cases, employee engagement will directly impact the employees’ retention rate and productivity metrics. Managers can track employees’ productivity by comparing the amounts of goods and services produced with the inputs used in the production. At the same time, to calculate employee retention rates, managers are encouraged to divide the number of employees who stayed with the company through a selected period by the number of employees who started with the company on day one. Increased retention rates indicated improved engagement levels; it means that employees are satisfied and happy. One critical disadvantage of tracking or measuring employee productivity is that it can provide wrong or negative information (Collini et al., 2013). Hence, to measure employee engagement, the data gathered from productivity measures must be accurate and reflect on the metrics and tasks being evaluated.</w:t>
      </w:r>
    </w:p>
    <w:p w14:paraId="051CEB75" w14:textId="77777777" w:rsidR="004579BB" w:rsidRPr="004579BB" w:rsidRDefault="004579BB" w:rsidP="008D2676">
      <w:pPr>
        <w:spacing w:after="0" w:line="480" w:lineRule="auto"/>
        <w:jc w:val="center"/>
        <w:rPr>
          <w:rFonts w:ascii="Times New Roman" w:hAnsi="Times New Roman" w:cs="Times New Roman"/>
          <w:sz w:val="24"/>
          <w:szCs w:val="24"/>
        </w:rPr>
      </w:pPr>
      <w:r w:rsidRPr="004579BB">
        <w:rPr>
          <w:rFonts w:ascii="Times New Roman" w:hAnsi="Times New Roman" w:cs="Times New Roman"/>
          <w:sz w:val="24"/>
          <w:szCs w:val="24"/>
        </w:rPr>
        <w:t>Employee Value Proposition</w:t>
      </w:r>
    </w:p>
    <w:p w14:paraId="4181A445"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 xml:space="preserve">An employee value proposition, or EVP, is a set of associations and offerings made in exchange for a worker’s talents, abilities, and expertise (Bedarkar and Pandita, 2014). Constructing a unique value proposition is never easy; in most cases, managers must assess their organisations’ core strengths and abilities. This process may involve identifying the numerous elements that come together to make an organisation a </w:t>
      </w:r>
      <w:r w:rsidRPr="004579BB">
        <w:rPr>
          <w:rFonts w:ascii="Times New Roman" w:hAnsi="Times New Roman" w:cs="Times New Roman"/>
          <w:sz w:val="24"/>
          <w:szCs w:val="24"/>
        </w:rPr>
        <w:lastRenderedPageBreak/>
        <w:t>suitable place to work. These elements (the main components of an EVP) include financial rewards, employment benefits, career development, work environment, and organisational culture. Identifying the core components of EVP makes the complex task of building one much easier. Moreover, there are several steps that managers must follow to create an excellent EVP for their organisations. First, a manager must assess what their organisation is currently offering; they must understand existing perceptions within their companies. Once they have understood their organisations’ perception, they need to determine key selling points, including their companies’ mission, vision, and values.</w:t>
      </w:r>
    </w:p>
    <w:p w14:paraId="2587D0D2" w14:textId="77777777" w:rsidR="004579BB" w:rsidRPr="004579BB" w:rsidRDefault="004579BB" w:rsidP="008D2676">
      <w:pPr>
        <w:spacing w:after="0" w:line="480" w:lineRule="auto"/>
        <w:ind w:firstLine="720"/>
        <w:rPr>
          <w:rFonts w:ascii="Times New Roman" w:hAnsi="Times New Roman" w:cs="Times New Roman"/>
          <w:sz w:val="24"/>
          <w:szCs w:val="24"/>
        </w:rPr>
      </w:pPr>
      <w:r w:rsidRPr="004579BB">
        <w:rPr>
          <w:rFonts w:ascii="Times New Roman" w:hAnsi="Times New Roman" w:cs="Times New Roman"/>
          <w:sz w:val="24"/>
          <w:szCs w:val="24"/>
        </w:rPr>
        <w:t>Second, the manager must interview existing and past employees. Understanding what one’s company can and cannot offer is critical in building a strong employee value proposition (Bedarkar and Pandita, 2014). Exist and stay interviews can help the manager gather crucial information and feedback. Employee surveys can also play a critical role in this case. Notably, the surveys and interviews should consider past and current employees. The responses given by both current and past employees should be used to find what motivates employees to perform. After gathering employees’ feedback, managers should move forward by defining the critical components of their EVPs. The information from the interviews and surveys should answer questions regarding salary, career development, culture, and work environment. The final steps in creating a solid EVP are writing it down and promoting it through the proper channels. Managers should ensure that their EVPs are clear, unique, and inspirational, as this may help attract and retain talent. They must also take advantage of internal and external communication channels when promoting their EVPs.</w:t>
      </w:r>
    </w:p>
    <w:p w14:paraId="6662D563" w14:textId="77777777" w:rsidR="004579BB" w:rsidRPr="004579BB" w:rsidRDefault="004579BB" w:rsidP="008D2676">
      <w:pPr>
        <w:spacing w:after="0" w:line="480" w:lineRule="auto"/>
        <w:jc w:val="center"/>
        <w:rPr>
          <w:rFonts w:ascii="Times New Roman" w:hAnsi="Times New Roman" w:cs="Times New Roman"/>
          <w:sz w:val="24"/>
          <w:szCs w:val="24"/>
        </w:rPr>
      </w:pPr>
      <w:r w:rsidRPr="004579BB">
        <w:rPr>
          <w:rFonts w:ascii="Times New Roman" w:hAnsi="Times New Roman" w:cs="Times New Roman"/>
          <w:sz w:val="24"/>
          <w:szCs w:val="24"/>
        </w:rPr>
        <w:lastRenderedPageBreak/>
        <w:t>Conclusion</w:t>
      </w:r>
    </w:p>
    <w:p w14:paraId="78A133A4" w14:textId="77777777" w:rsidR="00694588" w:rsidRPr="00E773F5" w:rsidRDefault="008D2676" w:rsidP="004579BB">
      <w:pPr>
        <w:spacing w:after="0" w:line="480" w:lineRule="auto"/>
        <w:rPr>
          <w:rFonts w:ascii="Times New Roman" w:hAnsi="Times New Roman" w:cs="Times New Roman"/>
          <w:sz w:val="24"/>
          <w:szCs w:val="24"/>
        </w:rPr>
      </w:pPr>
      <w:r>
        <w:rPr>
          <w:rFonts w:ascii="Times New Roman" w:hAnsi="Times New Roman" w:cs="Times New Roman"/>
          <w:sz w:val="24"/>
          <w:szCs w:val="24"/>
        </w:rPr>
        <w:tab/>
      </w:r>
      <w:r w:rsidR="004579BB" w:rsidRPr="004579BB">
        <w:rPr>
          <w:rFonts w:ascii="Times New Roman" w:hAnsi="Times New Roman" w:cs="Times New Roman"/>
          <w:sz w:val="24"/>
          <w:szCs w:val="24"/>
        </w:rPr>
        <w:t>This report has looked at three critical elements of employee engagement. It has reviewed the concepts and drivers of employee engagement. Here, organisational values and purpose have been identified as essential drivers of engagement. Workers feel more engaged with their work when it aligns with the company’s values. Thus, businesses must work hard to outline their values and purposes. Companies must also communicate their values, as this provides employees with a sense of purpose and offers direction. The work environment has also been identified as a critical driver of employee engagement. A healthy working environment improves productivity and increases employee morale. The report has, in like manner, evaluated some of the practical tools used in measuring employee engagement. Some of the tools noted in this case include surveys and exist and stay interviews. Surveys are an excellent way to identify possibilities and challenges. It is possible to resolve concerns and measure employee attitudes by collecting important feedback from employees. Employee engagement can also be improved through surveys. Finally, the paper has constructed a simple employee value proposition.</w:t>
      </w:r>
      <w:r w:rsidR="00694588" w:rsidRPr="00E773F5">
        <w:rPr>
          <w:rFonts w:ascii="Times New Roman" w:hAnsi="Times New Roman" w:cs="Times New Roman"/>
          <w:sz w:val="24"/>
          <w:szCs w:val="24"/>
        </w:rPr>
        <w:br w:type="page"/>
      </w:r>
    </w:p>
    <w:p w14:paraId="5B47245F" w14:textId="77777777" w:rsidR="00694588" w:rsidRPr="00E773F5" w:rsidRDefault="00694588" w:rsidP="00870FDA">
      <w:pPr>
        <w:spacing w:after="0" w:line="480" w:lineRule="auto"/>
        <w:jc w:val="center"/>
        <w:rPr>
          <w:rFonts w:ascii="Times New Roman" w:hAnsi="Times New Roman" w:cs="Times New Roman"/>
          <w:sz w:val="24"/>
          <w:szCs w:val="24"/>
        </w:rPr>
      </w:pPr>
      <w:r w:rsidRPr="00E773F5">
        <w:rPr>
          <w:rFonts w:ascii="Times New Roman" w:hAnsi="Times New Roman" w:cs="Times New Roman"/>
          <w:sz w:val="24"/>
          <w:szCs w:val="24"/>
        </w:rPr>
        <w:lastRenderedPageBreak/>
        <w:t xml:space="preserve">References </w:t>
      </w:r>
    </w:p>
    <w:p w14:paraId="534B2BD9" w14:textId="77777777" w:rsidR="00694588"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Bedarkar, M. and Pandita, D., 2014. A study on the drivers of employee engagement impacting employee performance. </w:t>
      </w:r>
      <w:r w:rsidRPr="00E773F5">
        <w:rPr>
          <w:rFonts w:ascii="Times New Roman" w:hAnsi="Times New Roman" w:cs="Times New Roman"/>
          <w:i/>
          <w:iCs/>
          <w:sz w:val="24"/>
          <w:szCs w:val="24"/>
          <w:shd w:val="clear" w:color="auto" w:fill="FFFFFF"/>
        </w:rPr>
        <w:t>Procedia - Social and Behavioral Sciences</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133</w:t>
      </w:r>
      <w:r w:rsidRPr="00E773F5">
        <w:rPr>
          <w:rFonts w:ascii="Times New Roman" w:hAnsi="Times New Roman" w:cs="Times New Roman"/>
          <w:sz w:val="24"/>
          <w:szCs w:val="24"/>
          <w:shd w:val="clear" w:color="auto" w:fill="FFFFFF"/>
        </w:rPr>
        <w:t>, pp.106-115.</w:t>
      </w:r>
    </w:p>
    <w:p w14:paraId="05DE0DC9"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Cahill, K., McNamara, T., Pitt-Catsouphes, M. and Valcour, M., 2015. Linking shifts in the national economy with changes in job satisfaction, employee engagement and work–life balance. </w:t>
      </w:r>
      <w:r w:rsidRPr="00E773F5">
        <w:rPr>
          <w:rFonts w:ascii="Times New Roman" w:hAnsi="Times New Roman" w:cs="Times New Roman"/>
          <w:i/>
          <w:iCs/>
          <w:sz w:val="24"/>
          <w:szCs w:val="24"/>
          <w:shd w:val="clear" w:color="auto" w:fill="FFFFFF"/>
        </w:rPr>
        <w:t>Journal of Behavioral and Experimental Economics</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56</w:t>
      </w:r>
      <w:r w:rsidRPr="00E773F5">
        <w:rPr>
          <w:rFonts w:ascii="Times New Roman" w:hAnsi="Times New Roman" w:cs="Times New Roman"/>
          <w:sz w:val="24"/>
          <w:szCs w:val="24"/>
          <w:shd w:val="clear" w:color="auto" w:fill="FFFFFF"/>
        </w:rPr>
        <w:t>, pp.40-54.</w:t>
      </w:r>
    </w:p>
    <w:p w14:paraId="32C3855A"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Chakraborty, T. and Ganguly, M., 2019. Crafting engaged employees through positive work environment. </w:t>
      </w:r>
      <w:r w:rsidRPr="00E773F5">
        <w:rPr>
          <w:rFonts w:ascii="Times New Roman" w:hAnsi="Times New Roman" w:cs="Times New Roman"/>
          <w:i/>
          <w:iCs/>
          <w:sz w:val="24"/>
          <w:szCs w:val="24"/>
          <w:shd w:val="clear" w:color="auto" w:fill="FFFFFF"/>
        </w:rPr>
        <w:t>Advances in Human Resources Management and Organizational Development</w:t>
      </w:r>
      <w:r w:rsidRPr="00E773F5">
        <w:rPr>
          <w:rFonts w:ascii="Times New Roman" w:hAnsi="Times New Roman" w:cs="Times New Roman"/>
          <w:sz w:val="24"/>
          <w:szCs w:val="24"/>
          <w:shd w:val="clear" w:color="auto" w:fill="FFFFFF"/>
        </w:rPr>
        <w:t>, pp.180-198.</w:t>
      </w:r>
    </w:p>
    <w:p w14:paraId="11DFA36B"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Collini, S., Guidroz, A. and Perez, L., 2013. Turnover in health care: the mediating effects of employee engagement. </w:t>
      </w:r>
      <w:r w:rsidRPr="00E773F5">
        <w:rPr>
          <w:rFonts w:ascii="Times New Roman" w:hAnsi="Times New Roman" w:cs="Times New Roman"/>
          <w:i/>
          <w:iCs/>
          <w:sz w:val="24"/>
          <w:szCs w:val="24"/>
          <w:shd w:val="clear" w:color="auto" w:fill="FFFFFF"/>
        </w:rPr>
        <w:t>Journal of Nursing Management</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23</w:t>
      </w:r>
      <w:r w:rsidRPr="00E773F5">
        <w:rPr>
          <w:rFonts w:ascii="Times New Roman" w:hAnsi="Times New Roman" w:cs="Times New Roman"/>
          <w:sz w:val="24"/>
          <w:szCs w:val="24"/>
          <w:shd w:val="clear" w:color="auto" w:fill="FFFFFF"/>
        </w:rPr>
        <w:t>(2), pp.169-178.</w:t>
      </w:r>
    </w:p>
    <w:p w14:paraId="4B8CEB8E"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Gupta, N. and Sharma, V., 2016. Exploring employee engagement—a way to better business performance. </w:t>
      </w:r>
      <w:r w:rsidRPr="00E773F5">
        <w:rPr>
          <w:rFonts w:ascii="Times New Roman" w:hAnsi="Times New Roman" w:cs="Times New Roman"/>
          <w:i/>
          <w:iCs/>
          <w:sz w:val="24"/>
          <w:szCs w:val="24"/>
          <w:shd w:val="clear" w:color="auto" w:fill="FFFFFF"/>
        </w:rPr>
        <w:t>Global Business Review</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17</w:t>
      </w:r>
      <w:r w:rsidRPr="00E773F5">
        <w:rPr>
          <w:rFonts w:ascii="Times New Roman" w:hAnsi="Times New Roman" w:cs="Times New Roman"/>
          <w:sz w:val="24"/>
          <w:szCs w:val="24"/>
          <w:shd w:val="clear" w:color="auto" w:fill="FFFFFF"/>
        </w:rPr>
        <w:t>, pp.45-63.</w:t>
      </w:r>
    </w:p>
    <w:p w14:paraId="78357C73"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Johari, J., Yean Tan, F. and Tjik Zulkarnain, Z., 2018. Autonomy, workload, work-life balance and job performance among teachers. </w:t>
      </w:r>
      <w:r w:rsidRPr="00E773F5">
        <w:rPr>
          <w:rFonts w:ascii="Times New Roman" w:hAnsi="Times New Roman" w:cs="Times New Roman"/>
          <w:i/>
          <w:iCs/>
          <w:sz w:val="24"/>
          <w:szCs w:val="24"/>
          <w:shd w:val="clear" w:color="auto" w:fill="FFFFFF"/>
        </w:rPr>
        <w:t>International Journal of Educational Management</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32</w:t>
      </w:r>
      <w:r w:rsidRPr="00E773F5">
        <w:rPr>
          <w:rFonts w:ascii="Times New Roman" w:hAnsi="Times New Roman" w:cs="Times New Roman"/>
          <w:sz w:val="24"/>
          <w:szCs w:val="24"/>
          <w:shd w:val="clear" w:color="auto" w:fill="FFFFFF"/>
        </w:rPr>
        <w:t>(1), pp.107-120.</w:t>
      </w:r>
    </w:p>
    <w:p w14:paraId="36F44E20"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 xml:space="preserve">Mani, S. and Mishra, M., 2020. Non-monetary levers to enhance employee engagement in organizations </w:t>
      </w:r>
      <w:r w:rsidR="007A0DB3" w:rsidRPr="00E773F5">
        <w:rPr>
          <w:rFonts w:ascii="Times New Roman" w:hAnsi="Times New Roman" w:cs="Times New Roman"/>
          <w:sz w:val="24"/>
          <w:szCs w:val="24"/>
          <w:shd w:val="clear" w:color="auto" w:fill="FFFFFF"/>
        </w:rPr>
        <w:t>"</w:t>
      </w:r>
      <w:r w:rsidRPr="00E773F5">
        <w:rPr>
          <w:rFonts w:ascii="Times New Roman" w:hAnsi="Times New Roman" w:cs="Times New Roman"/>
          <w:sz w:val="24"/>
          <w:szCs w:val="24"/>
          <w:shd w:val="clear" w:color="auto" w:fill="FFFFFF"/>
        </w:rPr>
        <w:t>Great</w:t>
      </w:r>
      <w:r w:rsidR="007A0DB3" w:rsidRPr="00E773F5">
        <w:rPr>
          <w:rFonts w:ascii="Times New Roman" w:hAnsi="Times New Roman" w:cs="Times New Roman"/>
          <w:sz w:val="24"/>
          <w:szCs w:val="24"/>
          <w:shd w:val="clear" w:color="auto" w:fill="FFFFFF"/>
        </w:rPr>
        <w:t>"</w:t>
      </w:r>
      <w:r w:rsidRPr="00E773F5">
        <w:rPr>
          <w:rFonts w:ascii="Times New Roman" w:hAnsi="Times New Roman" w:cs="Times New Roman"/>
          <w:sz w:val="24"/>
          <w:szCs w:val="24"/>
          <w:shd w:val="clear" w:color="auto" w:fill="FFFFFF"/>
        </w:rPr>
        <w:t xml:space="preserve"> model of motivation during the Covid-19 crisis. </w:t>
      </w:r>
      <w:r w:rsidRPr="00E773F5">
        <w:rPr>
          <w:rFonts w:ascii="Times New Roman" w:hAnsi="Times New Roman" w:cs="Times New Roman"/>
          <w:i/>
          <w:iCs/>
          <w:sz w:val="24"/>
          <w:szCs w:val="24"/>
          <w:shd w:val="clear" w:color="auto" w:fill="FFFFFF"/>
        </w:rPr>
        <w:t>Strategic HR Review</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19</w:t>
      </w:r>
      <w:r w:rsidRPr="00E773F5">
        <w:rPr>
          <w:rFonts w:ascii="Times New Roman" w:hAnsi="Times New Roman" w:cs="Times New Roman"/>
          <w:sz w:val="24"/>
          <w:szCs w:val="24"/>
          <w:shd w:val="clear" w:color="auto" w:fill="FFFFFF"/>
        </w:rPr>
        <w:t>(4), pp.171-175.</w:t>
      </w:r>
    </w:p>
    <w:p w14:paraId="5565EF53"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lastRenderedPageBreak/>
        <w:t>Popli, S. and Rizvi, I., 2016. Drivers of employee engagement: the role of leadership style. </w:t>
      </w:r>
      <w:r w:rsidRPr="00E773F5">
        <w:rPr>
          <w:rFonts w:ascii="Times New Roman" w:hAnsi="Times New Roman" w:cs="Times New Roman"/>
          <w:i/>
          <w:iCs/>
          <w:sz w:val="24"/>
          <w:szCs w:val="24"/>
          <w:shd w:val="clear" w:color="auto" w:fill="FFFFFF"/>
        </w:rPr>
        <w:t>Global Business Review</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17</w:t>
      </w:r>
      <w:r w:rsidRPr="00E773F5">
        <w:rPr>
          <w:rFonts w:ascii="Times New Roman" w:hAnsi="Times New Roman" w:cs="Times New Roman"/>
          <w:sz w:val="24"/>
          <w:szCs w:val="24"/>
          <w:shd w:val="clear" w:color="auto" w:fill="FFFFFF"/>
        </w:rPr>
        <w:t>(4), pp.965-979.</w:t>
      </w:r>
    </w:p>
    <w:p w14:paraId="429B2ADA" w14:textId="77777777" w:rsidR="0095659B" w:rsidRPr="00E773F5" w:rsidRDefault="0095659B" w:rsidP="00870FDA">
      <w:pPr>
        <w:spacing w:after="0" w:line="480" w:lineRule="auto"/>
        <w:ind w:left="720" w:hanging="720"/>
        <w:rPr>
          <w:rFonts w:ascii="Times New Roman" w:hAnsi="Times New Roman" w:cs="Times New Roman"/>
          <w:sz w:val="24"/>
          <w:szCs w:val="24"/>
          <w:shd w:val="clear" w:color="auto" w:fill="FFFFFF"/>
        </w:rPr>
      </w:pPr>
      <w:r w:rsidRPr="00E773F5">
        <w:rPr>
          <w:rFonts w:ascii="Times New Roman" w:hAnsi="Times New Roman" w:cs="Times New Roman"/>
          <w:sz w:val="24"/>
          <w:szCs w:val="24"/>
          <w:shd w:val="clear" w:color="auto" w:fill="FFFFFF"/>
        </w:rPr>
        <w:t>Risley, C., 2020. Maintaining performance and employee engagement during the COVID-19 pandemic. </w:t>
      </w:r>
      <w:r w:rsidRPr="00E773F5">
        <w:rPr>
          <w:rFonts w:ascii="Times New Roman" w:hAnsi="Times New Roman" w:cs="Times New Roman"/>
          <w:i/>
          <w:iCs/>
          <w:sz w:val="24"/>
          <w:szCs w:val="24"/>
          <w:shd w:val="clear" w:color="auto" w:fill="FFFFFF"/>
        </w:rPr>
        <w:t>Journal of Library Administration</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60</w:t>
      </w:r>
      <w:r w:rsidRPr="00E773F5">
        <w:rPr>
          <w:rFonts w:ascii="Times New Roman" w:hAnsi="Times New Roman" w:cs="Times New Roman"/>
          <w:sz w:val="24"/>
          <w:szCs w:val="24"/>
          <w:shd w:val="clear" w:color="auto" w:fill="FFFFFF"/>
        </w:rPr>
        <w:t>(6), pp.653-659.</w:t>
      </w:r>
    </w:p>
    <w:p w14:paraId="55C7D605" w14:textId="77777777" w:rsidR="0095659B" w:rsidRPr="00E773F5" w:rsidRDefault="0095659B" w:rsidP="00870FDA">
      <w:pPr>
        <w:spacing w:after="0" w:line="480" w:lineRule="auto"/>
        <w:ind w:left="720" w:hanging="720"/>
        <w:rPr>
          <w:rFonts w:ascii="Times New Roman" w:hAnsi="Times New Roman" w:cs="Times New Roman"/>
          <w:sz w:val="24"/>
          <w:szCs w:val="24"/>
        </w:rPr>
      </w:pPr>
      <w:r w:rsidRPr="00E773F5">
        <w:rPr>
          <w:rFonts w:ascii="Times New Roman" w:hAnsi="Times New Roman" w:cs="Times New Roman"/>
          <w:sz w:val="24"/>
          <w:szCs w:val="24"/>
          <w:shd w:val="clear" w:color="auto" w:fill="FFFFFF"/>
        </w:rPr>
        <w:t>Shantz, A., Alfes, K., Truss, C. and Soane, E., 2013. The role of employee engagement in the relationship between job design and task performance, citizenship and deviant behaviours. </w:t>
      </w:r>
      <w:r w:rsidRPr="00E773F5">
        <w:rPr>
          <w:rFonts w:ascii="Times New Roman" w:hAnsi="Times New Roman" w:cs="Times New Roman"/>
          <w:i/>
          <w:iCs/>
          <w:sz w:val="24"/>
          <w:szCs w:val="24"/>
          <w:shd w:val="clear" w:color="auto" w:fill="FFFFFF"/>
        </w:rPr>
        <w:t>The International Journal of Human Resource Management</w:t>
      </w:r>
      <w:r w:rsidRPr="00E773F5">
        <w:rPr>
          <w:rFonts w:ascii="Times New Roman" w:hAnsi="Times New Roman" w:cs="Times New Roman"/>
          <w:sz w:val="24"/>
          <w:szCs w:val="24"/>
          <w:shd w:val="clear" w:color="auto" w:fill="FFFFFF"/>
        </w:rPr>
        <w:t xml:space="preserve">, </w:t>
      </w:r>
      <w:r w:rsidRPr="007F70D9">
        <w:rPr>
          <w:rFonts w:ascii="Times New Roman" w:hAnsi="Times New Roman" w:cs="Times New Roman"/>
          <w:b/>
          <w:sz w:val="24"/>
          <w:szCs w:val="24"/>
          <w:shd w:val="clear" w:color="auto" w:fill="FFFFFF"/>
        </w:rPr>
        <w:t>24</w:t>
      </w:r>
      <w:r w:rsidRPr="00E773F5">
        <w:rPr>
          <w:rFonts w:ascii="Times New Roman" w:hAnsi="Times New Roman" w:cs="Times New Roman"/>
          <w:sz w:val="24"/>
          <w:szCs w:val="24"/>
          <w:shd w:val="clear" w:color="auto" w:fill="FFFFFF"/>
        </w:rPr>
        <w:t>(13), pp.2608-2627.</w:t>
      </w:r>
    </w:p>
    <w:sectPr w:rsidR="0095659B" w:rsidRPr="00E773F5" w:rsidSect="00DE0E61">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2E75B6" w14:textId="77777777" w:rsidR="00634DBC" w:rsidRDefault="00634DBC" w:rsidP="00B24584">
      <w:pPr>
        <w:spacing w:after="0" w:line="240" w:lineRule="auto"/>
      </w:pPr>
      <w:r>
        <w:separator/>
      </w:r>
    </w:p>
  </w:endnote>
  <w:endnote w:type="continuationSeparator" w:id="0">
    <w:p w14:paraId="7B6B0901" w14:textId="77777777" w:rsidR="00634DBC" w:rsidRDefault="00634DBC" w:rsidP="00B245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817EC4" w14:textId="77777777" w:rsidR="00634DBC" w:rsidRDefault="00634DBC" w:rsidP="00B24584">
      <w:pPr>
        <w:spacing w:after="0" w:line="240" w:lineRule="auto"/>
      </w:pPr>
      <w:r>
        <w:separator/>
      </w:r>
    </w:p>
  </w:footnote>
  <w:footnote w:type="continuationSeparator" w:id="0">
    <w:p w14:paraId="1EEED646" w14:textId="77777777" w:rsidR="00634DBC" w:rsidRDefault="00634DBC" w:rsidP="00B2458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2AF6C1" w14:textId="77777777" w:rsidR="00B24584" w:rsidRPr="000F6308" w:rsidRDefault="00AE5491" w:rsidP="00B24584">
    <w:pPr>
      <w:pStyle w:val="Header"/>
      <w:jc w:val="right"/>
      <w:rPr>
        <w:rFonts w:ascii="Times New Roman" w:hAnsi="Times New Roman" w:cs="Times New Roman"/>
        <w:sz w:val="24"/>
        <w:szCs w:val="24"/>
      </w:rPr>
    </w:pPr>
    <w:r w:rsidRPr="000F6308">
      <w:rPr>
        <w:rFonts w:ascii="Times New Roman" w:hAnsi="Times New Roman" w:cs="Times New Roman"/>
        <w:sz w:val="24"/>
        <w:szCs w:val="24"/>
      </w:rPr>
      <w:t>Employee Engagement</w:t>
    </w:r>
    <w:r w:rsidR="00B24584" w:rsidRPr="000F6308">
      <w:rPr>
        <w:rFonts w:ascii="Times New Roman" w:hAnsi="Times New Roman" w:cs="Times New Roman"/>
        <w:sz w:val="24"/>
        <w:szCs w:val="24"/>
      </w:rPr>
      <w:t xml:space="preserve"> </w:t>
    </w:r>
    <w:sdt>
      <w:sdtPr>
        <w:rPr>
          <w:rFonts w:ascii="Times New Roman" w:hAnsi="Times New Roman" w:cs="Times New Roman"/>
          <w:sz w:val="24"/>
          <w:szCs w:val="24"/>
        </w:rPr>
        <w:id w:val="-1855490449"/>
        <w:docPartObj>
          <w:docPartGallery w:val="Page Numbers (Top of Page)"/>
          <w:docPartUnique/>
        </w:docPartObj>
      </w:sdtPr>
      <w:sdtEndPr>
        <w:rPr>
          <w:noProof/>
        </w:rPr>
      </w:sdtEndPr>
      <w:sdtContent>
        <w:r w:rsidR="00DE0E61" w:rsidRPr="000F6308">
          <w:rPr>
            <w:rFonts w:ascii="Times New Roman" w:hAnsi="Times New Roman" w:cs="Times New Roman"/>
            <w:sz w:val="24"/>
            <w:szCs w:val="24"/>
          </w:rPr>
          <w:fldChar w:fldCharType="begin"/>
        </w:r>
        <w:r w:rsidR="00B24584" w:rsidRPr="000F6308">
          <w:rPr>
            <w:rFonts w:ascii="Times New Roman" w:hAnsi="Times New Roman" w:cs="Times New Roman"/>
            <w:sz w:val="24"/>
            <w:szCs w:val="24"/>
          </w:rPr>
          <w:instrText xml:space="preserve"> PAGE   \* MERGEFORMAT </w:instrText>
        </w:r>
        <w:r w:rsidR="00DE0E61" w:rsidRPr="000F6308">
          <w:rPr>
            <w:rFonts w:ascii="Times New Roman" w:hAnsi="Times New Roman" w:cs="Times New Roman"/>
            <w:sz w:val="24"/>
            <w:szCs w:val="24"/>
          </w:rPr>
          <w:fldChar w:fldCharType="separate"/>
        </w:r>
        <w:r w:rsidR="007F70D9">
          <w:rPr>
            <w:rFonts w:ascii="Times New Roman" w:hAnsi="Times New Roman" w:cs="Times New Roman"/>
            <w:noProof/>
            <w:sz w:val="24"/>
            <w:szCs w:val="24"/>
          </w:rPr>
          <w:t>1</w:t>
        </w:r>
        <w:r w:rsidR="00DE0E61" w:rsidRPr="000F6308">
          <w:rPr>
            <w:rFonts w:ascii="Times New Roman" w:hAnsi="Times New Roman" w:cs="Times New Roman"/>
            <w:noProof/>
            <w:sz w:val="24"/>
            <w:szCs w:val="24"/>
          </w:rPr>
          <w:fldChar w:fldCharType="end"/>
        </w:r>
      </w:sdtContent>
    </w:sdt>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EwNbUwNzG2NDU1NzJW0lEKTi0uzszPAykwqQUAI79bWSwAAAA="/>
  </w:docVars>
  <w:rsids>
    <w:rsidRoot w:val="00D76FA9"/>
    <w:rsid w:val="00002227"/>
    <w:rsid w:val="000158CF"/>
    <w:rsid w:val="00024247"/>
    <w:rsid w:val="00032B92"/>
    <w:rsid w:val="00034326"/>
    <w:rsid w:val="00042925"/>
    <w:rsid w:val="000510E5"/>
    <w:rsid w:val="00052B51"/>
    <w:rsid w:val="00055DB8"/>
    <w:rsid w:val="000647C0"/>
    <w:rsid w:val="00067A60"/>
    <w:rsid w:val="00076A5C"/>
    <w:rsid w:val="00085112"/>
    <w:rsid w:val="00096AD9"/>
    <w:rsid w:val="00097435"/>
    <w:rsid w:val="000A5602"/>
    <w:rsid w:val="000B4592"/>
    <w:rsid w:val="000C35B4"/>
    <w:rsid w:val="000D25D4"/>
    <w:rsid w:val="000E1A50"/>
    <w:rsid w:val="000F0A79"/>
    <w:rsid w:val="000F6308"/>
    <w:rsid w:val="00117CF9"/>
    <w:rsid w:val="001329EF"/>
    <w:rsid w:val="00137C9B"/>
    <w:rsid w:val="0014711F"/>
    <w:rsid w:val="001660DD"/>
    <w:rsid w:val="0017181D"/>
    <w:rsid w:val="001B1EE4"/>
    <w:rsid w:val="001B5492"/>
    <w:rsid w:val="001D317E"/>
    <w:rsid w:val="001E36E4"/>
    <w:rsid w:val="001F2DDA"/>
    <w:rsid w:val="00217146"/>
    <w:rsid w:val="00221D55"/>
    <w:rsid w:val="00235D3B"/>
    <w:rsid w:val="002502AA"/>
    <w:rsid w:val="00266C5E"/>
    <w:rsid w:val="002777EE"/>
    <w:rsid w:val="002A2177"/>
    <w:rsid w:val="002A3C8C"/>
    <w:rsid w:val="002C18C3"/>
    <w:rsid w:val="002C6216"/>
    <w:rsid w:val="002C639C"/>
    <w:rsid w:val="002D7BF9"/>
    <w:rsid w:val="00304F50"/>
    <w:rsid w:val="00310341"/>
    <w:rsid w:val="00317CE6"/>
    <w:rsid w:val="003246C1"/>
    <w:rsid w:val="0034119A"/>
    <w:rsid w:val="00356325"/>
    <w:rsid w:val="00372763"/>
    <w:rsid w:val="0037790C"/>
    <w:rsid w:val="00385B99"/>
    <w:rsid w:val="00387910"/>
    <w:rsid w:val="003A2B43"/>
    <w:rsid w:val="003A36E5"/>
    <w:rsid w:val="003A445B"/>
    <w:rsid w:val="003A5009"/>
    <w:rsid w:val="003B5B26"/>
    <w:rsid w:val="003C2C14"/>
    <w:rsid w:val="003D4C65"/>
    <w:rsid w:val="003E405E"/>
    <w:rsid w:val="004037D7"/>
    <w:rsid w:val="0041722D"/>
    <w:rsid w:val="00420076"/>
    <w:rsid w:val="00427D95"/>
    <w:rsid w:val="00446FB2"/>
    <w:rsid w:val="004579BB"/>
    <w:rsid w:val="00467324"/>
    <w:rsid w:val="00477DC6"/>
    <w:rsid w:val="00481860"/>
    <w:rsid w:val="0049200B"/>
    <w:rsid w:val="004D1F7F"/>
    <w:rsid w:val="004F52B6"/>
    <w:rsid w:val="00500DC8"/>
    <w:rsid w:val="00502B92"/>
    <w:rsid w:val="005110A4"/>
    <w:rsid w:val="00523376"/>
    <w:rsid w:val="0054381B"/>
    <w:rsid w:val="005673D1"/>
    <w:rsid w:val="00590177"/>
    <w:rsid w:val="005A407C"/>
    <w:rsid w:val="005B2431"/>
    <w:rsid w:val="005B4864"/>
    <w:rsid w:val="005B7C82"/>
    <w:rsid w:val="005C1166"/>
    <w:rsid w:val="005C1963"/>
    <w:rsid w:val="005C6D69"/>
    <w:rsid w:val="005D117F"/>
    <w:rsid w:val="005E08C0"/>
    <w:rsid w:val="005F0232"/>
    <w:rsid w:val="005F7878"/>
    <w:rsid w:val="00602C5B"/>
    <w:rsid w:val="006051D1"/>
    <w:rsid w:val="00616374"/>
    <w:rsid w:val="00620F75"/>
    <w:rsid w:val="00627B8E"/>
    <w:rsid w:val="006349B5"/>
    <w:rsid w:val="00634DBC"/>
    <w:rsid w:val="00641FF1"/>
    <w:rsid w:val="00653FC0"/>
    <w:rsid w:val="006624C6"/>
    <w:rsid w:val="00665453"/>
    <w:rsid w:val="00671A69"/>
    <w:rsid w:val="006738F7"/>
    <w:rsid w:val="00684714"/>
    <w:rsid w:val="00687B42"/>
    <w:rsid w:val="00694588"/>
    <w:rsid w:val="006A19AF"/>
    <w:rsid w:val="006B1569"/>
    <w:rsid w:val="006E1A1C"/>
    <w:rsid w:val="006E3A5F"/>
    <w:rsid w:val="007106FE"/>
    <w:rsid w:val="00734AFC"/>
    <w:rsid w:val="00744E67"/>
    <w:rsid w:val="00745AED"/>
    <w:rsid w:val="00765297"/>
    <w:rsid w:val="00774609"/>
    <w:rsid w:val="007830AB"/>
    <w:rsid w:val="007A0DB3"/>
    <w:rsid w:val="007B553C"/>
    <w:rsid w:val="007D6373"/>
    <w:rsid w:val="007E5AF6"/>
    <w:rsid w:val="007F70D9"/>
    <w:rsid w:val="00827125"/>
    <w:rsid w:val="00834E1A"/>
    <w:rsid w:val="00864F53"/>
    <w:rsid w:val="00870F89"/>
    <w:rsid w:val="00870FDA"/>
    <w:rsid w:val="00875712"/>
    <w:rsid w:val="00884E3D"/>
    <w:rsid w:val="0088714D"/>
    <w:rsid w:val="008907F7"/>
    <w:rsid w:val="00892B1B"/>
    <w:rsid w:val="0089411B"/>
    <w:rsid w:val="008A7B11"/>
    <w:rsid w:val="008C2F00"/>
    <w:rsid w:val="008C6662"/>
    <w:rsid w:val="008D2676"/>
    <w:rsid w:val="008E5B54"/>
    <w:rsid w:val="008E791E"/>
    <w:rsid w:val="0091134D"/>
    <w:rsid w:val="00912582"/>
    <w:rsid w:val="009248D7"/>
    <w:rsid w:val="0093301B"/>
    <w:rsid w:val="00944C43"/>
    <w:rsid w:val="00951A3A"/>
    <w:rsid w:val="0095659B"/>
    <w:rsid w:val="00975A0A"/>
    <w:rsid w:val="00980646"/>
    <w:rsid w:val="00981086"/>
    <w:rsid w:val="0098237A"/>
    <w:rsid w:val="00996597"/>
    <w:rsid w:val="009A6D23"/>
    <w:rsid w:val="009B6C94"/>
    <w:rsid w:val="009C0235"/>
    <w:rsid w:val="009C13E6"/>
    <w:rsid w:val="00A039BA"/>
    <w:rsid w:val="00A16B64"/>
    <w:rsid w:val="00A23A57"/>
    <w:rsid w:val="00A26E15"/>
    <w:rsid w:val="00A34E71"/>
    <w:rsid w:val="00A4234D"/>
    <w:rsid w:val="00A57C5C"/>
    <w:rsid w:val="00A60F27"/>
    <w:rsid w:val="00A66E6E"/>
    <w:rsid w:val="00A70054"/>
    <w:rsid w:val="00A8351F"/>
    <w:rsid w:val="00AA3A9F"/>
    <w:rsid w:val="00AB21CC"/>
    <w:rsid w:val="00AC7F07"/>
    <w:rsid w:val="00AE5491"/>
    <w:rsid w:val="00AF4503"/>
    <w:rsid w:val="00B06FF5"/>
    <w:rsid w:val="00B1537E"/>
    <w:rsid w:val="00B1540D"/>
    <w:rsid w:val="00B24584"/>
    <w:rsid w:val="00B400EC"/>
    <w:rsid w:val="00B42C91"/>
    <w:rsid w:val="00B43AE8"/>
    <w:rsid w:val="00B6158E"/>
    <w:rsid w:val="00B661D5"/>
    <w:rsid w:val="00B86C5A"/>
    <w:rsid w:val="00B87518"/>
    <w:rsid w:val="00B97315"/>
    <w:rsid w:val="00BB5899"/>
    <w:rsid w:val="00BB6A00"/>
    <w:rsid w:val="00BC26CE"/>
    <w:rsid w:val="00BC36F9"/>
    <w:rsid w:val="00BC4585"/>
    <w:rsid w:val="00BE4072"/>
    <w:rsid w:val="00BF4737"/>
    <w:rsid w:val="00C10C96"/>
    <w:rsid w:val="00C13261"/>
    <w:rsid w:val="00C15162"/>
    <w:rsid w:val="00C20AFE"/>
    <w:rsid w:val="00C30C8C"/>
    <w:rsid w:val="00C3308C"/>
    <w:rsid w:val="00C8370A"/>
    <w:rsid w:val="00C877E8"/>
    <w:rsid w:val="00C9142C"/>
    <w:rsid w:val="00C97C98"/>
    <w:rsid w:val="00CA3AA8"/>
    <w:rsid w:val="00CC322F"/>
    <w:rsid w:val="00CC389F"/>
    <w:rsid w:val="00CD31CC"/>
    <w:rsid w:val="00CF48D0"/>
    <w:rsid w:val="00D02F25"/>
    <w:rsid w:val="00D03E71"/>
    <w:rsid w:val="00D17902"/>
    <w:rsid w:val="00D24B1B"/>
    <w:rsid w:val="00D4436B"/>
    <w:rsid w:val="00D46F53"/>
    <w:rsid w:val="00D510CD"/>
    <w:rsid w:val="00D67C4B"/>
    <w:rsid w:val="00D76463"/>
    <w:rsid w:val="00D76FA9"/>
    <w:rsid w:val="00D833E9"/>
    <w:rsid w:val="00D84CD1"/>
    <w:rsid w:val="00D9287A"/>
    <w:rsid w:val="00D9369C"/>
    <w:rsid w:val="00D976C9"/>
    <w:rsid w:val="00DC1B65"/>
    <w:rsid w:val="00DD72E7"/>
    <w:rsid w:val="00DE0E61"/>
    <w:rsid w:val="00DE3308"/>
    <w:rsid w:val="00DE3C3A"/>
    <w:rsid w:val="00E04325"/>
    <w:rsid w:val="00E4165E"/>
    <w:rsid w:val="00E43919"/>
    <w:rsid w:val="00E46B87"/>
    <w:rsid w:val="00E47FD1"/>
    <w:rsid w:val="00E548BE"/>
    <w:rsid w:val="00E773F5"/>
    <w:rsid w:val="00E95305"/>
    <w:rsid w:val="00E96E28"/>
    <w:rsid w:val="00E97BFD"/>
    <w:rsid w:val="00EA4551"/>
    <w:rsid w:val="00EC53E3"/>
    <w:rsid w:val="00EC71DD"/>
    <w:rsid w:val="00EE3C4F"/>
    <w:rsid w:val="00EE4069"/>
    <w:rsid w:val="00EE6F2E"/>
    <w:rsid w:val="00EF5C38"/>
    <w:rsid w:val="00F11710"/>
    <w:rsid w:val="00F221B6"/>
    <w:rsid w:val="00F25660"/>
    <w:rsid w:val="00F5334D"/>
    <w:rsid w:val="00F616C8"/>
    <w:rsid w:val="00F86911"/>
    <w:rsid w:val="00F966B5"/>
    <w:rsid w:val="00FA0BE1"/>
    <w:rsid w:val="00FA1B70"/>
    <w:rsid w:val="00FA46E9"/>
    <w:rsid w:val="00FD4DF5"/>
    <w:rsid w:val="00FD5E51"/>
    <w:rsid w:val="00FD76E5"/>
    <w:rsid w:val="00FE2CB6"/>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E99906"/>
  <w15:docId w15:val="{48CA518D-864A-436C-97A7-E1F6347166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221B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2458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24584"/>
  </w:style>
  <w:style w:type="paragraph" w:styleId="Footer">
    <w:name w:val="footer"/>
    <w:basedOn w:val="Normal"/>
    <w:link w:val="FooterChar"/>
    <w:uiPriority w:val="99"/>
    <w:unhideWhenUsed/>
    <w:rsid w:val="00B2458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245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11</Pages>
  <Words>2362</Words>
  <Characters>13467</Characters>
  <Application>Microsoft Office Word</Application>
  <DocSecurity>0</DocSecurity>
  <Lines>112</Lines>
  <Paragraphs>31</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15798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Andreea-Diana Carabus</cp:lastModifiedBy>
  <cp:revision>2</cp:revision>
  <dcterms:created xsi:type="dcterms:W3CDTF">2021-09-01T18:15:00Z</dcterms:created>
  <dcterms:modified xsi:type="dcterms:W3CDTF">2021-09-01T18:15:00Z</dcterms:modified>
</cp:coreProperties>
</file>