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i/>
        </w:rPr>
        <w:id w:val="1525753144"/>
        <w:docPartObj>
          <w:docPartGallery w:val="Cover Pages"/>
          <w:docPartUnique/>
        </w:docPartObj>
      </w:sdtPr>
      <w:sdtEndPr/>
      <w:sdtContent>
        <w:p w14:paraId="65744063" w14:textId="56AFB328" w:rsidR="007D5D06" w:rsidRDefault="007D5D06">
          <w:pPr>
            <w:rPr>
              <w:i/>
            </w:rPr>
          </w:pPr>
          <w:r w:rsidRPr="007D5D06">
            <w:rPr>
              <w:i/>
              <w:noProof/>
            </w:rPr>
            <mc:AlternateContent>
              <mc:Choice Requires="wps">
                <w:drawing>
                  <wp:anchor distT="0" distB="0" distL="114300" distR="114300" simplePos="0" relativeHeight="251659264" behindDoc="0" locked="0" layoutInCell="1" allowOverlap="1" wp14:anchorId="00C5D798" wp14:editId="40ECA55B">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7D5D06" w14:paraId="4D5E8462" w14:textId="77777777">
                                  <w:trPr>
                                    <w:jc w:val="center"/>
                                  </w:trPr>
                                  <w:tc>
                                    <w:tcPr>
                                      <w:tcW w:w="2568" w:type="pct"/>
                                      <w:vAlign w:val="center"/>
                                    </w:tcPr>
                                    <w:p w14:paraId="50DF0847" w14:textId="77777777" w:rsidR="007D5D06" w:rsidRDefault="007D5D06">
                                      <w:pPr>
                                        <w:jc w:val="right"/>
                                      </w:pPr>
                                      <w:r>
                                        <w:rPr>
                                          <w:noProof/>
                                        </w:rPr>
                                        <w:drawing>
                                          <wp:inline distT="0" distB="0" distL="0" distR="0" wp14:anchorId="7A434B52" wp14:editId="02AD83D3">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14:paraId="5024354D" w14:textId="736ED6C0" w:rsidR="007D5D06" w:rsidRPr="007D5D06" w:rsidRDefault="00421EE7" w:rsidP="007D5D06">
                                      <w:pPr>
                                        <w:rPr>
                                          <w:sz w:val="32"/>
                                          <w:szCs w:val="32"/>
                                        </w:rPr>
                                      </w:pPr>
                                      <w:sdt>
                                        <w:sdtPr>
                                          <w:rPr>
                                            <w:caps/>
                                            <w:color w:val="191919" w:themeColor="text1" w:themeTint="E6"/>
                                            <w:sz w:val="32"/>
                                            <w:szCs w:val="3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rPr>
                                            <w:caps w:val="0"/>
                                            <w:color w:val="auto"/>
                                          </w:rPr>
                                        </w:sdtEndPr>
                                        <w:sdtContent>
                                          <w:r w:rsidR="007D5D06" w:rsidRPr="007D5D06">
                                            <w:rPr>
                                              <w:caps/>
                                              <w:color w:val="191919" w:themeColor="text1" w:themeTint="E6"/>
                                              <w:sz w:val="32"/>
                                              <w:szCs w:val="32"/>
                                            </w:rPr>
                                            <w:t xml:space="preserve">     </w:t>
                                          </w:r>
                                        </w:sdtContent>
                                      </w:sdt>
                                      <w:r w:rsidR="007D5D06" w:rsidRPr="007D5D06">
                                        <w:rPr>
                                          <w:sz w:val="32"/>
                                          <w:szCs w:val="32"/>
                                        </w:rPr>
                                        <w:t xml:space="preserve">Archaeological Report </w:t>
                                      </w:r>
                                      <w:r w:rsidR="007D5D06">
                                        <w:rPr>
                                          <w:sz w:val="32"/>
                                          <w:szCs w:val="32"/>
                                        </w:rPr>
                                        <w:t>for C</w:t>
                                      </w:r>
                                      <w:r w:rsidR="00917E58">
                                        <w:rPr>
                                          <w:sz w:val="32"/>
                                          <w:szCs w:val="32"/>
                                        </w:rPr>
                                        <w:t xml:space="preserve">onnected Worlds AHAR5005 </w:t>
                                      </w:r>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E0A577E" w14:textId="5BE38DD6" w:rsidR="007D5D06" w:rsidRDefault="00917E58">
                                          <w:pPr>
                                            <w:jc w:val="right"/>
                                            <w:rPr>
                                              <w:sz w:val="24"/>
                                              <w:szCs w:val="24"/>
                                            </w:rPr>
                                          </w:pPr>
                                          <w:r>
                                            <w:rPr>
                                              <w:color w:val="000000" w:themeColor="text1"/>
                                              <w:sz w:val="24"/>
                                              <w:szCs w:val="24"/>
                                            </w:rPr>
                                            <w:t xml:space="preserve">The </w:t>
                                          </w:r>
                                          <w:r w:rsidRPr="00917E58">
                                            <w:rPr>
                                              <w:color w:val="000000" w:themeColor="text1"/>
                                              <w:sz w:val="24"/>
                                              <w:szCs w:val="24"/>
                                            </w:rPr>
                                            <w:t>significance of the metal silver for exploring interconnections in the Early to Middle Bronze Age (4100-2334 B.C.E) Kingdoms of Lower Mesopotamia (Sumer).</w:t>
                                          </w:r>
                                        </w:p>
                                      </w:sdtContent>
                                    </w:sdt>
                                  </w:tc>
                                  <w:tc>
                                    <w:tcPr>
                                      <w:tcW w:w="2432" w:type="pct"/>
                                      <w:vAlign w:val="center"/>
                                    </w:tcPr>
                                    <w:p w14:paraId="3DCB46E1" w14:textId="77777777" w:rsidR="007D5D06" w:rsidRDefault="007D5D06">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3A6AF1DE" w14:textId="77777777" w:rsidR="007D5D06" w:rsidRDefault="007D5D06">
                                          <w:pPr>
                                            <w:rPr>
                                              <w:color w:val="000000" w:themeColor="text1"/>
                                            </w:rPr>
                                          </w:pPr>
                                          <w:r>
                                            <w:rPr>
                                              <w:color w:val="000000" w:themeColor="text1"/>
                                            </w:rPr>
                                            <w:t>[Draw your reader in with an engaging abstract. It is typically a short summary of the document. When you’re ready to add your content, just click here and start typing.]</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3CD9A1B" w14:textId="43525C9A" w:rsidR="007D5D06" w:rsidRDefault="007D5D06">
                                          <w:pPr>
                                            <w:pStyle w:val="NoSpacing"/>
                                            <w:rPr>
                                              <w:color w:val="ED7D31" w:themeColor="accent2"/>
                                              <w:sz w:val="26"/>
                                              <w:szCs w:val="26"/>
                                            </w:rPr>
                                          </w:pPr>
                                          <w:r>
                                            <w:rPr>
                                              <w:color w:val="ED7D31" w:themeColor="accent2"/>
                                              <w:sz w:val="26"/>
                                              <w:szCs w:val="26"/>
                                            </w:rPr>
                                            <w:t>Aubrey Wallbridge-Cool</w:t>
                                          </w:r>
                                        </w:p>
                                      </w:sdtContent>
                                    </w:sdt>
                                    <w:p w14:paraId="719DCA15" w14:textId="77777777" w:rsidR="007D5D06" w:rsidRDefault="00421EE7">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7D5D06">
                                            <w:rPr>
                                              <w:color w:val="44546A" w:themeColor="text2"/>
                                            </w:rPr>
                                            <w:t>[Course title]</w:t>
                                          </w:r>
                                        </w:sdtContent>
                                      </w:sdt>
                                    </w:p>
                                  </w:tc>
                                </w:tr>
                              </w:tbl>
                              <w:p w14:paraId="3E098E13" w14:textId="77777777" w:rsidR="007D5D06" w:rsidRDefault="007D5D0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0C5D798"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7D5D06" w14:paraId="4D5E8462" w14:textId="77777777">
                            <w:trPr>
                              <w:jc w:val="center"/>
                            </w:trPr>
                            <w:tc>
                              <w:tcPr>
                                <w:tcW w:w="2568" w:type="pct"/>
                                <w:vAlign w:val="center"/>
                              </w:tcPr>
                              <w:p w14:paraId="50DF0847" w14:textId="77777777" w:rsidR="007D5D06" w:rsidRDefault="007D5D06">
                                <w:pPr>
                                  <w:jc w:val="right"/>
                                </w:pPr>
                                <w:r>
                                  <w:rPr>
                                    <w:noProof/>
                                  </w:rPr>
                                  <w:drawing>
                                    <wp:inline distT="0" distB="0" distL="0" distR="0" wp14:anchorId="7A434B52" wp14:editId="02AD83D3">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14:paraId="5024354D" w14:textId="736ED6C0" w:rsidR="007D5D06" w:rsidRPr="007D5D06" w:rsidRDefault="00421EE7" w:rsidP="007D5D06">
                                <w:pPr>
                                  <w:rPr>
                                    <w:sz w:val="32"/>
                                    <w:szCs w:val="32"/>
                                  </w:rPr>
                                </w:pPr>
                                <w:sdt>
                                  <w:sdtPr>
                                    <w:rPr>
                                      <w:caps/>
                                      <w:color w:val="191919" w:themeColor="text1" w:themeTint="E6"/>
                                      <w:sz w:val="32"/>
                                      <w:szCs w:val="3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rPr>
                                      <w:caps w:val="0"/>
                                      <w:color w:val="auto"/>
                                    </w:rPr>
                                  </w:sdtEndPr>
                                  <w:sdtContent>
                                    <w:r w:rsidR="007D5D06" w:rsidRPr="007D5D06">
                                      <w:rPr>
                                        <w:caps/>
                                        <w:color w:val="191919" w:themeColor="text1" w:themeTint="E6"/>
                                        <w:sz w:val="32"/>
                                        <w:szCs w:val="32"/>
                                      </w:rPr>
                                      <w:t xml:space="preserve">     </w:t>
                                    </w:r>
                                  </w:sdtContent>
                                </w:sdt>
                                <w:r w:rsidR="007D5D06" w:rsidRPr="007D5D06">
                                  <w:rPr>
                                    <w:sz w:val="32"/>
                                    <w:szCs w:val="32"/>
                                  </w:rPr>
                                  <w:t xml:space="preserve">Archaeological Report </w:t>
                                </w:r>
                                <w:r w:rsidR="007D5D06">
                                  <w:rPr>
                                    <w:sz w:val="32"/>
                                    <w:szCs w:val="32"/>
                                  </w:rPr>
                                  <w:t>for C</w:t>
                                </w:r>
                                <w:r w:rsidR="00917E58">
                                  <w:rPr>
                                    <w:sz w:val="32"/>
                                    <w:szCs w:val="32"/>
                                  </w:rPr>
                                  <w:t xml:space="preserve">onnected Worlds AHAR5005 </w:t>
                                </w:r>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E0A577E" w14:textId="5BE38DD6" w:rsidR="007D5D06" w:rsidRDefault="00917E58">
                                    <w:pPr>
                                      <w:jc w:val="right"/>
                                      <w:rPr>
                                        <w:sz w:val="24"/>
                                        <w:szCs w:val="24"/>
                                      </w:rPr>
                                    </w:pPr>
                                    <w:r>
                                      <w:rPr>
                                        <w:color w:val="000000" w:themeColor="text1"/>
                                        <w:sz w:val="24"/>
                                        <w:szCs w:val="24"/>
                                      </w:rPr>
                                      <w:t xml:space="preserve">The </w:t>
                                    </w:r>
                                    <w:r w:rsidRPr="00917E58">
                                      <w:rPr>
                                        <w:color w:val="000000" w:themeColor="text1"/>
                                        <w:sz w:val="24"/>
                                        <w:szCs w:val="24"/>
                                      </w:rPr>
                                      <w:t>significance of the metal silver for exploring interconnections in the Early to Middle Bronze Age (4100-2334 B.C.E) Kingdoms of Lower Mesopotamia (Sumer).</w:t>
                                    </w:r>
                                  </w:p>
                                </w:sdtContent>
                              </w:sdt>
                            </w:tc>
                            <w:tc>
                              <w:tcPr>
                                <w:tcW w:w="2432" w:type="pct"/>
                                <w:vAlign w:val="center"/>
                              </w:tcPr>
                              <w:p w14:paraId="3DCB46E1" w14:textId="77777777" w:rsidR="007D5D06" w:rsidRDefault="007D5D06">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3A6AF1DE" w14:textId="77777777" w:rsidR="007D5D06" w:rsidRDefault="007D5D06">
                                    <w:pPr>
                                      <w:rPr>
                                        <w:color w:val="000000" w:themeColor="text1"/>
                                      </w:rPr>
                                    </w:pPr>
                                    <w:r>
                                      <w:rPr>
                                        <w:color w:val="000000" w:themeColor="text1"/>
                                      </w:rPr>
                                      <w:t>[Draw your reader in with an engaging abstract. It is typically a short summary of the document. When you’re ready to add your content, just click here and start typing.]</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3CD9A1B" w14:textId="43525C9A" w:rsidR="007D5D06" w:rsidRDefault="007D5D06">
                                    <w:pPr>
                                      <w:pStyle w:val="NoSpacing"/>
                                      <w:rPr>
                                        <w:color w:val="ED7D31" w:themeColor="accent2"/>
                                        <w:sz w:val="26"/>
                                        <w:szCs w:val="26"/>
                                      </w:rPr>
                                    </w:pPr>
                                    <w:r>
                                      <w:rPr>
                                        <w:color w:val="ED7D31" w:themeColor="accent2"/>
                                        <w:sz w:val="26"/>
                                        <w:szCs w:val="26"/>
                                      </w:rPr>
                                      <w:t>Aubrey Wallbridge-Cool</w:t>
                                    </w:r>
                                  </w:p>
                                </w:sdtContent>
                              </w:sdt>
                              <w:p w14:paraId="719DCA15" w14:textId="77777777" w:rsidR="007D5D06" w:rsidRDefault="00421EE7">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7D5D06">
                                      <w:rPr>
                                        <w:color w:val="44546A" w:themeColor="text2"/>
                                      </w:rPr>
                                      <w:t>[Course title]</w:t>
                                    </w:r>
                                  </w:sdtContent>
                                </w:sdt>
                              </w:p>
                            </w:tc>
                          </w:tr>
                        </w:tbl>
                        <w:p w14:paraId="3E098E13" w14:textId="77777777" w:rsidR="007D5D06" w:rsidRDefault="007D5D06"/>
                      </w:txbxContent>
                    </v:textbox>
                    <w10:wrap anchorx="page" anchory="page"/>
                  </v:shape>
                </w:pict>
              </mc:Fallback>
            </mc:AlternateContent>
          </w:r>
          <w:r>
            <w:rPr>
              <w:i/>
            </w:rPr>
            <w:br w:type="page"/>
          </w:r>
        </w:p>
      </w:sdtContent>
    </w:sdt>
    <w:sdt>
      <w:sdtPr>
        <w:id w:val="1122424406"/>
        <w:docPartObj>
          <w:docPartGallery w:val="Table of Contents"/>
          <w:docPartUnique/>
        </w:docPartObj>
      </w:sdtPr>
      <w:sdtEndPr>
        <w:rPr>
          <w:rFonts w:asciiTheme="minorHAnsi" w:eastAsiaTheme="minorEastAsia" w:hAnsiTheme="minorHAnsi" w:cs="Times New Roman"/>
          <w:color w:val="auto"/>
          <w:sz w:val="22"/>
          <w:szCs w:val="22"/>
        </w:rPr>
      </w:sdtEndPr>
      <w:sdtContent>
        <w:p w14:paraId="319B5F87" w14:textId="5CBE93E6" w:rsidR="00340097" w:rsidRDefault="00340097">
          <w:pPr>
            <w:pStyle w:val="TOCHeading"/>
          </w:pPr>
        </w:p>
        <w:p w14:paraId="05E86F23" w14:textId="130A6A94" w:rsidR="00340097" w:rsidRDefault="00340097">
          <w:pPr>
            <w:pStyle w:val="TOC3"/>
            <w:ind w:left="446"/>
          </w:pPr>
        </w:p>
      </w:sdtContent>
    </w:sdt>
    <w:p w14:paraId="68FEE060" w14:textId="14F2BE96" w:rsidR="00340097" w:rsidRDefault="00340097">
      <w:pPr>
        <w:rPr>
          <w:b/>
        </w:rPr>
      </w:pPr>
    </w:p>
    <w:p w14:paraId="3F862FB3" w14:textId="3CFD9022" w:rsidR="00340097" w:rsidRDefault="00340097">
      <w:pPr>
        <w:rPr>
          <w:b/>
        </w:rPr>
      </w:pPr>
    </w:p>
    <w:p w14:paraId="668F4BEE" w14:textId="1263EFCF" w:rsidR="00340097" w:rsidRDefault="00B24B4A">
      <w:pPr>
        <w:rPr>
          <w:b/>
        </w:rPr>
      </w:pPr>
      <w:r>
        <w:rPr>
          <w:b/>
        </w:rPr>
        <w:t>Outline                                                                                                                    2</w:t>
      </w:r>
    </w:p>
    <w:p w14:paraId="1EF3A42E" w14:textId="402E1088" w:rsidR="00B24B4A" w:rsidRDefault="00B24B4A">
      <w:pPr>
        <w:rPr>
          <w:b/>
        </w:rPr>
      </w:pPr>
      <w:r>
        <w:rPr>
          <w:b/>
        </w:rPr>
        <w:t xml:space="preserve">Introduction                                                                                                          </w:t>
      </w:r>
      <w:bookmarkStart w:id="0" w:name="_GoBack"/>
      <w:bookmarkEnd w:id="0"/>
      <w:r>
        <w:rPr>
          <w:b/>
        </w:rPr>
        <w:t>3</w:t>
      </w:r>
    </w:p>
    <w:p w14:paraId="6A789C2D" w14:textId="430F61F7" w:rsidR="00B24B4A" w:rsidRDefault="00B24B4A">
      <w:pPr>
        <w:rPr>
          <w:b/>
        </w:rPr>
      </w:pPr>
      <w:r>
        <w:rPr>
          <w:b/>
        </w:rPr>
        <w:t>Theoretical  Perspectives                                                                                   3</w:t>
      </w:r>
    </w:p>
    <w:p w14:paraId="0C716810" w14:textId="62C08691" w:rsidR="00B24B4A" w:rsidRDefault="00B24B4A">
      <w:pPr>
        <w:rPr>
          <w:b/>
        </w:rPr>
      </w:pPr>
      <w:r>
        <w:rPr>
          <w:b/>
        </w:rPr>
        <w:t>Presentation of Data and Context of Research                                             4</w:t>
      </w:r>
    </w:p>
    <w:p w14:paraId="5DBB41E8" w14:textId="31FDCE09" w:rsidR="00B24B4A" w:rsidRDefault="00B24B4A">
      <w:pPr>
        <w:rPr>
          <w:b/>
        </w:rPr>
      </w:pPr>
      <w:r>
        <w:rPr>
          <w:b/>
        </w:rPr>
        <w:t>Interpretation and Analysis                                                                               7</w:t>
      </w:r>
    </w:p>
    <w:p w14:paraId="70D5F57A" w14:textId="1C1869E3" w:rsidR="00B24B4A" w:rsidRDefault="00B24B4A">
      <w:pPr>
        <w:rPr>
          <w:b/>
        </w:rPr>
      </w:pPr>
      <w:r>
        <w:rPr>
          <w:b/>
        </w:rPr>
        <w:t>Conclusions                                                                                                            8</w:t>
      </w:r>
    </w:p>
    <w:p w14:paraId="6FA2E448" w14:textId="432C16D9" w:rsidR="00B24B4A" w:rsidRDefault="00B24B4A">
      <w:pPr>
        <w:rPr>
          <w:b/>
        </w:rPr>
      </w:pPr>
      <w:r>
        <w:rPr>
          <w:b/>
        </w:rPr>
        <w:t>References                                                                                                            10</w:t>
      </w:r>
    </w:p>
    <w:p w14:paraId="0D755601" w14:textId="6D25EB4B" w:rsidR="00B24B4A" w:rsidRDefault="00B24B4A">
      <w:pPr>
        <w:rPr>
          <w:b/>
        </w:rPr>
      </w:pPr>
      <w:r>
        <w:rPr>
          <w:b/>
        </w:rPr>
        <w:t>Figures                                                                                                                    11 - 20</w:t>
      </w:r>
    </w:p>
    <w:p w14:paraId="0504E056" w14:textId="77777777" w:rsidR="00B24B4A" w:rsidRDefault="00B24B4A">
      <w:pPr>
        <w:rPr>
          <w:b/>
        </w:rPr>
      </w:pPr>
    </w:p>
    <w:p w14:paraId="53386DD2" w14:textId="0F2C2AD6" w:rsidR="00340097" w:rsidRDefault="00340097">
      <w:pPr>
        <w:rPr>
          <w:b/>
        </w:rPr>
      </w:pPr>
    </w:p>
    <w:p w14:paraId="2C741DB3" w14:textId="4AAB1C99" w:rsidR="00340097" w:rsidRDefault="00340097">
      <w:pPr>
        <w:rPr>
          <w:b/>
        </w:rPr>
      </w:pPr>
    </w:p>
    <w:p w14:paraId="2174FDFD" w14:textId="5EAE894C" w:rsidR="00340097" w:rsidRDefault="00340097">
      <w:pPr>
        <w:rPr>
          <w:b/>
        </w:rPr>
      </w:pPr>
    </w:p>
    <w:p w14:paraId="68D61CE5" w14:textId="0948B794" w:rsidR="00340097" w:rsidRDefault="00340097">
      <w:pPr>
        <w:rPr>
          <w:b/>
        </w:rPr>
      </w:pPr>
    </w:p>
    <w:p w14:paraId="45B74C95" w14:textId="309EFE6F" w:rsidR="00340097" w:rsidRDefault="00340097">
      <w:pPr>
        <w:rPr>
          <w:b/>
        </w:rPr>
      </w:pPr>
    </w:p>
    <w:p w14:paraId="5E93BB45" w14:textId="6FF203C3" w:rsidR="00340097" w:rsidRDefault="00340097">
      <w:pPr>
        <w:rPr>
          <w:b/>
        </w:rPr>
      </w:pPr>
    </w:p>
    <w:p w14:paraId="3287530A" w14:textId="789E55D0" w:rsidR="00340097" w:rsidRDefault="00340097">
      <w:pPr>
        <w:rPr>
          <w:b/>
        </w:rPr>
      </w:pPr>
    </w:p>
    <w:p w14:paraId="6D4F0BA3" w14:textId="3EC7C842" w:rsidR="00340097" w:rsidRDefault="00340097">
      <w:pPr>
        <w:rPr>
          <w:b/>
        </w:rPr>
      </w:pPr>
    </w:p>
    <w:p w14:paraId="115A6213" w14:textId="5ED7D68B" w:rsidR="00340097" w:rsidRDefault="00340097">
      <w:pPr>
        <w:rPr>
          <w:b/>
        </w:rPr>
      </w:pPr>
    </w:p>
    <w:p w14:paraId="194E74E1" w14:textId="64364078" w:rsidR="00340097" w:rsidRDefault="00340097">
      <w:pPr>
        <w:rPr>
          <w:b/>
        </w:rPr>
      </w:pPr>
    </w:p>
    <w:p w14:paraId="105422D9" w14:textId="05697311" w:rsidR="00340097" w:rsidRDefault="00340097">
      <w:pPr>
        <w:rPr>
          <w:b/>
        </w:rPr>
      </w:pPr>
    </w:p>
    <w:p w14:paraId="39700E72" w14:textId="213569F4" w:rsidR="00340097" w:rsidRDefault="00340097">
      <w:pPr>
        <w:rPr>
          <w:b/>
        </w:rPr>
      </w:pPr>
    </w:p>
    <w:p w14:paraId="192E6C6A" w14:textId="330C821C" w:rsidR="00340097" w:rsidRDefault="00340097">
      <w:pPr>
        <w:rPr>
          <w:b/>
        </w:rPr>
      </w:pPr>
    </w:p>
    <w:p w14:paraId="01E8366E" w14:textId="132DAEAF" w:rsidR="00340097" w:rsidRDefault="00340097">
      <w:pPr>
        <w:rPr>
          <w:b/>
        </w:rPr>
      </w:pPr>
      <w:r>
        <w:rPr>
          <w:b/>
        </w:rPr>
        <w:t xml:space="preserve">                                                                                                                                                                                        1</w:t>
      </w:r>
    </w:p>
    <w:p w14:paraId="0BCA3C46" w14:textId="77777777" w:rsidR="008B07A8" w:rsidRDefault="008B07A8" w:rsidP="003E361A">
      <w:pPr>
        <w:pStyle w:val="Heading2"/>
      </w:pPr>
      <w:bookmarkStart w:id="1" w:name="_Toc511725621"/>
    </w:p>
    <w:p w14:paraId="399A2D64" w14:textId="77777777" w:rsidR="008B07A8" w:rsidRDefault="008B07A8" w:rsidP="003E361A">
      <w:pPr>
        <w:pStyle w:val="Heading2"/>
      </w:pPr>
    </w:p>
    <w:p w14:paraId="35B33C5F" w14:textId="77777777" w:rsidR="008B07A8" w:rsidRDefault="008B07A8" w:rsidP="003E361A">
      <w:pPr>
        <w:pStyle w:val="Heading2"/>
      </w:pPr>
    </w:p>
    <w:p w14:paraId="3A74E5C8" w14:textId="77777777" w:rsidR="008B07A8" w:rsidRDefault="008B07A8" w:rsidP="003E361A">
      <w:pPr>
        <w:pStyle w:val="Heading2"/>
      </w:pPr>
    </w:p>
    <w:p w14:paraId="61C73B69" w14:textId="77777777" w:rsidR="008B07A8" w:rsidRDefault="008B07A8" w:rsidP="003E361A">
      <w:pPr>
        <w:pStyle w:val="Heading2"/>
      </w:pPr>
    </w:p>
    <w:p w14:paraId="1843D475" w14:textId="77777777" w:rsidR="008B07A8" w:rsidRDefault="008B07A8" w:rsidP="003E361A">
      <w:pPr>
        <w:pStyle w:val="Heading2"/>
      </w:pPr>
    </w:p>
    <w:p w14:paraId="3FA10740" w14:textId="77777777" w:rsidR="008B07A8" w:rsidRDefault="008B07A8" w:rsidP="003E361A">
      <w:pPr>
        <w:pStyle w:val="Heading2"/>
      </w:pPr>
    </w:p>
    <w:p w14:paraId="589F4421" w14:textId="77777777" w:rsidR="008B07A8" w:rsidRDefault="008B07A8" w:rsidP="003E361A">
      <w:pPr>
        <w:pStyle w:val="Heading2"/>
      </w:pPr>
    </w:p>
    <w:p w14:paraId="7BA0F2B3" w14:textId="77777777" w:rsidR="008B07A8" w:rsidRDefault="008B07A8" w:rsidP="003E361A">
      <w:pPr>
        <w:pStyle w:val="Heading2"/>
      </w:pPr>
    </w:p>
    <w:p w14:paraId="54FB45C4" w14:textId="77777777" w:rsidR="008B07A8" w:rsidRDefault="008B07A8" w:rsidP="003E361A">
      <w:pPr>
        <w:pStyle w:val="Heading2"/>
      </w:pPr>
    </w:p>
    <w:p w14:paraId="76C0EFCB" w14:textId="688BC46C" w:rsidR="00624C6C" w:rsidRDefault="003E361A" w:rsidP="003E361A">
      <w:pPr>
        <w:pStyle w:val="Heading2"/>
      </w:pPr>
      <w:r>
        <w:t>Outline</w:t>
      </w:r>
      <w:bookmarkEnd w:id="1"/>
    </w:p>
    <w:p w14:paraId="54FC0B86" w14:textId="77777777" w:rsidR="00340097" w:rsidRDefault="007C315A" w:rsidP="007C315A">
      <w:pPr>
        <w:pStyle w:val="Heading2"/>
      </w:pPr>
      <w:r>
        <w:t xml:space="preserve">The outline of this report is to show how the Mesopotamians and </w:t>
      </w:r>
      <w:r w:rsidR="00F0163B">
        <w:t>Ur</w:t>
      </w:r>
      <w:r>
        <w:t xml:space="preserve"> in the region of Sumer; acquired their silver supplies and how it was transported to lower Mesopotamia in the EBA-MBA. I will </w:t>
      </w:r>
      <w:r w:rsidR="002626D8">
        <w:t xml:space="preserve">also </w:t>
      </w:r>
      <w:r>
        <w:t>show examples of the finished vessels and prized wares</w:t>
      </w:r>
      <w:r w:rsidR="00D31146">
        <w:t>.</w:t>
      </w:r>
      <w:r>
        <w:t xml:space="preserve"> </w:t>
      </w:r>
      <w:r w:rsidR="00D31146">
        <w:t>T</w:t>
      </w:r>
      <w:r>
        <w:t>he final part of the report will</w:t>
      </w:r>
      <w:r w:rsidR="00D31146">
        <w:t xml:space="preserve"> </w:t>
      </w:r>
      <w:r>
        <w:t>show the uses the merchandise</w:t>
      </w:r>
      <w:r w:rsidR="00D31146">
        <w:t xml:space="preserve"> were put</w:t>
      </w:r>
      <w:r>
        <w:t xml:space="preserve"> too</w:t>
      </w:r>
      <w:r w:rsidR="002626D8">
        <w:t xml:space="preserve"> and to show that with specialization, writing forms and alphabets </w:t>
      </w:r>
      <w:r w:rsidR="00F0163B">
        <w:t>developed.</w:t>
      </w:r>
      <w:r>
        <w:t xml:space="preserve"> </w:t>
      </w:r>
    </w:p>
    <w:p w14:paraId="5C40DB0E" w14:textId="77777777" w:rsidR="00340097" w:rsidRDefault="00340097" w:rsidP="007C315A">
      <w:pPr>
        <w:pStyle w:val="Heading2"/>
      </w:pPr>
    </w:p>
    <w:p w14:paraId="6135C3F4" w14:textId="77777777" w:rsidR="00340097" w:rsidRDefault="00340097" w:rsidP="007C315A">
      <w:pPr>
        <w:pStyle w:val="Heading2"/>
      </w:pPr>
    </w:p>
    <w:p w14:paraId="539156A1" w14:textId="77777777" w:rsidR="00340097" w:rsidRDefault="00340097" w:rsidP="007C315A">
      <w:pPr>
        <w:pStyle w:val="Heading2"/>
      </w:pPr>
    </w:p>
    <w:p w14:paraId="0A8EE58D" w14:textId="77777777" w:rsidR="00340097" w:rsidRDefault="00340097" w:rsidP="007C315A">
      <w:pPr>
        <w:pStyle w:val="Heading2"/>
      </w:pPr>
    </w:p>
    <w:p w14:paraId="1F5D7F03" w14:textId="77777777" w:rsidR="00340097" w:rsidRDefault="00340097" w:rsidP="007C315A">
      <w:pPr>
        <w:pStyle w:val="Heading2"/>
      </w:pPr>
    </w:p>
    <w:p w14:paraId="4EE0A17F" w14:textId="77777777" w:rsidR="00340097" w:rsidRDefault="00340097" w:rsidP="007C315A">
      <w:pPr>
        <w:pStyle w:val="Heading2"/>
      </w:pPr>
    </w:p>
    <w:p w14:paraId="16CCDE75" w14:textId="77777777" w:rsidR="00340097" w:rsidRDefault="00340097" w:rsidP="007C315A">
      <w:pPr>
        <w:pStyle w:val="Heading2"/>
      </w:pPr>
    </w:p>
    <w:p w14:paraId="3E873FA0" w14:textId="77777777" w:rsidR="00340097" w:rsidRDefault="00340097" w:rsidP="007C315A">
      <w:pPr>
        <w:pStyle w:val="Heading2"/>
      </w:pPr>
    </w:p>
    <w:p w14:paraId="6307E2D9" w14:textId="77777777" w:rsidR="00340097" w:rsidRDefault="00340097" w:rsidP="007C315A">
      <w:pPr>
        <w:pStyle w:val="Heading2"/>
      </w:pPr>
    </w:p>
    <w:p w14:paraId="5CFEB580" w14:textId="77777777" w:rsidR="00340097" w:rsidRDefault="00340097" w:rsidP="007C315A">
      <w:pPr>
        <w:pStyle w:val="Heading2"/>
      </w:pPr>
    </w:p>
    <w:p w14:paraId="547DDE44" w14:textId="77777777" w:rsidR="00340097" w:rsidRDefault="00340097" w:rsidP="007C315A">
      <w:pPr>
        <w:pStyle w:val="Heading2"/>
      </w:pPr>
    </w:p>
    <w:p w14:paraId="423187A1" w14:textId="77777777" w:rsidR="00340097" w:rsidRDefault="00340097" w:rsidP="007C315A">
      <w:pPr>
        <w:pStyle w:val="Heading2"/>
      </w:pPr>
    </w:p>
    <w:p w14:paraId="3446DAD0" w14:textId="77777777" w:rsidR="00340097" w:rsidRDefault="00340097" w:rsidP="007C315A">
      <w:pPr>
        <w:pStyle w:val="Heading2"/>
      </w:pPr>
    </w:p>
    <w:p w14:paraId="02F28D07" w14:textId="77777777" w:rsidR="00340097" w:rsidRDefault="00340097" w:rsidP="007C315A">
      <w:pPr>
        <w:pStyle w:val="Heading2"/>
      </w:pPr>
    </w:p>
    <w:p w14:paraId="0E681E51" w14:textId="77777777" w:rsidR="00340097" w:rsidRDefault="00340097" w:rsidP="007C315A">
      <w:pPr>
        <w:pStyle w:val="Heading2"/>
      </w:pPr>
    </w:p>
    <w:p w14:paraId="363E84BA" w14:textId="77777777" w:rsidR="00340097" w:rsidRDefault="00340097" w:rsidP="007C315A">
      <w:pPr>
        <w:pStyle w:val="Heading2"/>
      </w:pPr>
    </w:p>
    <w:p w14:paraId="401AF8FB" w14:textId="77777777" w:rsidR="00340097" w:rsidRDefault="00340097" w:rsidP="007C315A">
      <w:pPr>
        <w:pStyle w:val="Heading2"/>
      </w:pPr>
    </w:p>
    <w:p w14:paraId="5AE5286E" w14:textId="65CE7B9D" w:rsidR="007C315A" w:rsidRDefault="00340097" w:rsidP="007C315A">
      <w:pPr>
        <w:pStyle w:val="Heading2"/>
      </w:pPr>
      <w:r>
        <w:t>2</w:t>
      </w:r>
      <w:r w:rsidR="007C315A">
        <w:br w:type="page"/>
      </w:r>
    </w:p>
    <w:p w14:paraId="3B6637CE" w14:textId="77777777" w:rsidR="007C315A" w:rsidRDefault="007C315A" w:rsidP="007C315A">
      <w:pPr>
        <w:pStyle w:val="Heading2"/>
      </w:pPr>
      <w:bookmarkStart w:id="2" w:name="_Toc511725622"/>
      <w:r>
        <w:lastRenderedPageBreak/>
        <w:t>Introduction</w:t>
      </w:r>
      <w:bookmarkEnd w:id="2"/>
    </w:p>
    <w:p w14:paraId="5B77AAC2" w14:textId="17556CC9" w:rsidR="007C315A" w:rsidRDefault="007C315A" w:rsidP="007C315A">
      <w:pPr>
        <w:spacing w:line="360" w:lineRule="auto"/>
        <w:rPr>
          <w:sz w:val="24"/>
          <w:szCs w:val="24"/>
        </w:rPr>
      </w:pPr>
      <w:r w:rsidRPr="006D3144">
        <w:rPr>
          <w:sz w:val="24"/>
          <w:szCs w:val="24"/>
        </w:rPr>
        <w:t>The trade routes in the Eastern Mediterranean/Near Middle East (in the Early Bronze Age or Uruk periods through to EBA IIIb, period), consisted of two very distinct tracks. The first went from the Aegean Sea to Cyprus, Ugarit, the Levant and finally to Byblos, in Phoenicia and then on to Egypt. The other route went from Anatolia, Syria, Mari, Nippur, Lagash, Susa and finally to Ur (</w:t>
      </w:r>
      <w:r w:rsidRPr="006D3144">
        <w:rPr>
          <w:i/>
          <w:sz w:val="24"/>
          <w:szCs w:val="24"/>
        </w:rPr>
        <w:t>Dickinson 1994:234-50</w:t>
      </w:r>
      <w:r w:rsidRPr="006D3144">
        <w:rPr>
          <w:sz w:val="24"/>
          <w:szCs w:val="24"/>
        </w:rPr>
        <w:t>).</w:t>
      </w:r>
    </w:p>
    <w:p w14:paraId="433B0DE5" w14:textId="27A90F56" w:rsidR="0071014A" w:rsidRPr="006D3144" w:rsidRDefault="0071014A" w:rsidP="007C315A">
      <w:pPr>
        <w:spacing w:line="360" w:lineRule="auto"/>
        <w:rPr>
          <w:sz w:val="24"/>
          <w:szCs w:val="24"/>
        </w:rPr>
      </w:pPr>
      <w:r>
        <w:rPr>
          <w:sz w:val="24"/>
          <w:szCs w:val="24"/>
        </w:rPr>
        <w:t>In Mesopotamia feeding off the rivers were a complete maze of canals or levees which enabled trade to get to every reasonably sized community in the region. See Fig No 4.</w:t>
      </w:r>
    </w:p>
    <w:p w14:paraId="18DEB4E9" w14:textId="2E50FB31" w:rsidR="007C315A" w:rsidRPr="006D3144" w:rsidRDefault="007C315A" w:rsidP="007C315A">
      <w:pPr>
        <w:spacing w:line="360" w:lineRule="auto"/>
        <w:rPr>
          <w:sz w:val="24"/>
          <w:szCs w:val="24"/>
        </w:rPr>
      </w:pPr>
      <w:r w:rsidRPr="006D3144">
        <w:rPr>
          <w:sz w:val="24"/>
          <w:szCs w:val="24"/>
        </w:rPr>
        <w:t>I intend to show that the silver supplies that Sumer consumed came from the Anatolian district in the main, but with two other possible sources of supply coming from Elam, in the Persian domain, Dilmun (</w:t>
      </w:r>
      <w:r w:rsidRPr="006D3144">
        <w:rPr>
          <w:i/>
          <w:sz w:val="24"/>
          <w:szCs w:val="24"/>
        </w:rPr>
        <w:t>modern day Bahrain</w:t>
      </w:r>
      <w:r w:rsidRPr="006D3144">
        <w:rPr>
          <w:sz w:val="24"/>
          <w:szCs w:val="24"/>
        </w:rPr>
        <w:t>) in the Persian Gulf and later in the Bronze Age Laurion in Crete seems to have freely traded silver as well as other metals. (</w:t>
      </w:r>
      <w:r w:rsidRPr="006D3144">
        <w:rPr>
          <w:i/>
          <w:sz w:val="24"/>
          <w:szCs w:val="24"/>
        </w:rPr>
        <w:t>Dickinson 1994: 243-55</w:t>
      </w:r>
      <w:r w:rsidRPr="006D3144">
        <w:rPr>
          <w:sz w:val="24"/>
          <w:szCs w:val="24"/>
        </w:rPr>
        <w:t>). (</w:t>
      </w:r>
      <w:r w:rsidRPr="006D3144">
        <w:rPr>
          <w:i/>
          <w:sz w:val="24"/>
          <w:szCs w:val="24"/>
        </w:rPr>
        <w:t>Fig No 1</w:t>
      </w:r>
      <w:r w:rsidRPr="006D3144">
        <w:rPr>
          <w:sz w:val="24"/>
          <w:szCs w:val="24"/>
        </w:rPr>
        <w:t>).</w:t>
      </w:r>
      <w:r w:rsidR="009C07D2">
        <w:rPr>
          <w:sz w:val="24"/>
          <w:szCs w:val="24"/>
        </w:rPr>
        <w:t xml:space="preserve"> I will also show </w:t>
      </w:r>
      <w:r w:rsidR="00BF2119">
        <w:rPr>
          <w:sz w:val="24"/>
          <w:szCs w:val="24"/>
        </w:rPr>
        <w:t>w</w:t>
      </w:r>
      <w:r w:rsidR="009C07D2">
        <w:rPr>
          <w:sz w:val="24"/>
          <w:szCs w:val="24"/>
        </w:rPr>
        <w:t>ha</w:t>
      </w:r>
      <w:r w:rsidR="00BF2119">
        <w:rPr>
          <w:sz w:val="24"/>
          <w:szCs w:val="24"/>
        </w:rPr>
        <w:t xml:space="preserve">t uses the silver was put to; as well as gains to humanity from the advent of specialization. </w:t>
      </w:r>
    </w:p>
    <w:p w14:paraId="32CF1FB8" w14:textId="77777777" w:rsidR="007C315A" w:rsidRDefault="007C315A" w:rsidP="007C315A"/>
    <w:p w14:paraId="0BC56704" w14:textId="77777777" w:rsidR="008B07A8" w:rsidRDefault="008B07A8" w:rsidP="007C315A">
      <w:pPr>
        <w:pStyle w:val="Heading2"/>
      </w:pPr>
      <w:bookmarkStart w:id="3" w:name="_Toc511725623"/>
    </w:p>
    <w:p w14:paraId="3E418EAD" w14:textId="77777777" w:rsidR="008B07A8" w:rsidRDefault="008B07A8" w:rsidP="007C315A">
      <w:pPr>
        <w:pStyle w:val="Heading2"/>
      </w:pPr>
    </w:p>
    <w:p w14:paraId="5130B771" w14:textId="2F0DC4BF" w:rsidR="007C315A" w:rsidRDefault="007C315A" w:rsidP="007C315A">
      <w:pPr>
        <w:pStyle w:val="Heading2"/>
      </w:pPr>
      <w:r>
        <w:t>Theoretical Perspectives</w:t>
      </w:r>
      <w:bookmarkEnd w:id="3"/>
    </w:p>
    <w:p w14:paraId="36C5DBE6" w14:textId="77777777" w:rsidR="000B3883" w:rsidRDefault="000B3883" w:rsidP="007C315A">
      <w:pPr>
        <w:spacing w:line="360" w:lineRule="auto"/>
        <w:rPr>
          <w:sz w:val="24"/>
          <w:szCs w:val="24"/>
        </w:rPr>
      </w:pPr>
    </w:p>
    <w:p w14:paraId="4C4120F3" w14:textId="166834FF" w:rsidR="007C315A" w:rsidRPr="006D3144" w:rsidRDefault="000B3883" w:rsidP="007C315A">
      <w:pPr>
        <w:spacing w:line="360" w:lineRule="auto"/>
        <w:rPr>
          <w:sz w:val="24"/>
          <w:szCs w:val="24"/>
        </w:rPr>
      </w:pPr>
      <w:r>
        <w:rPr>
          <w:sz w:val="24"/>
          <w:szCs w:val="24"/>
        </w:rPr>
        <w:t>Sp</w:t>
      </w:r>
      <w:r w:rsidR="000E7885">
        <w:rPr>
          <w:sz w:val="24"/>
          <w:szCs w:val="24"/>
        </w:rPr>
        <w:t xml:space="preserve">ecialization </w:t>
      </w:r>
      <w:r w:rsidR="008058B4">
        <w:rPr>
          <w:sz w:val="24"/>
          <w:szCs w:val="24"/>
        </w:rPr>
        <w:t xml:space="preserve">became a leading theme </w:t>
      </w:r>
      <w:r w:rsidR="007C315A" w:rsidRPr="006D3144">
        <w:rPr>
          <w:sz w:val="24"/>
          <w:szCs w:val="24"/>
        </w:rPr>
        <w:t xml:space="preserve">in </w:t>
      </w:r>
      <w:r w:rsidR="007C315A" w:rsidRPr="006D3144">
        <w:rPr>
          <w:i/>
          <w:sz w:val="24"/>
          <w:szCs w:val="24"/>
        </w:rPr>
        <w:t>Vere Gordan Childe’s</w:t>
      </w:r>
      <w:r w:rsidR="007C315A" w:rsidRPr="006D3144">
        <w:rPr>
          <w:sz w:val="24"/>
          <w:szCs w:val="24"/>
        </w:rPr>
        <w:t xml:space="preserve"> theories about a revolution occurring because of trade</w:t>
      </w:r>
      <w:r w:rsidR="00D519C0">
        <w:rPr>
          <w:sz w:val="24"/>
          <w:szCs w:val="24"/>
        </w:rPr>
        <w:t xml:space="preserve">, this </w:t>
      </w:r>
      <w:r w:rsidR="007C315A" w:rsidRPr="006D3144">
        <w:rPr>
          <w:sz w:val="24"/>
          <w:szCs w:val="24"/>
        </w:rPr>
        <w:t>lead him to name what happened as a “class” revolution; this has been altered in recent studies to an” elite”/ non-elite” classification. (</w:t>
      </w:r>
      <w:r w:rsidR="007C315A" w:rsidRPr="006D3144">
        <w:rPr>
          <w:i/>
          <w:sz w:val="24"/>
          <w:szCs w:val="24"/>
        </w:rPr>
        <w:t>Tringham 1996:233</w:t>
      </w:r>
      <w:r w:rsidR="007C315A" w:rsidRPr="006D3144">
        <w:rPr>
          <w:sz w:val="24"/>
          <w:szCs w:val="24"/>
        </w:rPr>
        <w:t>).</w:t>
      </w:r>
    </w:p>
    <w:p w14:paraId="7999DC65" w14:textId="77777777" w:rsidR="007C315A" w:rsidRPr="006D3144" w:rsidRDefault="007C315A" w:rsidP="007C315A">
      <w:pPr>
        <w:spacing w:line="360" w:lineRule="auto"/>
        <w:rPr>
          <w:sz w:val="24"/>
          <w:szCs w:val="24"/>
        </w:rPr>
      </w:pPr>
      <w:r w:rsidRPr="006D3144">
        <w:rPr>
          <w:sz w:val="24"/>
          <w:szCs w:val="24"/>
        </w:rPr>
        <w:t xml:space="preserve">Other classifications of </w:t>
      </w:r>
      <w:r w:rsidRPr="006D3144">
        <w:rPr>
          <w:i/>
          <w:sz w:val="24"/>
          <w:szCs w:val="24"/>
        </w:rPr>
        <w:t>Childe’s t</w:t>
      </w:r>
      <w:r w:rsidRPr="006D3144">
        <w:rPr>
          <w:sz w:val="24"/>
          <w:szCs w:val="24"/>
        </w:rPr>
        <w:t xml:space="preserve">o be altered in the same work are; “ </w:t>
      </w:r>
      <w:r w:rsidRPr="006D3144">
        <w:rPr>
          <w:i/>
          <w:sz w:val="24"/>
          <w:szCs w:val="24"/>
        </w:rPr>
        <w:t>independent</w:t>
      </w:r>
      <w:r w:rsidRPr="006D3144">
        <w:rPr>
          <w:sz w:val="24"/>
          <w:szCs w:val="24"/>
        </w:rPr>
        <w:t>”/ “</w:t>
      </w:r>
      <w:r w:rsidRPr="006D3144">
        <w:rPr>
          <w:i/>
          <w:sz w:val="24"/>
          <w:szCs w:val="24"/>
        </w:rPr>
        <w:t>attached</w:t>
      </w:r>
      <w:r w:rsidRPr="006D3144">
        <w:rPr>
          <w:sz w:val="24"/>
          <w:szCs w:val="24"/>
        </w:rPr>
        <w:t xml:space="preserve"> </w:t>
      </w:r>
      <w:r w:rsidRPr="006D3144">
        <w:rPr>
          <w:i/>
          <w:sz w:val="24"/>
          <w:szCs w:val="24"/>
        </w:rPr>
        <w:t>specialist</w:t>
      </w:r>
      <w:r w:rsidRPr="006D3144">
        <w:rPr>
          <w:sz w:val="24"/>
          <w:szCs w:val="24"/>
        </w:rPr>
        <w:t xml:space="preserve">” ( equivalent to </w:t>
      </w:r>
      <w:r w:rsidRPr="006D3144">
        <w:rPr>
          <w:i/>
          <w:sz w:val="24"/>
          <w:szCs w:val="24"/>
        </w:rPr>
        <w:t>Childe’s</w:t>
      </w:r>
      <w:r w:rsidRPr="006D3144">
        <w:rPr>
          <w:sz w:val="24"/>
          <w:szCs w:val="24"/>
        </w:rPr>
        <w:t xml:space="preserve"> “</w:t>
      </w:r>
      <w:r w:rsidRPr="006D3144">
        <w:rPr>
          <w:i/>
          <w:sz w:val="24"/>
          <w:szCs w:val="24"/>
        </w:rPr>
        <w:t>independent mobile</w:t>
      </w:r>
      <w:r w:rsidRPr="006D3144">
        <w:rPr>
          <w:sz w:val="24"/>
          <w:szCs w:val="24"/>
        </w:rPr>
        <w:t xml:space="preserve"> </w:t>
      </w:r>
      <w:r w:rsidRPr="006D3144">
        <w:rPr>
          <w:i/>
          <w:sz w:val="24"/>
          <w:szCs w:val="24"/>
        </w:rPr>
        <w:t>specialis</w:t>
      </w:r>
      <w:r w:rsidRPr="006D3144">
        <w:rPr>
          <w:sz w:val="24"/>
          <w:szCs w:val="24"/>
        </w:rPr>
        <w:t>t”/”</w:t>
      </w:r>
      <w:r w:rsidRPr="006D3144">
        <w:rPr>
          <w:i/>
          <w:sz w:val="24"/>
          <w:szCs w:val="24"/>
        </w:rPr>
        <w:t>patron-client” dichotomy</w:t>
      </w:r>
      <w:r w:rsidRPr="006D3144">
        <w:rPr>
          <w:sz w:val="24"/>
          <w:szCs w:val="24"/>
        </w:rPr>
        <w:t>); “</w:t>
      </w:r>
      <w:r w:rsidRPr="006D3144">
        <w:rPr>
          <w:i/>
          <w:sz w:val="24"/>
          <w:szCs w:val="24"/>
        </w:rPr>
        <w:t>prestige</w:t>
      </w:r>
      <w:r w:rsidRPr="006D3144">
        <w:rPr>
          <w:sz w:val="24"/>
          <w:szCs w:val="24"/>
        </w:rPr>
        <w:t xml:space="preserve">” /” </w:t>
      </w:r>
      <w:r w:rsidRPr="006D3144">
        <w:rPr>
          <w:i/>
          <w:sz w:val="24"/>
          <w:szCs w:val="24"/>
        </w:rPr>
        <w:t>utilitarian goods</w:t>
      </w:r>
      <w:r w:rsidRPr="006D3144">
        <w:rPr>
          <w:sz w:val="24"/>
          <w:szCs w:val="24"/>
        </w:rPr>
        <w:t xml:space="preserve">” ( equivalent </w:t>
      </w:r>
      <w:r w:rsidRPr="006D3144">
        <w:rPr>
          <w:i/>
          <w:sz w:val="24"/>
          <w:szCs w:val="24"/>
        </w:rPr>
        <w:t>to Childe’s</w:t>
      </w:r>
      <w:r w:rsidRPr="006D3144">
        <w:rPr>
          <w:sz w:val="24"/>
          <w:szCs w:val="24"/>
        </w:rPr>
        <w:t xml:space="preserve"> “luxury “/ “ </w:t>
      </w:r>
      <w:r w:rsidRPr="006D3144">
        <w:rPr>
          <w:i/>
          <w:sz w:val="24"/>
          <w:szCs w:val="24"/>
        </w:rPr>
        <w:t>utilitarian goods” dichotomy</w:t>
      </w:r>
      <w:r w:rsidRPr="006D3144">
        <w:rPr>
          <w:sz w:val="24"/>
          <w:szCs w:val="24"/>
        </w:rPr>
        <w:t>), to name a few of classifications that have been altered in recent archaeological history. (</w:t>
      </w:r>
      <w:r w:rsidRPr="006D3144">
        <w:rPr>
          <w:i/>
          <w:sz w:val="24"/>
          <w:szCs w:val="24"/>
        </w:rPr>
        <w:t>Tringham 1996:233</w:t>
      </w:r>
      <w:r w:rsidRPr="006D3144">
        <w:rPr>
          <w:sz w:val="24"/>
          <w:szCs w:val="24"/>
        </w:rPr>
        <w:t xml:space="preserve">). I am planning to say no more about </w:t>
      </w:r>
      <w:r w:rsidRPr="006D3144">
        <w:rPr>
          <w:i/>
          <w:sz w:val="24"/>
          <w:szCs w:val="24"/>
        </w:rPr>
        <w:t>Childe</w:t>
      </w:r>
      <w:r w:rsidRPr="006D3144">
        <w:rPr>
          <w:sz w:val="24"/>
          <w:szCs w:val="24"/>
        </w:rPr>
        <w:t xml:space="preserve"> here as I will expand his arguments, in my other piece on </w:t>
      </w:r>
      <w:r w:rsidRPr="006D3144">
        <w:rPr>
          <w:i/>
          <w:sz w:val="24"/>
          <w:szCs w:val="24"/>
        </w:rPr>
        <w:t>Palatial Palaces</w:t>
      </w:r>
      <w:r w:rsidRPr="006D3144">
        <w:rPr>
          <w:sz w:val="24"/>
          <w:szCs w:val="24"/>
        </w:rPr>
        <w:t>.</w:t>
      </w:r>
    </w:p>
    <w:p w14:paraId="1EA911E5" w14:textId="3D692C59" w:rsidR="007C315A" w:rsidRDefault="00340097" w:rsidP="007C315A">
      <w:r>
        <w:t>3</w:t>
      </w:r>
    </w:p>
    <w:p w14:paraId="7343831B" w14:textId="77777777" w:rsidR="008B07A8" w:rsidRDefault="008B07A8" w:rsidP="007C315A">
      <w:pPr>
        <w:pStyle w:val="Heading2"/>
      </w:pPr>
      <w:bookmarkStart w:id="4" w:name="_Toc511725624"/>
    </w:p>
    <w:p w14:paraId="40D96F46" w14:textId="46B04493" w:rsidR="007C315A" w:rsidRDefault="007C315A" w:rsidP="007C315A">
      <w:pPr>
        <w:pStyle w:val="Heading2"/>
      </w:pPr>
      <w:r>
        <w:t>Presentation of Data and Context of Research</w:t>
      </w:r>
      <w:bookmarkEnd w:id="4"/>
    </w:p>
    <w:p w14:paraId="0DD18F7B" w14:textId="77777777" w:rsidR="000B3883" w:rsidRDefault="000B3883" w:rsidP="007C315A">
      <w:pPr>
        <w:spacing w:line="360" w:lineRule="auto"/>
        <w:rPr>
          <w:sz w:val="24"/>
          <w:szCs w:val="24"/>
        </w:rPr>
      </w:pPr>
    </w:p>
    <w:p w14:paraId="409C1A54" w14:textId="7B8DE686" w:rsidR="007C315A" w:rsidRDefault="007C315A" w:rsidP="007C315A">
      <w:pPr>
        <w:spacing w:line="360" w:lineRule="auto"/>
        <w:rPr>
          <w:sz w:val="24"/>
          <w:szCs w:val="24"/>
        </w:rPr>
      </w:pPr>
      <w:r>
        <w:rPr>
          <w:sz w:val="24"/>
          <w:szCs w:val="24"/>
        </w:rPr>
        <w:t xml:space="preserve"> The data set includes a silver Egyptian funerary boat, </w:t>
      </w:r>
      <w:r w:rsidRPr="008F5BDA">
        <w:rPr>
          <w:sz w:val="24"/>
          <w:szCs w:val="24"/>
        </w:rPr>
        <w:t>Figure of Enheduanna, High priestess of the moon god</w:t>
      </w:r>
      <w:r w:rsidR="000B3883">
        <w:rPr>
          <w:sz w:val="24"/>
          <w:szCs w:val="24"/>
        </w:rPr>
        <w:t xml:space="preserve">. </w:t>
      </w:r>
      <w:r>
        <w:rPr>
          <w:sz w:val="24"/>
          <w:szCs w:val="24"/>
        </w:rPr>
        <w:t xml:space="preserve">These objects have been chosen because these are some of the very few pieces to be found in silver. These examples illustrate how silver was held in such high esteem, due to its rarity and its link with the sun and light. </w:t>
      </w:r>
    </w:p>
    <w:p w14:paraId="767E9CE3" w14:textId="648CAAF7" w:rsidR="00D42270" w:rsidRDefault="007C315A" w:rsidP="00294F2F">
      <w:pPr>
        <w:spacing w:line="360" w:lineRule="auto"/>
        <w:rPr>
          <w:sz w:val="24"/>
          <w:szCs w:val="24"/>
        </w:rPr>
      </w:pPr>
      <w:r w:rsidRPr="006D3144">
        <w:rPr>
          <w:sz w:val="24"/>
          <w:szCs w:val="24"/>
        </w:rPr>
        <w:t xml:space="preserve">In the early Bronze Age silver as a metal would have been more valuable than gold; this would have occurred because of the lack of silver that could be retrieved in the ground in the region. The sources for silver in the region even as late as the second millennium BCE; were only three, one in what is now Afghanistan, the other two in Anatolia one near Acemhoyuk the other in the Taurus Mountains area. (Aruz et-al 2009: xxii-xxiii). It was this reason only a shortage of supply that made silver so valuable in this historical period; </w:t>
      </w:r>
      <w:r w:rsidR="00294F2F" w:rsidRPr="006D3144">
        <w:rPr>
          <w:sz w:val="24"/>
          <w:szCs w:val="24"/>
        </w:rPr>
        <w:t xml:space="preserve">prevailed at least for longest period. It </w:t>
      </w:r>
      <w:r w:rsidR="00D42270">
        <w:rPr>
          <w:sz w:val="24"/>
          <w:szCs w:val="24"/>
        </w:rPr>
        <w:t xml:space="preserve">seems reasonable </w:t>
      </w:r>
      <w:r w:rsidR="00294F2F" w:rsidRPr="006D3144">
        <w:rPr>
          <w:sz w:val="24"/>
          <w:szCs w:val="24"/>
        </w:rPr>
        <w:t xml:space="preserve">to me that the </w:t>
      </w:r>
      <w:r w:rsidR="00F0163B" w:rsidRPr="006D3144">
        <w:rPr>
          <w:i/>
          <w:sz w:val="24"/>
          <w:szCs w:val="24"/>
        </w:rPr>
        <w:t xml:space="preserve">Sumerians </w:t>
      </w:r>
      <w:r w:rsidR="00F0163B">
        <w:rPr>
          <w:i/>
          <w:sz w:val="24"/>
          <w:szCs w:val="24"/>
        </w:rPr>
        <w:t>made</w:t>
      </w:r>
      <w:r w:rsidR="00D42270">
        <w:rPr>
          <w:i/>
          <w:sz w:val="24"/>
          <w:szCs w:val="24"/>
        </w:rPr>
        <w:t xml:space="preserve"> use of other readily </w:t>
      </w:r>
      <w:r w:rsidR="00294F2F" w:rsidRPr="006D3144">
        <w:rPr>
          <w:sz w:val="24"/>
          <w:szCs w:val="24"/>
        </w:rPr>
        <w:t xml:space="preserve">available </w:t>
      </w:r>
      <w:r w:rsidR="00D42270">
        <w:rPr>
          <w:sz w:val="24"/>
          <w:szCs w:val="24"/>
        </w:rPr>
        <w:t>sources of silver ore in the later bronze age periods</w:t>
      </w:r>
      <w:r w:rsidR="00294F2F" w:rsidRPr="006D3144">
        <w:rPr>
          <w:sz w:val="24"/>
          <w:szCs w:val="24"/>
        </w:rPr>
        <w:t>,</w:t>
      </w:r>
      <w:r w:rsidR="00D42270">
        <w:rPr>
          <w:sz w:val="24"/>
          <w:szCs w:val="24"/>
        </w:rPr>
        <w:t xml:space="preserve"> </w:t>
      </w:r>
      <w:r w:rsidR="00294F2F" w:rsidRPr="006D3144">
        <w:rPr>
          <w:sz w:val="24"/>
          <w:szCs w:val="24"/>
        </w:rPr>
        <w:t xml:space="preserve">but the </w:t>
      </w:r>
      <w:r w:rsidR="00294F2F" w:rsidRPr="006D3144">
        <w:rPr>
          <w:i/>
          <w:sz w:val="24"/>
          <w:szCs w:val="24"/>
        </w:rPr>
        <w:t xml:space="preserve">Anatolia </w:t>
      </w:r>
      <w:r w:rsidR="00294F2F" w:rsidRPr="006D3144">
        <w:rPr>
          <w:sz w:val="24"/>
          <w:szCs w:val="24"/>
        </w:rPr>
        <w:t>link seems to have</w:t>
      </w:r>
      <w:r w:rsidR="00D42270">
        <w:rPr>
          <w:sz w:val="24"/>
          <w:szCs w:val="24"/>
        </w:rPr>
        <w:t xml:space="preserve"> been the main one. Both the Sumerians</w:t>
      </w:r>
      <w:r w:rsidR="00294F2F" w:rsidRPr="006D3144">
        <w:rPr>
          <w:sz w:val="24"/>
          <w:szCs w:val="24"/>
        </w:rPr>
        <w:t xml:space="preserve"> and the rest of the </w:t>
      </w:r>
      <w:r w:rsidR="00294F2F" w:rsidRPr="006D3144">
        <w:rPr>
          <w:i/>
          <w:sz w:val="24"/>
          <w:szCs w:val="24"/>
        </w:rPr>
        <w:t>Mesopotamian</w:t>
      </w:r>
      <w:r w:rsidR="00294F2F" w:rsidRPr="006D3144">
        <w:rPr>
          <w:sz w:val="24"/>
          <w:szCs w:val="24"/>
        </w:rPr>
        <w:t xml:space="preserve"> peoples held the metal silver in great awe</w:t>
      </w:r>
      <w:r w:rsidR="00D42270">
        <w:rPr>
          <w:sz w:val="24"/>
          <w:szCs w:val="24"/>
        </w:rPr>
        <w:t xml:space="preserve">; to them especially in the early bronze age it sat at the pinnacle of bling. </w:t>
      </w:r>
    </w:p>
    <w:p w14:paraId="2F5FBF2F" w14:textId="16CF8DFE" w:rsidR="00294F2F" w:rsidRPr="006D3144" w:rsidRDefault="00D42270" w:rsidP="00294F2F">
      <w:pPr>
        <w:spacing w:line="360" w:lineRule="auto"/>
        <w:rPr>
          <w:sz w:val="24"/>
          <w:szCs w:val="24"/>
        </w:rPr>
      </w:pPr>
      <w:r>
        <w:rPr>
          <w:sz w:val="24"/>
          <w:szCs w:val="24"/>
        </w:rPr>
        <w:t>It would seem highly likely that</w:t>
      </w:r>
      <w:r w:rsidR="00294F2F">
        <w:rPr>
          <w:sz w:val="24"/>
          <w:szCs w:val="24"/>
        </w:rPr>
        <w:t xml:space="preserve"> </w:t>
      </w:r>
      <w:r w:rsidR="00294F2F" w:rsidRPr="006D3144">
        <w:rPr>
          <w:i/>
          <w:sz w:val="24"/>
          <w:szCs w:val="24"/>
        </w:rPr>
        <w:t>Mesopotamian</w:t>
      </w:r>
      <w:r w:rsidR="00294F2F" w:rsidRPr="006D3144">
        <w:rPr>
          <w:sz w:val="24"/>
          <w:szCs w:val="24"/>
        </w:rPr>
        <w:t xml:space="preserve"> merchants were in EBA Anatolia. It would be surprising if </w:t>
      </w:r>
      <w:r>
        <w:rPr>
          <w:sz w:val="24"/>
          <w:szCs w:val="24"/>
        </w:rPr>
        <w:t xml:space="preserve">they </w:t>
      </w:r>
      <w:r w:rsidR="00294F2F" w:rsidRPr="006D3144">
        <w:rPr>
          <w:sz w:val="24"/>
          <w:szCs w:val="24"/>
        </w:rPr>
        <w:t>were not</w:t>
      </w:r>
      <w:r>
        <w:rPr>
          <w:sz w:val="24"/>
          <w:szCs w:val="24"/>
        </w:rPr>
        <w:t>;</w:t>
      </w:r>
      <w:r w:rsidR="00294F2F" w:rsidRPr="006D3144">
        <w:rPr>
          <w:sz w:val="24"/>
          <w:szCs w:val="24"/>
        </w:rPr>
        <w:t xml:space="preserve"> as </w:t>
      </w:r>
      <w:r w:rsidR="00294F2F" w:rsidRPr="006D3144">
        <w:rPr>
          <w:i/>
          <w:sz w:val="24"/>
          <w:szCs w:val="24"/>
        </w:rPr>
        <w:t>Mari in Syria</w:t>
      </w:r>
      <w:r w:rsidR="00294F2F" w:rsidRPr="006D3144">
        <w:rPr>
          <w:sz w:val="24"/>
          <w:szCs w:val="24"/>
        </w:rPr>
        <w:t xml:space="preserve"> </w:t>
      </w:r>
      <w:r w:rsidR="00FB7F89">
        <w:rPr>
          <w:sz w:val="24"/>
          <w:szCs w:val="24"/>
        </w:rPr>
        <w:t>had</w:t>
      </w:r>
      <w:r>
        <w:rPr>
          <w:sz w:val="24"/>
          <w:szCs w:val="24"/>
        </w:rPr>
        <w:t xml:space="preserve"> merchants</w:t>
      </w:r>
      <w:r w:rsidR="00294F2F" w:rsidRPr="006D3144">
        <w:rPr>
          <w:sz w:val="24"/>
          <w:szCs w:val="24"/>
        </w:rPr>
        <w:t xml:space="preserve"> </w:t>
      </w:r>
      <w:r w:rsidR="00FB7F89">
        <w:rPr>
          <w:sz w:val="24"/>
          <w:szCs w:val="24"/>
        </w:rPr>
        <w:t xml:space="preserve">for </w:t>
      </w:r>
      <w:r w:rsidR="00294F2F" w:rsidRPr="006D3144">
        <w:rPr>
          <w:sz w:val="24"/>
          <w:szCs w:val="24"/>
        </w:rPr>
        <w:t>commercial</w:t>
      </w:r>
      <w:r w:rsidR="00FB7F89">
        <w:rPr>
          <w:sz w:val="24"/>
          <w:szCs w:val="24"/>
        </w:rPr>
        <w:t xml:space="preserve"> reasons in</w:t>
      </w:r>
      <w:r w:rsidR="00294F2F" w:rsidRPr="006D3144">
        <w:rPr>
          <w:i/>
          <w:sz w:val="24"/>
          <w:szCs w:val="24"/>
        </w:rPr>
        <w:t xml:space="preserve"> Ugarit</w:t>
      </w:r>
      <w:r w:rsidR="00294F2F" w:rsidRPr="006D3144">
        <w:rPr>
          <w:sz w:val="24"/>
          <w:szCs w:val="24"/>
        </w:rPr>
        <w:t>.</w:t>
      </w:r>
    </w:p>
    <w:p w14:paraId="01A4EE89" w14:textId="77777777" w:rsidR="00294F2F" w:rsidRPr="006D3144" w:rsidRDefault="00294F2F" w:rsidP="007C315A">
      <w:pPr>
        <w:spacing w:line="360" w:lineRule="auto"/>
        <w:rPr>
          <w:sz w:val="24"/>
          <w:szCs w:val="24"/>
        </w:rPr>
      </w:pPr>
    </w:p>
    <w:p w14:paraId="1C02147B" w14:textId="77777777" w:rsidR="007C315A" w:rsidRPr="006D3144" w:rsidRDefault="007C315A" w:rsidP="007C315A">
      <w:pPr>
        <w:spacing w:line="360" w:lineRule="auto"/>
        <w:rPr>
          <w:sz w:val="24"/>
          <w:szCs w:val="24"/>
        </w:rPr>
      </w:pPr>
      <w:r w:rsidRPr="006D3144">
        <w:rPr>
          <w:sz w:val="24"/>
          <w:szCs w:val="24"/>
        </w:rPr>
        <w:t>With the profusion of city states that sprang up almost from nowhere in this period, it is of little surprise to see trade between the city states of lower Mesopotamia and Anatolia, to name but one destination, grow so rapidly especially when trading in high status goods. (</w:t>
      </w:r>
      <w:r w:rsidRPr="006D3144">
        <w:rPr>
          <w:i/>
          <w:sz w:val="24"/>
          <w:szCs w:val="24"/>
        </w:rPr>
        <w:t>Feldman 2006: 15,26,195</w:t>
      </w:r>
      <w:r w:rsidRPr="006D3144">
        <w:rPr>
          <w:sz w:val="24"/>
          <w:szCs w:val="24"/>
        </w:rPr>
        <w:t>).</w:t>
      </w:r>
    </w:p>
    <w:p w14:paraId="16D86D21" w14:textId="56A7A48B" w:rsidR="007C315A" w:rsidRPr="006D3144" w:rsidRDefault="007C315A" w:rsidP="007C315A">
      <w:pPr>
        <w:spacing w:line="360" w:lineRule="auto"/>
        <w:rPr>
          <w:sz w:val="24"/>
          <w:szCs w:val="24"/>
        </w:rPr>
      </w:pPr>
      <w:r w:rsidRPr="006D3144">
        <w:rPr>
          <w:sz w:val="24"/>
          <w:szCs w:val="24"/>
        </w:rPr>
        <w:t>Other than Ur city states in Sumer included Babylon, Kish, Nippur and Uruk, all of which had their own hierarchies; all of which would have been looking for the high-status products and commodities that were becoming available because of trade and specialization. (</w:t>
      </w:r>
      <w:r w:rsidRPr="006D3144">
        <w:rPr>
          <w:i/>
          <w:sz w:val="24"/>
          <w:szCs w:val="24"/>
        </w:rPr>
        <w:t>Feldman 2006: 15,26,195</w:t>
      </w:r>
      <w:r w:rsidRPr="006D3144">
        <w:rPr>
          <w:sz w:val="24"/>
          <w:szCs w:val="24"/>
        </w:rPr>
        <w:t>).</w:t>
      </w:r>
      <w:r w:rsidR="00340097">
        <w:rPr>
          <w:sz w:val="24"/>
          <w:szCs w:val="24"/>
        </w:rPr>
        <w:t xml:space="preserve">                                                                                                                                         4</w:t>
      </w:r>
    </w:p>
    <w:p w14:paraId="07DF588B" w14:textId="77777777" w:rsidR="007C315A" w:rsidRPr="006D3144" w:rsidRDefault="007C315A" w:rsidP="007C315A">
      <w:pPr>
        <w:spacing w:line="360" w:lineRule="auto"/>
        <w:rPr>
          <w:sz w:val="24"/>
          <w:szCs w:val="24"/>
        </w:rPr>
      </w:pPr>
      <w:r w:rsidRPr="006D3144">
        <w:rPr>
          <w:sz w:val="24"/>
          <w:szCs w:val="24"/>
        </w:rPr>
        <w:lastRenderedPageBreak/>
        <w:t>The cross over area for all this trade was the Phoenician hinterland as it was so well positioned, the main entre points being Ugarit, Mari, and the Mediterranean ports of Tyre and Sidon. (</w:t>
      </w:r>
      <w:r w:rsidRPr="006D3144">
        <w:rPr>
          <w:i/>
          <w:sz w:val="24"/>
          <w:szCs w:val="24"/>
        </w:rPr>
        <w:t xml:space="preserve">Feldman </w:t>
      </w:r>
      <w:r w:rsidRPr="006D3144">
        <w:rPr>
          <w:sz w:val="24"/>
          <w:szCs w:val="24"/>
        </w:rPr>
        <w:t>2006: 195).</w:t>
      </w:r>
    </w:p>
    <w:p w14:paraId="1E547FE6" w14:textId="77777777" w:rsidR="007C315A" w:rsidRPr="006D3144" w:rsidRDefault="007C315A" w:rsidP="007C315A">
      <w:pPr>
        <w:spacing w:line="360" w:lineRule="auto"/>
        <w:rPr>
          <w:sz w:val="24"/>
          <w:szCs w:val="24"/>
        </w:rPr>
      </w:pPr>
      <w:r w:rsidRPr="006D3144">
        <w:rPr>
          <w:sz w:val="24"/>
          <w:szCs w:val="24"/>
        </w:rPr>
        <w:t>The Mesopotamian region had no raw material reserves of any kind and so to trade would needed some products they could use. With the advent of specialization this problem was to be resolved; Mesopotamia as it was firmly in the two rivers delta region, had an abundant opportunity to increase its potential harvesting of crops. This was achieved, and Mesopotamia traded dates, rye, barley and any form of meat available, sheep being a prime example; these were then traded for the raw materials needed from the north, to turn into the prestige goods, that were then turned into trade and elite gifts. (</w:t>
      </w:r>
      <w:r w:rsidRPr="006D3144">
        <w:rPr>
          <w:i/>
          <w:sz w:val="24"/>
          <w:szCs w:val="24"/>
        </w:rPr>
        <w:t>Rothman 2001: 132</w:t>
      </w:r>
      <w:r w:rsidRPr="006D3144">
        <w:rPr>
          <w:sz w:val="24"/>
          <w:szCs w:val="24"/>
        </w:rPr>
        <w:t xml:space="preserve">).   </w:t>
      </w:r>
    </w:p>
    <w:p w14:paraId="2ABB6543" w14:textId="77777777" w:rsidR="007C315A" w:rsidRPr="006D3144" w:rsidRDefault="007C315A" w:rsidP="007C315A">
      <w:pPr>
        <w:spacing w:line="360" w:lineRule="auto"/>
        <w:rPr>
          <w:sz w:val="24"/>
          <w:szCs w:val="24"/>
        </w:rPr>
      </w:pPr>
      <w:r w:rsidRPr="006D3144">
        <w:rPr>
          <w:sz w:val="24"/>
          <w:szCs w:val="24"/>
        </w:rPr>
        <w:t>The growth of trade: came from the initial gift giving that all the kings of the Near Eastern states played too; in one context or another. The main states of the Bronze Ages, would have changed many times; this would have taken place because of effects of war, famine, invasion, or internecine troubles to name a few reasons. (</w:t>
      </w:r>
      <w:r w:rsidRPr="006D3144">
        <w:rPr>
          <w:i/>
          <w:sz w:val="24"/>
          <w:szCs w:val="24"/>
        </w:rPr>
        <w:t>Rothman 2001:132</w:t>
      </w:r>
      <w:r w:rsidRPr="006D3144">
        <w:rPr>
          <w:sz w:val="24"/>
          <w:szCs w:val="24"/>
        </w:rPr>
        <w:t xml:space="preserve">). </w:t>
      </w:r>
    </w:p>
    <w:p w14:paraId="7228727C" w14:textId="77777777" w:rsidR="007C315A" w:rsidRPr="006D3144" w:rsidRDefault="007C315A" w:rsidP="007C315A">
      <w:pPr>
        <w:spacing w:line="360" w:lineRule="auto"/>
        <w:rPr>
          <w:sz w:val="24"/>
          <w:szCs w:val="24"/>
        </w:rPr>
      </w:pPr>
      <w:r w:rsidRPr="006D3144">
        <w:rPr>
          <w:sz w:val="24"/>
          <w:szCs w:val="24"/>
        </w:rPr>
        <w:t>The main players: in gift giving were Egypt, Assyria, Mesopotamian states, Babylonia, The Hittites and Mitanni. Only Egypt as a main player would off expected to be in the top league as a definite; others would have risen and been downgraded, dependent on events. (</w:t>
      </w:r>
      <w:r w:rsidRPr="006D3144">
        <w:rPr>
          <w:i/>
          <w:sz w:val="24"/>
          <w:szCs w:val="24"/>
        </w:rPr>
        <w:t>Aruz et al 2009: 96-7</w:t>
      </w:r>
      <w:r w:rsidRPr="006D3144">
        <w:rPr>
          <w:sz w:val="24"/>
          <w:szCs w:val="24"/>
        </w:rPr>
        <w:t>). Other smaller states in the region such as Ugarit, Phoenicia, Cyprus and Crete were considered as vassals’ states to the afore mentioned above. (A</w:t>
      </w:r>
      <w:r w:rsidRPr="006D3144">
        <w:rPr>
          <w:i/>
          <w:sz w:val="24"/>
          <w:szCs w:val="24"/>
        </w:rPr>
        <w:t>ruz et al 2009: 100</w:t>
      </w:r>
      <w:r w:rsidRPr="006D3144">
        <w:rPr>
          <w:sz w:val="24"/>
          <w:szCs w:val="24"/>
        </w:rPr>
        <w:t>).</w:t>
      </w:r>
    </w:p>
    <w:p w14:paraId="14BCF343" w14:textId="77777777" w:rsidR="007C315A" w:rsidRPr="006D3144" w:rsidRDefault="007C315A" w:rsidP="007C315A">
      <w:pPr>
        <w:spacing w:line="360" w:lineRule="auto"/>
        <w:rPr>
          <w:sz w:val="24"/>
          <w:szCs w:val="24"/>
        </w:rPr>
      </w:pPr>
      <w:r w:rsidRPr="006D3144">
        <w:rPr>
          <w:sz w:val="24"/>
          <w:szCs w:val="24"/>
        </w:rPr>
        <w:t>The gifts that were given by the kings: would have been for diplomatic reasons; primarily to show rank on the kingly ladder. This would have meant that the vassal states had no other option then to try and buy favour from the premier states to survive. The bigger and the more valuable the gift; the more favour that would be shown to the vassal state, gifts such as silver, ivory, gold, lapis lazuli and faience would have been of the top value; Ugarit was a prime player but never in the top league. Ugarit spent most of the Bronze Age ploughing a lone individual furrow; whilst still paying tribute to the larger states. (</w:t>
      </w:r>
      <w:r w:rsidRPr="006D3144">
        <w:rPr>
          <w:i/>
          <w:sz w:val="24"/>
          <w:szCs w:val="24"/>
        </w:rPr>
        <w:t>Aruz et al 2009: 340</w:t>
      </w:r>
      <w:r w:rsidRPr="006D3144">
        <w:rPr>
          <w:sz w:val="24"/>
          <w:szCs w:val="24"/>
        </w:rPr>
        <w:t>).</w:t>
      </w:r>
    </w:p>
    <w:p w14:paraId="2FCD20B1" w14:textId="0321073F" w:rsidR="007C315A" w:rsidRPr="006D3144" w:rsidRDefault="007C315A" w:rsidP="007C315A">
      <w:pPr>
        <w:spacing w:line="360" w:lineRule="auto"/>
        <w:rPr>
          <w:sz w:val="24"/>
          <w:szCs w:val="24"/>
        </w:rPr>
      </w:pPr>
      <w:r w:rsidRPr="006D3144">
        <w:rPr>
          <w:sz w:val="24"/>
          <w:szCs w:val="24"/>
        </w:rPr>
        <w:t>The next big development: was the inventions of writing, alphabets and Old bureaucratic records; writing came in the forms of hieroglyphs, cuneiform Linear A and B, New and Old Babylonian Bureaucratic and Assyrian Colony period glyphic. (</w:t>
      </w:r>
      <w:r w:rsidRPr="006D3144">
        <w:rPr>
          <w:i/>
          <w:sz w:val="24"/>
          <w:szCs w:val="24"/>
        </w:rPr>
        <w:t>Aruz et al 2009: 13,29,34,49,270-1</w:t>
      </w:r>
      <w:r w:rsidRPr="006D3144">
        <w:rPr>
          <w:sz w:val="24"/>
          <w:szCs w:val="24"/>
        </w:rPr>
        <w:t>). The invention of these forms of communication, has been one of the</w:t>
      </w:r>
      <w:r w:rsidR="00340097">
        <w:rPr>
          <w:sz w:val="24"/>
          <w:szCs w:val="24"/>
        </w:rPr>
        <w:t xml:space="preserve"> </w:t>
      </w:r>
      <w:r w:rsidRPr="006D3144">
        <w:rPr>
          <w:sz w:val="24"/>
          <w:szCs w:val="24"/>
        </w:rPr>
        <w:lastRenderedPageBreak/>
        <w:t>main links we have with this period and without them we would sadly be lacking in understanding pre-classical history.</w:t>
      </w:r>
    </w:p>
    <w:p w14:paraId="6B6BE77C" w14:textId="77777777" w:rsidR="007C315A" w:rsidRPr="006D3144" w:rsidRDefault="007C315A" w:rsidP="007C315A">
      <w:pPr>
        <w:spacing w:line="360" w:lineRule="auto"/>
        <w:rPr>
          <w:sz w:val="24"/>
          <w:szCs w:val="24"/>
        </w:rPr>
      </w:pPr>
      <w:r w:rsidRPr="006D3144">
        <w:rPr>
          <w:sz w:val="24"/>
          <w:szCs w:val="24"/>
        </w:rPr>
        <w:t xml:space="preserve">To the above should be added the use of papyrus and clay tablets both of which have been used to record the information. The records found in such archives as those of Ugarit throw great light on how the kings of the various states whether of the top grade or vassal level addressed each other. It is from these records that the reasons can be deduced for the promotion of vassal states and indeed the demotion for whatever reason of the senior kingships when they happened. Another main source would have been the </w:t>
      </w:r>
      <w:r w:rsidRPr="006D3144">
        <w:rPr>
          <w:i/>
          <w:sz w:val="24"/>
          <w:szCs w:val="24"/>
        </w:rPr>
        <w:t>Amarna Letters of Egypt</w:t>
      </w:r>
      <w:r w:rsidRPr="006D3144">
        <w:rPr>
          <w:sz w:val="24"/>
          <w:szCs w:val="24"/>
        </w:rPr>
        <w:t>. (</w:t>
      </w:r>
      <w:r w:rsidRPr="006D3144">
        <w:rPr>
          <w:i/>
          <w:sz w:val="24"/>
          <w:szCs w:val="24"/>
        </w:rPr>
        <w:t>Feldman 2006: 14, 138-150</w:t>
      </w:r>
      <w:r w:rsidRPr="006D3144">
        <w:rPr>
          <w:sz w:val="24"/>
          <w:szCs w:val="24"/>
        </w:rPr>
        <w:t xml:space="preserve">). </w:t>
      </w:r>
    </w:p>
    <w:p w14:paraId="259C814D" w14:textId="77777777" w:rsidR="007C315A" w:rsidRPr="006D3144" w:rsidRDefault="007C315A" w:rsidP="007C315A">
      <w:pPr>
        <w:spacing w:line="360" w:lineRule="auto"/>
        <w:rPr>
          <w:sz w:val="24"/>
          <w:szCs w:val="24"/>
        </w:rPr>
      </w:pPr>
      <w:r w:rsidRPr="006D3144">
        <w:rPr>
          <w:sz w:val="24"/>
          <w:szCs w:val="24"/>
        </w:rPr>
        <w:t>The advent of writing has given to us such a bureaucratic record that although a lot is incomplete we are able to show how in the Bronze Age; trade developed out of gift giving and brought the whole region together. There are many cities of varying size with good trade and bureaucratic records, Ugarit is one; writing boards have been found (</w:t>
      </w:r>
      <w:r w:rsidRPr="006D3144">
        <w:rPr>
          <w:i/>
          <w:sz w:val="24"/>
          <w:szCs w:val="24"/>
        </w:rPr>
        <w:t>Aruz et-al 2009: 368</w:t>
      </w:r>
      <w:r w:rsidRPr="006D3144">
        <w:rPr>
          <w:sz w:val="24"/>
          <w:szCs w:val="24"/>
        </w:rPr>
        <w:t>); as well as records of trade, cylinder seals, ceramic vessels, Kamares ware, faience and seated deities have been excavated. (</w:t>
      </w:r>
      <w:r w:rsidRPr="006D3144">
        <w:rPr>
          <w:i/>
          <w:sz w:val="24"/>
          <w:szCs w:val="24"/>
        </w:rPr>
        <w:t>Aruz et-al 2009: 235-423</w:t>
      </w:r>
      <w:r w:rsidRPr="006D3144">
        <w:rPr>
          <w:sz w:val="24"/>
          <w:szCs w:val="24"/>
        </w:rPr>
        <w:t>).</w:t>
      </w:r>
    </w:p>
    <w:p w14:paraId="00192731" w14:textId="12342078" w:rsidR="007C315A" w:rsidRPr="006D3144" w:rsidRDefault="007C315A" w:rsidP="007C315A">
      <w:pPr>
        <w:spacing w:line="360" w:lineRule="auto"/>
        <w:rPr>
          <w:sz w:val="24"/>
          <w:szCs w:val="24"/>
        </w:rPr>
      </w:pPr>
      <w:r w:rsidRPr="006D3144">
        <w:rPr>
          <w:sz w:val="24"/>
          <w:szCs w:val="24"/>
        </w:rPr>
        <w:t>It also became apparent that in Ugarit: there were merchants from Mari who controlled a lot of this trade. (</w:t>
      </w:r>
      <w:r w:rsidRPr="006D3144">
        <w:rPr>
          <w:i/>
          <w:sz w:val="24"/>
          <w:szCs w:val="24"/>
        </w:rPr>
        <w:t>Aruz et-al 2009: 15-17</w:t>
      </w:r>
      <w:r w:rsidR="00F0163B" w:rsidRPr="006D3144">
        <w:rPr>
          <w:sz w:val="24"/>
          <w:szCs w:val="24"/>
        </w:rPr>
        <w:t>).</w:t>
      </w:r>
      <w:r w:rsidR="00F0163B">
        <w:rPr>
          <w:sz w:val="24"/>
          <w:szCs w:val="24"/>
        </w:rPr>
        <w:t xml:space="preserve"> The</w:t>
      </w:r>
      <w:r w:rsidR="00294F2F">
        <w:rPr>
          <w:sz w:val="24"/>
          <w:szCs w:val="24"/>
        </w:rPr>
        <w:t xml:space="preserve"> merchants would </w:t>
      </w:r>
      <w:r w:rsidR="00F0163B">
        <w:rPr>
          <w:sz w:val="24"/>
          <w:szCs w:val="24"/>
        </w:rPr>
        <w:t>have</w:t>
      </w:r>
      <w:r w:rsidR="00294F2F">
        <w:rPr>
          <w:sz w:val="24"/>
          <w:szCs w:val="24"/>
        </w:rPr>
        <w:t xml:space="preserve"> controlled the trade in both directions; ore and other minerals coming from the north with staple foods coming up from the south to pay for them.</w:t>
      </w:r>
      <w:r w:rsidRPr="006D3144">
        <w:rPr>
          <w:sz w:val="24"/>
          <w:szCs w:val="24"/>
        </w:rPr>
        <w:t xml:space="preserve"> Merchants were not just in Ugarit they were in all the main trading places including being on ships. The Uluburun wreck being a prime example. (</w:t>
      </w:r>
      <w:r w:rsidRPr="006D3144">
        <w:rPr>
          <w:i/>
          <w:sz w:val="24"/>
          <w:szCs w:val="24"/>
        </w:rPr>
        <w:t>Aruz et-al 2009: 300-01</w:t>
      </w:r>
      <w:r w:rsidRPr="006D3144">
        <w:rPr>
          <w:sz w:val="24"/>
          <w:szCs w:val="24"/>
        </w:rPr>
        <w:t>). These merchants also paid taxes and traded as an independent adjunct to the state. (</w:t>
      </w:r>
      <w:r w:rsidRPr="006D3144">
        <w:rPr>
          <w:i/>
          <w:sz w:val="24"/>
          <w:szCs w:val="24"/>
        </w:rPr>
        <w:t>Aruz et-al 2009: 165</w:t>
      </w:r>
      <w:r w:rsidRPr="006D3144">
        <w:rPr>
          <w:sz w:val="24"/>
          <w:szCs w:val="24"/>
        </w:rPr>
        <w:t xml:space="preserve">). </w:t>
      </w:r>
    </w:p>
    <w:p w14:paraId="60012976" w14:textId="77777777" w:rsidR="007C315A" w:rsidRPr="006D3144" w:rsidRDefault="007C315A" w:rsidP="007C315A">
      <w:pPr>
        <w:spacing w:line="360" w:lineRule="auto"/>
        <w:rPr>
          <w:sz w:val="24"/>
          <w:szCs w:val="24"/>
        </w:rPr>
      </w:pPr>
      <w:r w:rsidRPr="006D3144">
        <w:rPr>
          <w:sz w:val="24"/>
          <w:szCs w:val="24"/>
        </w:rPr>
        <w:t xml:space="preserve">Through excavation and under water archaeology it has been shown that by the end of the Bronze Age trade had grown quite significantly, ship wrecks such as the </w:t>
      </w:r>
      <w:r w:rsidRPr="006D3144">
        <w:rPr>
          <w:i/>
          <w:sz w:val="24"/>
          <w:szCs w:val="24"/>
        </w:rPr>
        <w:t>Uluburun</w:t>
      </w:r>
      <w:r w:rsidRPr="006D3144">
        <w:rPr>
          <w:sz w:val="24"/>
          <w:szCs w:val="24"/>
        </w:rPr>
        <w:t>, where ten tons of copper and an estimated one ton of tin plus other cargo was recovered. (</w:t>
      </w:r>
      <w:r w:rsidRPr="006D3144">
        <w:rPr>
          <w:i/>
          <w:sz w:val="24"/>
          <w:szCs w:val="24"/>
        </w:rPr>
        <w:t>Aruz et-al 2009:3</w:t>
      </w:r>
      <w:r w:rsidRPr="006D3144">
        <w:rPr>
          <w:sz w:val="24"/>
          <w:szCs w:val="24"/>
        </w:rPr>
        <w:t>). The size of the cargo suggests considerable trade; it also showed that the ships as they were going around the coast were trading on their own account this has become known as tramping and continues today in certain cases. (</w:t>
      </w:r>
      <w:r w:rsidRPr="006D3144">
        <w:rPr>
          <w:i/>
          <w:sz w:val="24"/>
          <w:szCs w:val="24"/>
        </w:rPr>
        <w:t>Aruz et-al 2009: 297-8</w:t>
      </w:r>
      <w:r w:rsidRPr="006D3144">
        <w:rPr>
          <w:sz w:val="24"/>
          <w:szCs w:val="24"/>
        </w:rPr>
        <w:t xml:space="preserve">).  </w:t>
      </w:r>
    </w:p>
    <w:p w14:paraId="27A08995" w14:textId="77777777" w:rsidR="007C315A" w:rsidRPr="006D3144" w:rsidRDefault="007C315A" w:rsidP="007C315A">
      <w:pPr>
        <w:spacing w:line="360" w:lineRule="auto"/>
        <w:rPr>
          <w:sz w:val="24"/>
          <w:szCs w:val="24"/>
        </w:rPr>
      </w:pPr>
      <w:r w:rsidRPr="006D3144">
        <w:rPr>
          <w:sz w:val="24"/>
          <w:szCs w:val="24"/>
        </w:rPr>
        <w:t xml:space="preserve">The silver ore that would have arrived in the </w:t>
      </w:r>
      <w:r w:rsidRPr="006D3144">
        <w:rPr>
          <w:i/>
          <w:sz w:val="24"/>
          <w:szCs w:val="24"/>
        </w:rPr>
        <w:t>Sumer</w:t>
      </w:r>
      <w:r w:rsidRPr="006D3144">
        <w:rPr>
          <w:sz w:val="24"/>
          <w:szCs w:val="24"/>
        </w:rPr>
        <w:t xml:space="preserve"> region in the early to middle Bronze Age; would have been used for many styles of prime goods or uses. Silver jugs with </w:t>
      </w:r>
      <w:r w:rsidRPr="006D3144">
        <w:rPr>
          <w:sz w:val="24"/>
          <w:szCs w:val="24"/>
        </w:rPr>
        <w:lastRenderedPageBreak/>
        <w:t xml:space="preserve">zoomorphic handles; which had two bands around the neck of the jug with figural animal and bird scenes portrayed. </w:t>
      </w:r>
      <w:r w:rsidRPr="006D3144">
        <w:rPr>
          <w:i/>
          <w:sz w:val="24"/>
          <w:szCs w:val="24"/>
        </w:rPr>
        <w:t>(Feldman2006: 40-1</w:t>
      </w:r>
      <w:r w:rsidRPr="006D3144">
        <w:rPr>
          <w:sz w:val="24"/>
          <w:szCs w:val="24"/>
        </w:rPr>
        <w:t xml:space="preserve">); many such items were found </w:t>
      </w:r>
      <w:r w:rsidRPr="006D3144">
        <w:rPr>
          <w:i/>
          <w:sz w:val="24"/>
          <w:szCs w:val="24"/>
        </w:rPr>
        <w:t>at Tell Basta</w:t>
      </w:r>
      <w:r w:rsidRPr="006D3144">
        <w:rPr>
          <w:sz w:val="24"/>
          <w:szCs w:val="24"/>
        </w:rPr>
        <w:t xml:space="preserve"> in the </w:t>
      </w:r>
      <w:r w:rsidRPr="006D3144">
        <w:rPr>
          <w:i/>
          <w:sz w:val="24"/>
          <w:szCs w:val="24"/>
        </w:rPr>
        <w:t>Egyptian Delta</w:t>
      </w:r>
      <w:r w:rsidRPr="006D3144">
        <w:rPr>
          <w:sz w:val="24"/>
          <w:szCs w:val="24"/>
        </w:rPr>
        <w:t xml:space="preserve">. This jug has a hieroglyphic inscription naming </w:t>
      </w:r>
      <w:r w:rsidRPr="006D3144">
        <w:rPr>
          <w:i/>
          <w:sz w:val="24"/>
          <w:szCs w:val="24"/>
        </w:rPr>
        <w:t>Atumemtoneb,</w:t>
      </w:r>
      <w:r w:rsidRPr="006D3144">
        <w:rPr>
          <w:sz w:val="24"/>
          <w:szCs w:val="24"/>
        </w:rPr>
        <w:t xml:space="preserve"> the kings’ butler. (</w:t>
      </w:r>
      <w:r w:rsidRPr="006D3144">
        <w:rPr>
          <w:i/>
          <w:sz w:val="24"/>
          <w:szCs w:val="24"/>
        </w:rPr>
        <w:t>Feldman 2006: 12</w:t>
      </w:r>
      <w:r w:rsidRPr="006D3144">
        <w:rPr>
          <w:sz w:val="24"/>
          <w:szCs w:val="24"/>
        </w:rPr>
        <w:t>).</w:t>
      </w:r>
    </w:p>
    <w:p w14:paraId="4E6AC7EC" w14:textId="77777777" w:rsidR="007C315A" w:rsidRPr="006D3144" w:rsidRDefault="007C315A" w:rsidP="007C315A">
      <w:pPr>
        <w:spacing w:line="360" w:lineRule="auto"/>
        <w:rPr>
          <w:sz w:val="24"/>
          <w:szCs w:val="24"/>
        </w:rPr>
      </w:pPr>
      <w:r w:rsidRPr="006D3144">
        <w:rPr>
          <w:sz w:val="24"/>
          <w:szCs w:val="24"/>
        </w:rPr>
        <w:t xml:space="preserve">In Gwendolyn Leick’s book the Babylonian World she quotes </w:t>
      </w:r>
      <w:r w:rsidRPr="006D3144">
        <w:rPr>
          <w:i/>
          <w:sz w:val="24"/>
          <w:szCs w:val="24"/>
        </w:rPr>
        <w:t>“(Moorey 1994: 234</w:t>
      </w:r>
      <w:r w:rsidRPr="006D3144">
        <w:rPr>
          <w:sz w:val="24"/>
          <w:szCs w:val="24"/>
        </w:rPr>
        <w:t xml:space="preserve">), that despite the lack of cuneiform sources that  nearly all of </w:t>
      </w:r>
      <w:r w:rsidRPr="006D3144">
        <w:rPr>
          <w:i/>
          <w:sz w:val="24"/>
          <w:szCs w:val="24"/>
        </w:rPr>
        <w:t xml:space="preserve">Mesopotamia’s </w:t>
      </w:r>
      <w:r w:rsidRPr="006D3144">
        <w:rPr>
          <w:sz w:val="24"/>
          <w:szCs w:val="24"/>
        </w:rPr>
        <w:t xml:space="preserve">silver came from Anatolia; she then goes on to suggest that </w:t>
      </w:r>
      <w:r w:rsidRPr="006D3144">
        <w:rPr>
          <w:i/>
          <w:sz w:val="24"/>
          <w:szCs w:val="24"/>
        </w:rPr>
        <w:t xml:space="preserve">Magan </w:t>
      </w:r>
      <w:r w:rsidRPr="006D3144">
        <w:rPr>
          <w:sz w:val="24"/>
          <w:szCs w:val="24"/>
        </w:rPr>
        <w:t>is another possibility of supply, since silver has been mined in the recent , pre-modern past in Oman (</w:t>
      </w:r>
      <w:r w:rsidRPr="006D3144">
        <w:rPr>
          <w:i/>
          <w:sz w:val="24"/>
          <w:szCs w:val="24"/>
        </w:rPr>
        <w:t>Potts 1990: 116, n. 106</w:t>
      </w:r>
      <w:r w:rsidRPr="006D3144">
        <w:rPr>
          <w:sz w:val="24"/>
          <w:szCs w:val="24"/>
        </w:rPr>
        <w:t>).” (</w:t>
      </w:r>
      <w:r w:rsidRPr="006D3144">
        <w:rPr>
          <w:i/>
          <w:sz w:val="24"/>
          <w:szCs w:val="24"/>
        </w:rPr>
        <w:t>Leick 2007: 129</w:t>
      </w:r>
      <w:r w:rsidRPr="006D3144">
        <w:rPr>
          <w:sz w:val="24"/>
          <w:szCs w:val="24"/>
        </w:rPr>
        <w:t>).</w:t>
      </w:r>
    </w:p>
    <w:p w14:paraId="71849959" w14:textId="77777777" w:rsidR="007C315A" w:rsidRPr="006D3144" w:rsidRDefault="007C315A" w:rsidP="007C315A">
      <w:pPr>
        <w:spacing w:line="360" w:lineRule="auto"/>
        <w:rPr>
          <w:sz w:val="24"/>
          <w:szCs w:val="24"/>
        </w:rPr>
      </w:pPr>
      <w:r w:rsidRPr="006D3144">
        <w:rPr>
          <w:sz w:val="24"/>
          <w:szCs w:val="24"/>
        </w:rPr>
        <w:t xml:space="preserve">Another suggestion from Leick is that </w:t>
      </w:r>
      <w:r w:rsidRPr="006D3144">
        <w:rPr>
          <w:i/>
          <w:sz w:val="24"/>
          <w:szCs w:val="24"/>
        </w:rPr>
        <w:t>“Argentiferous lead is common in Iran and ay of been</w:t>
      </w:r>
      <w:r w:rsidRPr="006D3144">
        <w:rPr>
          <w:sz w:val="24"/>
          <w:szCs w:val="24"/>
        </w:rPr>
        <w:t xml:space="preserve"> </w:t>
      </w:r>
      <w:r w:rsidRPr="006D3144">
        <w:rPr>
          <w:i/>
          <w:sz w:val="24"/>
          <w:szCs w:val="24"/>
        </w:rPr>
        <w:t>smelted in antiquity to acquire silver</w:t>
      </w:r>
      <w:r w:rsidRPr="006D3144">
        <w:rPr>
          <w:sz w:val="24"/>
          <w:szCs w:val="24"/>
        </w:rPr>
        <w:t xml:space="preserve">.” </w:t>
      </w:r>
      <w:r w:rsidRPr="006D3144">
        <w:rPr>
          <w:i/>
          <w:sz w:val="24"/>
          <w:szCs w:val="24"/>
        </w:rPr>
        <w:t>(Leick 2007: 129</w:t>
      </w:r>
      <w:r w:rsidRPr="006D3144">
        <w:rPr>
          <w:sz w:val="24"/>
          <w:szCs w:val="24"/>
        </w:rPr>
        <w:t xml:space="preserve">); It is certainly known that </w:t>
      </w:r>
      <w:r w:rsidRPr="006D3144">
        <w:rPr>
          <w:i/>
          <w:sz w:val="24"/>
          <w:szCs w:val="24"/>
        </w:rPr>
        <w:t xml:space="preserve">Elam </w:t>
      </w:r>
      <w:r w:rsidRPr="006D3144">
        <w:rPr>
          <w:sz w:val="24"/>
          <w:szCs w:val="24"/>
        </w:rPr>
        <w:t xml:space="preserve">the most powerful state in western Iran, sent on at least one occasion silver to </w:t>
      </w:r>
      <w:r w:rsidRPr="006D3144">
        <w:rPr>
          <w:i/>
          <w:sz w:val="24"/>
          <w:szCs w:val="24"/>
        </w:rPr>
        <w:t>Mari</w:t>
      </w:r>
      <w:r w:rsidRPr="006D3144">
        <w:rPr>
          <w:sz w:val="24"/>
          <w:szCs w:val="24"/>
        </w:rPr>
        <w:t xml:space="preserve"> in </w:t>
      </w:r>
      <w:r w:rsidRPr="006D3144">
        <w:rPr>
          <w:i/>
          <w:sz w:val="24"/>
          <w:szCs w:val="24"/>
        </w:rPr>
        <w:t>Syria (Potts 1999: Table</w:t>
      </w:r>
      <w:r w:rsidRPr="006D3144">
        <w:rPr>
          <w:sz w:val="24"/>
          <w:szCs w:val="24"/>
        </w:rPr>
        <w:t xml:space="preserve"> </w:t>
      </w:r>
      <w:r w:rsidRPr="006D3144">
        <w:rPr>
          <w:i/>
          <w:sz w:val="24"/>
          <w:szCs w:val="24"/>
        </w:rPr>
        <w:t>6.2). (Leick 2007: 129</w:t>
      </w:r>
      <w:r w:rsidRPr="006D3144">
        <w:rPr>
          <w:sz w:val="24"/>
          <w:szCs w:val="24"/>
        </w:rPr>
        <w:t xml:space="preserve">). It is also known that silver could be traded from further afield with the Persians importing silver from Egypt in the Achaemenid period </w:t>
      </w:r>
      <w:r w:rsidRPr="006D3144">
        <w:rPr>
          <w:i/>
          <w:sz w:val="24"/>
          <w:szCs w:val="24"/>
        </w:rPr>
        <w:t>(Kent 1953: 144). (Leick 2007: 129).</w:t>
      </w:r>
      <w:r w:rsidRPr="006D3144">
        <w:rPr>
          <w:sz w:val="24"/>
          <w:szCs w:val="24"/>
        </w:rPr>
        <w:t xml:space="preserve"> </w:t>
      </w:r>
      <w:r w:rsidRPr="006D3144">
        <w:rPr>
          <w:i/>
          <w:sz w:val="24"/>
          <w:szCs w:val="24"/>
        </w:rPr>
        <w:t>(Figs 3 and 4).</w:t>
      </w:r>
    </w:p>
    <w:p w14:paraId="01949DDC" w14:textId="77777777" w:rsidR="007C315A" w:rsidRPr="006D3144" w:rsidRDefault="007C315A" w:rsidP="007C315A">
      <w:pPr>
        <w:spacing w:line="360" w:lineRule="auto"/>
        <w:rPr>
          <w:i/>
          <w:sz w:val="24"/>
          <w:szCs w:val="24"/>
        </w:rPr>
      </w:pPr>
    </w:p>
    <w:p w14:paraId="3D78A1AB" w14:textId="77777777" w:rsidR="007C315A" w:rsidRDefault="007C315A" w:rsidP="007C315A"/>
    <w:p w14:paraId="6FE78086" w14:textId="77777777" w:rsidR="008B07A8" w:rsidRDefault="008B07A8" w:rsidP="007C315A">
      <w:pPr>
        <w:pStyle w:val="Heading2"/>
      </w:pPr>
      <w:bookmarkStart w:id="5" w:name="_Toc511725625"/>
    </w:p>
    <w:p w14:paraId="2562F45E" w14:textId="77777777" w:rsidR="008B07A8" w:rsidRDefault="008B07A8" w:rsidP="007C315A">
      <w:pPr>
        <w:pStyle w:val="Heading2"/>
      </w:pPr>
    </w:p>
    <w:p w14:paraId="13191815" w14:textId="1F3A9496" w:rsidR="007C315A" w:rsidRDefault="007C315A" w:rsidP="007C315A">
      <w:pPr>
        <w:pStyle w:val="Heading2"/>
      </w:pPr>
      <w:r>
        <w:t>Interpretation and Analysis</w:t>
      </w:r>
      <w:bookmarkEnd w:id="5"/>
    </w:p>
    <w:p w14:paraId="44BD8890" w14:textId="12CDDA6D" w:rsidR="007C315A" w:rsidRDefault="007C315A" w:rsidP="007C315A">
      <w:pPr>
        <w:rPr>
          <w:sz w:val="24"/>
          <w:szCs w:val="24"/>
          <w:highlight w:val="cyan"/>
        </w:rPr>
      </w:pPr>
    </w:p>
    <w:p w14:paraId="6BC39E6C" w14:textId="466C235C" w:rsidR="00946188" w:rsidRPr="00FD6972" w:rsidRDefault="00946188" w:rsidP="00946188">
      <w:pPr>
        <w:spacing w:line="360" w:lineRule="auto"/>
        <w:rPr>
          <w:sz w:val="24"/>
          <w:szCs w:val="24"/>
        </w:rPr>
      </w:pPr>
      <w:r w:rsidRPr="006D3144">
        <w:rPr>
          <w:sz w:val="24"/>
          <w:szCs w:val="24"/>
        </w:rPr>
        <w:t xml:space="preserve">The archives at </w:t>
      </w:r>
      <w:r w:rsidRPr="006D3144">
        <w:rPr>
          <w:i/>
          <w:sz w:val="24"/>
          <w:szCs w:val="24"/>
        </w:rPr>
        <w:t>Ebla</w:t>
      </w:r>
      <w:r w:rsidRPr="006D3144">
        <w:rPr>
          <w:sz w:val="24"/>
          <w:szCs w:val="24"/>
        </w:rPr>
        <w:t xml:space="preserve"> show two kinds of long distance commodity transfers; tribute demanded from vassals which were then transferred to treasuries and storehouses of palaces and temples (</w:t>
      </w:r>
      <w:r w:rsidRPr="006D3144">
        <w:rPr>
          <w:i/>
          <w:sz w:val="24"/>
          <w:szCs w:val="24"/>
        </w:rPr>
        <w:t>Sumerian mu-DU</w:t>
      </w:r>
      <w:r w:rsidRPr="006D3144">
        <w:rPr>
          <w:sz w:val="24"/>
          <w:szCs w:val="24"/>
        </w:rPr>
        <w:t>): and gifts consigned to individuals or gods (</w:t>
      </w:r>
      <w:r w:rsidRPr="006D3144">
        <w:rPr>
          <w:i/>
          <w:sz w:val="24"/>
          <w:szCs w:val="24"/>
        </w:rPr>
        <w:t>Sumerian nig-ba</w:t>
      </w:r>
      <w:r w:rsidRPr="006D3144">
        <w:rPr>
          <w:sz w:val="24"/>
          <w:szCs w:val="24"/>
        </w:rPr>
        <w:t xml:space="preserve">). Of the two, gift exchanges are considered more relevant to the </w:t>
      </w:r>
      <w:r w:rsidRPr="006D3144">
        <w:rPr>
          <w:i/>
          <w:sz w:val="24"/>
          <w:szCs w:val="24"/>
        </w:rPr>
        <w:t>EBA Anatolia</w:t>
      </w:r>
      <w:r w:rsidRPr="006D3144">
        <w:rPr>
          <w:sz w:val="24"/>
          <w:szCs w:val="24"/>
        </w:rPr>
        <w:t>. (</w:t>
      </w:r>
      <w:r w:rsidRPr="006D3144">
        <w:rPr>
          <w:i/>
          <w:sz w:val="24"/>
          <w:szCs w:val="24"/>
        </w:rPr>
        <w:t>Crawford 2013: 511-2).</w:t>
      </w:r>
      <w:r w:rsidRPr="00294F2F">
        <w:rPr>
          <w:sz w:val="24"/>
          <w:szCs w:val="24"/>
        </w:rPr>
        <w:t xml:space="preserve"> </w:t>
      </w:r>
      <w:r w:rsidRPr="006D3144">
        <w:rPr>
          <w:sz w:val="24"/>
          <w:szCs w:val="24"/>
        </w:rPr>
        <w:t>That they linked silver to sun light tells all; as without sun light nothing grows.</w:t>
      </w:r>
      <w:r>
        <w:rPr>
          <w:sz w:val="24"/>
          <w:szCs w:val="24"/>
        </w:rPr>
        <w:t xml:space="preserve"> </w:t>
      </w:r>
    </w:p>
    <w:p w14:paraId="6E382A8F" w14:textId="251FB668" w:rsidR="000B3883" w:rsidRPr="006D3144" w:rsidRDefault="00340097" w:rsidP="000B3883">
      <w:pPr>
        <w:spacing w:line="360" w:lineRule="auto"/>
        <w:rPr>
          <w:sz w:val="24"/>
          <w:szCs w:val="24"/>
        </w:rPr>
      </w:pPr>
      <w:r>
        <w:rPr>
          <w:sz w:val="24"/>
          <w:szCs w:val="24"/>
        </w:rPr>
        <w:t>7</w:t>
      </w:r>
    </w:p>
    <w:p w14:paraId="1369490C" w14:textId="07F0B175" w:rsidR="00946188" w:rsidRDefault="000B3883" w:rsidP="000B3883">
      <w:pPr>
        <w:spacing w:line="360" w:lineRule="auto"/>
        <w:rPr>
          <w:sz w:val="24"/>
          <w:szCs w:val="24"/>
        </w:rPr>
      </w:pPr>
      <w:r w:rsidRPr="006D3144">
        <w:rPr>
          <w:sz w:val="24"/>
          <w:szCs w:val="24"/>
        </w:rPr>
        <w:lastRenderedPageBreak/>
        <w:t>Many gold vessels were found with the silver examples at this si</w:t>
      </w:r>
      <w:r w:rsidR="00946188">
        <w:rPr>
          <w:sz w:val="24"/>
          <w:szCs w:val="24"/>
        </w:rPr>
        <w:t>te</w:t>
      </w:r>
      <w:r w:rsidRPr="006D3144">
        <w:rPr>
          <w:sz w:val="24"/>
          <w:szCs w:val="24"/>
        </w:rPr>
        <w:t>, one use for gold at this time would be for ceremonial and or prestige purposes. (</w:t>
      </w:r>
      <w:r w:rsidRPr="006D3144">
        <w:rPr>
          <w:i/>
          <w:sz w:val="24"/>
          <w:szCs w:val="24"/>
        </w:rPr>
        <w:t>Feldman 2006: 118</w:t>
      </w:r>
      <w:r w:rsidRPr="006D3144">
        <w:rPr>
          <w:sz w:val="24"/>
          <w:szCs w:val="24"/>
        </w:rPr>
        <w:t>). Silver koine or as some say</w:t>
      </w:r>
      <w:r w:rsidRPr="006D3144">
        <w:rPr>
          <w:i/>
          <w:sz w:val="24"/>
          <w:szCs w:val="24"/>
        </w:rPr>
        <w:t>” style</w:t>
      </w:r>
      <w:r w:rsidRPr="006D3144">
        <w:rPr>
          <w:sz w:val="24"/>
          <w:szCs w:val="24"/>
        </w:rPr>
        <w:t xml:space="preserve">” vessels; mainly associated with two groups </w:t>
      </w:r>
      <w:r>
        <w:rPr>
          <w:sz w:val="24"/>
          <w:szCs w:val="24"/>
        </w:rPr>
        <w:t xml:space="preserve">the </w:t>
      </w:r>
      <w:r w:rsidRPr="006D3144">
        <w:rPr>
          <w:sz w:val="24"/>
          <w:szCs w:val="24"/>
        </w:rPr>
        <w:t>kings and the temples, is</w:t>
      </w:r>
    </w:p>
    <w:p w14:paraId="465384F3" w14:textId="77777777" w:rsidR="00AB1196" w:rsidRDefault="00946188" w:rsidP="00AB1196">
      <w:pPr>
        <w:spacing w:line="360" w:lineRule="auto"/>
        <w:rPr>
          <w:sz w:val="24"/>
          <w:szCs w:val="24"/>
        </w:rPr>
      </w:pPr>
      <w:r w:rsidRPr="006D3144">
        <w:rPr>
          <w:sz w:val="24"/>
          <w:szCs w:val="24"/>
        </w:rPr>
        <w:t>although this would later alter, as silver became more abundant; for much of the period silver was the ’primary index for commercial transactions’ (</w:t>
      </w:r>
      <w:r w:rsidRPr="006D3144">
        <w:rPr>
          <w:i/>
          <w:sz w:val="24"/>
          <w:szCs w:val="24"/>
        </w:rPr>
        <w:t>Feldman 2006: 118-9</w:t>
      </w:r>
      <w:r w:rsidRPr="006D3144">
        <w:rPr>
          <w:sz w:val="24"/>
          <w:szCs w:val="24"/>
        </w:rPr>
        <w:t>).</w:t>
      </w:r>
    </w:p>
    <w:p w14:paraId="094E5BBD" w14:textId="040B7350" w:rsidR="00F96157" w:rsidRPr="00AB1196" w:rsidRDefault="00F96157" w:rsidP="00AB1196">
      <w:pPr>
        <w:spacing w:line="360" w:lineRule="auto"/>
        <w:rPr>
          <w:sz w:val="24"/>
          <w:szCs w:val="24"/>
        </w:rPr>
      </w:pPr>
      <w:r w:rsidRPr="006D3144">
        <w:rPr>
          <w:sz w:val="24"/>
          <w:szCs w:val="24"/>
        </w:rPr>
        <w:t>Podany states in Brotherhood of Kings that silver was used for booty, bridal gifts, dowries and for gifts to envoys to name a few. (</w:t>
      </w:r>
      <w:r w:rsidRPr="006D3144">
        <w:rPr>
          <w:i/>
          <w:sz w:val="24"/>
          <w:szCs w:val="24"/>
        </w:rPr>
        <w:t>Podany 2010: 395</w:t>
      </w:r>
      <w:r w:rsidRPr="006D3144">
        <w:rPr>
          <w:sz w:val="24"/>
          <w:szCs w:val="24"/>
        </w:rPr>
        <w:t>). The uses for the metal were numerous and well documented (</w:t>
      </w:r>
      <w:r w:rsidRPr="006D3144">
        <w:rPr>
          <w:i/>
          <w:sz w:val="24"/>
          <w:szCs w:val="24"/>
        </w:rPr>
        <w:t>Podany 2010: 395</w:t>
      </w:r>
      <w:r w:rsidRPr="006D3144">
        <w:rPr>
          <w:sz w:val="24"/>
          <w:szCs w:val="24"/>
        </w:rPr>
        <w:t>). Podany also states that gold alone of metals is the only one that doesn’t tarnish whatever treatment it receives. (</w:t>
      </w:r>
      <w:r w:rsidRPr="006D3144">
        <w:rPr>
          <w:i/>
          <w:sz w:val="24"/>
          <w:szCs w:val="24"/>
        </w:rPr>
        <w:t>Podany 2010:</w:t>
      </w:r>
    </w:p>
    <w:p w14:paraId="70EC3500" w14:textId="7E81C18E" w:rsidR="000B3883" w:rsidRPr="006D3144" w:rsidRDefault="000B3883" w:rsidP="000B3883">
      <w:pPr>
        <w:spacing w:line="360" w:lineRule="auto"/>
        <w:rPr>
          <w:sz w:val="24"/>
          <w:szCs w:val="24"/>
        </w:rPr>
      </w:pPr>
      <w:r w:rsidRPr="006D3144">
        <w:rPr>
          <w:sz w:val="24"/>
          <w:szCs w:val="24"/>
        </w:rPr>
        <w:t xml:space="preserve"> Silver was often used in funerary pieces; the silver boat from the “</w:t>
      </w:r>
      <w:r w:rsidRPr="006D3144">
        <w:rPr>
          <w:i/>
          <w:sz w:val="24"/>
          <w:szCs w:val="24"/>
        </w:rPr>
        <w:t>Kings</w:t>
      </w:r>
      <w:r w:rsidRPr="006D3144">
        <w:rPr>
          <w:sz w:val="24"/>
          <w:szCs w:val="24"/>
        </w:rPr>
        <w:t xml:space="preserve"> </w:t>
      </w:r>
      <w:r w:rsidRPr="006D3144">
        <w:rPr>
          <w:i/>
          <w:sz w:val="24"/>
          <w:szCs w:val="24"/>
        </w:rPr>
        <w:t>Grave”. (RT 789). (Fig No 2.)</w:t>
      </w:r>
      <w:r w:rsidRPr="006D3144">
        <w:rPr>
          <w:sz w:val="24"/>
          <w:szCs w:val="24"/>
        </w:rPr>
        <w:t xml:space="preserve"> </w:t>
      </w:r>
      <w:r w:rsidRPr="006D3144">
        <w:rPr>
          <w:i/>
          <w:sz w:val="24"/>
          <w:szCs w:val="24"/>
        </w:rPr>
        <w:t>word babbar- white</w:t>
      </w:r>
      <w:r w:rsidRPr="006D3144">
        <w:rPr>
          <w:sz w:val="24"/>
          <w:szCs w:val="24"/>
        </w:rPr>
        <w:t xml:space="preserve">- was the same sign used for the word </w:t>
      </w:r>
      <w:r w:rsidRPr="006D3144">
        <w:rPr>
          <w:i/>
          <w:sz w:val="24"/>
          <w:szCs w:val="24"/>
        </w:rPr>
        <w:t>utu</w:t>
      </w:r>
      <w:r w:rsidRPr="006D3144">
        <w:rPr>
          <w:sz w:val="24"/>
          <w:szCs w:val="24"/>
        </w:rPr>
        <w:t>- the sun.”  “</w:t>
      </w:r>
      <w:r w:rsidRPr="006D3144">
        <w:rPr>
          <w:i/>
          <w:sz w:val="24"/>
          <w:szCs w:val="24"/>
        </w:rPr>
        <w:t xml:space="preserve">Silver to the </w:t>
      </w:r>
      <w:r w:rsidRPr="006D3144">
        <w:rPr>
          <w:sz w:val="24"/>
          <w:szCs w:val="24"/>
        </w:rPr>
        <w:t xml:space="preserve">Silver was called by the Sumerians </w:t>
      </w:r>
      <w:r w:rsidRPr="006D3144">
        <w:rPr>
          <w:i/>
          <w:sz w:val="24"/>
          <w:szCs w:val="24"/>
        </w:rPr>
        <w:t>ku-babbar,</w:t>
      </w:r>
      <w:r w:rsidRPr="006D3144">
        <w:rPr>
          <w:sz w:val="24"/>
          <w:szCs w:val="24"/>
        </w:rPr>
        <w:t xml:space="preserve"> meaning “</w:t>
      </w:r>
      <w:r w:rsidRPr="006D3144">
        <w:rPr>
          <w:i/>
          <w:sz w:val="24"/>
          <w:szCs w:val="24"/>
        </w:rPr>
        <w:t>pure white</w:t>
      </w:r>
      <w:r w:rsidRPr="006D3144">
        <w:rPr>
          <w:sz w:val="24"/>
          <w:szCs w:val="24"/>
        </w:rPr>
        <w:t>”. “The sign used</w:t>
      </w:r>
      <w:r w:rsidR="00C14688">
        <w:rPr>
          <w:sz w:val="24"/>
          <w:szCs w:val="24"/>
        </w:rPr>
        <w:t xml:space="preserve"> by</w:t>
      </w:r>
      <w:r w:rsidRPr="006D3144">
        <w:rPr>
          <w:sz w:val="24"/>
          <w:szCs w:val="24"/>
        </w:rPr>
        <w:t xml:space="preserve"> the </w:t>
      </w:r>
      <w:r w:rsidRPr="006D3144">
        <w:rPr>
          <w:i/>
          <w:sz w:val="24"/>
          <w:szCs w:val="24"/>
        </w:rPr>
        <w:t>Sumerians</w:t>
      </w:r>
      <w:r w:rsidR="00C14688">
        <w:rPr>
          <w:i/>
          <w:sz w:val="24"/>
          <w:szCs w:val="24"/>
        </w:rPr>
        <w:t xml:space="preserve"> for silver; this</w:t>
      </w:r>
      <w:r w:rsidRPr="006D3144">
        <w:rPr>
          <w:sz w:val="24"/>
          <w:szCs w:val="24"/>
        </w:rPr>
        <w:t xml:space="preserve"> might have seemed like a piece of </w:t>
      </w:r>
      <w:r w:rsidR="004F51A1">
        <w:rPr>
          <w:sz w:val="24"/>
          <w:szCs w:val="24"/>
        </w:rPr>
        <w:t>su</w:t>
      </w:r>
      <w:r w:rsidRPr="006D3144">
        <w:rPr>
          <w:sz w:val="24"/>
          <w:szCs w:val="24"/>
        </w:rPr>
        <w:t>nlight miraculously turned solid.” (</w:t>
      </w:r>
      <w:r w:rsidRPr="006D3144">
        <w:rPr>
          <w:i/>
          <w:sz w:val="24"/>
          <w:szCs w:val="24"/>
        </w:rPr>
        <w:t>Podany 2010: 37</w:t>
      </w:r>
      <w:r w:rsidRPr="006D3144">
        <w:rPr>
          <w:sz w:val="24"/>
          <w:szCs w:val="24"/>
        </w:rPr>
        <w:t>0).</w:t>
      </w:r>
    </w:p>
    <w:p w14:paraId="30BA2CC0" w14:textId="77777777" w:rsidR="000B3883" w:rsidRPr="006D3144" w:rsidRDefault="000B3883" w:rsidP="000B3883">
      <w:pPr>
        <w:spacing w:line="360" w:lineRule="auto"/>
        <w:rPr>
          <w:sz w:val="24"/>
          <w:szCs w:val="24"/>
        </w:rPr>
      </w:pPr>
      <w:r w:rsidRPr="006D3144">
        <w:rPr>
          <w:sz w:val="24"/>
          <w:szCs w:val="24"/>
        </w:rPr>
        <w:t>Wool, cloth and garments together with surpluses on food production would have been used for trade not only between Sumerian city states but also later for trade; to bring in precious metals and other items from the north. These would come and gone through the entre ports that I have already suggested. (</w:t>
      </w:r>
      <w:r w:rsidRPr="006D3144">
        <w:rPr>
          <w:i/>
          <w:sz w:val="24"/>
          <w:szCs w:val="24"/>
        </w:rPr>
        <w:t>Crawford et-al 2013: 411-5).</w:t>
      </w:r>
      <w:r w:rsidRPr="006D3144">
        <w:rPr>
          <w:sz w:val="24"/>
          <w:szCs w:val="24"/>
        </w:rPr>
        <w:t xml:space="preserve">  </w:t>
      </w:r>
    </w:p>
    <w:p w14:paraId="4E7A45BF" w14:textId="295E83F6" w:rsidR="007C315A" w:rsidRDefault="00AB1196" w:rsidP="007C315A">
      <w:pPr>
        <w:pStyle w:val="Heading2"/>
      </w:pPr>
      <w:bookmarkStart w:id="6" w:name="_Toc511725626"/>
      <w:r>
        <w:t>C</w:t>
      </w:r>
      <w:r w:rsidR="007C315A">
        <w:t>onclusions</w:t>
      </w:r>
      <w:bookmarkEnd w:id="6"/>
    </w:p>
    <w:p w14:paraId="26F8B811" w14:textId="77777777" w:rsidR="00394B9A" w:rsidRDefault="00394B9A" w:rsidP="007C315A">
      <w:pPr>
        <w:spacing w:line="360" w:lineRule="auto"/>
        <w:rPr>
          <w:sz w:val="24"/>
          <w:szCs w:val="24"/>
        </w:rPr>
      </w:pPr>
    </w:p>
    <w:p w14:paraId="7E640C5E" w14:textId="2F533A84" w:rsidR="007C315A" w:rsidRPr="006D3144" w:rsidRDefault="007C315A" w:rsidP="007C315A">
      <w:pPr>
        <w:spacing w:line="360" w:lineRule="auto"/>
        <w:rPr>
          <w:i/>
          <w:sz w:val="24"/>
          <w:szCs w:val="24"/>
        </w:rPr>
      </w:pPr>
      <w:r w:rsidRPr="006D3144">
        <w:rPr>
          <w:sz w:val="24"/>
          <w:szCs w:val="24"/>
        </w:rPr>
        <w:t xml:space="preserve">The trade routes mentioned above had several lesser pathways leading off them which went to Egypt, Ankara, Kanesh, Aleppo, and Ashur to name a few. The main traded commodities in this period other than </w:t>
      </w:r>
      <w:r w:rsidRPr="006D3144">
        <w:rPr>
          <w:i/>
          <w:sz w:val="24"/>
          <w:szCs w:val="24"/>
        </w:rPr>
        <w:t>silver, were copper, lapis lazuli, faience, obsidian, timber, ivory and textiles. (Maisels 2000: 82-5).</w:t>
      </w:r>
    </w:p>
    <w:p w14:paraId="5F3B7EDD" w14:textId="77777777" w:rsidR="007C315A" w:rsidRPr="006D3144" w:rsidRDefault="007C315A" w:rsidP="007C315A">
      <w:pPr>
        <w:spacing w:line="360" w:lineRule="auto"/>
        <w:rPr>
          <w:sz w:val="24"/>
          <w:szCs w:val="24"/>
        </w:rPr>
      </w:pPr>
      <w:r w:rsidRPr="006D3144">
        <w:rPr>
          <w:sz w:val="24"/>
          <w:szCs w:val="24"/>
        </w:rPr>
        <w:t>All the trade between Anatolia and Sumer in the south would mainly off been by the Euphrates- Tigris river system and their tributaries. (</w:t>
      </w:r>
      <w:r w:rsidRPr="006D3144">
        <w:rPr>
          <w:i/>
          <w:sz w:val="24"/>
          <w:szCs w:val="24"/>
        </w:rPr>
        <w:t>Maisels 2000: 82-</w:t>
      </w:r>
      <w:r w:rsidRPr="006D3144">
        <w:rPr>
          <w:sz w:val="24"/>
          <w:szCs w:val="24"/>
        </w:rPr>
        <w:t>5).</w:t>
      </w:r>
    </w:p>
    <w:p w14:paraId="087EC2EC" w14:textId="77777777" w:rsidR="007C315A" w:rsidRPr="006D3144" w:rsidRDefault="007C315A" w:rsidP="007C315A">
      <w:pPr>
        <w:spacing w:line="360" w:lineRule="auto"/>
        <w:rPr>
          <w:sz w:val="24"/>
          <w:szCs w:val="24"/>
        </w:rPr>
      </w:pPr>
      <w:r w:rsidRPr="006D3144">
        <w:rPr>
          <w:sz w:val="24"/>
          <w:szCs w:val="24"/>
        </w:rPr>
        <w:t>All the trade routes occurred in the area known as the fertile crescent and no track crossed the Arabian desert (</w:t>
      </w:r>
      <w:r w:rsidRPr="006D3144">
        <w:rPr>
          <w:i/>
          <w:sz w:val="24"/>
          <w:szCs w:val="24"/>
        </w:rPr>
        <w:t>Maisels 2000: 83-5</w:t>
      </w:r>
      <w:r w:rsidRPr="006D3144">
        <w:rPr>
          <w:sz w:val="24"/>
          <w:szCs w:val="24"/>
        </w:rPr>
        <w:t>).</w:t>
      </w:r>
    </w:p>
    <w:p w14:paraId="02089B06" w14:textId="77777777" w:rsidR="007C315A" w:rsidRPr="006D3144" w:rsidRDefault="007C315A" w:rsidP="007C315A">
      <w:pPr>
        <w:spacing w:line="360" w:lineRule="auto"/>
        <w:rPr>
          <w:sz w:val="24"/>
          <w:szCs w:val="24"/>
        </w:rPr>
      </w:pPr>
      <w:r w:rsidRPr="006D3144">
        <w:rPr>
          <w:sz w:val="24"/>
          <w:szCs w:val="24"/>
        </w:rPr>
        <w:lastRenderedPageBreak/>
        <w:t xml:space="preserve">Gifts would not only have gone to the palaces but also, to the temples as it was the priestly class that for long periods from the earliest of times that controlled the exchanges. The priests and the temples only slowly lost ground to the kings who eventually rose to the top of the pyramid. Every state would have had a temple or ziggurat the most prominent being </w:t>
      </w:r>
      <w:r w:rsidRPr="006D3144">
        <w:rPr>
          <w:i/>
          <w:sz w:val="24"/>
          <w:szCs w:val="24"/>
        </w:rPr>
        <w:t>Inanna</w:t>
      </w:r>
      <w:r w:rsidRPr="006D3144">
        <w:rPr>
          <w:sz w:val="24"/>
          <w:szCs w:val="24"/>
        </w:rPr>
        <w:t xml:space="preserve"> </w:t>
      </w:r>
      <w:r w:rsidRPr="006D3144">
        <w:rPr>
          <w:i/>
          <w:sz w:val="24"/>
          <w:szCs w:val="24"/>
        </w:rPr>
        <w:t>Temple, Nippur, Limestone Temple at Eanna</w:t>
      </w:r>
      <w:r w:rsidRPr="006D3144">
        <w:rPr>
          <w:sz w:val="24"/>
          <w:szCs w:val="24"/>
        </w:rPr>
        <w:t xml:space="preserve"> and the </w:t>
      </w:r>
      <w:r w:rsidRPr="006D3144">
        <w:rPr>
          <w:i/>
          <w:sz w:val="24"/>
          <w:szCs w:val="24"/>
        </w:rPr>
        <w:t>Red Temple at Ebla</w:t>
      </w:r>
      <w:r w:rsidRPr="006D3144">
        <w:rPr>
          <w:sz w:val="24"/>
          <w:szCs w:val="24"/>
        </w:rPr>
        <w:t>. (</w:t>
      </w:r>
      <w:r w:rsidRPr="006D3144">
        <w:rPr>
          <w:i/>
          <w:sz w:val="24"/>
          <w:szCs w:val="24"/>
        </w:rPr>
        <w:t>Crawford 2013: 656</w:t>
      </w:r>
      <w:r w:rsidRPr="006D3144">
        <w:rPr>
          <w:sz w:val="24"/>
          <w:szCs w:val="24"/>
        </w:rPr>
        <w:t xml:space="preserve">). </w:t>
      </w:r>
    </w:p>
    <w:p w14:paraId="1F2FED01" w14:textId="77777777" w:rsidR="007C315A" w:rsidRPr="006D3144" w:rsidRDefault="007C315A" w:rsidP="007C315A">
      <w:pPr>
        <w:spacing w:line="360" w:lineRule="auto"/>
        <w:rPr>
          <w:sz w:val="24"/>
          <w:szCs w:val="24"/>
        </w:rPr>
      </w:pPr>
      <w:r w:rsidRPr="006D3144">
        <w:rPr>
          <w:sz w:val="24"/>
          <w:szCs w:val="24"/>
        </w:rPr>
        <w:t xml:space="preserve">Trade with merchants was to develop as the </w:t>
      </w:r>
      <w:r w:rsidRPr="006D3144">
        <w:rPr>
          <w:i/>
          <w:sz w:val="24"/>
          <w:szCs w:val="24"/>
        </w:rPr>
        <w:t>MBA Anatolia</w:t>
      </w:r>
      <w:r w:rsidRPr="006D3144">
        <w:rPr>
          <w:sz w:val="24"/>
          <w:szCs w:val="24"/>
        </w:rPr>
        <w:t xml:space="preserve"> arrived, silver would have flowed in the EBA Anatolia, but I would surmise more of a trickle; because if silver was received from a rival state a reciprocal trade had to be done, if only to save face. Silver objects; jewellery, inlaid weaponry and vessels were given and received as gifts in many guises across the region. (</w:t>
      </w:r>
      <w:r w:rsidRPr="006D3144">
        <w:rPr>
          <w:i/>
          <w:sz w:val="24"/>
          <w:szCs w:val="24"/>
        </w:rPr>
        <w:t>Crawford 2013: 512-3</w:t>
      </w:r>
      <w:r w:rsidRPr="006D3144">
        <w:rPr>
          <w:sz w:val="24"/>
          <w:szCs w:val="24"/>
        </w:rPr>
        <w:t>).</w:t>
      </w:r>
    </w:p>
    <w:p w14:paraId="3A82FE88" w14:textId="77777777" w:rsidR="008B07A8" w:rsidRDefault="007C315A" w:rsidP="008B07A8">
      <w:pPr>
        <w:spacing w:line="360" w:lineRule="auto"/>
        <w:rPr>
          <w:sz w:val="24"/>
          <w:szCs w:val="24"/>
        </w:rPr>
      </w:pPr>
      <w:r w:rsidRPr="006D3144">
        <w:rPr>
          <w:sz w:val="24"/>
          <w:szCs w:val="24"/>
        </w:rPr>
        <w:t>Throughout the Bronze Age periods and the time chronology is long, silver seems to have been traded or given as gifts by kings to rival vassals on a regular basis. The kings and the priestly class would have considered silver tokens as a very high-class possession; it would have only been given or used after due consideration and not to lowly vassals or persons. (</w:t>
      </w:r>
      <w:r w:rsidRPr="006D3144">
        <w:rPr>
          <w:i/>
          <w:sz w:val="24"/>
          <w:szCs w:val="24"/>
        </w:rPr>
        <w:t>Figs 5, 6, 7,</w:t>
      </w:r>
      <w:r w:rsidR="00F0163B">
        <w:rPr>
          <w:i/>
          <w:sz w:val="24"/>
          <w:szCs w:val="24"/>
        </w:rPr>
        <w:t xml:space="preserve"> 8, 9</w:t>
      </w:r>
      <w:r w:rsidRPr="006D3144">
        <w:rPr>
          <w:i/>
          <w:sz w:val="24"/>
          <w:szCs w:val="24"/>
        </w:rPr>
        <w:t>)</w:t>
      </w:r>
      <w:bookmarkStart w:id="7" w:name="_Toc511725627"/>
    </w:p>
    <w:p w14:paraId="5B0C4681" w14:textId="77777777" w:rsidR="00AB1196" w:rsidRDefault="00AB1196" w:rsidP="008B07A8">
      <w:pPr>
        <w:spacing w:line="360" w:lineRule="auto"/>
      </w:pPr>
    </w:p>
    <w:p w14:paraId="04874559" w14:textId="77777777" w:rsidR="00AB1196" w:rsidRDefault="00AB1196" w:rsidP="008B07A8">
      <w:pPr>
        <w:spacing w:line="360" w:lineRule="auto"/>
      </w:pPr>
    </w:p>
    <w:p w14:paraId="39ACE264" w14:textId="77777777" w:rsidR="00AB1196" w:rsidRDefault="00AB1196" w:rsidP="008B07A8">
      <w:pPr>
        <w:spacing w:line="360" w:lineRule="auto"/>
      </w:pPr>
    </w:p>
    <w:p w14:paraId="20ED0363" w14:textId="77777777" w:rsidR="00AB1196" w:rsidRDefault="00AB1196" w:rsidP="008B07A8">
      <w:pPr>
        <w:spacing w:line="360" w:lineRule="auto"/>
      </w:pPr>
    </w:p>
    <w:p w14:paraId="21380D62" w14:textId="77777777" w:rsidR="00AB1196" w:rsidRDefault="00AB1196" w:rsidP="008B07A8">
      <w:pPr>
        <w:spacing w:line="360" w:lineRule="auto"/>
      </w:pPr>
    </w:p>
    <w:p w14:paraId="3047064F" w14:textId="77777777" w:rsidR="00AB1196" w:rsidRDefault="00AB1196" w:rsidP="008B07A8">
      <w:pPr>
        <w:spacing w:line="360" w:lineRule="auto"/>
      </w:pPr>
    </w:p>
    <w:p w14:paraId="69C51B58" w14:textId="77777777" w:rsidR="00AB1196" w:rsidRDefault="00AB1196" w:rsidP="008B07A8">
      <w:pPr>
        <w:spacing w:line="360" w:lineRule="auto"/>
      </w:pPr>
    </w:p>
    <w:p w14:paraId="094EB05B" w14:textId="77777777" w:rsidR="00AB1196" w:rsidRDefault="00AB1196" w:rsidP="008B07A8">
      <w:pPr>
        <w:spacing w:line="360" w:lineRule="auto"/>
      </w:pPr>
    </w:p>
    <w:p w14:paraId="11181F80" w14:textId="4CA5884D" w:rsidR="00AB1196" w:rsidRDefault="00340097" w:rsidP="008B07A8">
      <w:pPr>
        <w:spacing w:line="360" w:lineRule="auto"/>
      </w:pPr>
      <w:r>
        <w:t>9</w:t>
      </w:r>
    </w:p>
    <w:p w14:paraId="0CD25E91" w14:textId="77777777" w:rsidR="00AB1196" w:rsidRDefault="00AB1196" w:rsidP="008B07A8">
      <w:pPr>
        <w:spacing w:line="360" w:lineRule="auto"/>
      </w:pPr>
    </w:p>
    <w:p w14:paraId="13CB413E" w14:textId="77777777" w:rsidR="00AB1196" w:rsidRDefault="00AB1196" w:rsidP="008B07A8">
      <w:pPr>
        <w:spacing w:line="360" w:lineRule="auto"/>
      </w:pPr>
    </w:p>
    <w:p w14:paraId="0F3BC590" w14:textId="7D8288E9" w:rsidR="007C315A" w:rsidRPr="008B07A8" w:rsidRDefault="007C315A" w:rsidP="008B07A8">
      <w:pPr>
        <w:spacing w:line="360" w:lineRule="auto"/>
        <w:rPr>
          <w:sz w:val="24"/>
          <w:szCs w:val="24"/>
        </w:rPr>
      </w:pPr>
      <w:r>
        <w:lastRenderedPageBreak/>
        <w:t>References</w:t>
      </w:r>
      <w:bookmarkEnd w:id="7"/>
    </w:p>
    <w:p w14:paraId="0316F0FE" w14:textId="77777777" w:rsidR="007C315A" w:rsidRDefault="007C315A" w:rsidP="007C315A"/>
    <w:p w14:paraId="22280549" w14:textId="77777777" w:rsidR="007C315A" w:rsidRDefault="007C315A" w:rsidP="007C315A">
      <w:r>
        <w:t xml:space="preserve">Aruz J, Benzel K, and Evans Jean. 2009: M. </w:t>
      </w:r>
      <w:r w:rsidRPr="00116173">
        <w:rPr>
          <w:i/>
        </w:rPr>
        <w:t>Beyond Babylon Art, Trade, and Diplomacy in the Second Millennium B.C.</w:t>
      </w:r>
      <w:r>
        <w:rPr>
          <w:i/>
        </w:rPr>
        <w:t>,</w:t>
      </w:r>
      <w:r w:rsidRPr="00116173">
        <w:rPr>
          <w:i/>
        </w:rPr>
        <w:t xml:space="preserve"> </w:t>
      </w:r>
      <w:r>
        <w:t xml:space="preserve">New Haven and London: The Metropolitan Museum of Art, New York Yale University.  </w:t>
      </w:r>
    </w:p>
    <w:p w14:paraId="745F8029" w14:textId="77777777" w:rsidR="007C315A" w:rsidRDefault="007C315A" w:rsidP="007C315A">
      <w:r>
        <w:t>Crawford H, Ed, 2013:</w:t>
      </w:r>
      <w:r w:rsidRPr="00116173">
        <w:rPr>
          <w:i/>
        </w:rPr>
        <w:t xml:space="preserve"> The Sumerian World</w:t>
      </w:r>
      <w:r>
        <w:t>. London and New York: Routledge Taylor and Francis Group.</w:t>
      </w:r>
    </w:p>
    <w:p w14:paraId="0EC4900C" w14:textId="77777777" w:rsidR="007C315A" w:rsidRPr="00116173" w:rsidRDefault="007C315A" w:rsidP="007C315A">
      <w:r>
        <w:t xml:space="preserve">Crawford H 2015: </w:t>
      </w:r>
      <w:r w:rsidRPr="00442135">
        <w:rPr>
          <w:i/>
        </w:rPr>
        <w:t>Ur The City of the Moon God</w:t>
      </w:r>
      <w:r>
        <w:t xml:space="preserve">. London and New York: Archaeological Histories Bloomsbury Academic.   </w:t>
      </w:r>
    </w:p>
    <w:p w14:paraId="25D6C63F" w14:textId="77777777" w:rsidR="007C315A" w:rsidRDefault="007C315A" w:rsidP="007C315A">
      <w:r>
        <w:t xml:space="preserve">Dickinson O, 1994: </w:t>
      </w:r>
      <w:r w:rsidRPr="00520F3F">
        <w:rPr>
          <w:i/>
        </w:rPr>
        <w:t>The Aegean Bronze Age</w:t>
      </w:r>
      <w:r>
        <w:t>. Cambridge: Cambridge University Press.</w:t>
      </w:r>
    </w:p>
    <w:p w14:paraId="3B8026F8" w14:textId="77777777" w:rsidR="007C315A" w:rsidRDefault="007C315A" w:rsidP="007C315A">
      <w:r>
        <w:t xml:space="preserve">Feldman Marion H. 2006: </w:t>
      </w:r>
      <w:r w:rsidRPr="005A6A4D">
        <w:rPr>
          <w:i/>
        </w:rPr>
        <w:t>Diplomacy by Design Luxury Arts and an “International Style” in the</w:t>
      </w:r>
      <w:r>
        <w:t xml:space="preserve"> </w:t>
      </w:r>
      <w:r w:rsidRPr="005A6A4D">
        <w:rPr>
          <w:i/>
        </w:rPr>
        <w:t>Ancient Near East</w:t>
      </w:r>
      <w:r>
        <w:rPr>
          <w:i/>
        </w:rPr>
        <w:t>.</w:t>
      </w:r>
      <w:r w:rsidRPr="005A6A4D">
        <w:rPr>
          <w:i/>
        </w:rPr>
        <w:t xml:space="preserve"> 1400-1200 BCE</w:t>
      </w:r>
      <w:r>
        <w:t>. Chicago and London: The University of Chicago 60637 and Press, Ltd.</w:t>
      </w:r>
    </w:p>
    <w:p w14:paraId="3E63C7E5" w14:textId="77777777" w:rsidR="007C315A" w:rsidRDefault="007C315A" w:rsidP="007C315A">
      <w:r>
        <w:t xml:space="preserve">Leick G, Ed, 2007: </w:t>
      </w:r>
      <w:r w:rsidRPr="00972941">
        <w:rPr>
          <w:i/>
        </w:rPr>
        <w:t>the Babylonian World</w:t>
      </w:r>
      <w:r>
        <w:rPr>
          <w:i/>
        </w:rPr>
        <w:t>.</w:t>
      </w:r>
      <w:r>
        <w:t xml:space="preserve"> New York and London: Routledge, Taylor and Francis Group.</w:t>
      </w:r>
    </w:p>
    <w:p w14:paraId="14F860D4" w14:textId="77777777" w:rsidR="007C315A" w:rsidRDefault="007C315A" w:rsidP="007C315A">
      <w:r>
        <w:t xml:space="preserve">Maisels C.K, 1999: </w:t>
      </w:r>
      <w:r w:rsidRPr="00DB5BAE">
        <w:rPr>
          <w:i/>
        </w:rPr>
        <w:t>Early Civilizations of the Old World</w:t>
      </w:r>
      <w:r>
        <w:rPr>
          <w:i/>
        </w:rPr>
        <w:t>.</w:t>
      </w:r>
      <w:r>
        <w:t xml:space="preserve"> London and New York: Routledge, Taylor and Francis Group. </w:t>
      </w:r>
    </w:p>
    <w:p w14:paraId="17A7672E" w14:textId="77777777" w:rsidR="007C315A" w:rsidRDefault="007C315A" w:rsidP="007C315A">
      <w:r>
        <w:t xml:space="preserve">Moorey P.R.S., 1982: </w:t>
      </w:r>
      <w:r w:rsidRPr="004C2A58">
        <w:rPr>
          <w:i/>
        </w:rPr>
        <w:t>Ur “of the CHALDEES,” The final account, Excavations at Ur, revised and</w:t>
      </w:r>
      <w:r>
        <w:t xml:space="preserve"> </w:t>
      </w:r>
      <w:r w:rsidRPr="004C2A58">
        <w:rPr>
          <w:i/>
        </w:rPr>
        <w:t>updated by author</w:t>
      </w:r>
      <w:r>
        <w:rPr>
          <w:i/>
        </w:rPr>
        <w:t>.</w:t>
      </w:r>
      <w:r>
        <w:t xml:space="preserve"> London: Book Club Associates.</w:t>
      </w:r>
    </w:p>
    <w:p w14:paraId="0C2E121A" w14:textId="77777777" w:rsidR="007C315A" w:rsidRDefault="007C315A" w:rsidP="007C315A">
      <w:r>
        <w:t xml:space="preserve">Podany Amanda H., 2010: </w:t>
      </w:r>
      <w:r w:rsidRPr="004C6171">
        <w:rPr>
          <w:i/>
        </w:rPr>
        <w:t>Brotherhood of Kings How International Relations Shaped the Ancient</w:t>
      </w:r>
      <w:r>
        <w:t xml:space="preserve"> </w:t>
      </w:r>
      <w:r w:rsidRPr="004C6171">
        <w:rPr>
          <w:i/>
        </w:rPr>
        <w:t>Near East</w:t>
      </w:r>
      <w:r>
        <w:rPr>
          <w:i/>
        </w:rPr>
        <w:t>.</w:t>
      </w:r>
      <w:r>
        <w:t xml:space="preserve"> Oxford: Oxford University Press.</w:t>
      </w:r>
    </w:p>
    <w:p w14:paraId="5E79205F" w14:textId="77777777" w:rsidR="007C315A" w:rsidRDefault="007C315A" w:rsidP="007C315A">
      <w:r>
        <w:t>Potts D.T, 1999</w:t>
      </w:r>
      <w:r w:rsidRPr="002D797A">
        <w:rPr>
          <w:i/>
        </w:rPr>
        <w:t>: The archaeology of Elam: Formation and transformation of an ancient Iranian state.</w:t>
      </w:r>
      <w:r>
        <w:t xml:space="preserve"> Cambridge: Cambridge University Press.</w:t>
      </w:r>
    </w:p>
    <w:p w14:paraId="67DBCDCD" w14:textId="77777777" w:rsidR="007C315A" w:rsidRDefault="007C315A" w:rsidP="007C315A">
      <w:r>
        <w:t xml:space="preserve">Rothman Mitchell S. Ed, 2001: Uruk </w:t>
      </w:r>
      <w:r w:rsidRPr="00344F74">
        <w:rPr>
          <w:i/>
        </w:rPr>
        <w:t xml:space="preserve">Mesopotamia </w:t>
      </w:r>
      <w:r>
        <w:rPr>
          <w:i/>
        </w:rPr>
        <w:t>&amp;</w:t>
      </w:r>
      <w:r w:rsidRPr="00344F74">
        <w:rPr>
          <w:i/>
        </w:rPr>
        <w:t xml:space="preserve"> Its Neighbors</w:t>
      </w:r>
      <w:r>
        <w:rPr>
          <w:i/>
        </w:rPr>
        <w:t>.</w:t>
      </w:r>
      <w:r>
        <w:t xml:space="preserve"> Santa Fe and Oxford: School of American Research Press and James Curry Ltd.</w:t>
      </w:r>
    </w:p>
    <w:p w14:paraId="767323E3" w14:textId="77777777" w:rsidR="007C315A" w:rsidRDefault="007C315A" w:rsidP="007C315A">
      <w:r>
        <w:t xml:space="preserve">Tringham Ruth, 1996: </w:t>
      </w:r>
      <w:r w:rsidRPr="00344F74">
        <w:rPr>
          <w:i/>
        </w:rPr>
        <w:t>Craft Specialization and Social Evolution in Memory of V. Gordon Childe, Chapter 19, But Gordon, Where Are the People? Some Comments on the Topic of Craft</w:t>
      </w:r>
      <w:r>
        <w:t xml:space="preserve"> </w:t>
      </w:r>
      <w:r w:rsidRPr="00344F74">
        <w:rPr>
          <w:i/>
        </w:rPr>
        <w:t>Specialization</w:t>
      </w:r>
      <w:r>
        <w:t xml:space="preserve"> </w:t>
      </w:r>
      <w:r w:rsidRPr="00344F74">
        <w:rPr>
          <w:i/>
        </w:rPr>
        <w:t>and Social Evolution</w:t>
      </w:r>
      <w:r>
        <w:t xml:space="preserve">. Philadelphia: The University Museum of Archaeology and Anthropology, University of Pennsylvania.  </w:t>
      </w:r>
    </w:p>
    <w:p w14:paraId="3A34A351" w14:textId="77777777" w:rsidR="007C315A" w:rsidRDefault="007C315A" w:rsidP="007C315A">
      <w:r>
        <w:t xml:space="preserve"> </w:t>
      </w:r>
    </w:p>
    <w:p w14:paraId="106A2AFA" w14:textId="6FEB3BC5" w:rsidR="007C315A" w:rsidRDefault="00340097" w:rsidP="007C315A">
      <w:r>
        <w:t>10</w:t>
      </w:r>
      <w:r w:rsidR="007C315A">
        <w:br w:type="page"/>
      </w:r>
    </w:p>
    <w:p w14:paraId="1E9B34CD" w14:textId="77777777" w:rsidR="00394B9A" w:rsidRDefault="007C315A" w:rsidP="00394B9A">
      <w:pPr>
        <w:pStyle w:val="Heading2"/>
      </w:pPr>
      <w:bookmarkStart w:id="8" w:name="_Toc511725628"/>
      <w:r>
        <w:lastRenderedPageBreak/>
        <w:t>Appendices and Illustrations</w:t>
      </w:r>
      <w:bookmarkEnd w:id="8"/>
    </w:p>
    <w:p w14:paraId="5857A993" w14:textId="77777777" w:rsidR="00394B9A" w:rsidRDefault="00394B9A" w:rsidP="00394B9A">
      <w:pPr>
        <w:pStyle w:val="Heading2"/>
      </w:pPr>
    </w:p>
    <w:p w14:paraId="15401AE4" w14:textId="36114412" w:rsidR="00394B9A" w:rsidRPr="00394B9A" w:rsidRDefault="007C315A" w:rsidP="00394B9A">
      <w:pPr>
        <w:pStyle w:val="Heading2"/>
      </w:pPr>
      <w:r>
        <w:t xml:space="preserve"> </w:t>
      </w:r>
      <w:r w:rsidR="00394B9A" w:rsidRPr="00736D9D">
        <w:rPr>
          <w:b/>
          <w:i/>
        </w:rPr>
        <w:t xml:space="preserve">Figs:   </w:t>
      </w:r>
    </w:p>
    <w:p w14:paraId="4F10F0D9" w14:textId="45925B70" w:rsidR="003F10AB" w:rsidRDefault="003F10AB" w:rsidP="0045770B"/>
    <w:p w14:paraId="1ACA9E7F" w14:textId="6A2F3A90" w:rsidR="00430A5D" w:rsidRDefault="00430A5D" w:rsidP="0045770B"/>
    <w:p w14:paraId="30E68AA5" w14:textId="56F842A2" w:rsidR="00430A5D" w:rsidRDefault="00430A5D" w:rsidP="0045770B">
      <w:r>
        <w:t xml:space="preserve">Frontispiece </w:t>
      </w:r>
      <w:r w:rsidR="0093271E">
        <w:t>;</w:t>
      </w:r>
    </w:p>
    <w:p w14:paraId="5FAFC483" w14:textId="48F307B4" w:rsidR="003F10AB" w:rsidRDefault="0093271E" w:rsidP="0045770B">
      <w:r>
        <w:t xml:space="preserve">4.12 </w:t>
      </w:r>
      <w:r w:rsidRPr="0093271E">
        <w:rPr>
          <w:i/>
        </w:rPr>
        <w:t>The Great Lyre,</w:t>
      </w:r>
      <w:r>
        <w:t xml:space="preserve"> from the death pit of King Meskalamdug, grave 789, Ur, Iraq, Early Dynastic llla, c. 2550-2400 BCE. Goldsilver, lapis lazuli, bitumen, and wood, 4ft. 7 1/8 in. (1.4 m) long. </w:t>
      </w:r>
      <w:r w:rsidR="00FF2495">
        <w:t xml:space="preserve"> Bahrani Z, Page 97, Mesopotamia Ancient Art and Architecture. </w:t>
      </w:r>
      <w:r>
        <w:t xml:space="preserve">  </w:t>
      </w:r>
    </w:p>
    <w:p w14:paraId="339F2EAB" w14:textId="57F4A6CC" w:rsidR="0045770B" w:rsidRPr="00B07B37" w:rsidRDefault="007C315A" w:rsidP="0045770B">
      <w:r>
        <w:t xml:space="preserve"> </w:t>
      </w:r>
      <w:r w:rsidR="00F0163B">
        <w:t>1.) D</w:t>
      </w:r>
      <w:r w:rsidR="0045770B" w:rsidRPr="00CD7B7E">
        <w:rPr>
          <w:i/>
        </w:rPr>
        <w:t>istribution of Select Raw Materials and Finished Goods in this Catalogue</w:t>
      </w:r>
      <w:r w:rsidR="0045770B">
        <w:t>. From (Aruz et-al 2009: xxii-xxiii).</w:t>
      </w:r>
      <w:r w:rsidR="00F0163B">
        <w:t xml:space="preserve"> Map.</w:t>
      </w:r>
    </w:p>
    <w:p w14:paraId="7CCE1E0D" w14:textId="217D6200" w:rsidR="0045770B" w:rsidRDefault="0045770B" w:rsidP="0045770B">
      <w:r>
        <w:t xml:space="preserve">2.)  Model boat of silver, from the </w:t>
      </w:r>
      <w:r w:rsidRPr="003F10AB">
        <w:rPr>
          <w:i/>
        </w:rPr>
        <w:t>“Kings Grave (RT 789)</w:t>
      </w:r>
      <w:r w:rsidR="003F10AB" w:rsidRPr="003F10AB">
        <w:rPr>
          <w:i/>
        </w:rPr>
        <w:t>”</w:t>
      </w:r>
      <w:r w:rsidRPr="003F10AB">
        <w:rPr>
          <w:i/>
        </w:rPr>
        <w:t>.</w:t>
      </w:r>
      <w:r>
        <w:t xml:space="preserve"> From (Moorey 1982: 154).</w:t>
      </w:r>
    </w:p>
    <w:p w14:paraId="0A63C0F4" w14:textId="77777777" w:rsidR="0045770B" w:rsidRDefault="0045770B" w:rsidP="0045770B">
      <w:r>
        <w:t>3</w:t>
      </w:r>
      <w:r w:rsidRPr="003F10AB">
        <w:rPr>
          <w:i/>
        </w:rPr>
        <w:t>.) The City of Ur, c 2000-1800 BCE</w:t>
      </w:r>
      <w:r>
        <w:t>, to show the excavated buildings (in this plan Woolley inadvertently included much later buildings near the “North Harbour”. The title is Woolley’s own.</w:t>
      </w:r>
    </w:p>
    <w:p w14:paraId="2FEDF73B" w14:textId="7DF1FFC1" w:rsidR="0045770B" w:rsidRDefault="0045770B" w:rsidP="0045770B">
      <w:r>
        <w:t>4</w:t>
      </w:r>
      <w:r w:rsidRPr="003F10AB">
        <w:rPr>
          <w:i/>
        </w:rPr>
        <w:t>.) Major ancient levees</w:t>
      </w:r>
      <w:r>
        <w:t xml:space="preserve"> from Landsat imagery revealing the primary canal network. (source: Adams 1981: 34. </w:t>
      </w:r>
      <w:r w:rsidR="0084456C">
        <w:t xml:space="preserve">In Umma. Crawford H, 2013: Page 41, </w:t>
      </w:r>
      <w:r w:rsidR="0084456C" w:rsidRPr="0084456C">
        <w:rPr>
          <w:i/>
        </w:rPr>
        <w:t>The Sumerian World</w:t>
      </w:r>
      <w:r w:rsidR="0084456C">
        <w:t>.</w:t>
      </w:r>
    </w:p>
    <w:p w14:paraId="57325AD0" w14:textId="77777777" w:rsidR="0045770B" w:rsidRDefault="0045770B" w:rsidP="0045770B">
      <w:r>
        <w:t xml:space="preserve">5.) Map of Uruk trade routes circa Paul Collins Page 33, Crawford H, </w:t>
      </w:r>
      <w:r w:rsidRPr="003F10AB">
        <w:rPr>
          <w:i/>
        </w:rPr>
        <w:t>Ur The City of the Moon God.</w:t>
      </w:r>
      <w:r>
        <w:t xml:space="preserve"> </w:t>
      </w:r>
    </w:p>
    <w:p w14:paraId="41D2C93C" w14:textId="77777777" w:rsidR="0045770B" w:rsidRPr="003F10AB" w:rsidRDefault="0045770B" w:rsidP="0045770B">
      <w:pPr>
        <w:rPr>
          <w:i/>
        </w:rPr>
      </w:pPr>
      <w:r>
        <w:t>6.) 5.1 Objects from the royal cemetery made of gold and electrum by Tessa Rickards, Crawford H. page 60</w:t>
      </w:r>
      <w:r w:rsidRPr="003F10AB">
        <w:rPr>
          <w:i/>
        </w:rPr>
        <w:t>, Ur The City of the Moon God.</w:t>
      </w:r>
    </w:p>
    <w:p w14:paraId="4E7EDD4F" w14:textId="07002CFB" w:rsidR="0045770B" w:rsidRDefault="0045770B" w:rsidP="0045770B">
      <w:r>
        <w:t xml:space="preserve">7.) 6.ii </w:t>
      </w:r>
      <w:bookmarkStart w:id="9" w:name="_Hlk511724941"/>
      <w:r>
        <w:t xml:space="preserve">Figure of Enheduanna, High priestess of the moon god </w:t>
      </w:r>
      <w:bookmarkEnd w:id="9"/>
      <w:r>
        <w:t xml:space="preserve">Crawford H, page 78, </w:t>
      </w:r>
      <w:r w:rsidRPr="003F10AB">
        <w:rPr>
          <w:i/>
        </w:rPr>
        <w:t>Ur The City of the</w:t>
      </w:r>
      <w:r>
        <w:t xml:space="preserve"> </w:t>
      </w:r>
      <w:r w:rsidRPr="003F10AB">
        <w:rPr>
          <w:i/>
        </w:rPr>
        <w:t>Moon God.</w:t>
      </w:r>
    </w:p>
    <w:p w14:paraId="2CCA598C" w14:textId="47F58B98" w:rsidR="00845E5E" w:rsidRPr="003F10AB" w:rsidRDefault="00877184" w:rsidP="0045770B">
      <w:pPr>
        <w:rPr>
          <w:i/>
        </w:rPr>
      </w:pPr>
      <w:r>
        <w:t>8.)</w:t>
      </w:r>
      <w:r w:rsidR="00F0163B">
        <w:t xml:space="preserve"> 3.4 Silver Vase of Enmetena, from Girsu Iraq, Early Dynastic lllb, C2,400 BCE. Bahrani Z, Page 68, </w:t>
      </w:r>
      <w:r w:rsidR="00F0163B" w:rsidRPr="003F10AB">
        <w:rPr>
          <w:i/>
        </w:rPr>
        <w:t>Mesopotamia Ancient Art and Architecture.</w:t>
      </w:r>
    </w:p>
    <w:p w14:paraId="6B7486FC" w14:textId="2228B27D" w:rsidR="00877184" w:rsidRDefault="00877184" w:rsidP="0045770B">
      <w:r>
        <w:t>9.)</w:t>
      </w:r>
      <w:r w:rsidR="00430A5D">
        <w:t xml:space="preserve"> 4.10 The Ram in the Thicket, from the Royal Cemetery, Ur, Iraq, Early Dynastic </w:t>
      </w:r>
      <w:r w:rsidR="0093271E">
        <w:t>llla, 2,500</w:t>
      </w:r>
      <w:r w:rsidR="00430A5D">
        <w:t xml:space="preserve"> BCE.</w:t>
      </w:r>
    </w:p>
    <w:p w14:paraId="6B253504" w14:textId="0C946D59" w:rsidR="00877184" w:rsidRDefault="00430A5D" w:rsidP="0045770B">
      <w:r>
        <w:t xml:space="preserve">Bahrani Z, Page </w:t>
      </w:r>
      <w:r w:rsidR="00CF3DAD">
        <w:t xml:space="preserve">95, </w:t>
      </w:r>
      <w:r w:rsidR="00CF3DAD" w:rsidRPr="00CF3DAD">
        <w:rPr>
          <w:i/>
        </w:rPr>
        <w:t>Mesopotamia Ancient Art and Architecture</w:t>
      </w:r>
      <w:r w:rsidR="00CF3DAD">
        <w:t>.</w:t>
      </w:r>
    </w:p>
    <w:p w14:paraId="58C0598E" w14:textId="77777777" w:rsidR="00340097" w:rsidRDefault="0045770B" w:rsidP="0045770B">
      <w:r>
        <w:t xml:space="preserve"> </w:t>
      </w:r>
    </w:p>
    <w:p w14:paraId="228AFE16" w14:textId="77777777" w:rsidR="00340097" w:rsidRDefault="00340097" w:rsidP="0045770B"/>
    <w:p w14:paraId="10F6A12C" w14:textId="77777777" w:rsidR="00340097" w:rsidRDefault="00340097" w:rsidP="0045770B"/>
    <w:p w14:paraId="52B8D491" w14:textId="77777777" w:rsidR="00340097" w:rsidRDefault="00340097" w:rsidP="0045770B"/>
    <w:p w14:paraId="2C2B330D" w14:textId="77777777" w:rsidR="00340097" w:rsidRDefault="00340097" w:rsidP="0045770B"/>
    <w:p w14:paraId="73FD09B8" w14:textId="3C96E3F3" w:rsidR="0045770B" w:rsidRDefault="00340097" w:rsidP="0045770B">
      <w:r>
        <w:t>11</w:t>
      </w:r>
      <w:r w:rsidR="0045770B">
        <w:t xml:space="preserve">          </w:t>
      </w:r>
    </w:p>
    <w:p w14:paraId="0369997D" w14:textId="177430FB" w:rsidR="007C315A" w:rsidRDefault="007C315A" w:rsidP="007C315A">
      <w:r>
        <w:lastRenderedPageBreak/>
        <w:t xml:space="preserve">   </w:t>
      </w:r>
      <w:r w:rsidR="00B90C53" w:rsidRPr="00B90C53">
        <w:rPr>
          <w:noProof/>
        </w:rPr>
        <w:drawing>
          <wp:inline distT="0" distB="0" distL="0" distR="0" wp14:anchorId="0895F968" wp14:editId="27A43127">
            <wp:extent cx="5731510" cy="73809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7380905"/>
                    </a:xfrm>
                    <a:prstGeom prst="rect">
                      <a:avLst/>
                    </a:prstGeom>
                    <a:noFill/>
                    <a:ln>
                      <a:noFill/>
                    </a:ln>
                  </pic:spPr>
                </pic:pic>
              </a:graphicData>
            </a:graphic>
          </wp:inline>
        </w:drawing>
      </w:r>
      <w:r w:rsidR="00C61A82" w:rsidRPr="00C61A82">
        <w:rPr>
          <w:noProof/>
        </w:rPr>
        <w:lastRenderedPageBreak/>
        <w:drawing>
          <wp:inline distT="0" distB="0" distL="0" distR="0" wp14:anchorId="54BF84B7" wp14:editId="52731539">
            <wp:extent cx="5731510" cy="11112622"/>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1112622"/>
                    </a:xfrm>
                    <a:prstGeom prst="rect">
                      <a:avLst/>
                    </a:prstGeom>
                    <a:noFill/>
                    <a:ln>
                      <a:noFill/>
                    </a:ln>
                  </pic:spPr>
                </pic:pic>
              </a:graphicData>
            </a:graphic>
          </wp:inline>
        </w:drawing>
      </w:r>
    </w:p>
    <w:p w14:paraId="0531F368" w14:textId="1718AA7B" w:rsidR="007C315A" w:rsidRDefault="00B90C53" w:rsidP="007C315A">
      <w:r w:rsidRPr="00B90C53">
        <w:rPr>
          <w:noProof/>
        </w:rPr>
        <w:lastRenderedPageBreak/>
        <w:drawing>
          <wp:inline distT="0" distB="0" distL="0" distR="0" wp14:anchorId="7315B755" wp14:editId="28753BE0">
            <wp:extent cx="4714875" cy="114681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14875" cy="11468100"/>
                    </a:xfrm>
                    <a:prstGeom prst="rect">
                      <a:avLst/>
                    </a:prstGeom>
                    <a:noFill/>
                    <a:ln>
                      <a:noFill/>
                    </a:ln>
                  </pic:spPr>
                </pic:pic>
              </a:graphicData>
            </a:graphic>
          </wp:inline>
        </w:drawing>
      </w:r>
    </w:p>
    <w:p w14:paraId="684F5E79" w14:textId="3B8F5088" w:rsidR="00624C6C" w:rsidRDefault="00B90C53" w:rsidP="003E361A">
      <w:pPr>
        <w:pStyle w:val="Heading2"/>
      </w:pPr>
      <w:r w:rsidRPr="00B90C53">
        <w:rPr>
          <w:noProof/>
        </w:rPr>
        <w:lastRenderedPageBreak/>
        <w:drawing>
          <wp:inline distT="0" distB="0" distL="0" distR="0" wp14:anchorId="28DC7BE1" wp14:editId="0DBAE5AA">
            <wp:extent cx="5730875" cy="7381514"/>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41671" cy="7395420"/>
                    </a:xfrm>
                    <a:prstGeom prst="rect">
                      <a:avLst/>
                    </a:prstGeom>
                    <a:noFill/>
                    <a:ln>
                      <a:noFill/>
                    </a:ln>
                  </pic:spPr>
                </pic:pic>
              </a:graphicData>
            </a:graphic>
          </wp:inline>
        </w:drawing>
      </w:r>
      <w:r w:rsidRPr="00B90C53">
        <w:rPr>
          <w:noProof/>
        </w:rPr>
        <w:lastRenderedPageBreak/>
        <w:drawing>
          <wp:inline distT="0" distB="0" distL="0" distR="0" wp14:anchorId="39E37EE9" wp14:editId="4EA7CF9A">
            <wp:extent cx="5731510" cy="2790101"/>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790101"/>
                    </a:xfrm>
                    <a:prstGeom prst="rect">
                      <a:avLst/>
                    </a:prstGeom>
                    <a:noFill/>
                    <a:ln>
                      <a:noFill/>
                    </a:ln>
                  </pic:spPr>
                </pic:pic>
              </a:graphicData>
            </a:graphic>
          </wp:inline>
        </w:drawing>
      </w:r>
    </w:p>
    <w:p w14:paraId="04113ED0" w14:textId="24A35707" w:rsidR="00DF7A61" w:rsidRDefault="00DF7A61" w:rsidP="00DF7A61"/>
    <w:p w14:paraId="294E7A7E" w14:textId="42BDEA2C" w:rsidR="00DF7A61" w:rsidRDefault="00DF7A61" w:rsidP="00DF7A61"/>
    <w:p w14:paraId="0ACD6EE2" w14:textId="06237FDD" w:rsidR="00DF7A61" w:rsidRDefault="00DF7A61" w:rsidP="00DF7A61"/>
    <w:p w14:paraId="1AECF7C3" w14:textId="0FE9A958" w:rsidR="00DF7A61" w:rsidRDefault="00DF7A61" w:rsidP="00DF7A61"/>
    <w:p w14:paraId="12123C9C" w14:textId="60ABE385" w:rsidR="00DF7A61" w:rsidRDefault="00DF7A61" w:rsidP="00DF7A61"/>
    <w:p w14:paraId="3D443DA8" w14:textId="7DFE35C9" w:rsidR="00DF7A61" w:rsidRDefault="00DF7A61" w:rsidP="00DF7A61"/>
    <w:p w14:paraId="1C626578" w14:textId="05DB7368" w:rsidR="00DF7A61" w:rsidRDefault="00DF7A61" w:rsidP="00DF7A61"/>
    <w:p w14:paraId="4EE702D8" w14:textId="0F64FCCD" w:rsidR="00DF7A61" w:rsidRDefault="00DF7A61" w:rsidP="00DF7A61"/>
    <w:p w14:paraId="30430044" w14:textId="156E0899" w:rsidR="00DF7A61" w:rsidRDefault="00DF7A61" w:rsidP="00DF7A61"/>
    <w:p w14:paraId="394C8B88" w14:textId="4891B1DA" w:rsidR="00DF7A61" w:rsidRDefault="00DF7A61" w:rsidP="00DF7A61"/>
    <w:p w14:paraId="1860E30C" w14:textId="57F2F795" w:rsidR="00DF7A61" w:rsidRDefault="00DF7A61" w:rsidP="00DF7A61"/>
    <w:p w14:paraId="1F110020" w14:textId="6A3E7BCD" w:rsidR="00DF7A61" w:rsidRDefault="00DF7A61" w:rsidP="00DF7A61"/>
    <w:p w14:paraId="7A205FCE" w14:textId="47085719" w:rsidR="00DF7A61" w:rsidRDefault="00DF7A61" w:rsidP="00DF7A61"/>
    <w:p w14:paraId="26023E43" w14:textId="3F1B648F" w:rsidR="00DF7A61" w:rsidRDefault="00DF7A61" w:rsidP="00DF7A61"/>
    <w:p w14:paraId="18EDA216" w14:textId="6F6FDB30" w:rsidR="00DF7A61" w:rsidRDefault="00DF7A61" w:rsidP="00DF7A61"/>
    <w:p w14:paraId="3138BF4B" w14:textId="690F67A7" w:rsidR="00DF7A61" w:rsidRDefault="00DF7A61" w:rsidP="00DF7A61"/>
    <w:p w14:paraId="0F084F7B" w14:textId="4CDDE50B" w:rsidR="00DF7A61" w:rsidRDefault="00DF7A61" w:rsidP="00DF7A61"/>
    <w:p w14:paraId="77A8BC25" w14:textId="1F46DFE3" w:rsidR="00DF7A61" w:rsidRDefault="00DF7A61" w:rsidP="00DF7A61"/>
    <w:p w14:paraId="7D07D875" w14:textId="31080E45" w:rsidR="00DF7A61" w:rsidRDefault="00DF7A61" w:rsidP="00DF7A61"/>
    <w:p w14:paraId="1D183A05" w14:textId="45769A32" w:rsidR="00DF7A61" w:rsidRDefault="00DF7A61" w:rsidP="00DF7A61"/>
    <w:p w14:paraId="72065BD5" w14:textId="78FDFB41" w:rsidR="00DF7A61" w:rsidRDefault="00DF7A61" w:rsidP="00DF7A61"/>
    <w:p w14:paraId="429CD6A3" w14:textId="0B392648" w:rsidR="00DF7A61" w:rsidRDefault="00DF7A61" w:rsidP="00DF7A61">
      <w:r w:rsidRPr="00DF7A61">
        <w:rPr>
          <w:noProof/>
        </w:rPr>
        <w:lastRenderedPageBreak/>
        <w:drawing>
          <wp:inline distT="0" distB="0" distL="0" distR="0" wp14:anchorId="19AD074F" wp14:editId="7C27501B">
            <wp:extent cx="5731510" cy="7310681"/>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7310681"/>
                    </a:xfrm>
                    <a:prstGeom prst="rect">
                      <a:avLst/>
                    </a:prstGeom>
                    <a:noFill/>
                    <a:ln>
                      <a:noFill/>
                    </a:ln>
                  </pic:spPr>
                </pic:pic>
              </a:graphicData>
            </a:graphic>
          </wp:inline>
        </w:drawing>
      </w:r>
    </w:p>
    <w:p w14:paraId="2A7E3F0C" w14:textId="3D90E5F7" w:rsidR="00DF7A61" w:rsidRDefault="00DF7A61" w:rsidP="00DF7A61"/>
    <w:p w14:paraId="7AD309B2" w14:textId="0D27F11F" w:rsidR="00DF7A61" w:rsidRDefault="00DF7A61" w:rsidP="00DF7A61"/>
    <w:p w14:paraId="5059E4B0" w14:textId="23A71725" w:rsidR="00DF7A61" w:rsidRDefault="00DF7A61" w:rsidP="00DF7A61"/>
    <w:p w14:paraId="5C2FACCC" w14:textId="2C04FD74" w:rsidR="00DF7A61" w:rsidRDefault="00DF7A61" w:rsidP="00DF7A61"/>
    <w:p w14:paraId="567C21D5" w14:textId="732AC849" w:rsidR="00DF7A61" w:rsidRDefault="00DF7A61" w:rsidP="00DF7A61"/>
    <w:p w14:paraId="4B52858A" w14:textId="37D9E410" w:rsidR="00DF7A61" w:rsidRDefault="00DF7A61" w:rsidP="00DF7A61"/>
    <w:p w14:paraId="3D0F06FD" w14:textId="19C06D04" w:rsidR="00DF7A61" w:rsidRDefault="00FF6B83" w:rsidP="00DF7A61">
      <w:r w:rsidRPr="00FF6B83">
        <w:rPr>
          <w:noProof/>
        </w:rPr>
        <w:lastRenderedPageBreak/>
        <w:drawing>
          <wp:inline distT="0" distB="0" distL="0" distR="0" wp14:anchorId="50197F34" wp14:editId="5D80C60F">
            <wp:extent cx="5615883" cy="12871450"/>
            <wp:effectExtent l="0" t="0" r="4445"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36340" cy="12918337"/>
                    </a:xfrm>
                    <a:prstGeom prst="rect">
                      <a:avLst/>
                    </a:prstGeom>
                    <a:noFill/>
                    <a:ln>
                      <a:noFill/>
                    </a:ln>
                  </pic:spPr>
                </pic:pic>
              </a:graphicData>
            </a:graphic>
          </wp:inline>
        </w:drawing>
      </w:r>
    </w:p>
    <w:p w14:paraId="0622EEA0" w14:textId="504184C5" w:rsidR="00FF6B83" w:rsidRDefault="00FF6B83" w:rsidP="00DF7A61">
      <w:r w:rsidRPr="00FF6B83">
        <w:rPr>
          <w:noProof/>
        </w:rPr>
        <w:lastRenderedPageBreak/>
        <w:drawing>
          <wp:inline distT="0" distB="0" distL="0" distR="0" wp14:anchorId="0219EE69" wp14:editId="3AEC313E">
            <wp:extent cx="5731510" cy="3024725"/>
            <wp:effectExtent l="0" t="0" r="254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024725"/>
                    </a:xfrm>
                    <a:prstGeom prst="rect">
                      <a:avLst/>
                    </a:prstGeom>
                    <a:noFill/>
                    <a:ln>
                      <a:noFill/>
                    </a:ln>
                  </pic:spPr>
                </pic:pic>
              </a:graphicData>
            </a:graphic>
          </wp:inline>
        </w:drawing>
      </w:r>
    </w:p>
    <w:p w14:paraId="1575C610" w14:textId="1229DA96" w:rsidR="00FF6B83" w:rsidRDefault="00FF6B83" w:rsidP="00DF7A61"/>
    <w:p w14:paraId="6AB375C5" w14:textId="01B9F923" w:rsidR="00FF6B83" w:rsidRDefault="00FF6B83" w:rsidP="00DF7A61"/>
    <w:p w14:paraId="56975CC6" w14:textId="07CF0674" w:rsidR="00FF6B83" w:rsidRDefault="00FF6B83" w:rsidP="00DF7A61"/>
    <w:p w14:paraId="2C37578C" w14:textId="622673AB" w:rsidR="00FF6B83" w:rsidRDefault="00FF6B83" w:rsidP="00DF7A61"/>
    <w:p w14:paraId="783050D8" w14:textId="709A539F" w:rsidR="00FF6B83" w:rsidRDefault="00FF6B83" w:rsidP="00DF7A61"/>
    <w:p w14:paraId="6B86DCFE" w14:textId="2FD8DB35" w:rsidR="00FF6B83" w:rsidRDefault="00FF6B83" w:rsidP="00DF7A61"/>
    <w:p w14:paraId="2D5E5F7D" w14:textId="18821315" w:rsidR="00FF6B83" w:rsidRDefault="00FF6B83" w:rsidP="00DF7A61"/>
    <w:p w14:paraId="5122C9D8" w14:textId="3EA64CAB" w:rsidR="00FF6B83" w:rsidRDefault="00FF6B83" w:rsidP="00DF7A61"/>
    <w:p w14:paraId="0CD816DD" w14:textId="58F1CE7C" w:rsidR="00FF6B83" w:rsidRDefault="00FF6B83" w:rsidP="00DF7A61"/>
    <w:p w14:paraId="4F8B5FB6" w14:textId="30E39BD7" w:rsidR="00FF6B83" w:rsidRDefault="00FF6B83" w:rsidP="00DF7A61"/>
    <w:p w14:paraId="26DE4EF7" w14:textId="398814A0" w:rsidR="00FF6B83" w:rsidRDefault="00FF6B83" w:rsidP="00DF7A61"/>
    <w:p w14:paraId="348C0F20" w14:textId="7C2CFFA9" w:rsidR="00FF6B83" w:rsidRDefault="00FF6B83" w:rsidP="00DF7A61"/>
    <w:p w14:paraId="6558E9B5" w14:textId="1F0AB393" w:rsidR="00FF6B83" w:rsidRDefault="00FF6B83" w:rsidP="00DF7A61"/>
    <w:p w14:paraId="7897DAAD" w14:textId="74AD1B9A" w:rsidR="00FF6B83" w:rsidRDefault="00FF6B83" w:rsidP="00DF7A61"/>
    <w:p w14:paraId="3008CD6B" w14:textId="5CBD600E" w:rsidR="00FF6B83" w:rsidRDefault="00FF6B83" w:rsidP="00DF7A61"/>
    <w:p w14:paraId="681ADF49" w14:textId="69F4EA6E" w:rsidR="00FF6B83" w:rsidRDefault="00FF6B83" w:rsidP="00DF7A61"/>
    <w:p w14:paraId="73D261EA" w14:textId="690333AF" w:rsidR="00FF6B83" w:rsidRDefault="00FF6B83" w:rsidP="00DF7A61"/>
    <w:p w14:paraId="3AE2AD25" w14:textId="251945DA" w:rsidR="00FF6B83" w:rsidRDefault="00FF6B83" w:rsidP="00DF7A61"/>
    <w:p w14:paraId="559974C4" w14:textId="7B21625C" w:rsidR="00FF6B83" w:rsidRDefault="00FF6B83" w:rsidP="00DF7A61"/>
    <w:p w14:paraId="4AC7577C" w14:textId="5C7417D2" w:rsidR="00FF6B83" w:rsidRDefault="00FF6B83" w:rsidP="00DF7A61"/>
    <w:p w14:paraId="6CC2C314" w14:textId="4F4E0F0C" w:rsidR="00FF6B83" w:rsidRDefault="00FF6B83" w:rsidP="00DF7A61">
      <w:r w:rsidRPr="00FF6B83">
        <w:rPr>
          <w:noProof/>
        </w:rPr>
        <w:lastRenderedPageBreak/>
        <w:drawing>
          <wp:inline distT="0" distB="0" distL="0" distR="0" wp14:anchorId="779358DF" wp14:editId="4DFA4094">
            <wp:extent cx="5769596" cy="6514303"/>
            <wp:effectExtent l="0" t="0" r="3175"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77662" cy="6523410"/>
                    </a:xfrm>
                    <a:prstGeom prst="rect">
                      <a:avLst/>
                    </a:prstGeom>
                    <a:noFill/>
                    <a:ln>
                      <a:noFill/>
                    </a:ln>
                  </pic:spPr>
                </pic:pic>
              </a:graphicData>
            </a:graphic>
          </wp:inline>
        </w:drawing>
      </w:r>
    </w:p>
    <w:p w14:paraId="7BB60AD2" w14:textId="77777777" w:rsidR="00FF6B83" w:rsidRPr="00DF7A61" w:rsidRDefault="00FF6B83" w:rsidP="00DF7A61"/>
    <w:sectPr w:rsidR="00FF6B83" w:rsidRPr="00DF7A61" w:rsidSect="007D5D0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FE4FF0" w14:textId="77777777" w:rsidR="00421EE7" w:rsidRDefault="00421EE7" w:rsidP="00992693">
      <w:pPr>
        <w:spacing w:after="0" w:line="240" w:lineRule="auto"/>
      </w:pPr>
      <w:r>
        <w:separator/>
      </w:r>
    </w:p>
  </w:endnote>
  <w:endnote w:type="continuationSeparator" w:id="0">
    <w:p w14:paraId="15F40507" w14:textId="77777777" w:rsidR="00421EE7" w:rsidRDefault="00421EE7" w:rsidP="009926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B6E5B0" w14:textId="77777777" w:rsidR="00421EE7" w:rsidRDefault="00421EE7" w:rsidP="00992693">
      <w:pPr>
        <w:spacing w:after="0" w:line="240" w:lineRule="auto"/>
      </w:pPr>
      <w:r>
        <w:separator/>
      </w:r>
    </w:p>
  </w:footnote>
  <w:footnote w:type="continuationSeparator" w:id="0">
    <w:p w14:paraId="3320F643" w14:textId="77777777" w:rsidR="00421EE7" w:rsidRDefault="00421EE7" w:rsidP="009926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9274B7"/>
    <w:multiLevelType w:val="hybridMultilevel"/>
    <w:tmpl w:val="55A894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8A0"/>
    <w:rsid w:val="000026F6"/>
    <w:rsid w:val="00023F29"/>
    <w:rsid w:val="00032E49"/>
    <w:rsid w:val="00033C81"/>
    <w:rsid w:val="000606D2"/>
    <w:rsid w:val="000703F4"/>
    <w:rsid w:val="000741B4"/>
    <w:rsid w:val="00092CDB"/>
    <w:rsid w:val="000B3883"/>
    <w:rsid w:val="000D09CE"/>
    <w:rsid w:val="000D1CBC"/>
    <w:rsid w:val="000E7885"/>
    <w:rsid w:val="001060E7"/>
    <w:rsid w:val="001138D0"/>
    <w:rsid w:val="001157FA"/>
    <w:rsid w:val="00115986"/>
    <w:rsid w:val="00116173"/>
    <w:rsid w:val="001249E0"/>
    <w:rsid w:val="00176976"/>
    <w:rsid w:val="00181A53"/>
    <w:rsid w:val="00185518"/>
    <w:rsid w:val="001A1B59"/>
    <w:rsid w:val="001B1AEF"/>
    <w:rsid w:val="001C6024"/>
    <w:rsid w:val="001E6B2A"/>
    <w:rsid w:val="001F2927"/>
    <w:rsid w:val="00237117"/>
    <w:rsid w:val="00251452"/>
    <w:rsid w:val="002626D8"/>
    <w:rsid w:val="00267BB7"/>
    <w:rsid w:val="002909D1"/>
    <w:rsid w:val="00294F2F"/>
    <w:rsid w:val="002B1A4B"/>
    <w:rsid w:val="002B30C5"/>
    <w:rsid w:val="002D797A"/>
    <w:rsid w:val="002F325C"/>
    <w:rsid w:val="00316452"/>
    <w:rsid w:val="00340097"/>
    <w:rsid w:val="00344F74"/>
    <w:rsid w:val="00354CC0"/>
    <w:rsid w:val="003609BA"/>
    <w:rsid w:val="003614F6"/>
    <w:rsid w:val="00363119"/>
    <w:rsid w:val="00373335"/>
    <w:rsid w:val="003867DA"/>
    <w:rsid w:val="00394B9A"/>
    <w:rsid w:val="003971D1"/>
    <w:rsid w:val="003B3746"/>
    <w:rsid w:val="003C0FD6"/>
    <w:rsid w:val="003C4F72"/>
    <w:rsid w:val="003D5D89"/>
    <w:rsid w:val="003D7303"/>
    <w:rsid w:val="003E361A"/>
    <w:rsid w:val="003F10AB"/>
    <w:rsid w:val="003F4424"/>
    <w:rsid w:val="0040503A"/>
    <w:rsid w:val="00405C06"/>
    <w:rsid w:val="00421EE7"/>
    <w:rsid w:val="00430A5D"/>
    <w:rsid w:val="00442135"/>
    <w:rsid w:val="0044408F"/>
    <w:rsid w:val="0045770B"/>
    <w:rsid w:val="004A6616"/>
    <w:rsid w:val="004B06A3"/>
    <w:rsid w:val="004B0B6D"/>
    <w:rsid w:val="004C2A58"/>
    <w:rsid w:val="004C3BC0"/>
    <w:rsid w:val="004C6171"/>
    <w:rsid w:val="004C6DA9"/>
    <w:rsid w:val="004E65E4"/>
    <w:rsid w:val="004F1F5B"/>
    <w:rsid w:val="004F4902"/>
    <w:rsid w:val="004F51A1"/>
    <w:rsid w:val="005018EC"/>
    <w:rsid w:val="00512F22"/>
    <w:rsid w:val="00520F3F"/>
    <w:rsid w:val="0054119F"/>
    <w:rsid w:val="005411B4"/>
    <w:rsid w:val="00543C84"/>
    <w:rsid w:val="005475A6"/>
    <w:rsid w:val="00547AF7"/>
    <w:rsid w:val="00556A01"/>
    <w:rsid w:val="005758A8"/>
    <w:rsid w:val="00580A0D"/>
    <w:rsid w:val="005857B2"/>
    <w:rsid w:val="005939C8"/>
    <w:rsid w:val="00597CFA"/>
    <w:rsid w:val="005A1592"/>
    <w:rsid w:val="005A6A4D"/>
    <w:rsid w:val="005B44B2"/>
    <w:rsid w:val="0060796F"/>
    <w:rsid w:val="006151EF"/>
    <w:rsid w:val="00624C6C"/>
    <w:rsid w:val="006253AC"/>
    <w:rsid w:val="00687B25"/>
    <w:rsid w:val="006D3144"/>
    <w:rsid w:val="0071014A"/>
    <w:rsid w:val="00711B3F"/>
    <w:rsid w:val="0071541F"/>
    <w:rsid w:val="00720907"/>
    <w:rsid w:val="00736D9D"/>
    <w:rsid w:val="007475C6"/>
    <w:rsid w:val="007523E5"/>
    <w:rsid w:val="00787C21"/>
    <w:rsid w:val="00794812"/>
    <w:rsid w:val="007B4AE8"/>
    <w:rsid w:val="007B532E"/>
    <w:rsid w:val="007C315A"/>
    <w:rsid w:val="007D5D06"/>
    <w:rsid w:val="007F02EF"/>
    <w:rsid w:val="008058B4"/>
    <w:rsid w:val="00812AD5"/>
    <w:rsid w:val="008212CE"/>
    <w:rsid w:val="00832468"/>
    <w:rsid w:val="00835AD5"/>
    <w:rsid w:val="00837D38"/>
    <w:rsid w:val="0084456C"/>
    <w:rsid w:val="00845E5E"/>
    <w:rsid w:val="00871745"/>
    <w:rsid w:val="00877184"/>
    <w:rsid w:val="008B07A8"/>
    <w:rsid w:val="008B6F8D"/>
    <w:rsid w:val="008C0689"/>
    <w:rsid w:val="008D0070"/>
    <w:rsid w:val="008D4FE2"/>
    <w:rsid w:val="008F5BDA"/>
    <w:rsid w:val="00917E58"/>
    <w:rsid w:val="0093271E"/>
    <w:rsid w:val="00934EB1"/>
    <w:rsid w:val="00941FA6"/>
    <w:rsid w:val="00945E29"/>
    <w:rsid w:val="00946188"/>
    <w:rsid w:val="00950868"/>
    <w:rsid w:val="009538A0"/>
    <w:rsid w:val="00970853"/>
    <w:rsid w:val="00972941"/>
    <w:rsid w:val="00992693"/>
    <w:rsid w:val="00994F4C"/>
    <w:rsid w:val="009C07D2"/>
    <w:rsid w:val="009E0C58"/>
    <w:rsid w:val="00A04DFD"/>
    <w:rsid w:val="00A07C86"/>
    <w:rsid w:val="00A31724"/>
    <w:rsid w:val="00A46A5F"/>
    <w:rsid w:val="00A71E0D"/>
    <w:rsid w:val="00A77FD5"/>
    <w:rsid w:val="00AA32FF"/>
    <w:rsid w:val="00AA6C50"/>
    <w:rsid w:val="00AB1196"/>
    <w:rsid w:val="00AB480C"/>
    <w:rsid w:val="00AB53FD"/>
    <w:rsid w:val="00AC3FEA"/>
    <w:rsid w:val="00AE77B9"/>
    <w:rsid w:val="00B07B37"/>
    <w:rsid w:val="00B23A43"/>
    <w:rsid w:val="00B24B4A"/>
    <w:rsid w:val="00B44DB5"/>
    <w:rsid w:val="00B52D4C"/>
    <w:rsid w:val="00B65DDA"/>
    <w:rsid w:val="00B7582A"/>
    <w:rsid w:val="00B76AE6"/>
    <w:rsid w:val="00B82F2D"/>
    <w:rsid w:val="00B90C53"/>
    <w:rsid w:val="00BB7F06"/>
    <w:rsid w:val="00BC378A"/>
    <w:rsid w:val="00BF2119"/>
    <w:rsid w:val="00BF214C"/>
    <w:rsid w:val="00BF3E76"/>
    <w:rsid w:val="00C01C8F"/>
    <w:rsid w:val="00C0354F"/>
    <w:rsid w:val="00C040A2"/>
    <w:rsid w:val="00C04536"/>
    <w:rsid w:val="00C14688"/>
    <w:rsid w:val="00C340BB"/>
    <w:rsid w:val="00C4788B"/>
    <w:rsid w:val="00C52AC9"/>
    <w:rsid w:val="00C61A82"/>
    <w:rsid w:val="00C61D23"/>
    <w:rsid w:val="00C6289C"/>
    <w:rsid w:val="00C807CD"/>
    <w:rsid w:val="00C81661"/>
    <w:rsid w:val="00CB4995"/>
    <w:rsid w:val="00CC68C0"/>
    <w:rsid w:val="00CD1150"/>
    <w:rsid w:val="00CD78B4"/>
    <w:rsid w:val="00CD7B7E"/>
    <w:rsid w:val="00CE4E84"/>
    <w:rsid w:val="00CF028F"/>
    <w:rsid w:val="00CF3DAD"/>
    <w:rsid w:val="00CF6BFD"/>
    <w:rsid w:val="00CF73BC"/>
    <w:rsid w:val="00D002DF"/>
    <w:rsid w:val="00D21EF5"/>
    <w:rsid w:val="00D31146"/>
    <w:rsid w:val="00D42270"/>
    <w:rsid w:val="00D519C0"/>
    <w:rsid w:val="00D52916"/>
    <w:rsid w:val="00D666A1"/>
    <w:rsid w:val="00D710B2"/>
    <w:rsid w:val="00D905FF"/>
    <w:rsid w:val="00D92144"/>
    <w:rsid w:val="00D93EDA"/>
    <w:rsid w:val="00D96C33"/>
    <w:rsid w:val="00DA2112"/>
    <w:rsid w:val="00DA6341"/>
    <w:rsid w:val="00DB5BAE"/>
    <w:rsid w:val="00DB61BF"/>
    <w:rsid w:val="00DC46BF"/>
    <w:rsid w:val="00DC59B6"/>
    <w:rsid w:val="00DD6871"/>
    <w:rsid w:val="00DE0749"/>
    <w:rsid w:val="00DE1804"/>
    <w:rsid w:val="00DF41A3"/>
    <w:rsid w:val="00DF72AA"/>
    <w:rsid w:val="00DF7A61"/>
    <w:rsid w:val="00E04799"/>
    <w:rsid w:val="00E136B8"/>
    <w:rsid w:val="00E27698"/>
    <w:rsid w:val="00E328C1"/>
    <w:rsid w:val="00E52730"/>
    <w:rsid w:val="00E61BCA"/>
    <w:rsid w:val="00E6319B"/>
    <w:rsid w:val="00E76396"/>
    <w:rsid w:val="00EB2A70"/>
    <w:rsid w:val="00EB3E82"/>
    <w:rsid w:val="00EB73F6"/>
    <w:rsid w:val="00EC520A"/>
    <w:rsid w:val="00ED1476"/>
    <w:rsid w:val="00EE3C98"/>
    <w:rsid w:val="00F0163B"/>
    <w:rsid w:val="00F07FE5"/>
    <w:rsid w:val="00F240D7"/>
    <w:rsid w:val="00F30EBA"/>
    <w:rsid w:val="00F31E46"/>
    <w:rsid w:val="00F3416C"/>
    <w:rsid w:val="00F52834"/>
    <w:rsid w:val="00F55134"/>
    <w:rsid w:val="00F620E6"/>
    <w:rsid w:val="00F633D3"/>
    <w:rsid w:val="00F66527"/>
    <w:rsid w:val="00F714ED"/>
    <w:rsid w:val="00F81E44"/>
    <w:rsid w:val="00F95ED5"/>
    <w:rsid w:val="00F96157"/>
    <w:rsid w:val="00F96CE7"/>
    <w:rsid w:val="00FA6AC4"/>
    <w:rsid w:val="00FB7F89"/>
    <w:rsid w:val="00FC025B"/>
    <w:rsid w:val="00FC0B46"/>
    <w:rsid w:val="00FC76DC"/>
    <w:rsid w:val="00FD04A4"/>
    <w:rsid w:val="00FD6972"/>
    <w:rsid w:val="00FD75EC"/>
    <w:rsid w:val="00FE15F0"/>
    <w:rsid w:val="00FE5942"/>
    <w:rsid w:val="00FE60B3"/>
    <w:rsid w:val="00FF2495"/>
    <w:rsid w:val="00FF6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2F783"/>
  <w15:chartTrackingRefBased/>
  <w15:docId w15:val="{840B9F76-E6A6-4CEA-8E12-1057C6973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5D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5D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9269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92693"/>
    <w:rPr>
      <w:sz w:val="20"/>
      <w:szCs w:val="20"/>
    </w:rPr>
  </w:style>
  <w:style w:type="character" w:styleId="FootnoteReference">
    <w:name w:val="footnote reference"/>
    <w:basedOn w:val="DefaultParagraphFont"/>
    <w:uiPriority w:val="99"/>
    <w:semiHidden/>
    <w:unhideWhenUsed/>
    <w:rsid w:val="00992693"/>
    <w:rPr>
      <w:vertAlign w:val="superscript"/>
    </w:rPr>
  </w:style>
  <w:style w:type="paragraph" w:styleId="ListParagraph">
    <w:name w:val="List Paragraph"/>
    <w:basedOn w:val="Normal"/>
    <w:uiPriority w:val="34"/>
    <w:qFormat/>
    <w:rsid w:val="00CD7B7E"/>
    <w:pPr>
      <w:ind w:left="720"/>
      <w:contextualSpacing/>
    </w:pPr>
  </w:style>
  <w:style w:type="character" w:customStyle="1" w:styleId="Heading2Char">
    <w:name w:val="Heading 2 Char"/>
    <w:basedOn w:val="DefaultParagraphFont"/>
    <w:link w:val="Heading2"/>
    <w:uiPriority w:val="9"/>
    <w:rsid w:val="007D5D0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D5D06"/>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7D5D0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5D06"/>
    <w:rPr>
      <w:rFonts w:eastAsiaTheme="minorEastAsia"/>
      <w:lang w:val="en-US"/>
    </w:rPr>
  </w:style>
  <w:style w:type="paragraph" w:styleId="TOCHeading">
    <w:name w:val="TOC Heading"/>
    <w:basedOn w:val="Heading1"/>
    <w:next w:val="Normal"/>
    <w:uiPriority w:val="39"/>
    <w:unhideWhenUsed/>
    <w:qFormat/>
    <w:rsid w:val="007D5D06"/>
    <w:pPr>
      <w:outlineLvl w:val="9"/>
    </w:pPr>
    <w:rPr>
      <w:lang w:val="en-US"/>
    </w:rPr>
  </w:style>
  <w:style w:type="paragraph" w:styleId="TOC1">
    <w:name w:val="toc 1"/>
    <w:basedOn w:val="Normal"/>
    <w:next w:val="Normal"/>
    <w:autoRedefine/>
    <w:uiPriority w:val="39"/>
    <w:unhideWhenUsed/>
    <w:rsid w:val="007D5D06"/>
    <w:pPr>
      <w:spacing w:after="100"/>
    </w:pPr>
  </w:style>
  <w:style w:type="paragraph" w:styleId="TOC2">
    <w:name w:val="toc 2"/>
    <w:basedOn w:val="Normal"/>
    <w:next w:val="Normal"/>
    <w:autoRedefine/>
    <w:uiPriority w:val="39"/>
    <w:unhideWhenUsed/>
    <w:rsid w:val="007D5D06"/>
    <w:pPr>
      <w:spacing w:after="100"/>
      <w:ind w:left="220"/>
    </w:pPr>
  </w:style>
  <w:style w:type="character" w:styleId="Hyperlink">
    <w:name w:val="Hyperlink"/>
    <w:basedOn w:val="DefaultParagraphFont"/>
    <w:uiPriority w:val="99"/>
    <w:unhideWhenUsed/>
    <w:rsid w:val="007D5D06"/>
    <w:rPr>
      <w:color w:val="0563C1" w:themeColor="hyperlink"/>
      <w:u w:val="single"/>
    </w:rPr>
  </w:style>
  <w:style w:type="paragraph" w:styleId="TOC3">
    <w:name w:val="toc 3"/>
    <w:basedOn w:val="Normal"/>
    <w:next w:val="Normal"/>
    <w:autoRedefine/>
    <w:uiPriority w:val="39"/>
    <w:unhideWhenUsed/>
    <w:rsid w:val="00340097"/>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em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emf"/><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E23"/>
    <w:rsid w:val="00032C31"/>
    <w:rsid w:val="007A0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0C5632B9D2D4C3C827D434D2E346DB2">
    <w:name w:val="50C5632B9D2D4C3C827D434D2E346DB2"/>
    <w:rsid w:val="007A0E23"/>
  </w:style>
  <w:style w:type="paragraph" w:customStyle="1" w:styleId="C571EEAC18A04627AE5DDD2614C0804E">
    <w:name w:val="C571EEAC18A04627AE5DDD2614C0804E"/>
    <w:rsid w:val="007A0E23"/>
  </w:style>
  <w:style w:type="paragraph" w:customStyle="1" w:styleId="0513EDC908AB47A2874BB8FD2009AD10">
    <w:name w:val="0513EDC908AB47A2874BB8FD2009AD10"/>
    <w:rsid w:val="007A0E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19ED4E-D3C7-462E-8E48-1042B0EB59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22</Pages>
  <Words>2889</Words>
  <Characters>16470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The significance of the metal silver for exploring interconnections in the Early to Middle Bronze Age (4100-2334 B.C.E) Kingdoms of Lower Mesopotamia (Sumer).</dc:subject>
  <dc:creator>Aubrey Wallbridge-Cool</dc:creator>
  <cp:keywords/>
  <dc:description/>
  <cp:lastModifiedBy>Aubrey</cp:lastModifiedBy>
  <cp:revision>4</cp:revision>
  <dcterms:created xsi:type="dcterms:W3CDTF">2018-04-25T14:52:00Z</dcterms:created>
  <dcterms:modified xsi:type="dcterms:W3CDTF">2018-04-25T16:03:00Z</dcterms:modified>
</cp:coreProperties>
</file>