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03881" w14:textId="77777777" w:rsidR="00D6761D" w:rsidRPr="002809CF" w:rsidRDefault="00D6761D" w:rsidP="00D6761D">
      <w:pPr>
        <w:spacing w:after="200"/>
        <w:ind w:left="720"/>
        <w:rPr>
          <w:sz w:val="32"/>
          <w:szCs w:val="32"/>
        </w:rPr>
      </w:pPr>
      <w:r w:rsidRPr="00352CD9">
        <w:rPr>
          <w:b/>
          <w:bCs/>
          <w:sz w:val="32"/>
          <w:szCs w:val="32"/>
        </w:rPr>
        <w:t>Managing Performance in the Algorithmic Workplace:</w:t>
      </w:r>
    </w:p>
    <w:p w14:paraId="3D648042" w14:textId="77777777" w:rsidR="00D6761D" w:rsidRPr="00352CD9" w:rsidRDefault="00D6761D" w:rsidP="00D6761D">
      <w:pPr>
        <w:spacing w:after="200"/>
        <w:jc w:val="center"/>
        <w:rPr>
          <w:b/>
          <w:bCs/>
          <w:sz w:val="32"/>
          <w:szCs w:val="32"/>
        </w:rPr>
      </w:pPr>
      <w:r w:rsidRPr="00352CD9">
        <w:rPr>
          <w:b/>
          <w:bCs/>
          <w:sz w:val="32"/>
          <w:szCs w:val="32"/>
        </w:rPr>
        <w:t>A Pilot Study of AI-Driven Monitoring, Employee Trust, and Leadership Implication Remote Work Environments</w:t>
      </w:r>
    </w:p>
    <w:p w14:paraId="5399442F" w14:textId="77777777" w:rsidR="00D6761D" w:rsidRPr="00352CD9" w:rsidRDefault="00D6761D" w:rsidP="00D6761D">
      <w:pPr>
        <w:spacing w:after="200"/>
        <w:jc w:val="center"/>
        <w:rPr>
          <w:b/>
          <w:bCs/>
          <w:sz w:val="32"/>
          <w:szCs w:val="32"/>
        </w:rPr>
      </w:pPr>
      <w:r w:rsidRPr="00352CD9">
        <w:rPr>
          <w:b/>
          <w:bCs/>
          <w:sz w:val="32"/>
          <w:szCs w:val="32"/>
        </w:rPr>
        <w:br/>
      </w:r>
      <w:r w:rsidRPr="00352CD9">
        <w:rPr>
          <w:b/>
          <w:bCs/>
          <w:sz w:val="32"/>
          <w:szCs w:val="32"/>
        </w:rPr>
        <w:br/>
        <w:t xml:space="preserve">Module: LCDB7010 </w:t>
      </w:r>
      <w:r>
        <w:rPr>
          <w:b/>
          <w:bCs/>
          <w:sz w:val="32"/>
          <w:szCs w:val="32"/>
        </w:rPr>
        <w:t>-</w:t>
      </w:r>
      <w:r w:rsidRPr="00352CD9">
        <w:rPr>
          <w:b/>
          <w:bCs/>
          <w:sz w:val="32"/>
          <w:szCs w:val="32"/>
        </w:rPr>
        <w:t xml:space="preserve"> Converting Research into Practice</w:t>
      </w:r>
    </w:p>
    <w:p w14:paraId="39D9A19B" w14:textId="77777777" w:rsidR="00D6761D" w:rsidRPr="00352CD9" w:rsidRDefault="00D6761D" w:rsidP="00D6761D">
      <w:pPr>
        <w:spacing w:after="200"/>
        <w:jc w:val="center"/>
        <w:rPr>
          <w:b/>
          <w:bCs/>
          <w:sz w:val="32"/>
          <w:szCs w:val="32"/>
        </w:rPr>
      </w:pPr>
    </w:p>
    <w:p w14:paraId="6D198BAD" w14:textId="77777777" w:rsidR="00D6761D" w:rsidRPr="00352CD9" w:rsidRDefault="00D6761D" w:rsidP="00D6761D">
      <w:pPr>
        <w:spacing w:after="200"/>
        <w:jc w:val="center"/>
        <w:rPr>
          <w:b/>
          <w:bCs/>
          <w:sz w:val="32"/>
          <w:szCs w:val="32"/>
        </w:rPr>
      </w:pPr>
      <w:r w:rsidRPr="00352CD9">
        <w:rPr>
          <w:b/>
          <w:bCs/>
          <w:sz w:val="32"/>
          <w:szCs w:val="32"/>
        </w:rPr>
        <w:br/>
      </w:r>
    </w:p>
    <w:p w14:paraId="081059EC" w14:textId="77777777" w:rsidR="00D6761D" w:rsidRPr="00352CD9" w:rsidRDefault="00D6761D" w:rsidP="00D6761D">
      <w:pPr>
        <w:spacing w:after="200"/>
        <w:jc w:val="center"/>
        <w:rPr>
          <w:b/>
          <w:bCs/>
          <w:sz w:val="32"/>
          <w:szCs w:val="32"/>
        </w:rPr>
      </w:pPr>
      <w:proofErr w:type="spellStart"/>
      <w:r w:rsidRPr="00352CD9">
        <w:rPr>
          <w:b/>
          <w:bCs/>
          <w:sz w:val="32"/>
          <w:szCs w:val="32"/>
        </w:rPr>
        <w:t>Programme</w:t>
      </w:r>
      <w:proofErr w:type="spellEnd"/>
      <w:r w:rsidRPr="00352CD9">
        <w:rPr>
          <w:b/>
          <w:bCs/>
          <w:sz w:val="32"/>
          <w:szCs w:val="32"/>
        </w:rPr>
        <w:t>: DBA</w:t>
      </w:r>
    </w:p>
    <w:p w14:paraId="76565FC3" w14:textId="77777777" w:rsidR="00D6761D" w:rsidRPr="00352CD9" w:rsidRDefault="00D6761D" w:rsidP="00D6761D">
      <w:pPr>
        <w:spacing w:after="200"/>
        <w:jc w:val="center"/>
        <w:rPr>
          <w:b/>
          <w:bCs/>
          <w:sz w:val="32"/>
          <w:szCs w:val="32"/>
        </w:rPr>
      </w:pPr>
    </w:p>
    <w:p w14:paraId="6AA4C269" w14:textId="77777777" w:rsidR="00D6761D" w:rsidRPr="00352CD9" w:rsidRDefault="00D6761D" w:rsidP="00D6761D">
      <w:pPr>
        <w:spacing w:after="200"/>
        <w:jc w:val="center"/>
        <w:rPr>
          <w:b/>
          <w:bCs/>
          <w:sz w:val="32"/>
          <w:szCs w:val="32"/>
        </w:rPr>
      </w:pPr>
      <w:r w:rsidRPr="00352CD9">
        <w:rPr>
          <w:b/>
          <w:bCs/>
          <w:sz w:val="32"/>
          <w:szCs w:val="32"/>
        </w:rPr>
        <w:t xml:space="preserve">Submitted By: </w:t>
      </w:r>
      <w:r w:rsidRPr="00352CD9">
        <w:rPr>
          <w:b/>
          <w:bCs/>
          <w:sz w:val="32"/>
          <w:szCs w:val="32"/>
        </w:rPr>
        <w:br/>
        <w:t>Student Name: Monaf Hossain Fuad</w:t>
      </w:r>
      <w:r w:rsidRPr="00352CD9">
        <w:rPr>
          <w:b/>
          <w:bCs/>
          <w:sz w:val="32"/>
          <w:szCs w:val="32"/>
        </w:rPr>
        <w:br/>
        <w:t>Student ID: 2524463</w:t>
      </w:r>
      <w:r w:rsidRPr="00352CD9">
        <w:rPr>
          <w:b/>
          <w:bCs/>
          <w:sz w:val="32"/>
          <w:szCs w:val="32"/>
        </w:rPr>
        <w:br/>
        <w:t>Term: 2</w:t>
      </w:r>
      <w:r w:rsidRPr="00352CD9">
        <w:rPr>
          <w:b/>
          <w:bCs/>
          <w:sz w:val="32"/>
          <w:szCs w:val="32"/>
        </w:rPr>
        <w:br/>
      </w:r>
    </w:p>
    <w:p w14:paraId="4DC318AD" w14:textId="77777777" w:rsidR="00D6761D" w:rsidRPr="00352CD9" w:rsidRDefault="00D6761D" w:rsidP="00D6761D">
      <w:pPr>
        <w:spacing w:after="200"/>
        <w:jc w:val="center"/>
        <w:rPr>
          <w:b/>
          <w:bCs/>
          <w:sz w:val="32"/>
          <w:szCs w:val="32"/>
        </w:rPr>
      </w:pPr>
      <w:r w:rsidRPr="00352CD9">
        <w:rPr>
          <w:b/>
          <w:bCs/>
          <w:sz w:val="32"/>
          <w:szCs w:val="32"/>
        </w:rPr>
        <w:t xml:space="preserve">Submitted </w:t>
      </w:r>
      <w:proofErr w:type="gramStart"/>
      <w:r w:rsidRPr="00352CD9">
        <w:rPr>
          <w:b/>
          <w:bCs/>
          <w:sz w:val="32"/>
          <w:szCs w:val="32"/>
        </w:rPr>
        <w:t>To :</w:t>
      </w:r>
      <w:proofErr w:type="gramEnd"/>
    </w:p>
    <w:p w14:paraId="50967937" w14:textId="77777777" w:rsidR="00D6761D" w:rsidRPr="00352CD9" w:rsidRDefault="00D6761D" w:rsidP="00D6761D">
      <w:pPr>
        <w:spacing w:after="200"/>
        <w:jc w:val="center"/>
      </w:pPr>
      <w:r w:rsidRPr="00352CD9">
        <w:rPr>
          <w:noProof/>
          <w:sz w:val="32"/>
          <w:szCs w:val="32"/>
        </w:rPr>
        <w:drawing>
          <wp:anchor distT="0" distB="0" distL="114300" distR="114300" simplePos="0" relativeHeight="251659264" behindDoc="0" locked="0" layoutInCell="1" allowOverlap="1" wp14:anchorId="07E89276" wp14:editId="004769E0">
            <wp:simplePos x="0" y="0"/>
            <wp:positionH relativeFrom="margin">
              <wp:align>center</wp:align>
            </wp:positionH>
            <wp:positionV relativeFrom="paragraph">
              <wp:posOffset>798195</wp:posOffset>
            </wp:positionV>
            <wp:extent cx="3557905" cy="1485900"/>
            <wp:effectExtent l="0" t="0" r="4445" b="0"/>
            <wp:wrapNone/>
            <wp:docPr id="916010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57905" cy="1485900"/>
                    </a:xfrm>
                    <a:prstGeom prst="rect">
                      <a:avLst/>
                    </a:prstGeom>
                    <a:noFill/>
                  </pic:spPr>
                </pic:pic>
              </a:graphicData>
            </a:graphic>
            <wp14:sizeRelH relativeFrom="page">
              <wp14:pctWidth>0</wp14:pctWidth>
            </wp14:sizeRelH>
            <wp14:sizeRelV relativeFrom="page">
              <wp14:pctHeight>0</wp14:pctHeight>
            </wp14:sizeRelV>
          </wp:anchor>
        </w:drawing>
      </w:r>
      <w:r w:rsidRPr="00352CD9">
        <w:rPr>
          <w:b/>
          <w:bCs/>
          <w:sz w:val="32"/>
          <w:szCs w:val="32"/>
        </w:rPr>
        <w:t>Prof. Dr Eno Maycock</w:t>
      </w:r>
      <w:r w:rsidRPr="00352CD9">
        <w:rPr>
          <w:b/>
          <w:bCs/>
          <w:sz w:val="32"/>
          <w:szCs w:val="32"/>
        </w:rPr>
        <w:br/>
        <w:t>Submission Date: 31 July 2026</w:t>
      </w:r>
      <w:r w:rsidRPr="00352CD9">
        <w:br/>
      </w:r>
    </w:p>
    <w:p w14:paraId="37B5210D" w14:textId="77777777" w:rsidR="00D6761D" w:rsidRDefault="00D6761D" w:rsidP="00D6761D">
      <w:pPr>
        <w:spacing w:after="200"/>
        <w:rPr>
          <w:b/>
          <w:bCs/>
        </w:rPr>
      </w:pPr>
    </w:p>
    <w:p w14:paraId="3AC1C30B" w14:textId="77777777" w:rsidR="00D6761D" w:rsidRDefault="00D6761D" w:rsidP="00D6761D">
      <w:pPr>
        <w:spacing w:after="200"/>
        <w:rPr>
          <w:b/>
          <w:bCs/>
        </w:rPr>
      </w:pPr>
    </w:p>
    <w:p w14:paraId="3664563D" w14:textId="77777777" w:rsidR="00D6761D" w:rsidRDefault="00D6761D" w:rsidP="00D6761D">
      <w:pPr>
        <w:spacing w:after="200"/>
        <w:rPr>
          <w:b/>
          <w:bCs/>
        </w:rPr>
      </w:pPr>
    </w:p>
    <w:p w14:paraId="424D2273" w14:textId="77777777" w:rsidR="00D6761D" w:rsidRDefault="00D6761D" w:rsidP="00D6761D">
      <w:pPr>
        <w:spacing w:after="200"/>
        <w:rPr>
          <w:b/>
          <w:bCs/>
        </w:rPr>
      </w:pPr>
    </w:p>
    <w:p w14:paraId="242F69C6" w14:textId="77777777" w:rsidR="00D6761D" w:rsidRDefault="00D6761D" w:rsidP="00D6761D">
      <w:pPr>
        <w:spacing w:after="200"/>
        <w:rPr>
          <w:b/>
          <w:bCs/>
        </w:rPr>
      </w:pPr>
    </w:p>
    <w:p w14:paraId="49F99C28" w14:textId="77777777" w:rsidR="00D6761D" w:rsidRDefault="00D6761D" w:rsidP="00D6761D">
      <w:pPr>
        <w:spacing w:after="200"/>
        <w:rPr>
          <w:b/>
          <w:bCs/>
        </w:rPr>
      </w:pPr>
    </w:p>
    <w:p w14:paraId="0DAE0959" w14:textId="6D3E3DA7" w:rsidR="0079599A" w:rsidRDefault="0079599A"/>
    <w:p w14:paraId="551A7A2D" w14:textId="77777777" w:rsidR="00D6761D" w:rsidRDefault="00D6761D"/>
    <w:p w14:paraId="3FF10A57" w14:textId="77777777" w:rsidR="00D6761D" w:rsidRDefault="00D6761D"/>
    <w:p w14:paraId="68700861" w14:textId="77777777" w:rsidR="00D6761D" w:rsidRDefault="00D6761D"/>
    <w:p w14:paraId="35956D47" w14:textId="77777777" w:rsidR="00D6761D" w:rsidRDefault="00D6761D"/>
    <w:p w14:paraId="38448CE2" w14:textId="77777777" w:rsidR="00D6761D" w:rsidRDefault="00D6761D"/>
    <w:p w14:paraId="27E311D4" w14:textId="77777777" w:rsidR="00D6761D" w:rsidRDefault="00D6761D"/>
    <w:p w14:paraId="39DB0E34" w14:textId="77777777" w:rsidR="00D6761D" w:rsidRDefault="00D6761D"/>
    <w:p w14:paraId="0DAE095A" w14:textId="77777777" w:rsidR="0079599A" w:rsidRDefault="005D4C3C">
      <w:pPr>
        <w:spacing w:before="100" w:after="280"/>
        <w:jc w:val="center"/>
      </w:pPr>
      <w:r>
        <w:rPr>
          <w:b/>
          <w:bCs/>
          <w:color w:val="000000"/>
          <w:sz w:val="28"/>
          <w:szCs w:val="28"/>
        </w:rPr>
        <w:lastRenderedPageBreak/>
        <w:t>PART 1: ACADEMIC JOURNAL ARTICLE</w:t>
      </w:r>
    </w:p>
    <w:p w14:paraId="0DAE095B" w14:textId="77777777" w:rsidR="0079599A" w:rsidRDefault="005D4C3C">
      <w:pPr>
        <w:pStyle w:val="Heading1"/>
        <w:spacing w:before="360" w:after="180"/>
      </w:pPr>
      <w:r>
        <w:rPr>
          <w:b/>
          <w:bCs/>
          <w:color w:val="000000"/>
          <w:sz w:val="28"/>
          <w:szCs w:val="28"/>
        </w:rPr>
        <w:t>1. Introduction and Background</w:t>
      </w:r>
    </w:p>
    <w:p w14:paraId="0DAE095C" w14:textId="77777777" w:rsidR="0079599A" w:rsidRDefault="005D4C3C">
      <w:pPr>
        <w:spacing w:after="200" w:line="360" w:lineRule="auto"/>
        <w:jc w:val="both"/>
      </w:pPr>
      <w:r>
        <w:rPr>
          <w:color w:val="000000"/>
          <w:sz w:val="24"/>
          <w:szCs w:val="24"/>
        </w:rPr>
        <w:t xml:space="preserve">Over the past decade, the way we work has changed dramatically. What started as a gradual move towards flexible working arrangements was accelerated enormously by the COVID-19 pandemic, which pushed millions of employees into remote work almost overnight. Today, remote and hybrid working are no longer temporary arrangements. They have become a permanent part of how many </w:t>
      </w:r>
      <w:proofErr w:type="spellStart"/>
      <w:r>
        <w:rPr>
          <w:color w:val="000000"/>
          <w:sz w:val="24"/>
          <w:szCs w:val="24"/>
        </w:rPr>
        <w:t>organisations</w:t>
      </w:r>
      <w:proofErr w:type="spellEnd"/>
      <w:r>
        <w:rPr>
          <w:color w:val="000000"/>
          <w:sz w:val="24"/>
          <w:szCs w:val="24"/>
        </w:rPr>
        <w:t xml:space="preserve"> operate (Ferrara et al., 2022).</w:t>
      </w:r>
    </w:p>
    <w:p w14:paraId="0DAE095D" w14:textId="77777777" w:rsidR="0079599A" w:rsidRDefault="005D4C3C">
      <w:pPr>
        <w:spacing w:after="200" w:line="360" w:lineRule="auto"/>
        <w:jc w:val="both"/>
      </w:pPr>
      <w:r>
        <w:rPr>
          <w:color w:val="000000"/>
          <w:sz w:val="24"/>
          <w:szCs w:val="24"/>
        </w:rPr>
        <w:t xml:space="preserve">This shift has created a real and pressing challenge for managers. In a traditional office, managers could observe their teams directly, pick up on informal signals, and develop an intuitive sense of how people were performing. Working remotely removes much of that visibility. In response, many </w:t>
      </w:r>
      <w:proofErr w:type="spellStart"/>
      <w:r>
        <w:rPr>
          <w:color w:val="000000"/>
          <w:sz w:val="24"/>
          <w:szCs w:val="24"/>
        </w:rPr>
        <w:t>organisations</w:t>
      </w:r>
      <w:proofErr w:type="spellEnd"/>
      <w:r>
        <w:rPr>
          <w:color w:val="000000"/>
          <w:sz w:val="24"/>
          <w:szCs w:val="24"/>
        </w:rPr>
        <w:t xml:space="preserve"> have turned to Artificial Intelligence (AI) and automated performance management systems. These tools use machine learning and data analytics to track outputs in real time, monitor digital activity, mea</w:t>
      </w:r>
      <w:r>
        <w:rPr>
          <w:color w:val="000000"/>
          <w:sz w:val="24"/>
          <w:szCs w:val="24"/>
        </w:rPr>
        <w:t xml:space="preserve">sure keystrokes and mouse movements, </w:t>
      </w:r>
      <w:proofErr w:type="spellStart"/>
      <w:r>
        <w:rPr>
          <w:color w:val="000000"/>
          <w:sz w:val="24"/>
          <w:szCs w:val="24"/>
        </w:rPr>
        <w:t>analyse</w:t>
      </w:r>
      <w:proofErr w:type="spellEnd"/>
      <w:r>
        <w:rPr>
          <w:color w:val="000000"/>
          <w:sz w:val="24"/>
          <w:szCs w:val="24"/>
        </w:rPr>
        <w:t xml:space="preserve"> email patterns, and generate automated productivity scores for remote workers (Bakewell et al., 2018; Donnelly and Johns, 2021).</w:t>
      </w:r>
    </w:p>
    <w:p w14:paraId="0DAE095E" w14:textId="77777777" w:rsidR="0079599A" w:rsidRDefault="005D4C3C">
      <w:pPr>
        <w:spacing w:after="200" w:line="360" w:lineRule="auto"/>
        <w:jc w:val="both"/>
      </w:pPr>
      <w:r>
        <w:rPr>
          <w:color w:val="000000"/>
          <w:sz w:val="24"/>
          <w:szCs w:val="24"/>
        </w:rPr>
        <w:t>The potential benefits of these tools are significant and well-documented. AI-enabled performance management systems offer evaluative consistency across distributed teams, a reduction in the subjective and unconscious bias that can distort human judgements, faster and more frequent feedback cycles than traditional annual appraisals allow, and a foundation for evidence-based decision-making in human resource management (Gusti et al., 2024; Calvo, 2013). For HR professionals managing performance across multip</w:t>
      </w:r>
      <w:r>
        <w:rPr>
          <w:color w:val="000000"/>
          <w:sz w:val="24"/>
          <w:szCs w:val="24"/>
        </w:rPr>
        <w:t>le locations and time zones, these are genuinely valuable capabilities.</w:t>
      </w:r>
    </w:p>
    <w:p w14:paraId="0DAE095F" w14:textId="77777777" w:rsidR="0079599A" w:rsidRDefault="005D4C3C">
      <w:pPr>
        <w:spacing w:after="200" w:line="360" w:lineRule="auto"/>
        <w:jc w:val="both"/>
      </w:pPr>
      <w:r>
        <w:rPr>
          <w:color w:val="000000"/>
          <w:sz w:val="24"/>
          <w:szCs w:val="24"/>
        </w:rPr>
        <w:t xml:space="preserve">At the same time, the potential risks are equally well-documented and should not be </w:t>
      </w:r>
      <w:proofErr w:type="spellStart"/>
      <w:r>
        <w:rPr>
          <w:color w:val="000000"/>
          <w:sz w:val="24"/>
          <w:szCs w:val="24"/>
        </w:rPr>
        <w:t>minimised</w:t>
      </w:r>
      <w:proofErr w:type="spellEnd"/>
      <w:r>
        <w:rPr>
          <w:color w:val="000000"/>
          <w:sz w:val="24"/>
          <w:szCs w:val="24"/>
        </w:rPr>
        <w:t xml:space="preserve">. Intensive algorithmic monitoring has been associated with pervasive surveillance cultures, a significant reduction in employee autonomy, and patterns of evaluation that employees frequently experience as unfair or incomplete (Toscano and Zappala, 2021; Kowalski and </w:t>
      </w:r>
      <w:proofErr w:type="spellStart"/>
      <w:r>
        <w:rPr>
          <w:color w:val="000000"/>
          <w:sz w:val="24"/>
          <w:szCs w:val="24"/>
        </w:rPr>
        <w:t>Slebarska</w:t>
      </w:r>
      <w:proofErr w:type="spellEnd"/>
      <w:r>
        <w:rPr>
          <w:color w:val="000000"/>
          <w:sz w:val="24"/>
          <w:szCs w:val="24"/>
        </w:rPr>
        <w:t>, 2022). Remote workers consistently report that automated evaluations miss the most meaningful dimensions of their professional contribution. When performance is reduced to a set of digital metrics, the psychological contract between employer and employee can be seriously undermined (Ferrara et al., 2022; Radu et al., 2023).</w:t>
      </w:r>
    </w:p>
    <w:p w14:paraId="0DAE0960" w14:textId="77777777" w:rsidR="0079599A" w:rsidRDefault="005D4C3C">
      <w:pPr>
        <w:spacing w:after="200" w:line="360" w:lineRule="auto"/>
        <w:jc w:val="both"/>
      </w:pPr>
      <w:r>
        <w:rPr>
          <w:color w:val="000000"/>
          <w:sz w:val="24"/>
          <w:szCs w:val="24"/>
        </w:rPr>
        <w:lastRenderedPageBreak/>
        <w:t xml:space="preserve">Academic research on AI-driven performance management is growing but remains insufficiently developed in three critical respects. First, existing studies remain fragmented across human resource management, information systems, and </w:t>
      </w:r>
      <w:proofErr w:type="spellStart"/>
      <w:r>
        <w:rPr>
          <w:color w:val="000000"/>
          <w:sz w:val="24"/>
          <w:szCs w:val="24"/>
        </w:rPr>
        <w:t>organisational</w:t>
      </w:r>
      <w:proofErr w:type="spellEnd"/>
      <w:r>
        <w:rPr>
          <w:color w:val="000000"/>
          <w:sz w:val="24"/>
          <w:szCs w:val="24"/>
        </w:rPr>
        <w:t xml:space="preserve"> psychology, with few attempts to </w:t>
      </w:r>
      <w:proofErr w:type="spellStart"/>
      <w:r>
        <w:rPr>
          <w:color w:val="000000"/>
          <w:sz w:val="24"/>
          <w:szCs w:val="24"/>
        </w:rPr>
        <w:t>synthesise</w:t>
      </w:r>
      <w:proofErr w:type="spellEnd"/>
      <w:r>
        <w:rPr>
          <w:color w:val="000000"/>
          <w:sz w:val="24"/>
          <w:szCs w:val="24"/>
        </w:rPr>
        <w:t xml:space="preserve"> these perspectives into a coherent governance framework (Mabaso and Manuel, 2024). Second, the literature presents contradictory findings: whilst proponents document efficiency and consistency gains from AI monitoring (Gus</w:t>
      </w:r>
      <w:r>
        <w:rPr>
          <w:color w:val="000000"/>
          <w:sz w:val="24"/>
          <w:szCs w:val="24"/>
        </w:rPr>
        <w:t xml:space="preserve">ti et al., 2024; </w:t>
      </w:r>
      <w:proofErr w:type="spellStart"/>
      <w:r>
        <w:rPr>
          <w:color w:val="000000"/>
          <w:sz w:val="24"/>
          <w:szCs w:val="24"/>
        </w:rPr>
        <w:t>Tummalapalli</w:t>
      </w:r>
      <w:proofErr w:type="spellEnd"/>
      <w:r>
        <w:rPr>
          <w:color w:val="000000"/>
          <w:sz w:val="24"/>
          <w:szCs w:val="24"/>
        </w:rPr>
        <w:t xml:space="preserve"> et al., 2025), critical scholars document systematic erosion of trust, autonomy, and psychological safety (Donnelly and Johns, 2021; Ferrara et al., 2022). These contradictory findings have not been adequately reconciled, and the conditions under which positive outcomes prevail over negative ones remain theoretically underspecified. Third, previous studies have framed the governance question as a binary choice between humanistic management and technological surveillance, which </w:t>
      </w:r>
      <w:r>
        <w:rPr>
          <w:color w:val="000000"/>
          <w:sz w:val="24"/>
          <w:szCs w:val="24"/>
        </w:rPr>
        <w:t xml:space="preserve">is too blunt an instrument for practitioners who must navigate both simultaneously. This study advances current understanding by </w:t>
      </w:r>
      <w:proofErr w:type="spellStart"/>
      <w:r>
        <w:rPr>
          <w:color w:val="000000"/>
          <w:sz w:val="24"/>
          <w:szCs w:val="24"/>
        </w:rPr>
        <w:t>synthesising</w:t>
      </w:r>
      <w:proofErr w:type="spellEnd"/>
      <w:r>
        <w:rPr>
          <w:color w:val="000000"/>
          <w:sz w:val="24"/>
          <w:szCs w:val="24"/>
        </w:rPr>
        <w:t xml:space="preserve"> these contradictory perspectives within an integrated theoretical framework capable of generating actionable governance guidance.</w:t>
      </w:r>
    </w:p>
    <w:p w14:paraId="0DAE0961" w14:textId="77777777" w:rsidR="0079599A" w:rsidRDefault="005D4C3C">
      <w:pPr>
        <w:spacing w:after="200" w:line="360" w:lineRule="auto"/>
        <w:jc w:val="both"/>
      </w:pPr>
      <w:r>
        <w:rPr>
          <w:color w:val="000000"/>
          <w:sz w:val="24"/>
          <w:szCs w:val="24"/>
        </w:rPr>
        <w:t xml:space="preserve">The challenge is not whether AI should be used in performance management. The evidence suggests it offers genuine </w:t>
      </w:r>
      <w:proofErr w:type="spellStart"/>
      <w:r>
        <w:rPr>
          <w:color w:val="000000"/>
          <w:sz w:val="24"/>
          <w:szCs w:val="24"/>
        </w:rPr>
        <w:t>organisational</w:t>
      </w:r>
      <w:proofErr w:type="spellEnd"/>
      <w:r>
        <w:rPr>
          <w:color w:val="000000"/>
          <w:sz w:val="24"/>
          <w:szCs w:val="24"/>
        </w:rPr>
        <w:t xml:space="preserve"> value when governed effectively. The challenge is how </w:t>
      </w:r>
      <w:proofErr w:type="spellStart"/>
      <w:r>
        <w:rPr>
          <w:color w:val="000000"/>
          <w:sz w:val="24"/>
          <w:szCs w:val="24"/>
        </w:rPr>
        <w:t>organisations</w:t>
      </w:r>
      <w:proofErr w:type="spellEnd"/>
      <w:r>
        <w:rPr>
          <w:color w:val="000000"/>
          <w:sz w:val="24"/>
          <w:szCs w:val="24"/>
        </w:rPr>
        <w:t xml:space="preserve"> can govern AI-enabled performance management in ways that preserve its efficiency benefits whilst protecting the human conditions upon which sustainable performance depends. This is the central management question this study addresses.</w:t>
      </w:r>
    </w:p>
    <w:p w14:paraId="0DAE0962" w14:textId="77777777" w:rsidR="0079599A" w:rsidRDefault="005D4C3C">
      <w:pPr>
        <w:spacing w:after="200" w:line="360" w:lineRule="auto"/>
        <w:jc w:val="both"/>
      </w:pPr>
      <w:r>
        <w:rPr>
          <w:color w:val="000000"/>
          <w:sz w:val="24"/>
          <w:szCs w:val="24"/>
        </w:rPr>
        <w:t xml:space="preserve">This pilot study contributes to answering that question through a systematic document analysis of large-scale industry research, interpreted through an integrated theoretical framework drawn from strategic human resource management, </w:t>
      </w:r>
      <w:proofErr w:type="spellStart"/>
      <w:r>
        <w:rPr>
          <w:color w:val="000000"/>
          <w:sz w:val="24"/>
          <w:szCs w:val="24"/>
        </w:rPr>
        <w:t>organisational</w:t>
      </w:r>
      <w:proofErr w:type="spellEnd"/>
      <w:r>
        <w:rPr>
          <w:color w:val="000000"/>
          <w:sz w:val="24"/>
          <w:szCs w:val="24"/>
        </w:rPr>
        <w:t xml:space="preserve"> </w:t>
      </w:r>
      <w:proofErr w:type="spellStart"/>
      <w:r>
        <w:rPr>
          <w:color w:val="000000"/>
          <w:sz w:val="24"/>
          <w:szCs w:val="24"/>
        </w:rPr>
        <w:t>behaviour</w:t>
      </w:r>
      <w:proofErr w:type="spellEnd"/>
      <w:r>
        <w:rPr>
          <w:color w:val="000000"/>
          <w:sz w:val="24"/>
          <w:szCs w:val="24"/>
        </w:rPr>
        <w:t>, and management theory.</w:t>
      </w:r>
    </w:p>
    <w:p w14:paraId="0DAE0963" w14:textId="77777777" w:rsidR="0079599A" w:rsidRDefault="005D4C3C">
      <w:pPr>
        <w:pStyle w:val="Heading1"/>
        <w:spacing w:before="360" w:after="180"/>
      </w:pPr>
      <w:r>
        <w:rPr>
          <w:b/>
          <w:bCs/>
          <w:color w:val="000000"/>
          <w:sz w:val="28"/>
          <w:szCs w:val="28"/>
        </w:rPr>
        <w:t>2. Research Aim, Objectives, and Questions</w:t>
      </w:r>
    </w:p>
    <w:p w14:paraId="0DAE0964" w14:textId="77777777" w:rsidR="0079599A" w:rsidRDefault="005D4C3C">
      <w:pPr>
        <w:pStyle w:val="Heading2"/>
        <w:spacing w:before="280" w:after="140"/>
      </w:pPr>
      <w:r>
        <w:rPr>
          <w:b/>
          <w:bCs/>
          <w:color w:val="000000"/>
          <w:sz w:val="28"/>
          <w:szCs w:val="28"/>
        </w:rPr>
        <w:t>2.1 Research Aim</w:t>
      </w:r>
    </w:p>
    <w:p w14:paraId="0DAE0965" w14:textId="77777777" w:rsidR="0079599A" w:rsidRDefault="005D4C3C">
      <w:pPr>
        <w:spacing w:after="200" w:line="360" w:lineRule="auto"/>
        <w:jc w:val="both"/>
      </w:pPr>
      <w:r>
        <w:rPr>
          <w:color w:val="000000"/>
          <w:sz w:val="24"/>
          <w:szCs w:val="24"/>
        </w:rPr>
        <w:t xml:space="preserve">The primary aim of this study is to conduct a rigorous and systematic review of academic and practitioner evidence on AI-driven performance management in remote and hybrid work environments. The research seeks to identify the specific </w:t>
      </w:r>
      <w:proofErr w:type="spellStart"/>
      <w:r>
        <w:rPr>
          <w:color w:val="000000"/>
          <w:sz w:val="24"/>
          <w:szCs w:val="24"/>
        </w:rPr>
        <w:t>organisational</w:t>
      </w:r>
      <w:proofErr w:type="spellEnd"/>
      <w:r>
        <w:rPr>
          <w:color w:val="000000"/>
          <w:sz w:val="24"/>
          <w:szCs w:val="24"/>
        </w:rPr>
        <w:t xml:space="preserve"> conditions under which AI-enabled performance management supports rather than undermines employee engagement </w:t>
      </w:r>
      <w:r>
        <w:rPr>
          <w:color w:val="000000"/>
          <w:sz w:val="24"/>
          <w:szCs w:val="24"/>
        </w:rPr>
        <w:lastRenderedPageBreak/>
        <w:t xml:space="preserve">and </w:t>
      </w:r>
      <w:proofErr w:type="spellStart"/>
      <w:r>
        <w:rPr>
          <w:color w:val="000000"/>
          <w:sz w:val="24"/>
          <w:szCs w:val="24"/>
        </w:rPr>
        <w:t>organisational</w:t>
      </w:r>
      <w:proofErr w:type="spellEnd"/>
      <w:r>
        <w:rPr>
          <w:color w:val="000000"/>
          <w:sz w:val="24"/>
          <w:szCs w:val="24"/>
        </w:rPr>
        <w:t xml:space="preserve"> effectiveness, and to advance both management theory and practice in this rapidly evolving area.</w:t>
      </w:r>
    </w:p>
    <w:p w14:paraId="0DAE0966" w14:textId="77777777" w:rsidR="0079599A" w:rsidRDefault="005D4C3C">
      <w:pPr>
        <w:pStyle w:val="Heading2"/>
        <w:spacing w:before="280" w:after="140"/>
      </w:pPr>
      <w:r>
        <w:rPr>
          <w:b/>
          <w:bCs/>
          <w:color w:val="000000"/>
          <w:sz w:val="28"/>
          <w:szCs w:val="28"/>
        </w:rPr>
        <w:t>2.2 Research Objectives</w:t>
      </w:r>
    </w:p>
    <w:p w14:paraId="0DAE0967" w14:textId="77777777" w:rsidR="0079599A" w:rsidRDefault="005D4C3C">
      <w:pPr>
        <w:spacing w:after="200" w:line="360" w:lineRule="auto"/>
        <w:jc w:val="both"/>
      </w:pPr>
      <w:r>
        <w:rPr>
          <w:color w:val="000000"/>
          <w:sz w:val="24"/>
          <w:szCs w:val="24"/>
        </w:rPr>
        <w:t>Four objectives guide this study:</w:t>
      </w:r>
    </w:p>
    <w:p w14:paraId="0DAE0968" w14:textId="77777777" w:rsidR="0079599A" w:rsidRDefault="005D4C3C">
      <w:pPr>
        <w:spacing w:after="160" w:line="360" w:lineRule="auto"/>
        <w:ind w:left="400"/>
        <w:jc w:val="both"/>
      </w:pPr>
      <w:r>
        <w:rPr>
          <w:b/>
          <w:bCs/>
          <w:color w:val="000000"/>
          <w:sz w:val="24"/>
          <w:szCs w:val="24"/>
        </w:rPr>
        <w:t xml:space="preserve">1.  </w:t>
      </w:r>
      <w:r>
        <w:rPr>
          <w:color w:val="000000"/>
          <w:sz w:val="24"/>
          <w:szCs w:val="24"/>
        </w:rPr>
        <w:t>To identify and classify the types, data metrics, and capabilities of AI-driven performance monitoring systems currently documented in the literature on remote and hybrid work environments.</w:t>
      </w:r>
    </w:p>
    <w:p w14:paraId="0DAE0969" w14:textId="77777777" w:rsidR="0079599A" w:rsidRDefault="005D4C3C">
      <w:pPr>
        <w:spacing w:after="160" w:line="360" w:lineRule="auto"/>
        <w:ind w:left="400"/>
        <w:jc w:val="both"/>
      </w:pPr>
      <w:r>
        <w:rPr>
          <w:b/>
          <w:bCs/>
          <w:color w:val="000000"/>
          <w:sz w:val="24"/>
          <w:szCs w:val="24"/>
        </w:rPr>
        <w:t xml:space="preserve">2.  </w:t>
      </w:r>
      <w:r>
        <w:rPr>
          <w:color w:val="000000"/>
          <w:sz w:val="24"/>
          <w:szCs w:val="24"/>
        </w:rPr>
        <w:t xml:space="preserve">To </w:t>
      </w:r>
      <w:proofErr w:type="spellStart"/>
      <w:r>
        <w:rPr>
          <w:color w:val="000000"/>
          <w:sz w:val="24"/>
          <w:szCs w:val="24"/>
        </w:rPr>
        <w:t>synthesise</w:t>
      </w:r>
      <w:proofErr w:type="spellEnd"/>
      <w:r>
        <w:rPr>
          <w:color w:val="000000"/>
          <w:sz w:val="24"/>
          <w:szCs w:val="24"/>
        </w:rPr>
        <w:t xml:space="preserve"> evidence from both academic and practitioner sources on how remote employees experience automated performance evaluation, with a specific focus on trust, fairness, and the psychological contract.</w:t>
      </w:r>
    </w:p>
    <w:p w14:paraId="0DAE096A" w14:textId="77777777" w:rsidR="0079599A" w:rsidRDefault="005D4C3C">
      <w:pPr>
        <w:spacing w:after="160" w:line="360" w:lineRule="auto"/>
        <w:ind w:left="400"/>
        <w:jc w:val="both"/>
      </w:pPr>
      <w:r>
        <w:rPr>
          <w:b/>
          <w:bCs/>
          <w:color w:val="000000"/>
          <w:sz w:val="24"/>
          <w:szCs w:val="24"/>
        </w:rPr>
        <w:t xml:space="preserve">3.  </w:t>
      </w:r>
      <w:r>
        <w:rPr>
          <w:color w:val="000000"/>
          <w:sz w:val="24"/>
          <w:szCs w:val="24"/>
        </w:rPr>
        <w:t xml:space="preserve">To examine how line managers use AI-generated performance data in practice, and how this shapes leadership </w:t>
      </w:r>
      <w:proofErr w:type="spellStart"/>
      <w:r>
        <w:rPr>
          <w:color w:val="000000"/>
          <w:sz w:val="24"/>
          <w:szCs w:val="24"/>
        </w:rPr>
        <w:t>behaviour</w:t>
      </w:r>
      <w:proofErr w:type="spellEnd"/>
      <w:r>
        <w:rPr>
          <w:color w:val="000000"/>
          <w:sz w:val="24"/>
          <w:szCs w:val="24"/>
        </w:rPr>
        <w:t xml:space="preserve"> and the quality of manager-employee relationships.</w:t>
      </w:r>
    </w:p>
    <w:p w14:paraId="0DAE096B" w14:textId="77777777" w:rsidR="0079599A" w:rsidRDefault="005D4C3C">
      <w:pPr>
        <w:spacing w:after="160" w:line="360" w:lineRule="auto"/>
        <w:ind w:left="400"/>
        <w:jc w:val="both"/>
      </w:pPr>
      <w:r>
        <w:rPr>
          <w:b/>
          <w:bCs/>
          <w:color w:val="000000"/>
          <w:sz w:val="24"/>
          <w:szCs w:val="24"/>
        </w:rPr>
        <w:t xml:space="preserve">4.  </w:t>
      </w:r>
      <w:r>
        <w:rPr>
          <w:color w:val="000000"/>
          <w:sz w:val="24"/>
          <w:szCs w:val="24"/>
        </w:rPr>
        <w:t xml:space="preserve">To identify the specific </w:t>
      </w:r>
      <w:proofErr w:type="spellStart"/>
      <w:r>
        <w:rPr>
          <w:color w:val="000000"/>
          <w:sz w:val="24"/>
          <w:szCs w:val="24"/>
        </w:rPr>
        <w:t>organisational</w:t>
      </w:r>
      <w:proofErr w:type="spellEnd"/>
      <w:r>
        <w:rPr>
          <w:color w:val="000000"/>
          <w:sz w:val="24"/>
          <w:szCs w:val="24"/>
        </w:rPr>
        <w:t xml:space="preserve"> conditions under which AI-enabled performance management supports rather than undermines employee engagement and </w:t>
      </w:r>
      <w:proofErr w:type="spellStart"/>
      <w:r>
        <w:rPr>
          <w:color w:val="000000"/>
          <w:sz w:val="24"/>
          <w:szCs w:val="24"/>
        </w:rPr>
        <w:t>organisational</w:t>
      </w:r>
      <w:proofErr w:type="spellEnd"/>
      <w:r>
        <w:rPr>
          <w:color w:val="000000"/>
          <w:sz w:val="24"/>
          <w:szCs w:val="24"/>
        </w:rPr>
        <w:t xml:space="preserve"> effectiveness.</w:t>
      </w:r>
    </w:p>
    <w:p w14:paraId="0DAE096C" w14:textId="77777777" w:rsidR="0079599A" w:rsidRDefault="005D4C3C">
      <w:pPr>
        <w:pStyle w:val="Heading2"/>
        <w:spacing w:before="280" w:after="140"/>
      </w:pPr>
      <w:r>
        <w:rPr>
          <w:b/>
          <w:bCs/>
          <w:color w:val="000000"/>
          <w:sz w:val="28"/>
          <w:szCs w:val="28"/>
        </w:rPr>
        <w:t>2.3 Research Questions</w:t>
      </w:r>
    </w:p>
    <w:p w14:paraId="0DAE096D" w14:textId="77777777" w:rsidR="0079599A" w:rsidRDefault="005D4C3C">
      <w:pPr>
        <w:spacing w:after="200" w:line="360" w:lineRule="auto"/>
        <w:jc w:val="both"/>
      </w:pPr>
      <w:r>
        <w:rPr>
          <w:color w:val="000000"/>
          <w:sz w:val="24"/>
          <w:szCs w:val="24"/>
        </w:rPr>
        <w:t>The study addresses three core research questions:</w:t>
      </w:r>
    </w:p>
    <w:p w14:paraId="0DAE096E" w14:textId="77777777" w:rsidR="0079599A" w:rsidRDefault="005D4C3C">
      <w:pPr>
        <w:spacing w:after="160" w:line="360" w:lineRule="auto"/>
        <w:ind w:left="400"/>
        <w:jc w:val="both"/>
      </w:pPr>
      <w:r>
        <w:rPr>
          <w:b/>
          <w:bCs/>
          <w:color w:val="000000"/>
          <w:sz w:val="24"/>
          <w:szCs w:val="24"/>
        </w:rPr>
        <w:t xml:space="preserve">RQ1: </w:t>
      </w:r>
      <w:r>
        <w:rPr>
          <w:color w:val="000000"/>
          <w:sz w:val="24"/>
          <w:szCs w:val="24"/>
        </w:rPr>
        <w:t>What specific forms, data metrics, and monitoring tools of AI-driven performance management are currently documented in the literature, and how are they being used in remote and hybrid work settings?</w:t>
      </w:r>
    </w:p>
    <w:p w14:paraId="0DAE096F" w14:textId="77777777" w:rsidR="0079599A" w:rsidRDefault="005D4C3C">
      <w:pPr>
        <w:spacing w:after="160" w:line="360" w:lineRule="auto"/>
        <w:ind w:left="400"/>
        <w:jc w:val="both"/>
      </w:pPr>
      <w:r>
        <w:rPr>
          <w:b/>
          <w:bCs/>
          <w:color w:val="000000"/>
          <w:sz w:val="24"/>
          <w:szCs w:val="24"/>
        </w:rPr>
        <w:t xml:space="preserve">RQ2: </w:t>
      </w:r>
      <w:r>
        <w:rPr>
          <w:color w:val="000000"/>
          <w:sz w:val="24"/>
          <w:szCs w:val="24"/>
        </w:rPr>
        <w:t>What does the evidence reveal about the relationship between automated performance evaluation and remote employees' perceptions of fairness, motivation, and psychological safety?</w:t>
      </w:r>
    </w:p>
    <w:p w14:paraId="0DAE0970" w14:textId="77777777" w:rsidR="0079599A" w:rsidRDefault="005D4C3C">
      <w:pPr>
        <w:spacing w:after="160" w:line="360" w:lineRule="auto"/>
        <w:ind w:left="400"/>
        <w:jc w:val="both"/>
      </w:pPr>
      <w:r>
        <w:rPr>
          <w:b/>
          <w:bCs/>
          <w:color w:val="000000"/>
          <w:sz w:val="24"/>
          <w:szCs w:val="24"/>
        </w:rPr>
        <w:t xml:space="preserve">RQ3: </w:t>
      </w:r>
      <w:r>
        <w:rPr>
          <w:color w:val="000000"/>
          <w:sz w:val="24"/>
          <w:szCs w:val="24"/>
        </w:rPr>
        <w:t>What ethical governance and leadership practices are associated with effective AI-enabled performance management in remote and hybrid work environments?</w:t>
      </w:r>
    </w:p>
    <w:p w14:paraId="0DAE0971" w14:textId="77777777" w:rsidR="0079599A" w:rsidRDefault="005D4C3C">
      <w:pPr>
        <w:pStyle w:val="Heading1"/>
        <w:spacing w:before="360" w:after="180"/>
      </w:pPr>
      <w:r>
        <w:rPr>
          <w:b/>
          <w:bCs/>
          <w:color w:val="000000"/>
          <w:sz w:val="28"/>
          <w:szCs w:val="28"/>
        </w:rPr>
        <w:t>3. Methodology</w:t>
      </w:r>
    </w:p>
    <w:p w14:paraId="0DAE0972" w14:textId="77777777" w:rsidR="0079599A" w:rsidRDefault="005D4C3C">
      <w:pPr>
        <w:pStyle w:val="Heading2"/>
        <w:spacing w:before="280" w:after="140"/>
      </w:pPr>
      <w:r>
        <w:rPr>
          <w:b/>
          <w:bCs/>
          <w:color w:val="000000"/>
          <w:sz w:val="28"/>
          <w:szCs w:val="28"/>
        </w:rPr>
        <w:t>3.1 Research Philosophy and Design</w:t>
      </w:r>
    </w:p>
    <w:p w14:paraId="0DAE0973" w14:textId="77777777" w:rsidR="0079599A" w:rsidRDefault="005D4C3C">
      <w:pPr>
        <w:spacing w:after="200" w:line="360" w:lineRule="auto"/>
        <w:jc w:val="both"/>
      </w:pPr>
      <w:r>
        <w:rPr>
          <w:color w:val="000000"/>
          <w:sz w:val="24"/>
          <w:szCs w:val="24"/>
        </w:rPr>
        <w:lastRenderedPageBreak/>
        <w:t>This study is grounded in a pragmatist research philosophy. Pragmatism does not commit to a single way of knowing the world. Instead, it asks a practical question: what combination of evidence and methods will best answer the research questions at hand? For this study, the research questions require two different types of evidence to work together. Questions about how employees experience AI monitoring and whether they perceive it as fair call for qualitative and interpretive insights drawn from academic sc</w:t>
      </w:r>
      <w:r>
        <w:rPr>
          <w:color w:val="000000"/>
          <w:sz w:val="24"/>
          <w:szCs w:val="24"/>
        </w:rPr>
        <w:t xml:space="preserve">holarship. Questions about the scale of the governance gap and the practical consequences of poor governance call for quantitative and empirical evidence from large-scale sources. A pragmatist approach allows both types of evidence to be drawn upon without privileging one over the other. This is why the study </w:t>
      </w:r>
      <w:proofErr w:type="spellStart"/>
      <w:r>
        <w:rPr>
          <w:color w:val="000000"/>
          <w:sz w:val="24"/>
          <w:szCs w:val="24"/>
        </w:rPr>
        <w:t>synthesises</w:t>
      </w:r>
      <w:proofErr w:type="spellEnd"/>
      <w:r>
        <w:rPr>
          <w:color w:val="000000"/>
          <w:sz w:val="24"/>
          <w:szCs w:val="24"/>
        </w:rPr>
        <w:t xml:space="preserve"> peer-reviewed academic scholarship alongside large-scale practitioner reports, treating them as two complementary evidence streams that answer different parts of the same research problem. </w:t>
      </w:r>
      <w:r>
        <w:rPr>
          <w:color w:val="000000"/>
          <w:sz w:val="24"/>
          <w:szCs w:val="24"/>
        </w:rPr>
        <w:t xml:space="preserve">Pragmatism is also well suited to a DBA study because it keeps the research anchored to practice: the question is not which philosophical tradition is theoretically correct, but which approach produces evidence that can genuinely improve how </w:t>
      </w:r>
      <w:proofErr w:type="spellStart"/>
      <w:r>
        <w:rPr>
          <w:color w:val="000000"/>
          <w:sz w:val="24"/>
          <w:szCs w:val="24"/>
        </w:rPr>
        <w:t>organisations</w:t>
      </w:r>
      <w:proofErr w:type="spellEnd"/>
      <w:r>
        <w:rPr>
          <w:color w:val="000000"/>
          <w:sz w:val="24"/>
          <w:szCs w:val="24"/>
        </w:rPr>
        <w:t xml:space="preserve"> govern AI performance management (Sauer and </w:t>
      </w:r>
      <w:proofErr w:type="spellStart"/>
      <w:r>
        <w:rPr>
          <w:color w:val="000000"/>
          <w:sz w:val="24"/>
          <w:szCs w:val="24"/>
        </w:rPr>
        <w:t>Seuring</w:t>
      </w:r>
      <w:proofErr w:type="spellEnd"/>
      <w:r>
        <w:rPr>
          <w:color w:val="000000"/>
          <w:sz w:val="24"/>
          <w:szCs w:val="24"/>
        </w:rPr>
        <w:t>, 2023).</w:t>
      </w:r>
    </w:p>
    <w:p w14:paraId="0DAE0974" w14:textId="77777777" w:rsidR="0079599A" w:rsidRDefault="005D4C3C">
      <w:pPr>
        <w:spacing w:after="200" w:line="360" w:lineRule="auto"/>
        <w:jc w:val="both"/>
      </w:pPr>
      <w:r>
        <w:rPr>
          <w:color w:val="000000"/>
          <w:sz w:val="24"/>
          <w:szCs w:val="24"/>
        </w:rPr>
        <w:t xml:space="preserve">Within this pragmatist framework, the study adopts a Systematic Literature Review (SLR) methodology. The SLR provides a structured, transparent, and replicable protocol for identifying, appraising, and </w:t>
      </w:r>
      <w:proofErr w:type="spellStart"/>
      <w:r>
        <w:rPr>
          <w:color w:val="000000"/>
          <w:sz w:val="24"/>
          <w:szCs w:val="24"/>
        </w:rPr>
        <w:t>synthesising</w:t>
      </w:r>
      <w:proofErr w:type="spellEnd"/>
      <w:r>
        <w:rPr>
          <w:color w:val="000000"/>
          <w:sz w:val="24"/>
          <w:szCs w:val="24"/>
        </w:rPr>
        <w:t xml:space="preserve"> evidence, which is essential at the doctoral level where the credibility of conclusions must be demonstrably grounded in rigorous process rather than personal conviction (Sauer and </w:t>
      </w:r>
      <w:proofErr w:type="spellStart"/>
      <w:r>
        <w:rPr>
          <w:color w:val="000000"/>
          <w:sz w:val="24"/>
          <w:szCs w:val="24"/>
        </w:rPr>
        <w:t>Seuring</w:t>
      </w:r>
      <w:proofErr w:type="spellEnd"/>
      <w:r>
        <w:rPr>
          <w:color w:val="000000"/>
          <w:sz w:val="24"/>
          <w:szCs w:val="24"/>
        </w:rPr>
        <w:t>, 2023).</w:t>
      </w:r>
    </w:p>
    <w:p w14:paraId="0DAE0975" w14:textId="77777777" w:rsidR="0079599A" w:rsidRDefault="005D4C3C">
      <w:pPr>
        <w:pStyle w:val="Heading2"/>
        <w:spacing w:before="280" w:after="140"/>
      </w:pPr>
      <w:r>
        <w:rPr>
          <w:b/>
          <w:bCs/>
          <w:color w:val="000000"/>
          <w:sz w:val="28"/>
          <w:szCs w:val="28"/>
        </w:rPr>
        <w:t>3.2 Pilot Study Design: Document Analysis</w:t>
      </w:r>
    </w:p>
    <w:p w14:paraId="0DAE0976" w14:textId="77777777" w:rsidR="0079599A" w:rsidRDefault="005D4C3C">
      <w:pPr>
        <w:spacing w:after="200" w:line="360" w:lineRule="auto"/>
        <w:jc w:val="both"/>
      </w:pPr>
      <w:r>
        <w:rPr>
          <w:color w:val="000000"/>
          <w:sz w:val="24"/>
          <w:szCs w:val="24"/>
        </w:rPr>
        <w:t xml:space="preserve">Given the exploratory nature of this doctoral pilot study, a document analysis approach has been adopted as the primary data collection method. Document analysis is a well-established qualitative research technique that enables the systematic examination of existing </w:t>
      </w:r>
      <w:proofErr w:type="spellStart"/>
      <w:r>
        <w:rPr>
          <w:color w:val="000000"/>
          <w:sz w:val="24"/>
          <w:szCs w:val="24"/>
        </w:rPr>
        <w:t>organisational</w:t>
      </w:r>
      <w:proofErr w:type="spellEnd"/>
      <w:r>
        <w:rPr>
          <w:color w:val="000000"/>
          <w:sz w:val="24"/>
          <w:szCs w:val="24"/>
        </w:rPr>
        <w:t xml:space="preserve"> and industry documents to generate rich, contextually grounded insights (Bowen, 2009).</w:t>
      </w:r>
    </w:p>
    <w:p w14:paraId="0DAE0977" w14:textId="77777777" w:rsidR="0079599A" w:rsidRDefault="005D4C3C">
      <w:pPr>
        <w:spacing w:after="200" w:line="360" w:lineRule="auto"/>
        <w:jc w:val="both"/>
      </w:pPr>
      <w:r>
        <w:rPr>
          <w:color w:val="000000"/>
          <w:sz w:val="24"/>
          <w:szCs w:val="24"/>
        </w:rPr>
        <w:t xml:space="preserve">This methodological choice is justified on three grounds. First, the scale and geographic range of the selected reports provides a depth of empirical coverage that a small-scale primary interview study could not replicate at this stage. Second, these documents capture authentic </w:t>
      </w:r>
      <w:proofErr w:type="spellStart"/>
      <w:r>
        <w:rPr>
          <w:color w:val="000000"/>
          <w:sz w:val="24"/>
          <w:szCs w:val="24"/>
        </w:rPr>
        <w:t>organisational</w:t>
      </w:r>
      <w:proofErr w:type="spellEnd"/>
      <w:r>
        <w:rPr>
          <w:color w:val="000000"/>
          <w:sz w:val="24"/>
          <w:szCs w:val="24"/>
        </w:rPr>
        <w:t xml:space="preserve"> experiences of AI-driven performance management as they occur in practice. Third, document analysis is particularly appropriate for research that seeks to bridge academic </w:t>
      </w:r>
      <w:r>
        <w:rPr>
          <w:color w:val="000000"/>
          <w:sz w:val="24"/>
          <w:szCs w:val="24"/>
        </w:rPr>
        <w:lastRenderedPageBreak/>
        <w:t>theory and management practice, which is the co</w:t>
      </w:r>
      <w:r>
        <w:rPr>
          <w:color w:val="000000"/>
          <w:sz w:val="24"/>
          <w:szCs w:val="24"/>
        </w:rPr>
        <w:t xml:space="preserve">re purpose of the DBA </w:t>
      </w:r>
      <w:proofErr w:type="spellStart"/>
      <w:r>
        <w:rPr>
          <w:color w:val="000000"/>
          <w:sz w:val="24"/>
          <w:szCs w:val="24"/>
        </w:rPr>
        <w:t>programme</w:t>
      </w:r>
      <w:proofErr w:type="spellEnd"/>
      <w:r>
        <w:rPr>
          <w:color w:val="000000"/>
          <w:sz w:val="24"/>
          <w:szCs w:val="24"/>
        </w:rPr>
        <w:t xml:space="preserve"> (Sauer and </w:t>
      </w:r>
      <w:proofErr w:type="spellStart"/>
      <w:r>
        <w:rPr>
          <w:color w:val="000000"/>
          <w:sz w:val="24"/>
          <w:szCs w:val="24"/>
        </w:rPr>
        <w:t>Seuring</w:t>
      </w:r>
      <w:proofErr w:type="spellEnd"/>
      <w:r>
        <w:rPr>
          <w:color w:val="000000"/>
          <w:sz w:val="24"/>
          <w:szCs w:val="24"/>
        </w:rPr>
        <w:t>, 2023).</w:t>
      </w:r>
    </w:p>
    <w:p w14:paraId="0DAE0978" w14:textId="77777777" w:rsidR="0079599A" w:rsidRDefault="005D4C3C">
      <w:pPr>
        <w:spacing w:after="200" w:line="360" w:lineRule="auto"/>
        <w:jc w:val="both"/>
      </w:pPr>
      <w:r>
        <w:rPr>
          <w:color w:val="000000"/>
          <w:sz w:val="24"/>
          <w:szCs w:val="24"/>
        </w:rPr>
        <w:t>The three primary documents selected for analysis are the Microsoft Work Trend Index Annual Report (2023), the Gartner Human Resources Research Report on Hybrid Work (2023), and the Deloitte Global Human Capital Trends Report (2023). Together these sources cover over 44,000 respondents across more than 100 countries.</w:t>
      </w:r>
    </w:p>
    <w:p w14:paraId="0DAE0979" w14:textId="77777777" w:rsidR="0079599A" w:rsidRDefault="005D4C3C">
      <w:pPr>
        <w:spacing w:after="200" w:line="360" w:lineRule="auto"/>
        <w:jc w:val="both"/>
      </w:pPr>
      <w:r>
        <w:rPr>
          <w:b/>
          <w:bCs/>
          <w:color w:val="000000"/>
          <w:sz w:val="24"/>
          <w:szCs w:val="24"/>
        </w:rPr>
        <w:t>Critical Appraisal of Practitioner Evidence.</w:t>
      </w:r>
    </w:p>
    <w:p w14:paraId="0DAE097A" w14:textId="77777777" w:rsidR="0079599A" w:rsidRDefault="005D4C3C">
      <w:pPr>
        <w:spacing w:after="200" w:line="360" w:lineRule="auto"/>
        <w:jc w:val="both"/>
      </w:pPr>
      <w:r>
        <w:rPr>
          <w:color w:val="000000"/>
          <w:sz w:val="24"/>
          <w:szCs w:val="24"/>
        </w:rPr>
        <w:t xml:space="preserve">Whilst these industry reports provide valuable large-scale empirical context, their limitations must be acknowledged. Each report is produced by a commercially motivated </w:t>
      </w:r>
      <w:proofErr w:type="spellStart"/>
      <w:r>
        <w:rPr>
          <w:color w:val="000000"/>
          <w:sz w:val="24"/>
          <w:szCs w:val="24"/>
        </w:rPr>
        <w:t>organisation</w:t>
      </w:r>
      <w:proofErr w:type="spellEnd"/>
      <w:r>
        <w:rPr>
          <w:color w:val="000000"/>
          <w:sz w:val="24"/>
          <w:szCs w:val="24"/>
        </w:rPr>
        <w:t>, specifically Microsoft, Gartner, and Deloitte, with material interests in promoting narratives that may support their own service offerings. None of these reports has undergone independent peer review, and their sampling methodologies, survey instruments, and analytical procedures are not fully transparent. They should therefo</w:t>
      </w:r>
      <w:r>
        <w:rPr>
          <w:color w:val="000000"/>
          <w:sz w:val="24"/>
          <w:szCs w:val="24"/>
        </w:rPr>
        <w:t>re be treated as contextual and indicative rather than definitive, and their findings are interpreted alongside peer-reviewed academic evidence throughout this study rather than as equivalent sources. Where industry findings converge with peer-reviewed evidence, this convergence strengthens the overall conclusion; where they diverge, this is noted and discussed.</w:t>
      </w:r>
    </w:p>
    <w:p w14:paraId="0DAE097B" w14:textId="77777777" w:rsidR="0079599A" w:rsidRDefault="005D4C3C">
      <w:pPr>
        <w:pStyle w:val="Heading2"/>
        <w:spacing w:before="280" w:after="140"/>
      </w:pPr>
      <w:r>
        <w:rPr>
          <w:b/>
          <w:bCs/>
          <w:color w:val="000000"/>
          <w:sz w:val="28"/>
          <w:szCs w:val="28"/>
        </w:rPr>
        <w:t>3.3 The CIMO Framework</w:t>
      </w:r>
    </w:p>
    <w:p w14:paraId="0DAE097C" w14:textId="77777777" w:rsidR="0079599A" w:rsidRDefault="005D4C3C">
      <w:pPr>
        <w:spacing w:after="200" w:line="360" w:lineRule="auto"/>
        <w:jc w:val="both"/>
      </w:pPr>
      <w:r>
        <w:rPr>
          <w:color w:val="000000"/>
          <w:sz w:val="24"/>
          <w:szCs w:val="24"/>
        </w:rPr>
        <w:t>To maintain a consistent focus on real-world management challenges, the inquiry has been structured using the CIMO (Context, Intervention, Mechanisms, Outcomes) framework:</w:t>
      </w:r>
    </w:p>
    <w:p w14:paraId="0DAE097D" w14:textId="77777777" w:rsidR="0079599A" w:rsidRDefault="005D4C3C">
      <w:pPr>
        <w:spacing w:after="120" w:line="360" w:lineRule="auto"/>
        <w:ind w:left="400"/>
        <w:jc w:val="both"/>
      </w:pPr>
      <w:r>
        <w:rPr>
          <w:b/>
          <w:bCs/>
          <w:color w:val="000000"/>
          <w:sz w:val="24"/>
          <w:szCs w:val="24"/>
        </w:rPr>
        <w:t xml:space="preserve">Context: </w:t>
      </w:r>
      <w:r>
        <w:rPr>
          <w:color w:val="000000"/>
          <w:sz w:val="24"/>
          <w:szCs w:val="24"/>
        </w:rPr>
        <w:t>Full-time remote and hybrid work environments within knowledge-work sectors, where reliance on digital oversight is most prevalent.</w:t>
      </w:r>
    </w:p>
    <w:p w14:paraId="0DAE097E" w14:textId="77777777" w:rsidR="0079599A" w:rsidRDefault="005D4C3C">
      <w:pPr>
        <w:spacing w:after="120" w:line="360" w:lineRule="auto"/>
        <w:ind w:left="400"/>
        <w:jc w:val="both"/>
      </w:pPr>
      <w:r>
        <w:rPr>
          <w:b/>
          <w:bCs/>
          <w:color w:val="000000"/>
          <w:sz w:val="24"/>
          <w:szCs w:val="24"/>
        </w:rPr>
        <w:t xml:space="preserve">Intervention: </w:t>
      </w:r>
      <w:r>
        <w:rPr>
          <w:color w:val="000000"/>
          <w:sz w:val="24"/>
          <w:szCs w:val="24"/>
        </w:rPr>
        <w:t>AI-driven performance management platforms, continuous algorithmic monitoring tools, and real-time productivity analytics systems.</w:t>
      </w:r>
    </w:p>
    <w:p w14:paraId="0DAE097F" w14:textId="77777777" w:rsidR="0079599A" w:rsidRDefault="005D4C3C">
      <w:pPr>
        <w:spacing w:after="120" w:line="360" w:lineRule="auto"/>
        <w:ind w:left="400"/>
        <w:jc w:val="both"/>
      </w:pPr>
      <w:r>
        <w:rPr>
          <w:b/>
          <w:bCs/>
          <w:color w:val="000000"/>
          <w:sz w:val="24"/>
          <w:szCs w:val="24"/>
        </w:rPr>
        <w:t xml:space="preserve">Mechanisms: </w:t>
      </w:r>
      <w:r>
        <w:rPr>
          <w:color w:val="000000"/>
          <w:sz w:val="24"/>
          <w:szCs w:val="24"/>
        </w:rPr>
        <w:t xml:space="preserve">The psychological and </w:t>
      </w:r>
      <w:proofErr w:type="spellStart"/>
      <w:r>
        <w:rPr>
          <w:color w:val="000000"/>
          <w:sz w:val="24"/>
          <w:szCs w:val="24"/>
        </w:rPr>
        <w:t>organisational</w:t>
      </w:r>
      <w:proofErr w:type="spellEnd"/>
      <w:r>
        <w:rPr>
          <w:color w:val="000000"/>
          <w:sz w:val="24"/>
          <w:szCs w:val="24"/>
        </w:rPr>
        <w:t xml:space="preserve"> processes through which these technologies influence employee trust, perceptions of fairness, and intrinsic motivation.</w:t>
      </w:r>
    </w:p>
    <w:p w14:paraId="0DAE0980" w14:textId="77777777" w:rsidR="0079599A" w:rsidRDefault="005D4C3C">
      <w:pPr>
        <w:spacing w:after="120" w:line="360" w:lineRule="auto"/>
        <w:ind w:left="400"/>
        <w:jc w:val="both"/>
      </w:pPr>
      <w:r>
        <w:rPr>
          <w:b/>
          <w:bCs/>
          <w:color w:val="000000"/>
          <w:sz w:val="24"/>
          <w:szCs w:val="24"/>
        </w:rPr>
        <w:t xml:space="preserve">Outcomes: </w:t>
      </w:r>
      <w:r>
        <w:rPr>
          <w:color w:val="000000"/>
          <w:sz w:val="24"/>
          <w:szCs w:val="24"/>
        </w:rPr>
        <w:t xml:space="preserve">Employee engagement, well-being, psychological safety, and the broader implications for leadership quality and </w:t>
      </w:r>
      <w:proofErr w:type="spellStart"/>
      <w:r>
        <w:rPr>
          <w:color w:val="000000"/>
          <w:sz w:val="24"/>
          <w:szCs w:val="24"/>
        </w:rPr>
        <w:t>organisational</w:t>
      </w:r>
      <w:proofErr w:type="spellEnd"/>
      <w:r>
        <w:rPr>
          <w:color w:val="000000"/>
          <w:sz w:val="24"/>
          <w:szCs w:val="24"/>
        </w:rPr>
        <w:t xml:space="preserve"> performance.</w:t>
      </w:r>
    </w:p>
    <w:p w14:paraId="0DAE0981" w14:textId="77777777" w:rsidR="0079599A" w:rsidRDefault="0079599A">
      <w:pPr>
        <w:spacing w:after="100"/>
      </w:pPr>
    </w:p>
    <w:p w14:paraId="0DAE0982" w14:textId="77777777" w:rsidR="0079599A" w:rsidRDefault="005D4C3C">
      <w:pPr>
        <w:spacing w:before="100" w:after="60"/>
        <w:jc w:val="center"/>
      </w:pPr>
      <w:r>
        <w:rPr>
          <w:noProof/>
        </w:rPr>
        <w:lastRenderedPageBreak/>
        <w:drawing>
          <wp:inline distT="0" distB="0" distL="0" distR="0" wp14:anchorId="0DAE0B34" wp14:editId="0DAE0B35">
            <wp:extent cx="4476750" cy="3286125"/>
            <wp:effectExtent l="0" t="0" r="0" b="0"/>
            <wp:docPr id="1035303596" name="Picture 10353035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4476750" cy="3286125"/>
                    </a:xfrm>
                    <a:prstGeom prst="rect">
                      <a:avLst/>
                    </a:prstGeom>
                  </pic:spPr>
                </pic:pic>
              </a:graphicData>
            </a:graphic>
          </wp:inline>
        </w:drawing>
      </w:r>
    </w:p>
    <w:p w14:paraId="0DAE0983" w14:textId="77777777" w:rsidR="0079599A" w:rsidRDefault="005D4C3C">
      <w:pPr>
        <w:spacing w:before="80" w:after="200"/>
        <w:jc w:val="center"/>
      </w:pPr>
      <w:r>
        <w:rPr>
          <w:color w:val="000000"/>
          <w:sz w:val="24"/>
          <w:szCs w:val="24"/>
        </w:rPr>
        <w:t>Figure 1: CIMO Framework - Structuring the Research Inquiry</w:t>
      </w:r>
    </w:p>
    <w:p w14:paraId="0DAE0984" w14:textId="77777777" w:rsidR="0079599A" w:rsidRDefault="005D4C3C">
      <w:pPr>
        <w:pStyle w:val="Heading2"/>
        <w:spacing w:before="280" w:after="140"/>
      </w:pPr>
      <w:r>
        <w:rPr>
          <w:b/>
          <w:bCs/>
          <w:color w:val="000000"/>
          <w:sz w:val="28"/>
          <w:szCs w:val="28"/>
        </w:rPr>
        <w:t>3.4 Search Strategy: Academic Evidence Synthesis</w:t>
      </w:r>
    </w:p>
    <w:p w14:paraId="0DAE0985" w14:textId="77777777" w:rsidR="0079599A" w:rsidRDefault="005D4C3C">
      <w:pPr>
        <w:spacing w:after="200" w:line="360" w:lineRule="auto"/>
        <w:jc w:val="both"/>
      </w:pPr>
      <w:r>
        <w:rPr>
          <w:color w:val="000000"/>
          <w:sz w:val="24"/>
          <w:szCs w:val="24"/>
        </w:rPr>
        <w:t xml:space="preserve">The academic evidence synthesis drew from five peer-reviewed databases: UWTSD Library, Google Scholar, Scopus, Web of Science, and Business Source Ultimate via EBSCO. These databases were selected because they provide the most comprehensive and internationally representative coverage of management, human resource management, and information systems research. Databases with a primary clinical focus (PsycINFO, MEDLINE) were excluded as insufficiently relevant to the </w:t>
      </w:r>
      <w:proofErr w:type="spellStart"/>
      <w:r>
        <w:rPr>
          <w:color w:val="000000"/>
          <w:sz w:val="24"/>
          <w:szCs w:val="24"/>
        </w:rPr>
        <w:t>organisational</w:t>
      </w:r>
      <w:proofErr w:type="spellEnd"/>
      <w:r>
        <w:rPr>
          <w:color w:val="000000"/>
          <w:sz w:val="24"/>
          <w:szCs w:val="24"/>
        </w:rPr>
        <w:t xml:space="preserve"> management questions address</w:t>
      </w:r>
      <w:r>
        <w:rPr>
          <w:color w:val="000000"/>
          <w:sz w:val="24"/>
          <w:szCs w:val="24"/>
        </w:rPr>
        <w:t>ed in this study.</w:t>
      </w:r>
    </w:p>
    <w:p w14:paraId="0DAE0986" w14:textId="77777777" w:rsidR="0079599A" w:rsidRDefault="005D4C3C">
      <w:pPr>
        <w:spacing w:after="200" w:line="360" w:lineRule="auto"/>
        <w:jc w:val="both"/>
      </w:pPr>
      <w:r>
        <w:rPr>
          <w:color w:val="000000"/>
          <w:sz w:val="24"/>
          <w:szCs w:val="24"/>
        </w:rPr>
        <w:t>The following Boolean search strings were applied consistently across all databases and combined using the AND operator. The combined search was conducted on 15 March 2026. Search String 1, covering the AI and monitoring domain: ("AI-driven performance" OR "algorithmic management" OR "algorithmic performance monitoring" OR "electronic performance monitoring" OR "automated performance management" OR "digital surveillance workplace"). Search String 2, covering the work context domain: ("remote work" OR "hybri</w:t>
      </w:r>
      <w:r>
        <w:rPr>
          <w:color w:val="000000"/>
          <w:sz w:val="24"/>
          <w:szCs w:val="24"/>
        </w:rPr>
        <w:t>d work" OR "distributed teams" OR "telework" OR "virtual work"). Search String 3, covering the human outcomes domain: ("employee motivation" OR "</w:t>
      </w:r>
      <w:proofErr w:type="spellStart"/>
      <w:r>
        <w:rPr>
          <w:color w:val="000000"/>
          <w:sz w:val="24"/>
          <w:szCs w:val="24"/>
        </w:rPr>
        <w:t>organisational</w:t>
      </w:r>
      <w:proofErr w:type="spellEnd"/>
      <w:r>
        <w:rPr>
          <w:color w:val="000000"/>
          <w:sz w:val="24"/>
          <w:szCs w:val="24"/>
        </w:rPr>
        <w:t xml:space="preserve"> justice" OR "trust" OR "psychological safety" OR "psychological contract" OR "employee engagement" OR "well-being" OR "leadership").</w:t>
      </w:r>
    </w:p>
    <w:p w14:paraId="0DAE0987" w14:textId="77777777" w:rsidR="0079599A" w:rsidRDefault="005D4C3C">
      <w:pPr>
        <w:spacing w:after="200" w:line="360" w:lineRule="auto"/>
        <w:jc w:val="both"/>
      </w:pPr>
      <w:r>
        <w:rPr>
          <w:color w:val="000000"/>
          <w:sz w:val="24"/>
          <w:szCs w:val="24"/>
        </w:rPr>
        <w:lastRenderedPageBreak/>
        <w:t>Inclusion criteria: peer-reviewed journal articles in English, published 2013 to 2026, focusing on AI or algorithmic monitoring in remote or hybrid work settings with human-</w:t>
      </w:r>
      <w:proofErr w:type="spellStart"/>
      <w:r>
        <w:rPr>
          <w:color w:val="000000"/>
          <w:sz w:val="24"/>
          <w:szCs w:val="24"/>
        </w:rPr>
        <w:t>centred</w:t>
      </w:r>
      <w:proofErr w:type="spellEnd"/>
      <w:r>
        <w:rPr>
          <w:color w:val="000000"/>
          <w:sz w:val="24"/>
          <w:szCs w:val="24"/>
        </w:rPr>
        <w:t xml:space="preserve"> outcome variables. Exclusion criteria: opinion pieces without empirical grounding; technical AI </w:t>
      </w:r>
      <w:proofErr w:type="spellStart"/>
      <w:r>
        <w:rPr>
          <w:color w:val="000000"/>
          <w:sz w:val="24"/>
          <w:szCs w:val="24"/>
        </w:rPr>
        <w:t>optimisation</w:t>
      </w:r>
      <w:proofErr w:type="spellEnd"/>
      <w:r>
        <w:rPr>
          <w:color w:val="000000"/>
          <w:sz w:val="24"/>
          <w:szCs w:val="24"/>
        </w:rPr>
        <w:t xml:space="preserve"> studies with no human dimension; non-English publications; and sources scoring below 6 out of 10 on the CASP quality checklist.</w:t>
      </w:r>
    </w:p>
    <w:p w14:paraId="0DAE0988" w14:textId="77777777" w:rsidR="0079599A" w:rsidRDefault="005D4C3C">
      <w:pPr>
        <w:spacing w:before="100" w:after="60"/>
        <w:jc w:val="center"/>
      </w:pPr>
      <w:r>
        <w:rPr>
          <w:noProof/>
        </w:rPr>
        <w:drawing>
          <wp:inline distT="0" distB="0" distL="0" distR="0" wp14:anchorId="0DAE0B36" wp14:editId="0DAE0B37">
            <wp:extent cx="3810000" cy="3962400"/>
            <wp:effectExtent l="0" t="0" r="0" b="0"/>
            <wp:docPr id="809769795" name="Picture 8097697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3810000" cy="3962400"/>
                    </a:xfrm>
                    <a:prstGeom prst="rect">
                      <a:avLst/>
                    </a:prstGeom>
                  </pic:spPr>
                </pic:pic>
              </a:graphicData>
            </a:graphic>
          </wp:inline>
        </w:drawing>
      </w:r>
    </w:p>
    <w:p w14:paraId="0DAE0989" w14:textId="77777777" w:rsidR="0079599A" w:rsidRDefault="005D4C3C">
      <w:pPr>
        <w:spacing w:before="80" w:after="200"/>
        <w:jc w:val="center"/>
      </w:pPr>
      <w:r>
        <w:rPr>
          <w:color w:val="000000"/>
          <w:sz w:val="24"/>
          <w:szCs w:val="24"/>
        </w:rPr>
        <w:t>Figure 2: PRISMA Flow Diagram - Literature Selection Process (108 to 63 to 38)</w:t>
      </w:r>
    </w:p>
    <w:p w14:paraId="0DAE098A" w14:textId="77777777" w:rsidR="0079599A" w:rsidRDefault="005D4C3C">
      <w:pPr>
        <w:pStyle w:val="Heading2"/>
        <w:spacing w:before="280" w:after="140"/>
      </w:pPr>
      <w:r>
        <w:rPr>
          <w:b/>
          <w:bCs/>
          <w:color w:val="000000"/>
          <w:sz w:val="28"/>
          <w:szCs w:val="28"/>
        </w:rPr>
        <w:t>3.5 Search Strategy: Practice Evidence Review and PRISMA Process</w:t>
      </w:r>
    </w:p>
    <w:p w14:paraId="0DAE098B" w14:textId="77777777" w:rsidR="0079599A" w:rsidRDefault="005D4C3C">
      <w:pPr>
        <w:spacing w:after="200" w:line="360" w:lineRule="auto"/>
        <w:jc w:val="both"/>
      </w:pPr>
      <w:r>
        <w:rPr>
          <w:color w:val="000000"/>
          <w:sz w:val="24"/>
          <w:szCs w:val="24"/>
        </w:rPr>
        <w:t>Separately from the academic evidence synthesis, a practice evidence review was conducted using authoritative industry intelligence reports from the World Economic Forum, Gartner, Deloitte, and McKinsey and Company. The practice evidence review was conducted independently of the academic synthesis and is treated as a distinct and complementary evidence base, consistent with the supervisor's recommendation to maintain clear separation between peer-reviewed evidence and practitioner-produced consultancy data.</w:t>
      </w:r>
    </w:p>
    <w:p w14:paraId="0DAE098C" w14:textId="77777777" w:rsidR="0079599A" w:rsidRDefault="005D4C3C">
      <w:pPr>
        <w:spacing w:after="200" w:line="360" w:lineRule="auto"/>
        <w:jc w:val="both"/>
      </w:pPr>
      <w:r>
        <w:rPr>
          <w:color w:val="000000"/>
          <w:sz w:val="24"/>
          <w:szCs w:val="24"/>
        </w:rPr>
        <w:t xml:space="preserve">The PRISMA (Preferred Reporting Items for Systematic Reviews and Meta-Analyses) framework was used to document the selection process across both evidence streams, ensuring full transparency and replicability. Initial searches identified 108 sources in total (84 academic, 24 practice). Following duplicate removal (n=12), 96 sources were screened by title and </w:t>
      </w:r>
      <w:r>
        <w:rPr>
          <w:color w:val="000000"/>
          <w:sz w:val="24"/>
          <w:szCs w:val="24"/>
        </w:rPr>
        <w:lastRenderedPageBreak/>
        <w:t xml:space="preserve">abstract. Sixty-three sources were retained for full-text assessment. Application of the CASP checklist excluded a further 25 sources on grounds of insufficient methodological </w:t>
      </w:r>
      <w:proofErr w:type="spellStart"/>
      <w:r>
        <w:rPr>
          <w:color w:val="000000"/>
          <w:sz w:val="24"/>
          <w:szCs w:val="24"/>
        </w:rPr>
        <w:t>rigour</w:t>
      </w:r>
      <w:proofErr w:type="spellEnd"/>
      <w:r>
        <w:rPr>
          <w:color w:val="000000"/>
          <w:sz w:val="24"/>
          <w:szCs w:val="24"/>
        </w:rPr>
        <w:t>, lack of empirical grounding, or inadequate relevance. The final synthesis included 38 sources: 25 peer-reviewed academic articles and 13 industry reports.</w:t>
      </w:r>
    </w:p>
    <w:p w14:paraId="0DAE098D" w14:textId="77777777" w:rsidR="0079599A" w:rsidRDefault="005D4C3C">
      <w:pPr>
        <w:spacing w:after="200" w:line="360" w:lineRule="auto"/>
        <w:jc w:val="both"/>
      </w:pPr>
      <w:r>
        <w:rPr>
          <w:b/>
          <w:bCs/>
          <w:color w:val="000000"/>
          <w:sz w:val="24"/>
          <w:szCs w:val="24"/>
        </w:rPr>
        <w:t>Thematic Analysis Coding Procedure.</w:t>
      </w:r>
    </w:p>
    <w:p w14:paraId="0DAE098E" w14:textId="77777777" w:rsidR="0079599A" w:rsidRDefault="005D4C3C">
      <w:pPr>
        <w:spacing w:after="200" w:line="360" w:lineRule="auto"/>
        <w:jc w:val="both"/>
      </w:pPr>
      <w:r>
        <w:rPr>
          <w:color w:val="000000"/>
          <w:sz w:val="24"/>
          <w:szCs w:val="24"/>
        </w:rPr>
        <w:t xml:space="preserve">Following the two-stream evidence review, thematic analysis was conducted using a two-cycle coding procedure. In the first cycle, descriptive codes were applied inductively across all 38 included sources, identifying units of meaning relevant to the research questions including observations about employee experience, governance practices, leadership </w:t>
      </w:r>
      <w:proofErr w:type="spellStart"/>
      <w:r>
        <w:rPr>
          <w:color w:val="000000"/>
          <w:sz w:val="24"/>
          <w:szCs w:val="24"/>
        </w:rPr>
        <w:t>behaviour</w:t>
      </w:r>
      <w:proofErr w:type="spellEnd"/>
      <w:r>
        <w:rPr>
          <w:color w:val="000000"/>
          <w:sz w:val="24"/>
          <w:szCs w:val="24"/>
        </w:rPr>
        <w:t>, and fairness perceptions. In the second cycle, first-cycle codes were grouped into higher-order pattern codes representing recurring analytical theme</w:t>
      </w:r>
      <w:r>
        <w:rPr>
          <w:color w:val="000000"/>
          <w:sz w:val="24"/>
          <w:szCs w:val="24"/>
        </w:rPr>
        <w:t xml:space="preserve">s across multiple sources. Four dominant themes emerged from this inductive process: they were not predetermined before coding but arose from the convergence of evidence across both streams. This two-cycle approach follows established guidance on qualitative synthesis (Sauer and </w:t>
      </w:r>
      <w:proofErr w:type="spellStart"/>
      <w:r>
        <w:rPr>
          <w:color w:val="000000"/>
          <w:sz w:val="24"/>
          <w:szCs w:val="24"/>
        </w:rPr>
        <w:t>Seuring</w:t>
      </w:r>
      <w:proofErr w:type="spellEnd"/>
      <w:r>
        <w:rPr>
          <w:color w:val="000000"/>
          <w:sz w:val="24"/>
          <w:szCs w:val="24"/>
        </w:rPr>
        <w:t>, 2023) and ensures that the identified themes reflect the data rather than the researcher's prior expectations.</w:t>
      </w:r>
    </w:p>
    <w:p w14:paraId="0DAE098F" w14:textId="77777777" w:rsidR="0079599A" w:rsidRDefault="005D4C3C">
      <w:pPr>
        <w:pStyle w:val="Heading1"/>
        <w:spacing w:before="360" w:after="180"/>
      </w:pPr>
      <w:r>
        <w:rPr>
          <w:b/>
          <w:bCs/>
          <w:color w:val="000000"/>
          <w:sz w:val="28"/>
          <w:szCs w:val="28"/>
        </w:rPr>
        <w:t>4. Literature Review and Theoretical Framework</w:t>
      </w:r>
    </w:p>
    <w:p w14:paraId="0DAE0990" w14:textId="77777777" w:rsidR="0079599A" w:rsidRDefault="005D4C3C">
      <w:pPr>
        <w:pStyle w:val="Heading2"/>
        <w:spacing w:before="280" w:after="140"/>
      </w:pPr>
      <w:r>
        <w:rPr>
          <w:b/>
          <w:bCs/>
          <w:color w:val="000000"/>
          <w:sz w:val="28"/>
          <w:szCs w:val="28"/>
        </w:rPr>
        <w:t>4.1 The Strategic HRM Context: Performance Management and the Psychological Contract</w:t>
      </w:r>
    </w:p>
    <w:p w14:paraId="0DAE0991" w14:textId="77777777" w:rsidR="0079599A" w:rsidRDefault="005D4C3C">
      <w:pPr>
        <w:spacing w:after="200" w:line="360" w:lineRule="auto"/>
        <w:jc w:val="both"/>
      </w:pPr>
      <w:r>
        <w:rPr>
          <w:color w:val="000000"/>
          <w:sz w:val="24"/>
          <w:szCs w:val="24"/>
        </w:rPr>
        <w:t xml:space="preserve">Before examining the specific literature on AI monitoring, it is important to situate this study within the broader context of Strategic Human Resource Management (Strategic HRM). Performance management is not simply an operational HR process. It is a strategic mechanism through which </w:t>
      </w:r>
      <w:proofErr w:type="spellStart"/>
      <w:r>
        <w:rPr>
          <w:color w:val="000000"/>
          <w:sz w:val="24"/>
          <w:szCs w:val="24"/>
        </w:rPr>
        <w:t>organisations</w:t>
      </w:r>
      <w:proofErr w:type="spellEnd"/>
      <w:r>
        <w:rPr>
          <w:color w:val="000000"/>
          <w:sz w:val="24"/>
          <w:szCs w:val="24"/>
        </w:rPr>
        <w:t xml:space="preserve"> attempt to align individual </w:t>
      </w:r>
      <w:proofErr w:type="spellStart"/>
      <w:r>
        <w:rPr>
          <w:color w:val="000000"/>
          <w:sz w:val="24"/>
          <w:szCs w:val="24"/>
        </w:rPr>
        <w:t>behaviour</w:t>
      </w:r>
      <w:proofErr w:type="spellEnd"/>
      <w:r>
        <w:rPr>
          <w:color w:val="000000"/>
          <w:sz w:val="24"/>
          <w:szCs w:val="24"/>
        </w:rPr>
        <w:t xml:space="preserve"> and contribution with </w:t>
      </w:r>
      <w:proofErr w:type="spellStart"/>
      <w:r>
        <w:rPr>
          <w:color w:val="000000"/>
          <w:sz w:val="24"/>
          <w:szCs w:val="24"/>
        </w:rPr>
        <w:t>organisational</w:t>
      </w:r>
      <w:proofErr w:type="spellEnd"/>
      <w:r>
        <w:rPr>
          <w:color w:val="000000"/>
          <w:sz w:val="24"/>
          <w:szCs w:val="24"/>
        </w:rPr>
        <w:t xml:space="preserve"> goals, and through which the employment relationship is continually negotiated and renegotiated (Boxall and Purcell, 2016).</w:t>
      </w:r>
    </w:p>
    <w:p w14:paraId="0DAE0992" w14:textId="77777777" w:rsidR="0079599A" w:rsidRDefault="005D4C3C">
      <w:pPr>
        <w:spacing w:after="200" w:line="360" w:lineRule="auto"/>
        <w:jc w:val="both"/>
      </w:pPr>
      <w:r>
        <w:rPr>
          <w:color w:val="000000"/>
          <w:sz w:val="24"/>
          <w:szCs w:val="24"/>
        </w:rPr>
        <w:t>Central to this strategic HRM perspective is the concept of the psychological contract, developed most fully by Rousseau (1989) and extended by Guest (1998). The psychological contract refers to the unwritten, informal set of mutual expectations and obligations that employees and employers hold about their relationship. The introduction of AI-driven performance management systems has significant implications for the psychological contract, because it changes the fundamental nature of how employees are obser</w:t>
      </w:r>
      <w:r>
        <w:rPr>
          <w:color w:val="000000"/>
          <w:sz w:val="24"/>
          <w:szCs w:val="24"/>
        </w:rPr>
        <w:t xml:space="preserve">ved, evaluated, and </w:t>
      </w:r>
      <w:proofErr w:type="spellStart"/>
      <w:r>
        <w:rPr>
          <w:color w:val="000000"/>
          <w:sz w:val="24"/>
          <w:szCs w:val="24"/>
        </w:rPr>
        <w:t>recognised</w:t>
      </w:r>
      <w:proofErr w:type="spellEnd"/>
      <w:r>
        <w:rPr>
          <w:color w:val="000000"/>
          <w:sz w:val="24"/>
          <w:szCs w:val="24"/>
        </w:rPr>
        <w:t xml:space="preserve">. Guest and Conway (2002) demonstrate that perceived contract breach is associated </w:t>
      </w:r>
      <w:r>
        <w:rPr>
          <w:color w:val="000000"/>
          <w:sz w:val="24"/>
          <w:szCs w:val="24"/>
        </w:rPr>
        <w:lastRenderedPageBreak/>
        <w:t xml:space="preserve">with significant and sustained declines in </w:t>
      </w:r>
      <w:proofErr w:type="spellStart"/>
      <w:r>
        <w:rPr>
          <w:color w:val="000000"/>
          <w:sz w:val="24"/>
          <w:szCs w:val="24"/>
        </w:rPr>
        <w:t>organisational</w:t>
      </w:r>
      <w:proofErr w:type="spellEnd"/>
      <w:r>
        <w:rPr>
          <w:color w:val="000000"/>
          <w:sz w:val="24"/>
          <w:szCs w:val="24"/>
        </w:rPr>
        <w:t xml:space="preserve"> commitment, discretionary effort, and retention intention.</w:t>
      </w:r>
    </w:p>
    <w:p w14:paraId="0DAE0993" w14:textId="77777777" w:rsidR="0079599A" w:rsidRDefault="005D4C3C">
      <w:pPr>
        <w:spacing w:after="200" w:line="360" w:lineRule="auto"/>
        <w:jc w:val="both"/>
      </w:pPr>
      <w:r>
        <w:rPr>
          <w:color w:val="000000"/>
          <w:sz w:val="24"/>
          <w:szCs w:val="24"/>
        </w:rPr>
        <w:t xml:space="preserve">The literature on High-Performance Work Systems (HPWS) provides a further important frame of reference. </w:t>
      </w:r>
      <w:proofErr w:type="spellStart"/>
      <w:r>
        <w:rPr>
          <w:color w:val="000000"/>
          <w:sz w:val="24"/>
          <w:szCs w:val="24"/>
        </w:rPr>
        <w:t>Huselid</w:t>
      </w:r>
      <w:proofErr w:type="spellEnd"/>
      <w:r>
        <w:rPr>
          <w:color w:val="000000"/>
          <w:sz w:val="24"/>
          <w:szCs w:val="24"/>
        </w:rPr>
        <w:t xml:space="preserve"> (1995) and Appelbaum et al. (2000) demonstrate that employee performance is best sustained not through surveillance and control, but through </w:t>
      </w:r>
      <w:proofErr w:type="spellStart"/>
      <w:r>
        <w:rPr>
          <w:color w:val="000000"/>
          <w:sz w:val="24"/>
          <w:szCs w:val="24"/>
        </w:rPr>
        <w:t>organisational</w:t>
      </w:r>
      <w:proofErr w:type="spellEnd"/>
      <w:r>
        <w:rPr>
          <w:color w:val="000000"/>
          <w:sz w:val="24"/>
          <w:szCs w:val="24"/>
        </w:rPr>
        <w:t xml:space="preserve"> practices that enhance employee skill, motivation, and the opportunity to contribute. This creates a direct tension between the efficiency logic of AI monitoring and the strategic HRM logic of high-performance work design, a tension that the existing literature has acknowledged but not yet resolved.</w:t>
      </w:r>
    </w:p>
    <w:p w14:paraId="0DAE0994" w14:textId="77777777" w:rsidR="0079599A" w:rsidRDefault="005D4C3C">
      <w:pPr>
        <w:pStyle w:val="Heading2"/>
        <w:spacing w:before="280" w:after="140"/>
      </w:pPr>
      <w:r>
        <w:rPr>
          <w:b/>
          <w:bCs/>
          <w:color w:val="000000"/>
          <w:sz w:val="28"/>
          <w:szCs w:val="28"/>
        </w:rPr>
        <w:t>4.2 The Central Debate: A Critical Synthesis of Competing Perspectives</w:t>
      </w:r>
    </w:p>
    <w:p w14:paraId="0DAE0995" w14:textId="77777777" w:rsidR="0079599A" w:rsidRDefault="005D4C3C">
      <w:pPr>
        <w:spacing w:after="200" w:line="360" w:lineRule="auto"/>
        <w:jc w:val="both"/>
      </w:pPr>
      <w:r>
        <w:rPr>
          <w:color w:val="000000"/>
          <w:sz w:val="24"/>
          <w:szCs w:val="24"/>
        </w:rPr>
        <w:t xml:space="preserve">The AI performance management literature is </w:t>
      </w:r>
      <w:proofErr w:type="spellStart"/>
      <w:r>
        <w:rPr>
          <w:color w:val="000000"/>
          <w:sz w:val="24"/>
          <w:szCs w:val="24"/>
        </w:rPr>
        <w:t>characterised</w:t>
      </w:r>
      <w:proofErr w:type="spellEnd"/>
      <w:r>
        <w:rPr>
          <w:color w:val="000000"/>
          <w:sz w:val="24"/>
          <w:szCs w:val="24"/>
        </w:rPr>
        <w:t xml:space="preserve"> by a fundamental and unresolved methodological tension between two research traditions. Studies adopting quantitative survey designs and productivity-</w:t>
      </w:r>
      <w:proofErr w:type="spellStart"/>
      <w:r>
        <w:rPr>
          <w:color w:val="000000"/>
          <w:sz w:val="24"/>
          <w:szCs w:val="24"/>
        </w:rPr>
        <w:t>centred</w:t>
      </w:r>
      <w:proofErr w:type="spellEnd"/>
      <w:r>
        <w:rPr>
          <w:color w:val="000000"/>
          <w:sz w:val="24"/>
          <w:szCs w:val="24"/>
        </w:rPr>
        <w:t xml:space="preserve"> outcome measures consistently report positive findings from AI monitoring (Gusti et al., 2024; </w:t>
      </w:r>
      <w:proofErr w:type="spellStart"/>
      <w:r>
        <w:rPr>
          <w:color w:val="000000"/>
          <w:sz w:val="24"/>
          <w:szCs w:val="24"/>
        </w:rPr>
        <w:t>Tummalapalli</w:t>
      </w:r>
      <w:proofErr w:type="spellEnd"/>
      <w:r>
        <w:rPr>
          <w:color w:val="000000"/>
          <w:sz w:val="24"/>
          <w:szCs w:val="24"/>
        </w:rPr>
        <w:t xml:space="preserve"> et al., 2025; </w:t>
      </w:r>
      <w:proofErr w:type="spellStart"/>
      <w:r>
        <w:rPr>
          <w:color w:val="000000"/>
          <w:sz w:val="24"/>
          <w:szCs w:val="24"/>
        </w:rPr>
        <w:t>Febiula</w:t>
      </w:r>
      <w:proofErr w:type="spellEnd"/>
      <w:r>
        <w:rPr>
          <w:color w:val="000000"/>
          <w:sz w:val="24"/>
          <w:szCs w:val="24"/>
        </w:rPr>
        <w:t xml:space="preserve"> et al., 2025). Studies employing qualitative, interview-based designs and employee experience as the primary outcome measure consistently report negative consequences</w:t>
      </w:r>
      <w:r>
        <w:rPr>
          <w:color w:val="000000"/>
          <w:sz w:val="24"/>
          <w:szCs w:val="24"/>
        </w:rPr>
        <w:t xml:space="preserve"> (Donnelly and Johns, 2021; Toscano and Zappala, 2021; Kowalski and </w:t>
      </w:r>
      <w:proofErr w:type="spellStart"/>
      <w:r>
        <w:rPr>
          <w:color w:val="000000"/>
          <w:sz w:val="24"/>
          <w:szCs w:val="24"/>
        </w:rPr>
        <w:t>Slebarska</w:t>
      </w:r>
      <w:proofErr w:type="spellEnd"/>
      <w:r>
        <w:rPr>
          <w:color w:val="000000"/>
          <w:sz w:val="24"/>
          <w:szCs w:val="24"/>
        </w:rPr>
        <w:t>, 2022). This divergence is not incidental. It reflects a deeper conceptual disagreement about what AI monitoring should be measured against.</w:t>
      </w:r>
    </w:p>
    <w:p w14:paraId="0DAE0996" w14:textId="77777777" w:rsidR="0079599A" w:rsidRDefault="005D4C3C">
      <w:pPr>
        <w:spacing w:after="200" w:line="360" w:lineRule="auto"/>
        <w:jc w:val="both"/>
      </w:pPr>
      <w:r>
        <w:rPr>
          <w:color w:val="000000"/>
          <w:sz w:val="24"/>
          <w:szCs w:val="24"/>
        </w:rPr>
        <w:t xml:space="preserve">Understanding why these two traditions reach different conclusions is more analytically valuable than simply listing their findings. Efficiency-oriented studies measure AI monitoring against </w:t>
      </w:r>
      <w:proofErr w:type="spellStart"/>
      <w:r>
        <w:rPr>
          <w:color w:val="000000"/>
          <w:sz w:val="24"/>
          <w:szCs w:val="24"/>
        </w:rPr>
        <w:t>organisational</w:t>
      </w:r>
      <w:proofErr w:type="spellEnd"/>
      <w:r>
        <w:rPr>
          <w:color w:val="000000"/>
          <w:sz w:val="24"/>
          <w:szCs w:val="24"/>
        </w:rPr>
        <w:t xml:space="preserve"> performance metrics, variables that automated systems are designed to capture, and find it performs well by its own measures. This represents a circular measurement logic: evaluating a tool using the very outputs it is built to produce. Experience-oriented studies, by contrast, measure AI monitoring again</w:t>
      </w:r>
      <w:r>
        <w:rPr>
          <w:color w:val="000000"/>
          <w:sz w:val="24"/>
          <w:szCs w:val="24"/>
        </w:rPr>
        <w:t>st employee trust, dignity, and intrinsic motivation, variables that algorithmic systems structurally cannot measure, and consistently find harm. Donnelly and Johns (2021) articulate this critique most forcefully: the efficiency gains attributed to AI monitoring depend on a reductionist measurement paradigm that renders invisible the qualitative, relational, and creative contributions that strategic HRM identifies as most valuable.</w:t>
      </w:r>
    </w:p>
    <w:p w14:paraId="0DAE0997" w14:textId="77777777" w:rsidR="0079599A" w:rsidRDefault="005D4C3C">
      <w:pPr>
        <w:spacing w:after="200" w:line="360" w:lineRule="auto"/>
        <w:jc w:val="both"/>
      </w:pPr>
      <w:r>
        <w:rPr>
          <w:color w:val="000000"/>
          <w:sz w:val="24"/>
          <w:szCs w:val="24"/>
        </w:rPr>
        <w:lastRenderedPageBreak/>
        <w:t>A further explanation for the contradictory findings concerns methodological design. The predominance of cross-sectional designs in the efficiency-oriented literature means that longitudinal motivational costs are structurally undetectable. If AI monitoring generates short-term compliance alongside longer-term motivational decline, a pattern consistent with Self-Determination Theory, cross-sectional productivity measures will systematically overestimate net benefits. Ferrara et al. (2022)'s systematic revie</w:t>
      </w:r>
      <w:r>
        <w:rPr>
          <w:color w:val="000000"/>
          <w:sz w:val="24"/>
          <w:szCs w:val="24"/>
        </w:rPr>
        <w:t>w provides the strongest evidence for this interpretation, demonstrating that the performance benefits of remote work are significantly moderated by employee well-being conditions that intensive monitoring appears to erode over time.</w:t>
      </w:r>
    </w:p>
    <w:p w14:paraId="0DAE0998" w14:textId="77777777" w:rsidR="0079599A" w:rsidRDefault="005D4C3C">
      <w:pPr>
        <w:spacing w:after="200" w:line="360" w:lineRule="auto"/>
        <w:jc w:val="both"/>
      </w:pPr>
      <w:r>
        <w:rPr>
          <w:b/>
          <w:bCs/>
          <w:color w:val="000000"/>
          <w:sz w:val="24"/>
          <w:szCs w:val="24"/>
        </w:rPr>
        <w:t>Acknowledging positive evidence.</w:t>
      </w:r>
    </w:p>
    <w:p w14:paraId="0DAE0999" w14:textId="77777777" w:rsidR="0079599A" w:rsidRDefault="005D4C3C">
      <w:pPr>
        <w:spacing w:after="200" w:line="360" w:lineRule="auto"/>
        <w:jc w:val="both"/>
      </w:pPr>
      <w:r>
        <w:rPr>
          <w:color w:val="000000"/>
          <w:sz w:val="24"/>
          <w:szCs w:val="24"/>
        </w:rPr>
        <w:t xml:space="preserve">It would be analytically incomplete to dismiss the positive evidence base. Gusti et al. (2024) document genuine improvements in evaluative consistency and reduced subjective bias where AI systems are well-implemented. </w:t>
      </w:r>
      <w:proofErr w:type="spellStart"/>
      <w:r>
        <w:rPr>
          <w:color w:val="000000"/>
          <w:sz w:val="24"/>
          <w:szCs w:val="24"/>
        </w:rPr>
        <w:t>Tummalapalli</w:t>
      </w:r>
      <w:proofErr w:type="spellEnd"/>
      <w:r>
        <w:rPr>
          <w:color w:val="000000"/>
          <w:sz w:val="24"/>
          <w:szCs w:val="24"/>
        </w:rPr>
        <w:t xml:space="preserve"> et al. (2025) find that real-time AI feedback accelerates skill development among remote workers. These are not trivial benefits, particularly in large distributed </w:t>
      </w:r>
      <w:proofErr w:type="spellStart"/>
      <w:r>
        <w:rPr>
          <w:color w:val="000000"/>
          <w:sz w:val="24"/>
          <w:szCs w:val="24"/>
        </w:rPr>
        <w:t>organisations</w:t>
      </w:r>
      <w:proofErr w:type="spellEnd"/>
      <w:r>
        <w:rPr>
          <w:color w:val="000000"/>
          <w:sz w:val="24"/>
          <w:szCs w:val="24"/>
        </w:rPr>
        <w:t xml:space="preserve"> where informal observation is impossible. The contribution of this study is not to argue that AI monitoring is inherently harmful, but to demonstrate that its net </w:t>
      </w:r>
      <w:proofErr w:type="spellStart"/>
      <w:r>
        <w:rPr>
          <w:color w:val="000000"/>
          <w:sz w:val="24"/>
          <w:szCs w:val="24"/>
        </w:rPr>
        <w:t>organisational</w:t>
      </w:r>
      <w:proofErr w:type="spellEnd"/>
      <w:r>
        <w:rPr>
          <w:color w:val="000000"/>
          <w:sz w:val="24"/>
          <w:szCs w:val="24"/>
        </w:rPr>
        <w:t xml:space="preserve"> value is conditional on governance quality, a conclusion that reconciles the contradictory traditions within a single integrated framework.</w:t>
      </w:r>
    </w:p>
    <w:p w14:paraId="0DAE099A" w14:textId="77777777" w:rsidR="0079599A" w:rsidRDefault="005D4C3C">
      <w:pPr>
        <w:pStyle w:val="Heading2"/>
        <w:spacing w:before="280" w:after="140"/>
      </w:pPr>
      <w:r>
        <w:rPr>
          <w:b/>
          <w:bCs/>
          <w:color w:val="000000"/>
          <w:sz w:val="28"/>
          <w:szCs w:val="28"/>
        </w:rPr>
        <w:t>4.3 Theoretical Framework</w:t>
      </w:r>
    </w:p>
    <w:p w14:paraId="0DAE099B" w14:textId="77777777" w:rsidR="0079599A" w:rsidRDefault="005D4C3C">
      <w:pPr>
        <w:spacing w:after="200" w:line="360" w:lineRule="auto"/>
        <w:jc w:val="both"/>
      </w:pPr>
      <w:r>
        <w:rPr>
          <w:b/>
          <w:bCs/>
          <w:color w:val="000000"/>
          <w:sz w:val="24"/>
          <w:szCs w:val="24"/>
        </w:rPr>
        <w:t>Original Conceptual Contribution.</w:t>
      </w:r>
    </w:p>
    <w:p w14:paraId="0DAE099C" w14:textId="77777777" w:rsidR="0079599A" w:rsidRDefault="005D4C3C">
      <w:pPr>
        <w:spacing w:after="200" w:line="360" w:lineRule="auto"/>
        <w:jc w:val="both"/>
      </w:pPr>
      <w:r>
        <w:rPr>
          <w:color w:val="000000"/>
          <w:sz w:val="24"/>
          <w:szCs w:val="24"/>
        </w:rPr>
        <w:t>The theoretical contribution of this study is the application of Socio-Technical Systems Theory as an integrating framework that resolves the contradictory findings reviewed above. Prior studies have reported either positive or negative outcomes from AI monitoring without providing a theoretically grounded explanation for the conditions under which each prevails. By identifying technical-human subsystem balance as the key moderating variable, this study fills that explanatory gap and generates governance gu</w:t>
      </w:r>
      <w:r>
        <w:rPr>
          <w:color w:val="000000"/>
          <w:sz w:val="24"/>
          <w:szCs w:val="24"/>
        </w:rPr>
        <w:t>idance that neither tradition has been able to offer independently.</w:t>
      </w:r>
    </w:p>
    <w:p w14:paraId="0DAE099D" w14:textId="77777777" w:rsidR="0079599A" w:rsidRDefault="005D4C3C">
      <w:pPr>
        <w:spacing w:after="200" w:line="360" w:lineRule="auto"/>
        <w:jc w:val="both"/>
      </w:pPr>
      <w:r>
        <w:rPr>
          <w:color w:val="000000"/>
          <w:sz w:val="24"/>
          <w:szCs w:val="24"/>
        </w:rPr>
        <w:t xml:space="preserve">To generate the integrated, multilevel analysis that this research question requires, this study employs a tiered theoretical framework. Socio-Technical Systems Theory serves as the core theoretical lens, providing the overarching framework within which three supporting theories </w:t>
      </w:r>
      <w:r>
        <w:rPr>
          <w:color w:val="000000"/>
          <w:sz w:val="24"/>
          <w:szCs w:val="24"/>
        </w:rPr>
        <w:lastRenderedPageBreak/>
        <w:t>are applied. The four theories are not applied in isolation but are integrated to explain the governance challenge at each level of analysis.</w:t>
      </w:r>
    </w:p>
    <w:p w14:paraId="0DAE099E" w14:textId="77777777" w:rsidR="0079599A" w:rsidRDefault="005D4C3C">
      <w:pPr>
        <w:spacing w:before="100" w:after="60"/>
        <w:jc w:val="center"/>
      </w:pPr>
      <w:r>
        <w:rPr>
          <w:noProof/>
        </w:rPr>
        <w:drawing>
          <wp:inline distT="0" distB="0" distL="0" distR="0" wp14:anchorId="0DAE0B38" wp14:editId="0DAE0B39">
            <wp:extent cx="4095750" cy="4524375"/>
            <wp:effectExtent l="0" t="0" r="0" b="0"/>
            <wp:docPr id="397924685" name="Picture 3979246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095750" cy="4524375"/>
                    </a:xfrm>
                    <a:prstGeom prst="rect">
                      <a:avLst/>
                    </a:prstGeom>
                  </pic:spPr>
                </pic:pic>
              </a:graphicData>
            </a:graphic>
          </wp:inline>
        </w:drawing>
      </w:r>
    </w:p>
    <w:p w14:paraId="0DAE099F" w14:textId="77777777" w:rsidR="0079599A" w:rsidRDefault="005D4C3C">
      <w:pPr>
        <w:spacing w:before="80" w:after="200"/>
        <w:jc w:val="center"/>
      </w:pPr>
      <w:r>
        <w:rPr>
          <w:color w:val="000000"/>
          <w:sz w:val="24"/>
          <w:szCs w:val="24"/>
        </w:rPr>
        <w:t>Figure 3: Tiered Theoretical Framework - STST Core with Three Supporting Lenses</w:t>
      </w:r>
    </w:p>
    <w:p w14:paraId="0DAE09A0" w14:textId="77777777" w:rsidR="0079599A" w:rsidRDefault="005D4C3C">
      <w:pPr>
        <w:spacing w:before="200" w:after="100"/>
      </w:pPr>
      <w:r>
        <w:rPr>
          <w:b/>
          <w:bCs/>
          <w:color w:val="000000"/>
          <w:sz w:val="24"/>
          <w:szCs w:val="24"/>
        </w:rPr>
        <w:t>Core Theory: Socio-Technical Systems Theory</w:t>
      </w:r>
    </w:p>
    <w:p w14:paraId="0DAE09A1" w14:textId="77777777" w:rsidR="0079599A" w:rsidRDefault="005D4C3C">
      <w:pPr>
        <w:spacing w:after="200" w:line="360" w:lineRule="auto"/>
        <w:jc w:val="both"/>
      </w:pPr>
      <w:r>
        <w:rPr>
          <w:color w:val="000000"/>
          <w:sz w:val="24"/>
          <w:szCs w:val="24"/>
        </w:rPr>
        <w:t xml:space="preserve">Socio-Technical Systems Theory (STST), originally developed by Trist and Bamforth (1951), holds that any technological system can only function effectively if it achieves and sustains a genuine equilibrium between its technical components and the human social systems within which those components are embedded. Technical and social subsystems are interdependent: </w:t>
      </w:r>
      <w:proofErr w:type="spellStart"/>
      <w:r>
        <w:rPr>
          <w:color w:val="000000"/>
          <w:sz w:val="24"/>
          <w:szCs w:val="24"/>
        </w:rPr>
        <w:t>optimising</w:t>
      </w:r>
      <w:proofErr w:type="spellEnd"/>
      <w:r>
        <w:rPr>
          <w:color w:val="000000"/>
          <w:sz w:val="24"/>
          <w:szCs w:val="24"/>
        </w:rPr>
        <w:t xml:space="preserve"> one at the expense of the other produces not a better system, but a dysfunctional one. STST is elevated as the core theory in this study because it provides the overarching architectural framework capable of explaining why the same AI monitoring intervention produces contradictory outcomes across contexts. The balance or imbalance of technical and human investment determines which set of outcomes prevails.</w:t>
      </w:r>
    </w:p>
    <w:p w14:paraId="0DAE09A2" w14:textId="77777777" w:rsidR="0079599A" w:rsidRDefault="005D4C3C">
      <w:pPr>
        <w:spacing w:before="200" w:after="100"/>
      </w:pPr>
      <w:r>
        <w:rPr>
          <w:b/>
          <w:bCs/>
          <w:color w:val="000000"/>
          <w:sz w:val="24"/>
          <w:szCs w:val="24"/>
        </w:rPr>
        <w:t xml:space="preserve">Supporting Lens 1: </w:t>
      </w:r>
      <w:proofErr w:type="spellStart"/>
      <w:r>
        <w:rPr>
          <w:b/>
          <w:bCs/>
          <w:color w:val="000000"/>
          <w:sz w:val="24"/>
          <w:szCs w:val="24"/>
        </w:rPr>
        <w:t>Organisational</w:t>
      </w:r>
      <w:proofErr w:type="spellEnd"/>
      <w:r>
        <w:rPr>
          <w:b/>
          <w:bCs/>
          <w:color w:val="000000"/>
          <w:sz w:val="24"/>
          <w:szCs w:val="24"/>
        </w:rPr>
        <w:t xml:space="preserve"> Justice Theory</w:t>
      </w:r>
    </w:p>
    <w:p w14:paraId="0DAE09A3" w14:textId="77777777" w:rsidR="0079599A" w:rsidRDefault="005D4C3C">
      <w:pPr>
        <w:spacing w:after="200" w:line="360" w:lineRule="auto"/>
        <w:jc w:val="both"/>
      </w:pPr>
      <w:proofErr w:type="spellStart"/>
      <w:r>
        <w:rPr>
          <w:color w:val="000000"/>
          <w:sz w:val="24"/>
          <w:szCs w:val="24"/>
        </w:rPr>
        <w:lastRenderedPageBreak/>
        <w:t>Organisational</w:t>
      </w:r>
      <w:proofErr w:type="spellEnd"/>
      <w:r>
        <w:rPr>
          <w:color w:val="000000"/>
          <w:sz w:val="24"/>
          <w:szCs w:val="24"/>
        </w:rPr>
        <w:t xml:space="preserve"> Justice Theory (Adams, 1965; Greenberg, 1987) explains why technical subsystem bias generates perceptions of unfairness at the level of the employment relationship. The theory distinguishes between distributive justice (the fairness of outcomes), procedural justice (the fairness of the process), and interactional justice (the quality of human treatment received). When performance is evaluated by an automated algorithm without transparency, voice, or consistency, all three dimensions are simul</w:t>
      </w:r>
      <w:r>
        <w:rPr>
          <w:color w:val="000000"/>
          <w:sz w:val="24"/>
          <w:szCs w:val="24"/>
        </w:rPr>
        <w:t>taneously compromised, a finding consistent with the 42% procedural fairness figure from the practice evidence (Deloitte, 2023).</w:t>
      </w:r>
    </w:p>
    <w:p w14:paraId="0DAE09A4" w14:textId="77777777" w:rsidR="0079599A" w:rsidRDefault="005D4C3C">
      <w:pPr>
        <w:spacing w:before="200" w:after="100"/>
      </w:pPr>
      <w:r>
        <w:rPr>
          <w:b/>
          <w:bCs/>
          <w:color w:val="000000"/>
          <w:sz w:val="24"/>
          <w:szCs w:val="24"/>
        </w:rPr>
        <w:t>Supporting Lens 2: Self-Determination Theory</w:t>
      </w:r>
    </w:p>
    <w:p w14:paraId="0DAE09A5" w14:textId="77777777" w:rsidR="0079599A" w:rsidRDefault="005D4C3C">
      <w:pPr>
        <w:spacing w:after="200" w:line="360" w:lineRule="auto"/>
        <w:jc w:val="both"/>
      </w:pPr>
      <w:r>
        <w:rPr>
          <w:color w:val="000000"/>
          <w:sz w:val="24"/>
          <w:szCs w:val="24"/>
        </w:rPr>
        <w:t>Self-Determination Theory (Deci and Ryan, 1985) explains why technical subsystem bias translates into motivational decline at the individual level. The theory argues that intrinsic motivation depends on the satisfaction of three basic psychological needs: autonomy, competence, and relatedness. Continuous algorithmic surveillance systematically undermines all three simultaneously. This motivational decline provides the mechanism through which short-term productivity signals may translate into longer-term per</w:t>
      </w:r>
      <w:r>
        <w:rPr>
          <w:color w:val="000000"/>
          <w:sz w:val="24"/>
          <w:szCs w:val="24"/>
        </w:rPr>
        <w:t>formance deterioration, a dynamic that cross-sectional efficiency studies structurally cannot detect.</w:t>
      </w:r>
    </w:p>
    <w:p w14:paraId="0DAE09A6" w14:textId="77777777" w:rsidR="0079599A" w:rsidRDefault="005D4C3C">
      <w:pPr>
        <w:spacing w:before="200" w:after="100"/>
      </w:pPr>
      <w:r>
        <w:rPr>
          <w:b/>
          <w:bCs/>
          <w:color w:val="000000"/>
          <w:sz w:val="24"/>
          <w:szCs w:val="24"/>
        </w:rPr>
        <w:t>Supporting Lens 3: Algorithmic Management Theory</w:t>
      </w:r>
    </w:p>
    <w:p w14:paraId="0DAE09A7" w14:textId="77777777" w:rsidR="0079599A" w:rsidRDefault="005D4C3C">
      <w:pPr>
        <w:spacing w:after="200" w:line="360" w:lineRule="auto"/>
        <w:jc w:val="both"/>
      </w:pPr>
      <w:r>
        <w:rPr>
          <w:color w:val="000000"/>
          <w:sz w:val="24"/>
          <w:szCs w:val="24"/>
        </w:rPr>
        <w:t>Algorithmic Management Theory (</w:t>
      </w:r>
      <w:proofErr w:type="spellStart"/>
      <w:r>
        <w:rPr>
          <w:color w:val="000000"/>
          <w:sz w:val="24"/>
          <w:szCs w:val="24"/>
        </w:rPr>
        <w:t>Schrettenbrunner</w:t>
      </w:r>
      <w:proofErr w:type="spellEnd"/>
      <w:r>
        <w:rPr>
          <w:color w:val="000000"/>
          <w:sz w:val="24"/>
          <w:szCs w:val="24"/>
        </w:rPr>
        <w:t xml:space="preserve">, 2020) examines the structural transformation of leadership as performance judgement is progressively delegated to software systems. This lens addresses what this study terms the leadership displacement effect: the progressive subordination of human managerial judgement to algorithmic outputs. The finding that 49% of </w:t>
      </w:r>
      <w:proofErr w:type="spellStart"/>
      <w:r>
        <w:rPr>
          <w:color w:val="000000"/>
          <w:sz w:val="24"/>
          <w:szCs w:val="24"/>
        </w:rPr>
        <w:t>managers</w:t>
      </w:r>
      <w:proofErr w:type="spellEnd"/>
      <w:r>
        <w:rPr>
          <w:color w:val="000000"/>
          <w:sz w:val="24"/>
          <w:szCs w:val="24"/>
        </w:rPr>
        <w:t xml:space="preserve"> report feeling ill-equipped to navigate this tension (Microsoft, 2023) represents a serious social subsystem failure consistent with STST's predictions.</w:t>
      </w:r>
    </w:p>
    <w:p w14:paraId="0DAE09A8" w14:textId="77777777" w:rsidR="0079599A" w:rsidRDefault="005D4C3C">
      <w:pPr>
        <w:spacing w:before="100" w:after="60"/>
        <w:jc w:val="center"/>
      </w:pPr>
      <w:r>
        <w:rPr>
          <w:noProof/>
        </w:rPr>
        <w:lastRenderedPageBreak/>
        <w:drawing>
          <wp:inline distT="0" distB="0" distL="0" distR="0" wp14:anchorId="0DAE0B3A" wp14:editId="0DAE0B3B">
            <wp:extent cx="3619500" cy="4419600"/>
            <wp:effectExtent l="0" t="0" r="0" b="0"/>
            <wp:docPr id="1086642502" name="Picture 10866425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3619500" cy="4419600"/>
                    </a:xfrm>
                    <a:prstGeom prst="rect">
                      <a:avLst/>
                    </a:prstGeom>
                  </pic:spPr>
                </pic:pic>
              </a:graphicData>
            </a:graphic>
          </wp:inline>
        </w:drawing>
      </w:r>
    </w:p>
    <w:p w14:paraId="0DAE09A9" w14:textId="77777777" w:rsidR="0079599A" w:rsidRDefault="005D4C3C">
      <w:pPr>
        <w:spacing w:before="80" w:after="200"/>
        <w:jc w:val="center"/>
      </w:pPr>
      <w:r>
        <w:rPr>
          <w:color w:val="000000"/>
          <w:sz w:val="24"/>
          <w:szCs w:val="24"/>
        </w:rPr>
        <w:t>Figure 4: Governance Framework - From Surveillance to Stewardship</w:t>
      </w:r>
    </w:p>
    <w:p w14:paraId="0DAE09AA" w14:textId="77777777" w:rsidR="0079599A" w:rsidRDefault="005D4C3C">
      <w:pPr>
        <w:pStyle w:val="Heading1"/>
        <w:spacing w:before="360" w:after="180"/>
      </w:pPr>
      <w:r>
        <w:rPr>
          <w:b/>
          <w:bCs/>
          <w:color w:val="000000"/>
          <w:sz w:val="28"/>
          <w:szCs w:val="28"/>
        </w:rPr>
        <w:t>5. Pilot Study Findings and Thematic Analysis</w:t>
      </w:r>
    </w:p>
    <w:p w14:paraId="0DAE09AB" w14:textId="77777777" w:rsidR="0079599A" w:rsidRDefault="005D4C3C">
      <w:pPr>
        <w:pStyle w:val="Heading2"/>
        <w:spacing w:before="280" w:after="140"/>
      </w:pPr>
      <w:r>
        <w:rPr>
          <w:b/>
          <w:bCs/>
          <w:color w:val="000000"/>
          <w:sz w:val="28"/>
          <w:szCs w:val="28"/>
        </w:rPr>
        <w:t>5.1 Overview of Evidence Sources and Thematic Analysis Process</w:t>
      </w:r>
    </w:p>
    <w:p w14:paraId="0DAE09AC" w14:textId="77777777" w:rsidR="0079599A" w:rsidRDefault="005D4C3C">
      <w:pPr>
        <w:spacing w:after="200" w:line="360" w:lineRule="auto"/>
        <w:jc w:val="both"/>
      </w:pPr>
      <w:r>
        <w:rPr>
          <w:color w:val="000000"/>
          <w:sz w:val="24"/>
          <w:szCs w:val="24"/>
        </w:rPr>
        <w:t xml:space="preserve">The document analysis drew on two distinct evidence streams. The academic evidence synthesis identified peer-reviewed studies across strategic HRM, </w:t>
      </w:r>
      <w:proofErr w:type="spellStart"/>
      <w:r>
        <w:rPr>
          <w:color w:val="000000"/>
          <w:sz w:val="24"/>
          <w:szCs w:val="24"/>
        </w:rPr>
        <w:t>organisational</w:t>
      </w:r>
      <w:proofErr w:type="spellEnd"/>
      <w:r>
        <w:rPr>
          <w:color w:val="000000"/>
          <w:sz w:val="24"/>
          <w:szCs w:val="24"/>
        </w:rPr>
        <w:t xml:space="preserve"> </w:t>
      </w:r>
      <w:proofErr w:type="spellStart"/>
      <w:r>
        <w:rPr>
          <w:color w:val="000000"/>
          <w:sz w:val="24"/>
          <w:szCs w:val="24"/>
        </w:rPr>
        <w:t>behaviour</w:t>
      </w:r>
      <w:proofErr w:type="spellEnd"/>
      <w:r>
        <w:rPr>
          <w:color w:val="000000"/>
          <w:sz w:val="24"/>
          <w:szCs w:val="24"/>
        </w:rPr>
        <w:t xml:space="preserve">, and management information systems. The practice evidence review drew on three principal industry reports: the Microsoft Work Trend Index (2023), which surveyed over 31,000 full-time employees across 31 countries; the Gartner HR Research Report on Hybrid Work (2023), which captured perspectives from 3,500 HR leaders and employees; and the Deloitte Global Human Capital Trends Report (2023), which </w:t>
      </w:r>
      <w:proofErr w:type="spellStart"/>
      <w:r>
        <w:rPr>
          <w:color w:val="000000"/>
          <w:sz w:val="24"/>
          <w:szCs w:val="24"/>
        </w:rPr>
        <w:t>synthesised</w:t>
      </w:r>
      <w:proofErr w:type="spellEnd"/>
      <w:r>
        <w:rPr>
          <w:color w:val="000000"/>
          <w:sz w:val="24"/>
          <w:szCs w:val="24"/>
        </w:rPr>
        <w:t xml:space="preserve"> views from 10,000 business and HR leaders across 105 countries. The methodological limitations of these reports, including commercial provenance, absence of peer review, and limited transparency of sampling procedures, are acknowledged throughout the following analysis.</w:t>
      </w:r>
    </w:p>
    <w:p w14:paraId="0DAE09AD" w14:textId="77777777" w:rsidR="0079599A" w:rsidRDefault="005D4C3C">
      <w:pPr>
        <w:spacing w:after="200" w:line="360" w:lineRule="auto"/>
        <w:jc w:val="both"/>
      </w:pPr>
      <w:r>
        <w:rPr>
          <w:b/>
          <w:bCs/>
          <w:color w:val="000000"/>
          <w:sz w:val="24"/>
          <w:szCs w:val="24"/>
        </w:rPr>
        <w:t>Theme emergence process.</w:t>
      </w:r>
    </w:p>
    <w:p w14:paraId="0DAE09AE" w14:textId="77777777" w:rsidR="0079599A" w:rsidRDefault="005D4C3C">
      <w:pPr>
        <w:spacing w:after="200" w:line="360" w:lineRule="auto"/>
        <w:jc w:val="both"/>
      </w:pPr>
      <w:r>
        <w:rPr>
          <w:color w:val="000000"/>
          <w:sz w:val="24"/>
          <w:szCs w:val="24"/>
        </w:rPr>
        <w:lastRenderedPageBreak/>
        <w:t xml:space="preserve">Following the two-cycle coding procedure described in Section 3.5, four dominant themes emerged inductively from the convergent evidence across both streams. These themes were not determined in advance of the analysis but arose from the pattern of first-cycle codes that recurred most consistently across multiple sources. The four themes each represent a distinct pattern of evidence that appeared in both academic and practice streams, strengthening confidence that they reflect genuine </w:t>
      </w:r>
      <w:proofErr w:type="spellStart"/>
      <w:r>
        <w:rPr>
          <w:color w:val="000000"/>
          <w:sz w:val="24"/>
          <w:szCs w:val="24"/>
        </w:rPr>
        <w:t>organisational</w:t>
      </w:r>
      <w:proofErr w:type="spellEnd"/>
      <w:r>
        <w:rPr>
          <w:color w:val="000000"/>
          <w:sz w:val="24"/>
          <w:szCs w:val="24"/>
        </w:rPr>
        <w:t xml:space="preserve"> phenomen</w:t>
      </w:r>
      <w:r>
        <w:rPr>
          <w:color w:val="000000"/>
          <w:sz w:val="24"/>
          <w:szCs w:val="24"/>
        </w:rPr>
        <w:t>a rather than the limitations of individual sources or methodologies.</w:t>
      </w:r>
    </w:p>
    <w:p w14:paraId="0DAE09AF" w14:textId="77777777" w:rsidR="0079599A" w:rsidRDefault="0079599A">
      <w:pPr>
        <w:spacing w:after="8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667"/>
        <w:gridCol w:w="2293"/>
        <w:gridCol w:w="1814"/>
        <w:gridCol w:w="3586"/>
      </w:tblGrid>
      <w:tr w:rsidR="0079599A" w14:paraId="0DAE09B4" w14:textId="77777777">
        <w:trPr>
          <w:tblHeader/>
        </w:trPr>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9B0" w14:textId="77777777" w:rsidR="0079599A" w:rsidRDefault="005D4C3C">
            <w:pPr>
              <w:spacing w:after="40"/>
            </w:pPr>
            <w:r>
              <w:rPr>
                <w:b/>
                <w:bCs/>
                <w:color w:val="FFFFFF"/>
                <w:sz w:val="17"/>
                <w:szCs w:val="17"/>
              </w:rPr>
              <w:t>Theme</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9B1" w14:textId="77777777" w:rsidR="0079599A" w:rsidRDefault="005D4C3C">
            <w:pPr>
              <w:spacing w:after="40"/>
            </w:pPr>
            <w:r>
              <w:rPr>
                <w:b/>
                <w:bCs/>
                <w:color w:val="FFFFFF"/>
                <w:sz w:val="17"/>
                <w:szCs w:val="17"/>
              </w:rPr>
              <w:t>Primary Evidence</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9B2" w14:textId="77777777" w:rsidR="0079599A" w:rsidRDefault="005D4C3C">
            <w:pPr>
              <w:spacing w:after="40"/>
            </w:pPr>
            <w:r>
              <w:rPr>
                <w:b/>
                <w:bCs/>
                <w:color w:val="FFFFFF"/>
                <w:sz w:val="17"/>
                <w:szCs w:val="17"/>
              </w:rPr>
              <w:t>Theoretical Lens</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9B3" w14:textId="77777777" w:rsidR="0079599A" w:rsidRDefault="005D4C3C">
            <w:pPr>
              <w:spacing w:after="40"/>
            </w:pPr>
            <w:r>
              <w:rPr>
                <w:b/>
                <w:bCs/>
                <w:color w:val="FFFFFF"/>
                <w:sz w:val="17"/>
                <w:szCs w:val="17"/>
              </w:rPr>
              <w:t>Key Finding</w:t>
            </w:r>
          </w:p>
        </w:tc>
      </w:tr>
      <w:tr w:rsidR="0079599A" w14:paraId="0DAE09B9" w14:textId="77777777">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B5" w14:textId="77777777" w:rsidR="0079599A" w:rsidRDefault="005D4C3C">
            <w:pPr>
              <w:spacing w:after="40"/>
            </w:pPr>
            <w:r>
              <w:rPr>
                <w:b/>
                <w:bCs/>
                <w:color w:val="000000"/>
                <w:sz w:val="16"/>
                <w:szCs w:val="16"/>
              </w:rPr>
              <w:t>Theme 1: Productivity Paradox</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B6" w14:textId="77777777" w:rsidR="0079599A" w:rsidRDefault="005D4C3C">
            <w:pPr>
              <w:spacing w:after="40"/>
            </w:pPr>
            <w:r>
              <w:rPr>
                <w:color w:val="000000"/>
                <w:sz w:val="16"/>
                <w:szCs w:val="16"/>
              </w:rPr>
              <w:t>Microsoft (2023); Bakewell et al. (2018); Donnelly and Johns (2021)</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B7" w14:textId="77777777" w:rsidR="0079599A" w:rsidRDefault="005D4C3C">
            <w:pPr>
              <w:spacing w:after="40"/>
            </w:pPr>
            <w:r>
              <w:rPr>
                <w:color w:val="000000"/>
                <w:sz w:val="16"/>
                <w:szCs w:val="16"/>
              </w:rPr>
              <w:t>STST — technical subsystem bias</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B8" w14:textId="77777777" w:rsidR="0079599A" w:rsidRDefault="005D4C3C">
            <w:pPr>
              <w:spacing w:after="40"/>
            </w:pPr>
            <w:r>
              <w:rPr>
                <w:color w:val="000000"/>
                <w:sz w:val="16"/>
                <w:szCs w:val="16"/>
              </w:rPr>
              <w:t>85% of leaders distrust remote productivity yet employees report increased output. AI measures activity, not value.</w:t>
            </w:r>
          </w:p>
        </w:tc>
      </w:tr>
      <w:tr w:rsidR="0079599A" w14:paraId="0DAE09BE" w14:textId="77777777">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BA" w14:textId="77777777" w:rsidR="0079599A" w:rsidRDefault="005D4C3C">
            <w:pPr>
              <w:spacing w:after="40"/>
            </w:pPr>
            <w:r>
              <w:rPr>
                <w:b/>
                <w:bCs/>
                <w:color w:val="000000"/>
                <w:sz w:val="16"/>
                <w:szCs w:val="16"/>
              </w:rPr>
              <w:t>Theme 2: Fairness Deficit</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BB" w14:textId="77777777" w:rsidR="0079599A" w:rsidRDefault="005D4C3C">
            <w:pPr>
              <w:spacing w:after="40"/>
            </w:pPr>
            <w:r>
              <w:rPr>
                <w:color w:val="000000"/>
                <w:sz w:val="16"/>
                <w:szCs w:val="16"/>
              </w:rPr>
              <w:t>Deloitte (2023); Greenberg (1987); Raj et al. (2023)</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BC" w14:textId="77777777" w:rsidR="0079599A" w:rsidRDefault="005D4C3C">
            <w:pPr>
              <w:spacing w:after="40"/>
            </w:pPr>
            <w:proofErr w:type="spellStart"/>
            <w:r>
              <w:rPr>
                <w:color w:val="000000"/>
                <w:sz w:val="16"/>
                <w:szCs w:val="16"/>
              </w:rPr>
              <w:t>Organisational</w:t>
            </w:r>
            <w:proofErr w:type="spellEnd"/>
            <w:r>
              <w:rPr>
                <w:color w:val="000000"/>
                <w:sz w:val="16"/>
                <w:szCs w:val="16"/>
              </w:rPr>
              <w:t xml:space="preserve"> Justice Theory</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BD" w14:textId="77777777" w:rsidR="0079599A" w:rsidRDefault="005D4C3C">
            <w:pPr>
              <w:spacing w:after="40"/>
            </w:pPr>
            <w:r>
              <w:rPr>
                <w:color w:val="000000"/>
                <w:sz w:val="16"/>
                <w:szCs w:val="16"/>
              </w:rPr>
              <w:t>Only 42% perceive AI evaluation as procedurally fair; drops to 31% for fully remote workers.</w:t>
            </w:r>
          </w:p>
        </w:tc>
      </w:tr>
      <w:tr w:rsidR="0079599A" w14:paraId="0DAE09C3" w14:textId="77777777">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BF" w14:textId="77777777" w:rsidR="0079599A" w:rsidRDefault="005D4C3C">
            <w:pPr>
              <w:spacing w:after="40"/>
            </w:pPr>
            <w:r>
              <w:rPr>
                <w:b/>
                <w:bCs/>
                <w:color w:val="000000"/>
                <w:sz w:val="16"/>
                <w:szCs w:val="16"/>
              </w:rPr>
              <w:t>Theme 3: Leadership Displacement</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C0" w14:textId="77777777" w:rsidR="0079599A" w:rsidRDefault="005D4C3C">
            <w:pPr>
              <w:spacing w:after="40"/>
            </w:pPr>
            <w:r>
              <w:rPr>
                <w:color w:val="000000"/>
                <w:sz w:val="16"/>
                <w:szCs w:val="16"/>
              </w:rPr>
              <w:t xml:space="preserve">Microsoft (2023); Gartner (2023); </w:t>
            </w:r>
            <w:proofErr w:type="spellStart"/>
            <w:r>
              <w:rPr>
                <w:color w:val="000000"/>
                <w:sz w:val="16"/>
                <w:szCs w:val="16"/>
              </w:rPr>
              <w:t>Huselid</w:t>
            </w:r>
            <w:proofErr w:type="spellEnd"/>
            <w:r>
              <w:rPr>
                <w:color w:val="000000"/>
                <w:sz w:val="16"/>
                <w:szCs w:val="16"/>
              </w:rPr>
              <w:t xml:space="preserve"> (1995)</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C1" w14:textId="77777777" w:rsidR="0079599A" w:rsidRDefault="005D4C3C">
            <w:pPr>
              <w:spacing w:after="40"/>
            </w:pPr>
            <w:r>
              <w:rPr>
                <w:color w:val="000000"/>
                <w:sz w:val="16"/>
                <w:szCs w:val="16"/>
              </w:rPr>
              <w:t>SDT and Algorithmic Management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F5F8FA"/>
            <w:tcMar>
              <w:top w:w="60" w:type="dxa"/>
              <w:left w:w="80" w:type="dxa"/>
              <w:bottom w:w="60" w:type="dxa"/>
              <w:right w:w="80" w:type="dxa"/>
            </w:tcMar>
          </w:tcPr>
          <w:p w14:paraId="0DAE09C2" w14:textId="77777777" w:rsidR="0079599A" w:rsidRDefault="005D4C3C">
            <w:pPr>
              <w:spacing w:after="40"/>
            </w:pPr>
            <w:r>
              <w:rPr>
                <w:color w:val="000000"/>
                <w:sz w:val="16"/>
                <w:szCs w:val="16"/>
              </w:rPr>
              <w:t>49% of managers feel ill-equipped; psychological safety drops 34% under AI-dominant management.</w:t>
            </w:r>
          </w:p>
        </w:tc>
      </w:tr>
      <w:tr w:rsidR="0079599A" w14:paraId="0DAE09C8" w14:textId="77777777">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C4" w14:textId="77777777" w:rsidR="0079599A" w:rsidRDefault="005D4C3C">
            <w:pPr>
              <w:spacing w:after="40"/>
            </w:pPr>
            <w:r>
              <w:rPr>
                <w:b/>
                <w:bCs/>
                <w:color w:val="000000"/>
                <w:sz w:val="16"/>
                <w:szCs w:val="16"/>
              </w:rPr>
              <w:t>Theme 4: Governance Gap</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C5" w14:textId="77777777" w:rsidR="0079599A" w:rsidRDefault="005D4C3C">
            <w:pPr>
              <w:spacing w:after="40"/>
            </w:pPr>
            <w:r>
              <w:rPr>
                <w:color w:val="000000"/>
                <w:sz w:val="16"/>
                <w:szCs w:val="16"/>
              </w:rPr>
              <w:t>Deloitte (2023); Microsoft (2023)</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C6" w14:textId="77777777" w:rsidR="0079599A" w:rsidRDefault="005D4C3C">
            <w:pPr>
              <w:spacing w:after="40"/>
            </w:pPr>
            <w:r>
              <w:rPr>
                <w:color w:val="000000"/>
                <w:sz w:val="16"/>
                <w:szCs w:val="16"/>
              </w:rPr>
              <w:t>STST and Strategic HRM</w:t>
            </w:r>
          </w:p>
        </w:tc>
        <w:tc>
          <w:tcPr>
            <w:tcW w:w="0" w:type="auto"/>
            <w:tcBorders>
              <w:top w:val="single" w:sz="4" w:space="0" w:color="AAAAAA"/>
              <w:left w:val="single" w:sz="4" w:space="0" w:color="AAAAAA"/>
              <w:bottom w:val="single" w:sz="4" w:space="0" w:color="AAAAAA"/>
              <w:right w:val="single" w:sz="4" w:space="0" w:color="AAAAAA"/>
            </w:tcBorders>
            <w:shd w:val="clear" w:color="auto" w:fill="FFFFFF"/>
            <w:tcMar>
              <w:top w:w="60" w:type="dxa"/>
              <w:left w:w="80" w:type="dxa"/>
              <w:bottom w:w="60" w:type="dxa"/>
              <w:right w:w="80" w:type="dxa"/>
            </w:tcMar>
          </w:tcPr>
          <w:p w14:paraId="0DAE09C7" w14:textId="77777777" w:rsidR="0079599A" w:rsidRDefault="005D4C3C">
            <w:pPr>
              <w:spacing w:after="40"/>
            </w:pPr>
            <w:r>
              <w:rPr>
                <w:color w:val="000000"/>
                <w:sz w:val="16"/>
                <w:szCs w:val="16"/>
              </w:rPr>
              <w:t xml:space="preserve">68% deploy AI monitoring; only 23% have governance frameworks; 41% trust premium in governed </w:t>
            </w:r>
            <w:proofErr w:type="spellStart"/>
            <w:r>
              <w:rPr>
                <w:color w:val="000000"/>
                <w:sz w:val="16"/>
                <w:szCs w:val="16"/>
              </w:rPr>
              <w:t>organisations</w:t>
            </w:r>
            <w:proofErr w:type="spellEnd"/>
            <w:r>
              <w:rPr>
                <w:color w:val="000000"/>
                <w:sz w:val="16"/>
                <w:szCs w:val="16"/>
              </w:rPr>
              <w:t>.</w:t>
            </w:r>
          </w:p>
        </w:tc>
      </w:tr>
    </w:tbl>
    <w:p w14:paraId="0DAE09C9" w14:textId="77777777" w:rsidR="0079599A" w:rsidRDefault="0079599A">
      <w:pPr>
        <w:spacing w:after="120"/>
      </w:pPr>
    </w:p>
    <w:p w14:paraId="0DAE09CA" w14:textId="77777777" w:rsidR="0079599A" w:rsidRDefault="005D4C3C">
      <w:pPr>
        <w:spacing w:after="180"/>
        <w:jc w:val="center"/>
      </w:pPr>
      <w:r>
        <w:rPr>
          <w:color w:val="555555"/>
          <w:sz w:val="18"/>
          <w:szCs w:val="18"/>
        </w:rPr>
        <w:t>Table 1: Thematic Summary — Note: Industry reports (Microsoft, Gartner, Deloitte) are commercially produced and non-peer-reviewed. Findings from these sources are treated as indicative and interpreted alongside peer-reviewed academic evidence.</w:t>
      </w:r>
    </w:p>
    <w:p w14:paraId="0DAE09CB" w14:textId="77777777" w:rsidR="0079599A" w:rsidRDefault="0079599A">
      <w:pPr>
        <w:spacing w:after="100"/>
      </w:pPr>
    </w:p>
    <w:p w14:paraId="0DAE09CC" w14:textId="77777777" w:rsidR="0079599A" w:rsidRDefault="005D4C3C">
      <w:pPr>
        <w:pStyle w:val="Heading2"/>
        <w:spacing w:before="280" w:after="140"/>
      </w:pPr>
      <w:r>
        <w:rPr>
          <w:b/>
          <w:bCs/>
          <w:color w:val="000000"/>
          <w:sz w:val="28"/>
          <w:szCs w:val="28"/>
        </w:rPr>
        <w:t>5.2 Theme One: The Productivity Paradox</w:t>
      </w:r>
    </w:p>
    <w:p w14:paraId="0DAE09CD" w14:textId="77777777" w:rsidR="0079599A" w:rsidRDefault="005D4C3C">
      <w:pPr>
        <w:spacing w:after="200" w:line="360" w:lineRule="auto"/>
        <w:jc w:val="both"/>
      </w:pPr>
      <w:r>
        <w:rPr>
          <w:color w:val="000000"/>
          <w:sz w:val="24"/>
          <w:szCs w:val="24"/>
        </w:rPr>
        <w:t xml:space="preserve">The most consistent finding across both evidence streams is what this study terms the productivity paradox. The Microsoft Work Trend Index (2023) reveals that 85% of </w:t>
      </w:r>
      <w:proofErr w:type="spellStart"/>
      <w:r>
        <w:rPr>
          <w:color w:val="000000"/>
          <w:sz w:val="24"/>
          <w:szCs w:val="24"/>
        </w:rPr>
        <w:t>organisational</w:t>
      </w:r>
      <w:proofErr w:type="spellEnd"/>
      <w:r>
        <w:rPr>
          <w:color w:val="000000"/>
          <w:sz w:val="24"/>
          <w:szCs w:val="24"/>
        </w:rPr>
        <w:t xml:space="preserve"> leaders report difficulty trusting remote employee productivity, whilst employees simultaneously report increased output. Bakewell et al. (2018) provide the academic explanation: AI monitoring tools systematically capture digital activity rather than genuine value creation, generating measurement artefacts that reflect system des</w:t>
      </w:r>
      <w:r>
        <w:rPr>
          <w:color w:val="000000"/>
          <w:sz w:val="24"/>
          <w:szCs w:val="24"/>
        </w:rPr>
        <w:t xml:space="preserve">ign limitations rather than actual performance. Consistent with STST, technical sophistication in monitoring has not been matched by equivalent investment in the social and managerial systems required to </w:t>
      </w:r>
      <w:proofErr w:type="spellStart"/>
      <w:r>
        <w:rPr>
          <w:color w:val="000000"/>
          <w:sz w:val="24"/>
          <w:szCs w:val="24"/>
        </w:rPr>
        <w:t>contextualise</w:t>
      </w:r>
      <w:proofErr w:type="spellEnd"/>
      <w:r>
        <w:rPr>
          <w:color w:val="000000"/>
          <w:sz w:val="24"/>
          <w:szCs w:val="24"/>
        </w:rPr>
        <w:t xml:space="preserve"> what is measured.</w:t>
      </w:r>
    </w:p>
    <w:p w14:paraId="0DAE09CE" w14:textId="77777777" w:rsidR="0079599A" w:rsidRDefault="005D4C3C">
      <w:pPr>
        <w:spacing w:after="200" w:line="360" w:lineRule="auto"/>
        <w:jc w:val="both"/>
      </w:pPr>
      <w:r>
        <w:rPr>
          <w:color w:val="000000"/>
          <w:sz w:val="24"/>
          <w:szCs w:val="24"/>
        </w:rPr>
        <w:t xml:space="preserve">Importantly, this finding does not contradict all efficiency-oriented evidence. Gusti et al. (2024) and </w:t>
      </w:r>
      <w:proofErr w:type="spellStart"/>
      <w:r>
        <w:rPr>
          <w:color w:val="000000"/>
          <w:sz w:val="24"/>
          <w:szCs w:val="24"/>
        </w:rPr>
        <w:t>Tummalapalli</w:t>
      </w:r>
      <w:proofErr w:type="spellEnd"/>
      <w:r>
        <w:rPr>
          <w:color w:val="000000"/>
          <w:sz w:val="24"/>
          <w:szCs w:val="24"/>
        </w:rPr>
        <w:t xml:space="preserve"> et al. (2025) document genuine short-term productivity improvements from AI monitoring in specific contexts. The STST framework resolves this apparent contradiction: where technical and social subsystems are balanced and where AI data is interpreted within a </w:t>
      </w:r>
      <w:r>
        <w:rPr>
          <w:color w:val="000000"/>
          <w:sz w:val="24"/>
          <w:szCs w:val="24"/>
        </w:rPr>
        <w:lastRenderedPageBreak/>
        <w:t xml:space="preserve">supportive governance framework, monitoring supports performance. Where technical subsystem bias prevails and where algorithmic outputs replace rather than inform human judgement, the trust erosion documented by Donnelly and Johns (2021) predominates. The Gartner (2023) evidence that </w:t>
      </w:r>
      <w:proofErr w:type="spellStart"/>
      <w:r>
        <w:rPr>
          <w:color w:val="000000"/>
          <w:sz w:val="24"/>
          <w:szCs w:val="24"/>
        </w:rPr>
        <w:t>organisations</w:t>
      </w:r>
      <w:proofErr w:type="spellEnd"/>
      <w:r>
        <w:rPr>
          <w:color w:val="000000"/>
          <w:sz w:val="24"/>
          <w:szCs w:val="24"/>
        </w:rPr>
        <w:t xml:space="preserve"> relying heavily on automated output metrics report a 20% reduction in employee trust over twelve months is consistent with this interpretation, albeit with the caveat that this figure derives from a commercially p</w:t>
      </w:r>
      <w:r>
        <w:rPr>
          <w:color w:val="000000"/>
          <w:sz w:val="24"/>
          <w:szCs w:val="24"/>
        </w:rPr>
        <w:t>roduced source.</w:t>
      </w:r>
    </w:p>
    <w:p w14:paraId="0DAE09CF" w14:textId="77777777" w:rsidR="0079599A" w:rsidRDefault="005D4C3C">
      <w:pPr>
        <w:pStyle w:val="Heading2"/>
        <w:spacing w:before="280" w:after="140"/>
      </w:pPr>
      <w:r>
        <w:rPr>
          <w:b/>
          <w:bCs/>
          <w:color w:val="000000"/>
          <w:sz w:val="28"/>
          <w:szCs w:val="28"/>
        </w:rPr>
        <w:t>5.3 Theme Two: The Fairness Deficit and Psychological Contract Effects</w:t>
      </w:r>
    </w:p>
    <w:p w14:paraId="0DAE09D0" w14:textId="77777777" w:rsidR="0079599A" w:rsidRDefault="005D4C3C">
      <w:pPr>
        <w:spacing w:after="200" w:line="360" w:lineRule="auto"/>
        <w:jc w:val="both"/>
      </w:pPr>
      <w:r>
        <w:rPr>
          <w:color w:val="000000"/>
          <w:sz w:val="24"/>
          <w:szCs w:val="24"/>
        </w:rPr>
        <w:t xml:space="preserve">The second theme concerns the relationship between AI-driven performance evaluation and employee perceptions of fairness. The Deloitte (2023) practice evidence, acknowledged as commercially produced and indicative, identifies </w:t>
      </w:r>
      <w:proofErr w:type="spellStart"/>
      <w:r>
        <w:rPr>
          <w:color w:val="000000"/>
          <w:sz w:val="24"/>
          <w:szCs w:val="24"/>
        </w:rPr>
        <w:t>organisational</w:t>
      </w:r>
      <w:proofErr w:type="spellEnd"/>
      <w:r>
        <w:rPr>
          <w:color w:val="000000"/>
          <w:sz w:val="24"/>
          <w:szCs w:val="24"/>
        </w:rPr>
        <w:t xml:space="preserve"> fairness as the single most significant predictor of employee retention in hybrid work environments, ranking above compensation. Yet only 42% of employees under automated performance management perceive their evaluations to be procedurally fair, falling to 31% among fully remote workers.</w:t>
      </w:r>
    </w:p>
    <w:p w14:paraId="0DAE09D1" w14:textId="77777777" w:rsidR="0079599A" w:rsidRDefault="005D4C3C">
      <w:pPr>
        <w:spacing w:after="200" w:line="360" w:lineRule="auto"/>
        <w:jc w:val="both"/>
      </w:pPr>
      <w:r>
        <w:rPr>
          <w:color w:val="000000"/>
          <w:sz w:val="24"/>
          <w:szCs w:val="24"/>
        </w:rPr>
        <w:t>The academic literature provides the explanatory mechanism. Greenberg (1987) establishes that procedural justice depends on process transparency, the right to voice concerns, and consistent application of evaluation criteria. AI monitoring systems, as currently deployed, frequently fail on all three dimensions (Raj et al., 2023). Convergent findings from Donnelly and Johns (2021) using qualitative methods and Mabaso and Manuel (2024) using quantitative methods strengthen confidence that this fairness defici</w:t>
      </w:r>
      <w:r>
        <w:rPr>
          <w:color w:val="000000"/>
          <w:sz w:val="24"/>
          <w:szCs w:val="24"/>
        </w:rPr>
        <w:t xml:space="preserve">t is a robust empirical finding rather than a methodological artefact. Guest and Conway (2002) demonstrate that perceived psychological contract breach is associated with significant and sustained declines in </w:t>
      </w:r>
      <w:proofErr w:type="spellStart"/>
      <w:r>
        <w:rPr>
          <w:color w:val="000000"/>
          <w:sz w:val="24"/>
          <w:szCs w:val="24"/>
        </w:rPr>
        <w:t>organisational</w:t>
      </w:r>
      <w:proofErr w:type="spellEnd"/>
      <w:r>
        <w:rPr>
          <w:color w:val="000000"/>
          <w:sz w:val="24"/>
          <w:szCs w:val="24"/>
        </w:rPr>
        <w:t xml:space="preserve"> commitment, suggesting lasting strategic HRM consequences.</w:t>
      </w:r>
    </w:p>
    <w:p w14:paraId="0DAE09D2" w14:textId="77777777" w:rsidR="0079599A" w:rsidRDefault="005D4C3C">
      <w:pPr>
        <w:pStyle w:val="Heading2"/>
        <w:spacing w:before="280" w:after="140"/>
      </w:pPr>
      <w:r>
        <w:rPr>
          <w:b/>
          <w:bCs/>
          <w:color w:val="000000"/>
          <w:sz w:val="28"/>
          <w:szCs w:val="28"/>
        </w:rPr>
        <w:t>5.4 Theme Three: The Leadership Displacement Effect and HPWS Implications</w:t>
      </w:r>
    </w:p>
    <w:p w14:paraId="0DAE09D3" w14:textId="77777777" w:rsidR="0079599A" w:rsidRDefault="005D4C3C">
      <w:pPr>
        <w:spacing w:after="200" w:line="360" w:lineRule="auto"/>
        <w:jc w:val="both"/>
      </w:pPr>
      <w:r>
        <w:rPr>
          <w:color w:val="000000"/>
          <w:sz w:val="24"/>
          <w:szCs w:val="24"/>
        </w:rPr>
        <w:t xml:space="preserve">The third theme concerns the relationship between AI monitoring and managerial leadership. The Microsoft Work Trend Index (2023) finds that 49% of </w:t>
      </w:r>
      <w:proofErr w:type="spellStart"/>
      <w:r>
        <w:rPr>
          <w:color w:val="000000"/>
          <w:sz w:val="24"/>
          <w:szCs w:val="24"/>
        </w:rPr>
        <w:t>managers</w:t>
      </w:r>
      <w:proofErr w:type="spellEnd"/>
      <w:r>
        <w:rPr>
          <w:color w:val="000000"/>
          <w:sz w:val="24"/>
          <w:szCs w:val="24"/>
        </w:rPr>
        <w:t xml:space="preserve"> report feeling ill-equipped to navigate the tension between algorithmic performance data and their own professional judgement. The structural cause is the transition to algorithmic management without corresponding investment in developing managers' capacity to critically interrogate, </w:t>
      </w:r>
      <w:proofErr w:type="spellStart"/>
      <w:r>
        <w:rPr>
          <w:color w:val="000000"/>
          <w:sz w:val="24"/>
          <w:szCs w:val="24"/>
        </w:rPr>
        <w:t>contextualise</w:t>
      </w:r>
      <w:proofErr w:type="spellEnd"/>
      <w:r>
        <w:rPr>
          <w:color w:val="000000"/>
          <w:sz w:val="24"/>
          <w:szCs w:val="24"/>
        </w:rPr>
        <w:t>, and challenge what monitoring systems produce (</w:t>
      </w:r>
      <w:proofErr w:type="spellStart"/>
      <w:r>
        <w:rPr>
          <w:color w:val="000000"/>
          <w:sz w:val="24"/>
          <w:szCs w:val="24"/>
        </w:rPr>
        <w:t>Schrettenbrunner</w:t>
      </w:r>
      <w:proofErr w:type="spellEnd"/>
      <w:r>
        <w:rPr>
          <w:color w:val="000000"/>
          <w:sz w:val="24"/>
          <w:szCs w:val="24"/>
        </w:rPr>
        <w:t>, 2020).</w:t>
      </w:r>
    </w:p>
    <w:p w14:paraId="0DAE09D4" w14:textId="77777777" w:rsidR="0079599A" w:rsidRDefault="005D4C3C">
      <w:pPr>
        <w:spacing w:after="200" w:line="360" w:lineRule="auto"/>
        <w:jc w:val="both"/>
      </w:pPr>
      <w:r>
        <w:rPr>
          <w:color w:val="000000"/>
          <w:sz w:val="24"/>
          <w:szCs w:val="24"/>
        </w:rPr>
        <w:lastRenderedPageBreak/>
        <w:t xml:space="preserve">The Gartner (2023) evidence, treated as indicative given its commercial provenance, provides the quantitative dimension: in </w:t>
      </w:r>
      <w:proofErr w:type="spellStart"/>
      <w:r>
        <w:rPr>
          <w:color w:val="000000"/>
          <w:sz w:val="24"/>
          <w:szCs w:val="24"/>
        </w:rPr>
        <w:t>organisations</w:t>
      </w:r>
      <w:proofErr w:type="spellEnd"/>
      <w:r>
        <w:rPr>
          <w:color w:val="000000"/>
          <w:sz w:val="24"/>
          <w:szCs w:val="24"/>
        </w:rPr>
        <w:t xml:space="preserve"> where managers defer primarily to AI metrics, employee-reported psychological safety declines by 34% compared to teams managed through a combination of data and human judgement. This is directionally consistent with Kowalski and </w:t>
      </w:r>
      <w:proofErr w:type="spellStart"/>
      <w:r>
        <w:rPr>
          <w:color w:val="000000"/>
          <w:sz w:val="24"/>
          <w:szCs w:val="24"/>
        </w:rPr>
        <w:t>Slebarska</w:t>
      </w:r>
      <w:proofErr w:type="spellEnd"/>
      <w:r>
        <w:rPr>
          <w:color w:val="000000"/>
          <w:sz w:val="24"/>
          <w:szCs w:val="24"/>
        </w:rPr>
        <w:t xml:space="preserve"> (2022)'s peer-reviewed quantitative study, which finds that directive, metrics-focused leadership styles are associated with reduced performance in remote contexts. The convergence across methodologically different sources strengthens the conclusion.</w:t>
      </w:r>
    </w:p>
    <w:p w14:paraId="0DAE09D5" w14:textId="77777777" w:rsidR="0079599A" w:rsidRDefault="005D4C3C">
      <w:pPr>
        <w:spacing w:after="200" w:line="360" w:lineRule="auto"/>
        <w:jc w:val="both"/>
      </w:pPr>
      <w:r>
        <w:rPr>
          <w:b/>
          <w:bCs/>
          <w:color w:val="000000"/>
          <w:sz w:val="24"/>
          <w:szCs w:val="24"/>
        </w:rPr>
        <w:t>The constructive qualification.</w:t>
      </w:r>
    </w:p>
    <w:p w14:paraId="0DAE09D6" w14:textId="77777777" w:rsidR="0079599A" w:rsidRDefault="005D4C3C">
      <w:pPr>
        <w:spacing w:after="200" w:line="360" w:lineRule="auto"/>
        <w:jc w:val="both"/>
      </w:pPr>
      <w:r>
        <w:rPr>
          <w:color w:val="000000"/>
          <w:sz w:val="24"/>
          <w:szCs w:val="24"/>
        </w:rPr>
        <w:t xml:space="preserve">Deloitte (2023) data indicates that </w:t>
      </w:r>
      <w:proofErr w:type="spellStart"/>
      <w:r>
        <w:rPr>
          <w:color w:val="000000"/>
          <w:sz w:val="24"/>
          <w:szCs w:val="24"/>
        </w:rPr>
        <w:t>organisations</w:t>
      </w:r>
      <w:proofErr w:type="spellEnd"/>
      <w:r>
        <w:rPr>
          <w:color w:val="000000"/>
          <w:sz w:val="24"/>
          <w:szCs w:val="24"/>
        </w:rPr>
        <w:t xml:space="preserve"> </w:t>
      </w:r>
      <w:proofErr w:type="spellStart"/>
      <w:r>
        <w:rPr>
          <w:color w:val="000000"/>
          <w:sz w:val="24"/>
          <w:szCs w:val="24"/>
        </w:rPr>
        <w:t>practising</w:t>
      </w:r>
      <w:proofErr w:type="spellEnd"/>
      <w:r>
        <w:rPr>
          <w:color w:val="000000"/>
          <w:sz w:val="24"/>
          <w:szCs w:val="24"/>
        </w:rPr>
        <w:t xml:space="preserve"> human-</w:t>
      </w:r>
      <w:proofErr w:type="spellStart"/>
      <w:r>
        <w:rPr>
          <w:color w:val="000000"/>
          <w:sz w:val="24"/>
          <w:szCs w:val="24"/>
        </w:rPr>
        <w:t>centred</w:t>
      </w:r>
      <w:proofErr w:type="spellEnd"/>
      <w:r>
        <w:rPr>
          <w:color w:val="000000"/>
          <w:sz w:val="24"/>
          <w:szCs w:val="24"/>
        </w:rPr>
        <w:t xml:space="preserve"> AI governance, specifically training managers to treat algorithmic data as one input rather than a definitive verdict, report significantly higher levels of both employee trust and sustained productivity. This is consistent with STST's prediction that performance depends on alignment between technical and social subsystems, and with HPWS evidence that high-performance environments require both appropriate technology and skilled human management (</w:t>
      </w:r>
      <w:proofErr w:type="spellStart"/>
      <w:r>
        <w:rPr>
          <w:color w:val="000000"/>
          <w:sz w:val="24"/>
          <w:szCs w:val="24"/>
        </w:rPr>
        <w:t>Huselid</w:t>
      </w:r>
      <w:proofErr w:type="spellEnd"/>
      <w:r>
        <w:rPr>
          <w:color w:val="000000"/>
          <w:sz w:val="24"/>
          <w:szCs w:val="24"/>
        </w:rPr>
        <w:t>, 1995; Appelbaum et al., 2000). The positive evidence from efficiency-oriented research (Gusti et al., 2024) is reconcilable with critical findings when governance quality is treated as the moderating variable.</w:t>
      </w:r>
    </w:p>
    <w:p w14:paraId="0DAE09D7" w14:textId="77777777" w:rsidR="0079599A" w:rsidRDefault="005D4C3C">
      <w:pPr>
        <w:pStyle w:val="Heading2"/>
        <w:spacing w:before="280" w:after="140"/>
      </w:pPr>
      <w:r>
        <w:rPr>
          <w:b/>
          <w:bCs/>
          <w:color w:val="000000"/>
          <w:sz w:val="28"/>
          <w:szCs w:val="28"/>
        </w:rPr>
        <w:t>5.5 Theme Four: The Governance Gap</w:t>
      </w:r>
    </w:p>
    <w:p w14:paraId="0DAE09D8" w14:textId="77777777" w:rsidR="0079599A" w:rsidRDefault="005D4C3C">
      <w:pPr>
        <w:spacing w:after="200" w:line="360" w:lineRule="auto"/>
        <w:jc w:val="both"/>
      </w:pPr>
      <w:r>
        <w:rPr>
          <w:color w:val="000000"/>
          <w:sz w:val="24"/>
          <w:szCs w:val="24"/>
        </w:rPr>
        <w:t xml:space="preserve">The fourth theme concerns the striking gap between the pace of AI deployment (68% of </w:t>
      </w:r>
      <w:proofErr w:type="spellStart"/>
      <w:r>
        <w:rPr>
          <w:color w:val="000000"/>
          <w:sz w:val="24"/>
          <w:szCs w:val="24"/>
        </w:rPr>
        <w:t>organisations</w:t>
      </w:r>
      <w:proofErr w:type="spellEnd"/>
      <w:r>
        <w:rPr>
          <w:color w:val="000000"/>
          <w:sz w:val="24"/>
          <w:szCs w:val="24"/>
        </w:rPr>
        <w:t xml:space="preserve">) and the development of adequate governance frameworks (23% of </w:t>
      </w:r>
      <w:proofErr w:type="spellStart"/>
      <w:r>
        <w:rPr>
          <w:color w:val="000000"/>
          <w:sz w:val="24"/>
          <w:szCs w:val="24"/>
        </w:rPr>
        <w:t>organisations</w:t>
      </w:r>
      <w:proofErr w:type="spellEnd"/>
      <w:r>
        <w:rPr>
          <w:color w:val="000000"/>
          <w:sz w:val="24"/>
          <w:szCs w:val="24"/>
        </w:rPr>
        <w:t>), as documented in the Deloitte (2023) report. This gap has implications across multiple dimensions: legally, it creates exposure under UK GDPR, which requires transparency and meaningful human review of automated employment decisions; strategically, it generates the trust, fairness, and motivational deficits documented in the preceding themes; and from a Strategic HRM perspective, it represents a failure to manage the employment relationship with the intentionality HPWS research identifies as essential.</w:t>
      </w:r>
    </w:p>
    <w:p w14:paraId="0DAE09D9" w14:textId="77777777" w:rsidR="0079599A" w:rsidRDefault="005D4C3C">
      <w:pPr>
        <w:spacing w:after="200" w:line="360" w:lineRule="auto"/>
        <w:jc w:val="both"/>
      </w:pPr>
      <w:r>
        <w:rPr>
          <w:color w:val="000000"/>
          <w:sz w:val="24"/>
          <w:szCs w:val="24"/>
        </w:rPr>
        <w:t xml:space="preserve">The Microsoft (2023) evidence, acknowledged as commercially produced, indicates that employees in </w:t>
      </w:r>
      <w:proofErr w:type="spellStart"/>
      <w:r>
        <w:rPr>
          <w:color w:val="000000"/>
          <w:sz w:val="24"/>
          <w:szCs w:val="24"/>
        </w:rPr>
        <w:t>organisations</w:t>
      </w:r>
      <w:proofErr w:type="spellEnd"/>
      <w:r>
        <w:rPr>
          <w:color w:val="000000"/>
          <w:sz w:val="24"/>
          <w:szCs w:val="24"/>
        </w:rPr>
        <w:t xml:space="preserve"> with clearly communicated AI governance policies report 41% higher levels of </w:t>
      </w:r>
      <w:proofErr w:type="spellStart"/>
      <w:r>
        <w:rPr>
          <w:color w:val="000000"/>
          <w:sz w:val="24"/>
          <w:szCs w:val="24"/>
        </w:rPr>
        <w:t>organisational</w:t>
      </w:r>
      <w:proofErr w:type="spellEnd"/>
      <w:r>
        <w:rPr>
          <w:color w:val="000000"/>
          <w:sz w:val="24"/>
          <w:szCs w:val="24"/>
        </w:rPr>
        <w:t xml:space="preserve"> trust than those in governance vacuums. This figure is directionally consistent with the academic literature's prediction of STST equilibrium benefits and represents a significant and readily achievable </w:t>
      </w:r>
      <w:proofErr w:type="spellStart"/>
      <w:r>
        <w:rPr>
          <w:color w:val="000000"/>
          <w:sz w:val="24"/>
          <w:szCs w:val="24"/>
        </w:rPr>
        <w:t>organisational</w:t>
      </w:r>
      <w:proofErr w:type="spellEnd"/>
      <w:r>
        <w:rPr>
          <w:color w:val="000000"/>
          <w:sz w:val="24"/>
          <w:szCs w:val="24"/>
        </w:rPr>
        <w:t xml:space="preserve"> return on a relatively modest </w:t>
      </w:r>
      <w:r>
        <w:rPr>
          <w:color w:val="000000"/>
          <w:sz w:val="24"/>
          <w:szCs w:val="24"/>
        </w:rPr>
        <w:lastRenderedPageBreak/>
        <w:t xml:space="preserve">policy investment. </w:t>
      </w:r>
      <w:proofErr w:type="spellStart"/>
      <w:r>
        <w:rPr>
          <w:color w:val="000000"/>
          <w:sz w:val="24"/>
          <w:szCs w:val="24"/>
        </w:rPr>
        <w:t>Synthesising</w:t>
      </w:r>
      <w:proofErr w:type="spellEnd"/>
      <w:r>
        <w:rPr>
          <w:color w:val="000000"/>
          <w:sz w:val="24"/>
          <w:szCs w:val="24"/>
        </w:rPr>
        <w:t xml:space="preserve"> across all four themes, the productivity paradox, fairness deficit, leadership displacement effect, and governance gap are interconnected manifestations of a single underlying failure: the deployment of AI monitoring systems without adequate alignment between technical and social subsystems.</w:t>
      </w:r>
    </w:p>
    <w:p w14:paraId="0DAE09DA" w14:textId="77777777" w:rsidR="0079599A" w:rsidRDefault="005D4C3C">
      <w:pPr>
        <w:pStyle w:val="Heading1"/>
        <w:spacing w:before="360" w:after="180"/>
      </w:pPr>
      <w:r>
        <w:rPr>
          <w:b/>
          <w:bCs/>
          <w:color w:val="000000"/>
          <w:sz w:val="28"/>
          <w:szCs w:val="28"/>
        </w:rPr>
        <w:t>6. Discussion</w:t>
      </w:r>
    </w:p>
    <w:p w14:paraId="0DAE09DB" w14:textId="77777777" w:rsidR="0079599A" w:rsidRDefault="005D4C3C">
      <w:pPr>
        <w:pStyle w:val="Heading2"/>
        <w:spacing w:before="280" w:after="140"/>
      </w:pPr>
      <w:r>
        <w:rPr>
          <w:b/>
          <w:bCs/>
          <w:color w:val="000000"/>
          <w:sz w:val="28"/>
          <w:szCs w:val="28"/>
        </w:rPr>
        <w:t>6.1 Interpreting the Findings Through the Theoretical Framework</w:t>
      </w:r>
    </w:p>
    <w:p w14:paraId="0DAE09DC" w14:textId="77777777" w:rsidR="0079599A" w:rsidRDefault="005D4C3C">
      <w:pPr>
        <w:spacing w:after="200" w:line="360" w:lineRule="auto"/>
        <w:jc w:val="both"/>
      </w:pPr>
      <w:r>
        <w:rPr>
          <w:color w:val="000000"/>
          <w:sz w:val="24"/>
          <w:szCs w:val="24"/>
        </w:rPr>
        <w:t xml:space="preserve">The four themes collectively reveal a fundamental tension in contemporary remote work management. </w:t>
      </w:r>
      <w:proofErr w:type="spellStart"/>
      <w:r>
        <w:rPr>
          <w:color w:val="000000"/>
          <w:sz w:val="24"/>
          <w:szCs w:val="24"/>
        </w:rPr>
        <w:t>Organisations</w:t>
      </w:r>
      <w:proofErr w:type="spellEnd"/>
      <w:r>
        <w:rPr>
          <w:color w:val="000000"/>
          <w:sz w:val="24"/>
          <w:szCs w:val="24"/>
        </w:rPr>
        <w:t xml:space="preserve"> have invested heavily in the technical subsystem of performance management, specifically AI monitoring platforms, productivity analytics, and automated appraisal tools, without making equivalent investment in the human social subsystem, specifically governance frameworks, manager development, employee voice mechanisms, and transparent communication.</w:t>
      </w:r>
    </w:p>
    <w:p w14:paraId="0DAE09DD" w14:textId="77777777" w:rsidR="0079599A" w:rsidRDefault="005D4C3C">
      <w:pPr>
        <w:spacing w:after="200" w:line="360" w:lineRule="auto"/>
        <w:jc w:val="both"/>
      </w:pPr>
      <w:r>
        <w:rPr>
          <w:color w:val="000000"/>
          <w:sz w:val="24"/>
          <w:szCs w:val="24"/>
        </w:rPr>
        <w:t xml:space="preserve">From the STST perspective, the findings provide consistent empirical support for the prediction that technical subsystem bias generates </w:t>
      </w:r>
      <w:proofErr w:type="spellStart"/>
      <w:r>
        <w:rPr>
          <w:color w:val="000000"/>
          <w:sz w:val="24"/>
          <w:szCs w:val="24"/>
        </w:rPr>
        <w:t>organisational</w:t>
      </w:r>
      <w:proofErr w:type="spellEnd"/>
      <w:r>
        <w:rPr>
          <w:color w:val="000000"/>
          <w:sz w:val="24"/>
          <w:szCs w:val="24"/>
        </w:rPr>
        <w:t xml:space="preserve"> dysfunction. The productivity paradox is the most visible result: algorithmic systems measuring motion whilst </w:t>
      </w:r>
      <w:proofErr w:type="spellStart"/>
      <w:r>
        <w:rPr>
          <w:color w:val="000000"/>
          <w:sz w:val="24"/>
          <w:szCs w:val="24"/>
        </w:rPr>
        <w:t>organisations</w:t>
      </w:r>
      <w:proofErr w:type="spellEnd"/>
      <w:r>
        <w:rPr>
          <w:color w:val="000000"/>
          <w:sz w:val="24"/>
          <w:szCs w:val="24"/>
        </w:rPr>
        <w:t xml:space="preserve"> need to understand meaning. The </w:t>
      </w:r>
      <w:proofErr w:type="spellStart"/>
      <w:r>
        <w:rPr>
          <w:color w:val="000000"/>
          <w:sz w:val="24"/>
          <w:szCs w:val="24"/>
        </w:rPr>
        <w:t>Organisational</w:t>
      </w:r>
      <w:proofErr w:type="spellEnd"/>
      <w:r>
        <w:rPr>
          <w:color w:val="000000"/>
          <w:sz w:val="24"/>
          <w:szCs w:val="24"/>
        </w:rPr>
        <w:t xml:space="preserve"> Justice analysis deepens this interpretation: the finding that only 42% of employees perceive evaluations as procedurally fair reflects the systematic removal of the conditions under which p</w:t>
      </w:r>
      <w:r>
        <w:rPr>
          <w:color w:val="000000"/>
          <w:sz w:val="24"/>
          <w:szCs w:val="24"/>
        </w:rPr>
        <w:t>rocedural justice can be experienced. Adams' Equity Theory illuminates the motivational consequences: employees withdraw discretionary effort as a rational response to a process they have judged as fundamentally unfair.</w:t>
      </w:r>
    </w:p>
    <w:p w14:paraId="0DAE09DE" w14:textId="77777777" w:rsidR="0079599A" w:rsidRDefault="005D4C3C">
      <w:pPr>
        <w:spacing w:after="200" w:line="360" w:lineRule="auto"/>
        <w:jc w:val="both"/>
      </w:pPr>
      <w:r>
        <w:rPr>
          <w:color w:val="000000"/>
          <w:sz w:val="24"/>
          <w:szCs w:val="24"/>
        </w:rPr>
        <w:t xml:space="preserve">The Self-Determination Theory analysis completes the picture at the individual level. The leadership displacement effect simultaneously erodes all three psychological needs upon which intrinsic motivation depends. The HPWS literature reinforces this conclusion: high performance requires not just appropriate technology but the skilled human management that AI monitoring, as currently governed, appears to be displacing. Critically, the positive evidence from efficiency-oriented research (Gusti et al., 2024; </w:t>
      </w:r>
      <w:proofErr w:type="spellStart"/>
      <w:r>
        <w:rPr>
          <w:color w:val="000000"/>
          <w:sz w:val="24"/>
          <w:szCs w:val="24"/>
        </w:rPr>
        <w:t>T</w:t>
      </w:r>
      <w:r>
        <w:rPr>
          <w:color w:val="000000"/>
          <w:sz w:val="24"/>
          <w:szCs w:val="24"/>
        </w:rPr>
        <w:t>ummalapalli</w:t>
      </w:r>
      <w:proofErr w:type="spellEnd"/>
      <w:r>
        <w:rPr>
          <w:color w:val="000000"/>
          <w:sz w:val="24"/>
          <w:szCs w:val="24"/>
        </w:rPr>
        <w:t xml:space="preserve"> et al., 2025) is not dismissed. It is </w:t>
      </w:r>
      <w:proofErr w:type="spellStart"/>
      <w:r>
        <w:rPr>
          <w:color w:val="000000"/>
          <w:sz w:val="24"/>
          <w:szCs w:val="24"/>
        </w:rPr>
        <w:t>contextualised</w:t>
      </w:r>
      <w:proofErr w:type="spellEnd"/>
      <w:r>
        <w:rPr>
          <w:color w:val="000000"/>
          <w:sz w:val="24"/>
          <w:szCs w:val="24"/>
        </w:rPr>
        <w:t xml:space="preserve">. Where governance is in place and STST equilibrium is maintained, those positive outcomes can be </w:t>
      </w:r>
      <w:proofErr w:type="spellStart"/>
      <w:r>
        <w:rPr>
          <w:color w:val="000000"/>
          <w:sz w:val="24"/>
          <w:szCs w:val="24"/>
        </w:rPr>
        <w:t>realised</w:t>
      </w:r>
      <w:proofErr w:type="spellEnd"/>
      <w:r>
        <w:rPr>
          <w:color w:val="000000"/>
          <w:sz w:val="24"/>
          <w:szCs w:val="24"/>
        </w:rPr>
        <w:t>. The governance gap explains why they are currently the exception rather than the rule.</w:t>
      </w:r>
    </w:p>
    <w:p w14:paraId="0DAE09DF" w14:textId="77777777" w:rsidR="0079599A" w:rsidRDefault="005D4C3C">
      <w:pPr>
        <w:pStyle w:val="Heading2"/>
        <w:spacing w:before="280" w:after="140"/>
      </w:pPr>
      <w:r>
        <w:rPr>
          <w:b/>
          <w:bCs/>
          <w:color w:val="000000"/>
          <w:sz w:val="28"/>
          <w:szCs w:val="28"/>
        </w:rPr>
        <w:lastRenderedPageBreak/>
        <w:t>6.2 The Central Argument: Governance as Strategic HRM Practice</w:t>
      </w:r>
    </w:p>
    <w:p w14:paraId="0DAE09E0" w14:textId="77777777" w:rsidR="0079599A" w:rsidRDefault="005D4C3C">
      <w:pPr>
        <w:spacing w:after="200" w:line="360" w:lineRule="auto"/>
        <w:jc w:val="both"/>
      </w:pPr>
      <w:r>
        <w:rPr>
          <w:b/>
          <w:bCs/>
          <w:color w:val="000000"/>
          <w:sz w:val="24"/>
          <w:szCs w:val="24"/>
        </w:rPr>
        <w:t>Original contribution.</w:t>
      </w:r>
    </w:p>
    <w:p w14:paraId="0DAE09E1" w14:textId="77777777" w:rsidR="0079599A" w:rsidRDefault="005D4C3C">
      <w:pPr>
        <w:spacing w:after="200" w:line="360" w:lineRule="auto"/>
        <w:jc w:val="both"/>
      </w:pPr>
      <w:r>
        <w:rPr>
          <w:color w:val="000000"/>
          <w:sz w:val="24"/>
          <w:szCs w:val="24"/>
        </w:rPr>
        <w:t xml:space="preserve">This study advances a central argument with a specific conceptual contribution to the existing literature: the governance of AI-enabled performance management is not a technical or compliance matter but a strategic HRM practice that determines whether AI monitoring functions as an </w:t>
      </w:r>
      <w:proofErr w:type="spellStart"/>
      <w:r>
        <w:rPr>
          <w:color w:val="000000"/>
          <w:sz w:val="24"/>
          <w:szCs w:val="24"/>
        </w:rPr>
        <w:t>organisational</w:t>
      </w:r>
      <w:proofErr w:type="spellEnd"/>
      <w:r>
        <w:rPr>
          <w:color w:val="000000"/>
          <w:sz w:val="24"/>
          <w:szCs w:val="24"/>
        </w:rPr>
        <w:t xml:space="preserve"> asset or liability. Prior literature has identified the governance gap as a problem without providing a theoretical account of what effective governance should achieve or why it matters for performance. This study p</w:t>
      </w:r>
      <w:r>
        <w:rPr>
          <w:color w:val="000000"/>
          <w:sz w:val="24"/>
          <w:szCs w:val="24"/>
        </w:rPr>
        <w:t>rovides that account by demonstrating that governance quality determines the balance between technical and human subsystems, and that this balance, rather than the technology itself, is the decisive variable in determining employee outcomes.</w:t>
      </w:r>
    </w:p>
    <w:p w14:paraId="0DAE09E2" w14:textId="77777777" w:rsidR="0079599A" w:rsidRDefault="005D4C3C">
      <w:pPr>
        <w:spacing w:after="200" w:line="360" w:lineRule="auto"/>
        <w:jc w:val="both"/>
      </w:pPr>
      <w:r>
        <w:rPr>
          <w:color w:val="000000"/>
          <w:sz w:val="24"/>
          <w:szCs w:val="24"/>
        </w:rPr>
        <w:t xml:space="preserve">What distinguishes </w:t>
      </w:r>
      <w:proofErr w:type="spellStart"/>
      <w:r>
        <w:rPr>
          <w:color w:val="000000"/>
          <w:sz w:val="24"/>
          <w:szCs w:val="24"/>
        </w:rPr>
        <w:t>organisations</w:t>
      </w:r>
      <w:proofErr w:type="spellEnd"/>
      <w:r>
        <w:rPr>
          <w:color w:val="000000"/>
          <w:sz w:val="24"/>
          <w:szCs w:val="24"/>
        </w:rPr>
        <w:t xml:space="preserve"> with effective governance is their philosophical and practical commitment to treating algorithmic data as one input into human managerial judgement rather than a substitute for it. This is the application of the STST equilibrium principle in practice: maintaining genuine alignment between technical capability and the human social systems within which that capability operates. The principle can be </w:t>
      </w:r>
      <w:proofErr w:type="spellStart"/>
      <w:r>
        <w:rPr>
          <w:color w:val="000000"/>
          <w:sz w:val="24"/>
          <w:szCs w:val="24"/>
        </w:rPr>
        <w:t>summarised</w:t>
      </w:r>
      <w:proofErr w:type="spellEnd"/>
      <w:r>
        <w:rPr>
          <w:color w:val="000000"/>
          <w:sz w:val="24"/>
          <w:szCs w:val="24"/>
        </w:rPr>
        <w:t xml:space="preserve"> as: AI informs. The manager decides. That is managerial stewardship.</w:t>
      </w:r>
    </w:p>
    <w:p w14:paraId="0DAE09E3" w14:textId="77777777" w:rsidR="0079599A" w:rsidRDefault="005D4C3C">
      <w:pPr>
        <w:pStyle w:val="Heading2"/>
        <w:spacing w:before="280" w:after="140"/>
      </w:pPr>
      <w:r>
        <w:rPr>
          <w:b/>
          <w:bCs/>
          <w:color w:val="000000"/>
          <w:sz w:val="28"/>
          <w:szCs w:val="28"/>
        </w:rPr>
        <w:t>6.3 Contributions to and Gaps in the Existing Literature</w:t>
      </w:r>
    </w:p>
    <w:p w14:paraId="0DAE09E4" w14:textId="77777777" w:rsidR="0079599A" w:rsidRDefault="005D4C3C">
      <w:pPr>
        <w:spacing w:after="200" w:line="360" w:lineRule="auto"/>
        <w:jc w:val="both"/>
      </w:pPr>
      <w:r>
        <w:rPr>
          <w:color w:val="000000"/>
          <w:sz w:val="24"/>
          <w:szCs w:val="24"/>
        </w:rPr>
        <w:t xml:space="preserve">This study identifies an important gap that future research should address. Much of the existing scholarship frames the debate about AI performance management as a binary choice between humanistic management values and technological surveillance. This framing is insufficient for practitioners who must navigate both simultaneously. The evidence consistently points to the need for integrated governance frameworks that combine algorithmic data and human judgement in a principled, transparent, and contextually </w:t>
      </w:r>
      <w:r>
        <w:rPr>
          <w:color w:val="000000"/>
          <w:sz w:val="24"/>
          <w:szCs w:val="24"/>
        </w:rPr>
        <w:t>sensitive way.</w:t>
      </w:r>
    </w:p>
    <w:p w14:paraId="0DAE09E5" w14:textId="77777777" w:rsidR="0079599A" w:rsidRDefault="005D4C3C">
      <w:pPr>
        <w:pStyle w:val="Heading1"/>
        <w:spacing w:before="360" w:after="180"/>
      </w:pPr>
      <w:r>
        <w:rPr>
          <w:b/>
          <w:bCs/>
          <w:color w:val="000000"/>
          <w:sz w:val="28"/>
          <w:szCs w:val="28"/>
        </w:rPr>
        <w:t>7. Conclusion and Recommendations</w:t>
      </w:r>
    </w:p>
    <w:p w14:paraId="0DAE09E6" w14:textId="77777777" w:rsidR="0079599A" w:rsidRDefault="005D4C3C">
      <w:pPr>
        <w:pStyle w:val="Heading2"/>
        <w:spacing w:before="280" w:after="140"/>
      </w:pPr>
      <w:r>
        <w:rPr>
          <w:b/>
          <w:bCs/>
          <w:color w:val="000000"/>
          <w:sz w:val="28"/>
          <w:szCs w:val="28"/>
        </w:rPr>
        <w:t>7.1 Summary of Key Findings</w:t>
      </w:r>
    </w:p>
    <w:p w14:paraId="0DAE09E7" w14:textId="77777777" w:rsidR="0079599A" w:rsidRDefault="005D4C3C">
      <w:pPr>
        <w:spacing w:after="200" w:line="360" w:lineRule="auto"/>
        <w:jc w:val="both"/>
      </w:pPr>
      <w:r>
        <w:rPr>
          <w:color w:val="000000"/>
          <w:sz w:val="24"/>
          <w:szCs w:val="24"/>
        </w:rPr>
        <w:t xml:space="preserve">This pilot study set out to identify the </w:t>
      </w:r>
      <w:proofErr w:type="spellStart"/>
      <w:r>
        <w:rPr>
          <w:color w:val="000000"/>
          <w:sz w:val="24"/>
          <w:szCs w:val="24"/>
        </w:rPr>
        <w:t>organisational</w:t>
      </w:r>
      <w:proofErr w:type="spellEnd"/>
      <w:r>
        <w:rPr>
          <w:color w:val="000000"/>
          <w:sz w:val="24"/>
          <w:szCs w:val="24"/>
        </w:rPr>
        <w:t xml:space="preserve"> conditions under which AI-enabled performance management supports rather than undermines employee engagement and effectiveness. Through systematic document analysis of both academic and practitioner evidence, interpreted through a tiered theoretical framework anchored in STST, four dominant </w:t>
      </w:r>
      <w:r>
        <w:rPr>
          <w:color w:val="000000"/>
          <w:sz w:val="24"/>
          <w:szCs w:val="24"/>
        </w:rPr>
        <w:lastRenderedPageBreak/>
        <w:t>themes were identified through an inductive two-cycle thematic analysis: a productivity paradox rooted in measurement paradigm limitations; a systemic fairness deficit arising from the absence of governance; a leadership displacement effect driven by inadequate manager development; and a governance gap reflecting systematic under-investment in human social systems relative to technical deployment.</w:t>
      </w:r>
    </w:p>
    <w:p w14:paraId="0DAE09E8" w14:textId="77777777" w:rsidR="0079599A" w:rsidRDefault="005D4C3C">
      <w:pPr>
        <w:pStyle w:val="Heading2"/>
        <w:spacing w:before="280" w:after="140"/>
      </w:pPr>
      <w:r>
        <w:rPr>
          <w:b/>
          <w:bCs/>
          <w:color w:val="000000"/>
          <w:sz w:val="28"/>
          <w:szCs w:val="28"/>
        </w:rPr>
        <w:t>7.2 Theoretical Contributions</w:t>
      </w:r>
    </w:p>
    <w:p w14:paraId="0DAE09E9" w14:textId="77777777" w:rsidR="0079599A" w:rsidRDefault="005D4C3C">
      <w:pPr>
        <w:spacing w:after="200" w:line="360" w:lineRule="auto"/>
        <w:jc w:val="both"/>
      </w:pPr>
      <w:r>
        <w:rPr>
          <w:color w:val="000000"/>
          <w:sz w:val="24"/>
          <w:szCs w:val="24"/>
        </w:rPr>
        <w:t>This study makes two principal theoretical contributions. First, it provides an integrating framework, grounded in STST, that resolves the persistent contradiction between positive and negative findings in the AI monitoring literature, a contribution not previously made in the field. Second, it extends the Strategic HRM literature by identifying AI governance quality as a key moderating variable within the HPWS framework, establishing a direct theoretical link between governance investment and the preservat</w:t>
      </w:r>
      <w:r>
        <w:rPr>
          <w:color w:val="000000"/>
          <w:sz w:val="24"/>
          <w:szCs w:val="24"/>
        </w:rPr>
        <w:t>ion of the ability, motivation, and opportunity conditions essential for sustained high performance.</w:t>
      </w:r>
    </w:p>
    <w:p w14:paraId="0DAE09EA" w14:textId="77777777" w:rsidR="0079599A" w:rsidRDefault="005D4C3C">
      <w:pPr>
        <w:pStyle w:val="Heading2"/>
        <w:spacing w:before="280" w:after="140"/>
      </w:pPr>
      <w:r>
        <w:rPr>
          <w:b/>
          <w:bCs/>
          <w:color w:val="000000"/>
          <w:sz w:val="28"/>
          <w:szCs w:val="28"/>
        </w:rPr>
        <w:t>7.3 Practical Recommendations</w:t>
      </w:r>
    </w:p>
    <w:p w14:paraId="0DAE09EB" w14:textId="77777777" w:rsidR="0079599A" w:rsidRDefault="005D4C3C">
      <w:pPr>
        <w:spacing w:after="200" w:line="360" w:lineRule="auto"/>
        <w:jc w:val="both"/>
      </w:pPr>
      <w:r>
        <w:rPr>
          <w:color w:val="000000"/>
          <w:sz w:val="24"/>
          <w:szCs w:val="24"/>
        </w:rPr>
        <w:t xml:space="preserve">Four evidence-based recommendations are offered for </w:t>
      </w:r>
      <w:proofErr w:type="spellStart"/>
      <w:r>
        <w:rPr>
          <w:color w:val="000000"/>
          <w:sz w:val="24"/>
          <w:szCs w:val="24"/>
        </w:rPr>
        <w:t>organisational</w:t>
      </w:r>
      <w:proofErr w:type="spellEnd"/>
      <w:r>
        <w:rPr>
          <w:color w:val="000000"/>
          <w:sz w:val="24"/>
          <w:szCs w:val="24"/>
        </w:rPr>
        <w:t xml:space="preserve"> leaders and HR practitioners:</w:t>
      </w:r>
    </w:p>
    <w:p w14:paraId="0DAE09EC" w14:textId="77777777" w:rsidR="0079599A" w:rsidRDefault="005D4C3C">
      <w:pPr>
        <w:spacing w:after="160" w:line="360" w:lineRule="auto"/>
        <w:ind w:left="400"/>
        <w:jc w:val="both"/>
      </w:pPr>
      <w:r>
        <w:rPr>
          <w:b/>
          <w:bCs/>
          <w:color w:val="000000"/>
          <w:sz w:val="24"/>
          <w:szCs w:val="24"/>
        </w:rPr>
        <w:t xml:space="preserve">1.  </w:t>
      </w:r>
      <w:r>
        <w:rPr>
          <w:color w:val="000000"/>
          <w:sz w:val="24"/>
          <w:szCs w:val="24"/>
        </w:rPr>
        <w:t xml:space="preserve">Establish transparent AI governance frameworks addressing three dimensions: transparency about what is monitored and why; meaningful voice mechanisms enabling employees to contest or </w:t>
      </w:r>
      <w:proofErr w:type="spellStart"/>
      <w:r>
        <w:rPr>
          <w:color w:val="000000"/>
          <w:sz w:val="24"/>
          <w:szCs w:val="24"/>
        </w:rPr>
        <w:t>contextualise</w:t>
      </w:r>
      <w:proofErr w:type="spellEnd"/>
      <w:r>
        <w:rPr>
          <w:color w:val="000000"/>
          <w:sz w:val="24"/>
          <w:szCs w:val="24"/>
        </w:rPr>
        <w:t xml:space="preserve"> algorithmic assessments; and consistent application of governance standards across all employee groups. The 41% trust premium associated with clear governance policies represents a significant return on a relatively modest investment.</w:t>
      </w:r>
    </w:p>
    <w:p w14:paraId="0DAE09ED" w14:textId="77777777" w:rsidR="0079599A" w:rsidRDefault="005D4C3C">
      <w:pPr>
        <w:spacing w:after="160" w:line="360" w:lineRule="auto"/>
        <w:ind w:left="400"/>
        <w:jc w:val="both"/>
      </w:pPr>
      <w:r>
        <w:rPr>
          <w:b/>
          <w:bCs/>
          <w:color w:val="000000"/>
          <w:sz w:val="24"/>
          <w:szCs w:val="24"/>
        </w:rPr>
        <w:t xml:space="preserve">2.  </w:t>
      </w:r>
      <w:r>
        <w:rPr>
          <w:color w:val="000000"/>
          <w:sz w:val="24"/>
          <w:szCs w:val="24"/>
        </w:rPr>
        <w:t xml:space="preserve">Reorient managerial development </w:t>
      </w:r>
      <w:proofErr w:type="spellStart"/>
      <w:r>
        <w:rPr>
          <w:color w:val="000000"/>
          <w:sz w:val="24"/>
          <w:szCs w:val="24"/>
        </w:rPr>
        <w:t>programmes</w:t>
      </w:r>
      <w:proofErr w:type="spellEnd"/>
      <w:r>
        <w:rPr>
          <w:color w:val="000000"/>
          <w:sz w:val="24"/>
          <w:szCs w:val="24"/>
        </w:rPr>
        <w:t xml:space="preserve"> to address the leadership displacement effect. Managers require critical data literacy, the capacity to interrogate and challenge algorithmic outputs, alongside relational leadership skills that sustain human connection with their teams. The guiding principle should be: AI informs. The manager decides.</w:t>
      </w:r>
    </w:p>
    <w:p w14:paraId="0DAE09EE" w14:textId="77777777" w:rsidR="0079599A" w:rsidRDefault="005D4C3C">
      <w:pPr>
        <w:spacing w:after="160" w:line="360" w:lineRule="auto"/>
        <w:ind w:left="400"/>
        <w:jc w:val="both"/>
      </w:pPr>
      <w:r>
        <w:rPr>
          <w:b/>
          <w:bCs/>
          <w:color w:val="000000"/>
          <w:sz w:val="24"/>
          <w:szCs w:val="24"/>
        </w:rPr>
        <w:t xml:space="preserve">3.  </w:t>
      </w:r>
      <w:r>
        <w:rPr>
          <w:color w:val="000000"/>
          <w:sz w:val="24"/>
          <w:szCs w:val="24"/>
        </w:rPr>
        <w:t>Redesign performance evaluation frameworks to integrate qualitative alongside quantitative measures: developmental conversations, peer recognition processes, and employee self-evaluation embedded alongside algorithmic data to provide a more complete and fair account of contribution.</w:t>
      </w:r>
    </w:p>
    <w:p w14:paraId="0DAE09EF" w14:textId="77777777" w:rsidR="0079599A" w:rsidRDefault="005D4C3C">
      <w:pPr>
        <w:spacing w:after="160" w:line="360" w:lineRule="auto"/>
        <w:ind w:left="400"/>
        <w:jc w:val="both"/>
      </w:pPr>
      <w:r>
        <w:rPr>
          <w:b/>
          <w:bCs/>
          <w:color w:val="000000"/>
          <w:sz w:val="24"/>
          <w:szCs w:val="24"/>
        </w:rPr>
        <w:lastRenderedPageBreak/>
        <w:t xml:space="preserve">4.  </w:t>
      </w:r>
      <w:r>
        <w:rPr>
          <w:color w:val="000000"/>
          <w:sz w:val="24"/>
          <w:szCs w:val="24"/>
        </w:rPr>
        <w:t>Actively manage the psychological contract in distributed teams by ensuring that the introduction and ongoing governance of AI monitoring systems is conducted with transparency, mutual agreement, and genuine attention to employee concerns. This is a governance requirement, not an optional HR best practice.</w:t>
      </w:r>
    </w:p>
    <w:p w14:paraId="0DAE09F0" w14:textId="77777777" w:rsidR="0079599A" w:rsidRDefault="005D4C3C">
      <w:pPr>
        <w:pStyle w:val="Heading2"/>
        <w:spacing w:before="280" w:after="140"/>
      </w:pPr>
      <w:r>
        <w:rPr>
          <w:b/>
          <w:bCs/>
          <w:color w:val="000000"/>
          <w:sz w:val="28"/>
          <w:szCs w:val="28"/>
        </w:rPr>
        <w:t>7.4 Limitations and Future Research</w:t>
      </w:r>
    </w:p>
    <w:p w14:paraId="0DAE09F1" w14:textId="77777777" w:rsidR="0079599A" w:rsidRDefault="005D4C3C">
      <w:pPr>
        <w:spacing w:after="200" w:line="360" w:lineRule="auto"/>
        <w:jc w:val="both"/>
      </w:pPr>
      <w:r>
        <w:rPr>
          <w:color w:val="000000"/>
          <w:sz w:val="24"/>
          <w:szCs w:val="24"/>
        </w:rPr>
        <w:t>This pilot study has important limitations. The reliance on secondary data sources, including commercially produced industry reports with acknowledged methodological limitations and potential commercial bias, constrains the depth and independence of the evidence base. Future research should collect primary qualitative data through interviews with both remote employees and their line managers to obtain contextually rich evidence independent of commercial interests. This study has also focused primarily on kn</w:t>
      </w:r>
      <w:r>
        <w:rPr>
          <w:color w:val="000000"/>
          <w:sz w:val="24"/>
          <w:szCs w:val="24"/>
        </w:rPr>
        <w:t>owledge-work sectors in advanced economies. The applicability of these findings to manufacturing, logistics, healthcare, and other sectors where algorithmic monitoring takes structurally different forms remains an important and largely unexplored research frontier.</w:t>
      </w:r>
    </w:p>
    <w:p w14:paraId="0DAE09F2" w14:textId="77777777" w:rsidR="0079599A" w:rsidRDefault="005D4C3C">
      <w:r>
        <w:br w:type="page"/>
      </w:r>
    </w:p>
    <w:p w14:paraId="0DAE09F3" w14:textId="77777777" w:rsidR="0079599A" w:rsidRDefault="005D4C3C">
      <w:pPr>
        <w:spacing w:before="100" w:after="280"/>
        <w:jc w:val="center"/>
      </w:pPr>
      <w:r>
        <w:rPr>
          <w:b/>
          <w:bCs/>
          <w:color w:val="000000"/>
          <w:sz w:val="28"/>
          <w:szCs w:val="28"/>
        </w:rPr>
        <w:lastRenderedPageBreak/>
        <w:t>PART 2: REFLECTIVE ACCOUNT</w:t>
      </w:r>
    </w:p>
    <w:p w14:paraId="0DAE09F4" w14:textId="77777777" w:rsidR="0079599A" w:rsidRDefault="005D4C3C">
      <w:pPr>
        <w:pStyle w:val="Heading1"/>
        <w:spacing w:before="360" w:after="180"/>
      </w:pPr>
      <w:r>
        <w:rPr>
          <w:b/>
          <w:bCs/>
          <w:color w:val="000000"/>
          <w:sz w:val="28"/>
          <w:szCs w:val="28"/>
        </w:rPr>
        <w:t>Reflective Account of the Research Process</w:t>
      </w:r>
    </w:p>
    <w:p w14:paraId="0DAE09F5" w14:textId="77777777" w:rsidR="0079599A" w:rsidRDefault="005D4C3C">
      <w:pPr>
        <w:pStyle w:val="Heading2"/>
        <w:spacing w:before="280" w:after="140"/>
      </w:pPr>
      <w:r>
        <w:rPr>
          <w:b/>
          <w:bCs/>
          <w:color w:val="000000"/>
          <w:sz w:val="28"/>
          <w:szCs w:val="28"/>
        </w:rPr>
        <w:t>1. From Professional to Researcher: A Genuine Shift in Thinking</w:t>
      </w:r>
    </w:p>
    <w:p w14:paraId="0DAE09F6" w14:textId="77777777" w:rsidR="0079599A" w:rsidRDefault="005D4C3C">
      <w:pPr>
        <w:spacing w:after="200" w:line="360" w:lineRule="auto"/>
        <w:jc w:val="both"/>
      </w:pPr>
      <w:r>
        <w:rPr>
          <w:color w:val="000000"/>
          <w:sz w:val="24"/>
          <w:szCs w:val="24"/>
        </w:rPr>
        <w:t>When I began this module, I brought with me the habits of mind I have developed through years in professional practice. As a Terminal Setup Executive, my working life is defined by speed, accuracy, and measurable outcomes. I identify a problem, gather the relevant information, make a decision, and move forward. This approach has served me well in my career. It was not, I discovered quite early in this module, well suited to doctoral research.</w:t>
      </w:r>
    </w:p>
    <w:p w14:paraId="0DAE09F7" w14:textId="77777777" w:rsidR="0079599A" w:rsidRDefault="005D4C3C">
      <w:pPr>
        <w:spacing w:after="200" w:line="360" w:lineRule="auto"/>
        <w:jc w:val="both"/>
      </w:pPr>
      <w:r>
        <w:rPr>
          <w:color w:val="000000"/>
          <w:sz w:val="24"/>
          <w:szCs w:val="24"/>
        </w:rPr>
        <w:t>The most disorienting challenge of the transition was learning to slow down deliberately, to treat complexity as something to be inhabited and carefully explored rather than resolved and moved past. In professional life, information is instrumental. It exists to support decisions. In doctoral research, information is itself the object of inquiry. I had to learn to read differently: not extracting key points and moving on, but interrogating arguments, tracing their underlying assumptions, and asking what the</w:t>
      </w:r>
      <w:r>
        <w:rPr>
          <w:color w:val="000000"/>
          <w:sz w:val="24"/>
          <w:szCs w:val="24"/>
        </w:rPr>
        <w:t>y leave out as much as what they include. There were periods of genuine frustration when I felt I was making no meaningful progress. Looking back, I now believe those were often the moments when the most significant learning was actually occurring.</w:t>
      </w:r>
    </w:p>
    <w:p w14:paraId="0DAE09F8" w14:textId="77777777" w:rsidR="0079599A" w:rsidRDefault="005D4C3C">
      <w:pPr>
        <w:spacing w:after="200" w:line="360" w:lineRule="auto"/>
        <w:jc w:val="both"/>
      </w:pPr>
      <w:r>
        <w:rPr>
          <w:color w:val="000000"/>
          <w:sz w:val="24"/>
          <w:szCs w:val="24"/>
        </w:rPr>
        <w:t>The philosophical dimension of the module was the most unfamiliar territory for me. I had never previously considered that how you gather evidence reflects a deeper set of assumptions about what counts as knowledge. When my supervisor described my study as pragmatist rather than interpretivist, I had to stop and think carefully about what that meant. Pragmatism does not ask you to choose between objective measurement and subjective experience. It asks which evidence will actually answer the question in fron</w:t>
      </w:r>
      <w:r>
        <w:rPr>
          <w:color w:val="000000"/>
          <w:sz w:val="24"/>
          <w:szCs w:val="24"/>
        </w:rPr>
        <w:t>t of you. For this study, that meant using qualitative academic research to understand how employees experience AI monitoring, and large-scale industry data to understand the scope of the governance problem. Neither type of evidence alone would have been sufficient. The pragmatist position allowed me to treat both as legitimate and complementary rather than competing. This way of thinking about research has already changed how I approach problems in my professional life. I no longer ask whether data is qual</w:t>
      </w:r>
      <w:r>
        <w:rPr>
          <w:color w:val="000000"/>
          <w:sz w:val="24"/>
          <w:szCs w:val="24"/>
        </w:rPr>
        <w:t>itative or quantitative. I ask whether it answers the question I actually need to answer.</w:t>
      </w:r>
    </w:p>
    <w:p w14:paraId="0DAE09F9" w14:textId="77777777" w:rsidR="0079599A" w:rsidRDefault="005D4C3C">
      <w:pPr>
        <w:pStyle w:val="Heading2"/>
        <w:spacing w:before="280" w:after="140"/>
      </w:pPr>
      <w:r>
        <w:rPr>
          <w:b/>
          <w:bCs/>
          <w:color w:val="000000"/>
          <w:sz w:val="28"/>
          <w:szCs w:val="28"/>
        </w:rPr>
        <w:t xml:space="preserve">2. What I Learned About Research </w:t>
      </w:r>
      <w:proofErr w:type="spellStart"/>
      <w:r>
        <w:rPr>
          <w:b/>
          <w:bCs/>
          <w:color w:val="000000"/>
          <w:sz w:val="28"/>
          <w:szCs w:val="28"/>
        </w:rPr>
        <w:t>Rigour</w:t>
      </w:r>
      <w:proofErr w:type="spellEnd"/>
    </w:p>
    <w:p w14:paraId="0DAE09FA" w14:textId="77777777" w:rsidR="0079599A" w:rsidRDefault="005D4C3C">
      <w:pPr>
        <w:spacing w:after="200" w:line="360" w:lineRule="auto"/>
        <w:jc w:val="both"/>
      </w:pPr>
      <w:r>
        <w:rPr>
          <w:color w:val="000000"/>
          <w:sz w:val="24"/>
          <w:szCs w:val="24"/>
        </w:rPr>
        <w:lastRenderedPageBreak/>
        <w:t xml:space="preserve">The process of conducting a Systematic Literature Review forced me to confront some uncomfortable truths about how I had previously consumed information. I had assumed that if something had been published in a reputable journal or produced by a well-known research </w:t>
      </w:r>
      <w:proofErr w:type="spellStart"/>
      <w:r>
        <w:rPr>
          <w:color w:val="000000"/>
          <w:sz w:val="24"/>
          <w:szCs w:val="24"/>
        </w:rPr>
        <w:t>organisation</w:t>
      </w:r>
      <w:proofErr w:type="spellEnd"/>
      <w:r>
        <w:rPr>
          <w:color w:val="000000"/>
          <w:sz w:val="24"/>
          <w:szCs w:val="24"/>
        </w:rPr>
        <w:t>, it could be trusted without further examination. The CASP quality appraisal process challenged this assumption directly.</w:t>
      </w:r>
    </w:p>
    <w:p w14:paraId="0DAE09FB" w14:textId="77777777" w:rsidR="0079599A" w:rsidRDefault="005D4C3C">
      <w:pPr>
        <w:spacing w:after="200" w:line="360" w:lineRule="auto"/>
        <w:jc w:val="both"/>
      </w:pPr>
      <w:r>
        <w:rPr>
          <w:color w:val="000000"/>
          <w:sz w:val="24"/>
          <w:szCs w:val="24"/>
        </w:rPr>
        <w:t xml:space="preserve">Applying the CASP checklist to my initial sources was a genuinely eye-opening experience. Several </w:t>
      </w:r>
      <w:proofErr w:type="gramStart"/>
      <w:r>
        <w:rPr>
          <w:color w:val="000000"/>
          <w:sz w:val="24"/>
          <w:szCs w:val="24"/>
        </w:rPr>
        <w:t>industry</w:t>
      </w:r>
      <w:proofErr w:type="gramEnd"/>
      <w:r>
        <w:rPr>
          <w:color w:val="000000"/>
          <w:sz w:val="24"/>
          <w:szCs w:val="24"/>
        </w:rPr>
        <w:t xml:space="preserve"> reports I had previously treated as authoritative failed to meet the methodological standards required for doctoral research. Their sampling methods were unclear, their analytical procedures opaque, and their conclusions went well beyond what their data could reasonably support. This was uncomfortable to </w:t>
      </w:r>
      <w:proofErr w:type="spellStart"/>
      <w:r>
        <w:rPr>
          <w:color w:val="000000"/>
          <w:sz w:val="24"/>
          <w:szCs w:val="24"/>
        </w:rPr>
        <w:t>recognise</w:t>
      </w:r>
      <w:proofErr w:type="spellEnd"/>
      <w:r>
        <w:rPr>
          <w:color w:val="000000"/>
          <w:sz w:val="24"/>
          <w:szCs w:val="24"/>
        </w:rPr>
        <w:t xml:space="preserve">, because these were </w:t>
      </w:r>
      <w:proofErr w:type="gramStart"/>
      <w:r>
        <w:rPr>
          <w:color w:val="000000"/>
          <w:sz w:val="24"/>
          <w:szCs w:val="24"/>
        </w:rPr>
        <w:t>sources</w:t>
      </w:r>
      <w:proofErr w:type="gramEnd"/>
      <w:r>
        <w:rPr>
          <w:color w:val="000000"/>
          <w:sz w:val="24"/>
          <w:szCs w:val="24"/>
        </w:rPr>
        <w:t xml:space="preserve"> I had relied on professionally. But it taught me something of lasting value: critical appraisal is not </w:t>
      </w:r>
      <w:proofErr w:type="spellStart"/>
      <w:r>
        <w:rPr>
          <w:color w:val="000000"/>
          <w:sz w:val="24"/>
          <w:szCs w:val="24"/>
        </w:rPr>
        <w:t>scepticism</w:t>
      </w:r>
      <w:proofErr w:type="spellEnd"/>
      <w:r>
        <w:rPr>
          <w:color w:val="000000"/>
          <w:sz w:val="24"/>
          <w:szCs w:val="24"/>
        </w:rPr>
        <w:t xml:space="preserve"> for its own sake. It is the discipline that p</w:t>
      </w:r>
      <w:r>
        <w:rPr>
          <w:color w:val="000000"/>
          <w:sz w:val="24"/>
          <w:szCs w:val="24"/>
        </w:rPr>
        <w:t>rotects the integrity of the decisions that research ultimately informs.</w:t>
      </w:r>
    </w:p>
    <w:p w14:paraId="0DAE09FC" w14:textId="77777777" w:rsidR="0079599A" w:rsidRDefault="005D4C3C">
      <w:pPr>
        <w:spacing w:after="200" w:line="360" w:lineRule="auto"/>
        <w:jc w:val="both"/>
      </w:pPr>
      <w:r>
        <w:rPr>
          <w:color w:val="000000"/>
          <w:sz w:val="24"/>
          <w:szCs w:val="24"/>
        </w:rPr>
        <w:t>My supervisor's recommendation to separate academic and practitioner evidence into distinct streams was one of the most valuable pieces of feedback I received during this process. Initially I had blended peer-reviewed research and industry reports into a single evidence base. Separating them forced me to be more rigorous and transparent about the epistemological status of different types of evidence. This discipline significantly strengthened the credibility of my analysis. The PRISMA framework was also mor</w:t>
      </w:r>
      <w:r>
        <w:rPr>
          <w:color w:val="000000"/>
          <w:sz w:val="24"/>
          <w:szCs w:val="24"/>
        </w:rPr>
        <w:t>e valuable than I initially anticipated. The discipline of making my reasoning fully explicit and transparent was useful not just for reporting purposes but for maintaining the honesty of my own thinking.</w:t>
      </w:r>
    </w:p>
    <w:p w14:paraId="0DAE09FD" w14:textId="77777777" w:rsidR="0079599A" w:rsidRDefault="005D4C3C">
      <w:pPr>
        <w:pStyle w:val="Heading2"/>
        <w:spacing w:before="280" w:after="140"/>
      </w:pPr>
      <w:r>
        <w:rPr>
          <w:b/>
          <w:bCs/>
          <w:color w:val="000000"/>
          <w:sz w:val="28"/>
          <w:szCs w:val="28"/>
        </w:rPr>
        <w:t>3. Reflections on the Challenges of Academic Publishing</w:t>
      </w:r>
    </w:p>
    <w:p w14:paraId="0DAE09FE" w14:textId="77777777" w:rsidR="0079599A" w:rsidRDefault="005D4C3C">
      <w:pPr>
        <w:spacing w:after="200" w:line="360" w:lineRule="auto"/>
        <w:jc w:val="both"/>
      </w:pPr>
      <w:r>
        <w:rPr>
          <w:color w:val="000000"/>
          <w:sz w:val="24"/>
          <w:szCs w:val="24"/>
        </w:rPr>
        <w:t xml:space="preserve">This module introduced me to the world of academic publishing in a meaningful way for the first time. I had assumed academic journals functioned primarily as quality filters. The reality is more complex. The pressures on academics to publish frequently, generate citations, and demonstrate measurable effects create incentives that do not always align with methodological </w:t>
      </w:r>
      <w:proofErr w:type="spellStart"/>
      <w:r>
        <w:rPr>
          <w:color w:val="000000"/>
          <w:sz w:val="24"/>
          <w:szCs w:val="24"/>
        </w:rPr>
        <w:t>rigour</w:t>
      </w:r>
      <w:proofErr w:type="spellEnd"/>
      <w:r>
        <w:rPr>
          <w:color w:val="000000"/>
          <w:sz w:val="24"/>
          <w:szCs w:val="24"/>
        </w:rPr>
        <w:t xml:space="preserve">. I found myself being conscious throughout my writing of the risk of simplifying the evidence to construct a cleaner argument at the </w:t>
      </w:r>
      <w:r>
        <w:rPr>
          <w:color w:val="000000"/>
          <w:sz w:val="24"/>
          <w:szCs w:val="24"/>
        </w:rPr>
        <w:t>expense of an honest one. Academic writing requires a constant negotiation between clarity and complexity. Finding that balance is a skill I am continuing to develop.</w:t>
      </w:r>
    </w:p>
    <w:p w14:paraId="0DAE09FF" w14:textId="77777777" w:rsidR="0079599A" w:rsidRDefault="005D4C3C">
      <w:pPr>
        <w:pStyle w:val="Heading2"/>
        <w:spacing w:before="280" w:after="140"/>
      </w:pPr>
      <w:r>
        <w:rPr>
          <w:b/>
          <w:bCs/>
          <w:color w:val="000000"/>
          <w:sz w:val="28"/>
          <w:szCs w:val="28"/>
        </w:rPr>
        <w:t>4. How This Module Has Changed My Professional Practice</w:t>
      </w:r>
    </w:p>
    <w:p w14:paraId="0DAE0A00" w14:textId="77777777" w:rsidR="0079599A" w:rsidRDefault="005D4C3C">
      <w:pPr>
        <w:spacing w:after="200" w:line="360" w:lineRule="auto"/>
        <w:jc w:val="both"/>
      </w:pPr>
      <w:r>
        <w:rPr>
          <w:color w:val="000000"/>
          <w:sz w:val="24"/>
          <w:szCs w:val="24"/>
        </w:rPr>
        <w:lastRenderedPageBreak/>
        <w:t xml:space="preserve">This module has changed how I think and act in my professional environment in ways I did not entirely anticipate. I work in an </w:t>
      </w:r>
      <w:proofErr w:type="spellStart"/>
      <w:r>
        <w:rPr>
          <w:color w:val="000000"/>
          <w:sz w:val="24"/>
          <w:szCs w:val="24"/>
        </w:rPr>
        <w:t>organisation</w:t>
      </w:r>
      <w:proofErr w:type="spellEnd"/>
      <w:r>
        <w:rPr>
          <w:color w:val="000000"/>
          <w:sz w:val="24"/>
          <w:szCs w:val="24"/>
        </w:rPr>
        <w:t xml:space="preserve"> that uses digital performance monitoring tools, and I now examine those tools with a considerably more critical eye. I no longer accept data-driven as a synonym for fair or objective. I find myself asking questions I would not have thought to ask before: What does this metric actually measure? Whose contributions does it make visible, and whose does it miss? What are the implications for trust and motivation of the governance choices we are making?</w:t>
      </w:r>
    </w:p>
    <w:p w14:paraId="0DAE0A01" w14:textId="77777777" w:rsidR="0079599A" w:rsidRDefault="005D4C3C">
      <w:pPr>
        <w:spacing w:after="200" w:line="360" w:lineRule="auto"/>
        <w:jc w:val="both"/>
      </w:pPr>
      <w:r>
        <w:rPr>
          <w:color w:val="000000"/>
          <w:sz w:val="24"/>
          <w:szCs w:val="24"/>
        </w:rPr>
        <w:t>These are, I believe, the questions of a reflective and ethically engaged manager rather than merely a technically competent one. The research process has deepened my commitment to human-</w:t>
      </w:r>
      <w:proofErr w:type="spellStart"/>
      <w:r>
        <w:rPr>
          <w:color w:val="000000"/>
          <w:sz w:val="24"/>
          <w:szCs w:val="24"/>
        </w:rPr>
        <w:t>centred</w:t>
      </w:r>
      <w:proofErr w:type="spellEnd"/>
      <w:r>
        <w:rPr>
          <w:color w:val="000000"/>
          <w:sz w:val="24"/>
          <w:szCs w:val="24"/>
        </w:rPr>
        <w:t xml:space="preserve"> governance as a concrete professional practice. The central argument I have developed in this study, that AI governance is not a technical problem but a philosophical one, and that the manager's role is to exercise informed human judgement informed by data rather than to defer to algorithmic outputs, has become a pr</w:t>
      </w:r>
      <w:r>
        <w:rPr>
          <w:color w:val="000000"/>
          <w:sz w:val="24"/>
          <w:szCs w:val="24"/>
        </w:rPr>
        <w:t>inciple I apply in my own working life. AI informs. The manager decides.</w:t>
      </w:r>
    </w:p>
    <w:p w14:paraId="0DAE0A02" w14:textId="77777777" w:rsidR="0079599A" w:rsidRDefault="005D4C3C">
      <w:r>
        <w:br w:type="page"/>
      </w:r>
    </w:p>
    <w:p w14:paraId="0DAE0A03" w14:textId="77777777" w:rsidR="0079599A" w:rsidRDefault="005D4C3C">
      <w:pPr>
        <w:spacing w:before="100" w:after="200"/>
        <w:jc w:val="center"/>
      </w:pPr>
      <w:r>
        <w:rPr>
          <w:b/>
          <w:bCs/>
          <w:color w:val="000000"/>
          <w:sz w:val="28"/>
          <w:szCs w:val="28"/>
        </w:rPr>
        <w:lastRenderedPageBreak/>
        <w:t>Appendix A: Literature Review Table</w:t>
      </w:r>
    </w:p>
    <w:p w14:paraId="0DAE0A04" w14:textId="77777777" w:rsidR="0079599A" w:rsidRDefault="005D4C3C">
      <w:pPr>
        <w:spacing w:after="80"/>
        <w:jc w:val="center"/>
      </w:pPr>
      <w:r>
        <w:rPr>
          <w:color w:val="000000"/>
          <w:sz w:val="24"/>
          <w:szCs w:val="24"/>
        </w:rPr>
        <w:t>AI-Driven Performance Management in Remote and Hybrid Work Environments | Total Sources: 32</w:t>
      </w:r>
    </w:p>
    <w:p w14:paraId="0DAE0A05" w14:textId="77777777" w:rsidR="0079599A" w:rsidRDefault="0079599A">
      <w:pPr>
        <w:spacing w:after="80"/>
      </w:pPr>
    </w:p>
    <w:p w14:paraId="52A44986" w14:textId="77777777" w:rsidR="004F10B1" w:rsidRDefault="005D4C3C">
      <w:pPr>
        <w:spacing w:after="100"/>
        <w:rPr>
          <w:b/>
          <w:bCs/>
          <w:color w:val="000000"/>
          <w:sz w:val="24"/>
          <w:szCs w:val="24"/>
        </w:rPr>
      </w:pPr>
      <w:proofErr w:type="spellStart"/>
      <w:r>
        <w:rPr>
          <w:b/>
          <w:bCs/>
          <w:color w:val="000000"/>
          <w:sz w:val="24"/>
          <w:szCs w:val="24"/>
        </w:rPr>
        <w:t>Colour</w:t>
      </w:r>
      <w:proofErr w:type="spellEnd"/>
      <w:r>
        <w:rPr>
          <w:b/>
          <w:bCs/>
          <w:color w:val="000000"/>
          <w:sz w:val="24"/>
          <w:szCs w:val="24"/>
        </w:rPr>
        <w:t xml:space="preserve"> coding: </w:t>
      </w:r>
    </w:p>
    <w:p w14:paraId="7F753124" w14:textId="4DEB302F" w:rsidR="004F10B1" w:rsidRDefault="005D4C3C">
      <w:pPr>
        <w:spacing w:after="100"/>
        <w:rPr>
          <w:color w:val="000000"/>
          <w:sz w:val="24"/>
          <w:szCs w:val="24"/>
        </w:rPr>
      </w:pPr>
      <w:r>
        <w:rPr>
          <w:color w:val="000000"/>
          <w:sz w:val="24"/>
          <w:szCs w:val="24"/>
        </w:rPr>
        <w:t xml:space="preserve">Green = CASP 5/5 (highest quality)   </w:t>
      </w:r>
    </w:p>
    <w:p w14:paraId="7E531B37" w14:textId="77777777" w:rsidR="004F10B1" w:rsidRDefault="005D4C3C">
      <w:pPr>
        <w:spacing w:after="100"/>
        <w:rPr>
          <w:color w:val="000000"/>
          <w:sz w:val="24"/>
          <w:szCs w:val="24"/>
        </w:rPr>
      </w:pPr>
      <w:r>
        <w:rPr>
          <w:color w:val="000000"/>
          <w:sz w:val="24"/>
          <w:szCs w:val="24"/>
        </w:rPr>
        <w:t xml:space="preserve">Blue = CASP 4/5 (high quality)   </w:t>
      </w:r>
    </w:p>
    <w:p w14:paraId="0DAE0A06" w14:textId="03A57A57" w:rsidR="0079599A" w:rsidRDefault="005D4C3C">
      <w:pPr>
        <w:spacing w:after="100"/>
      </w:pPr>
      <w:r>
        <w:rPr>
          <w:color w:val="000000"/>
          <w:sz w:val="24"/>
          <w:szCs w:val="24"/>
        </w:rPr>
        <w:t>Yellow = CASP 3/5 (acceptable quality)</w:t>
      </w:r>
    </w:p>
    <w:p w14:paraId="0DAE0A07" w14:textId="77777777" w:rsidR="0079599A" w:rsidRDefault="0079599A">
      <w:pPr>
        <w:spacing w:after="60"/>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81"/>
        <w:gridCol w:w="1386"/>
        <w:gridCol w:w="1262"/>
        <w:gridCol w:w="1328"/>
        <w:gridCol w:w="1225"/>
        <w:gridCol w:w="3159"/>
        <w:gridCol w:w="619"/>
      </w:tblGrid>
      <w:tr w:rsidR="0079599A" w14:paraId="0DAE0A0F" w14:textId="77777777">
        <w:trPr>
          <w:tblHeader/>
        </w:trPr>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8" w14:textId="77777777" w:rsidR="0079599A" w:rsidRDefault="005D4C3C">
            <w:pPr>
              <w:spacing w:after="40"/>
            </w:pPr>
            <w:r>
              <w:rPr>
                <w:b/>
                <w:bCs/>
                <w:color w:val="FFFFFF"/>
                <w:sz w:val="15"/>
                <w:szCs w:val="15"/>
              </w:rPr>
              <w:t>No.</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9" w14:textId="77777777" w:rsidR="0079599A" w:rsidRDefault="005D4C3C">
            <w:pPr>
              <w:spacing w:after="40"/>
            </w:pPr>
            <w:r>
              <w:rPr>
                <w:b/>
                <w:bCs/>
                <w:color w:val="FFFFFF"/>
                <w:sz w:val="15"/>
                <w:szCs w:val="15"/>
              </w:rPr>
              <w:t>Citation</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A" w14:textId="77777777" w:rsidR="0079599A" w:rsidRDefault="005D4C3C">
            <w:pPr>
              <w:spacing w:after="40"/>
            </w:pPr>
            <w:r>
              <w:rPr>
                <w:b/>
                <w:bCs/>
                <w:color w:val="FFFFFF"/>
                <w:sz w:val="15"/>
                <w:szCs w:val="15"/>
              </w:rPr>
              <w:t>Industry / Context</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B" w14:textId="77777777" w:rsidR="0079599A" w:rsidRDefault="005D4C3C">
            <w:pPr>
              <w:spacing w:after="40"/>
            </w:pPr>
            <w:r>
              <w:rPr>
                <w:b/>
                <w:bCs/>
                <w:color w:val="FFFFFF"/>
                <w:sz w:val="15"/>
                <w:szCs w:val="15"/>
              </w:rPr>
              <w:t>Theoretical Lens</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C" w14:textId="77777777" w:rsidR="0079599A" w:rsidRDefault="005D4C3C">
            <w:pPr>
              <w:spacing w:after="40"/>
            </w:pPr>
            <w:r>
              <w:rPr>
                <w:b/>
                <w:bCs/>
                <w:color w:val="FFFFFF"/>
                <w:sz w:val="15"/>
                <w:szCs w:val="15"/>
              </w:rPr>
              <w:t>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D" w14:textId="77777777" w:rsidR="0079599A" w:rsidRDefault="005D4C3C">
            <w:pPr>
              <w:spacing w:after="40"/>
            </w:pPr>
            <w:r>
              <w:rPr>
                <w:b/>
                <w:bCs/>
                <w:color w:val="FFFFFF"/>
                <w:sz w:val="15"/>
                <w:szCs w:val="15"/>
              </w:rPr>
              <w:t>Core Findings and Research Gap Identified</w:t>
            </w:r>
          </w:p>
        </w:tc>
        <w:tc>
          <w:tcPr>
            <w:tcW w:w="0" w:type="auto"/>
            <w:tcBorders>
              <w:top w:val="single" w:sz="4" w:space="0" w:color="AAAAAA"/>
              <w:left w:val="single" w:sz="4" w:space="0" w:color="AAAAAA"/>
              <w:bottom w:val="single" w:sz="4" w:space="0" w:color="AAAAAA"/>
              <w:right w:val="single" w:sz="4" w:space="0" w:color="AAAAAA"/>
            </w:tcBorders>
            <w:shd w:val="clear" w:color="auto" w:fill="1B3A5C"/>
            <w:tcMar>
              <w:top w:w="60" w:type="dxa"/>
              <w:left w:w="80" w:type="dxa"/>
              <w:bottom w:w="60" w:type="dxa"/>
              <w:right w:w="80" w:type="dxa"/>
            </w:tcMar>
          </w:tcPr>
          <w:p w14:paraId="0DAE0A0E" w14:textId="77777777" w:rsidR="0079599A" w:rsidRDefault="005D4C3C">
            <w:pPr>
              <w:spacing w:after="40"/>
            </w:pPr>
            <w:r>
              <w:rPr>
                <w:b/>
                <w:bCs/>
                <w:color w:val="FFFFFF"/>
                <w:sz w:val="15"/>
                <w:szCs w:val="15"/>
              </w:rPr>
              <w:t>CASP Score</w:t>
            </w:r>
          </w:p>
        </w:tc>
      </w:tr>
      <w:tr w:rsidR="0079599A" w14:paraId="0DAE0A1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0" w14:textId="77777777" w:rsidR="0079599A" w:rsidRDefault="005D4C3C">
            <w:pPr>
              <w:spacing w:after="40"/>
            </w:pPr>
            <w:r>
              <w:rPr>
                <w:b/>
                <w:bCs/>
                <w:color w:val="000000"/>
                <w:sz w:val="15"/>
                <w:szCs w:val="15"/>
              </w:rPr>
              <w:t>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1" w14:textId="77777777" w:rsidR="0079599A" w:rsidRDefault="005D4C3C">
            <w:pPr>
              <w:spacing w:after="40"/>
            </w:pPr>
            <w:r>
              <w:rPr>
                <w:color w:val="000000"/>
                <w:sz w:val="15"/>
                <w:szCs w:val="15"/>
              </w:rPr>
              <w:t>Wafa and Longo (2026)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2" w14:textId="77777777" w:rsidR="0079599A" w:rsidRDefault="005D4C3C">
            <w:pPr>
              <w:spacing w:after="40"/>
            </w:pPr>
            <w:r>
              <w:rPr>
                <w:color w:val="000000"/>
                <w:sz w:val="14"/>
                <w:szCs w:val="14"/>
              </w:rPr>
              <w:t>Knowledge Workers / Global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3" w14:textId="77777777" w:rsidR="0079599A" w:rsidRDefault="005D4C3C">
            <w:pPr>
              <w:spacing w:after="40"/>
            </w:pPr>
            <w:r>
              <w:rPr>
                <w:color w:val="000000"/>
                <w:sz w:val="14"/>
                <w:szCs w:val="14"/>
              </w:rPr>
              <w:t>Algorithmic Management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4" w14:textId="77777777" w:rsidR="0079599A" w:rsidRDefault="005D4C3C">
            <w:pPr>
              <w:spacing w:after="40"/>
            </w:pPr>
            <w:r>
              <w:rPr>
                <w:color w:val="000000"/>
                <w:sz w:val="14"/>
                <w:szCs w:val="14"/>
              </w:rPr>
              <w:t>Qualitative (Interviews)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5" w14:textId="77777777" w:rsidR="0079599A" w:rsidRDefault="005D4C3C">
            <w:pPr>
              <w:spacing w:after="40"/>
            </w:pPr>
            <w:r>
              <w:rPr>
                <w:color w:val="000000"/>
                <w:sz w:val="14"/>
                <w:szCs w:val="14"/>
              </w:rPr>
              <w:t>Purely algorithmic evaluations miss qualitative nuances; leadership shifts from human-centric to surveillance-driven. Lack of focus on long-term emotional influence of continuous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6" w14:textId="77777777" w:rsidR="0079599A" w:rsidRDefault="005D4C3C">
            <w:pPr>
              <w:spacing w:after="40"/>
            </w:pPr>
            <w:r>
              <w:rPr>
                <w:b/>
                <w:bCs/>
                <w:color w:val="000000"/>
                <w:sz w:val="15"/>
                <w:szCs w:val="15"/>
              </w:rPr>
              <w:t>5/5</w:t>
            </w:r>
          </w:p>
        </w:tc>
      </w:tr>
      <w:tr w:rsidR="0079599A" w14:paraId="0DAE0A1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8" w14:textId="77777777" w:rsidR="0079599A" w:rsidRDefault="005D4C3C">
            <w:pPr>
              <w:spacing w:after="40"/>
            </w:pPr>
            <w:r>
              <w:rPr>
                <w:b/>
                <w:bCs/>
                <w:color w:val="000000"/>
                <w:sz w:val="15"/>
                <w:szCs w:val="15"/>
              </w:rPr>
              <w:t>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9" w14:textId="77777777" w:rsidR="0079599A" w:rsidRDefault="005D4C3C">
            <w:pPr>
              <w:spacing w:after="40"/>
            </w:pPr>
            <w:r>
              <w:rPr>
                <w:color w:val="000000"/>
                <w:sz w:val="15"/>
                <w:szCs w:val="15"/>
              </w:rPr>
              <w:t>Donnelly and Johns (2021)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A" w14:textId="77777777" w:rsidR="0079599A" w:rsidRDefault="005D4C3C">
            <w:pPr>
              <w:spacing w:after="40"/>
            </w:pPr>
            <w:r>
              <w:rPr>
                <w:color w:val="000000"/>
                <w:sz w:val="14"/>
                <w:szCs w:val="14"/>
              </w:rPr>
              <w:t>Remote Economy / Cross-Sector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B" w14:textId="77777777" w:rsidR="0079599A" w:rsidRDefault="005D4C3C">
            <w:pPr>
              <w:spacing w:after="40"/>
            </w:pPr>
            <w:r>
              <w:rPr>
                <w:color w:val="000000"/>
                <w:sz w:val="14"/>
                <w:szCs w:val="14"/>
              </w:rPr>
              <w:t>Socio-Technical Systems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C" w14:textId="77777777" w:rsidR="0079599A" w:rsidRDefault="005D4C3C">
            <w:pPr>
              <w:spacing w:after="40"/>
            </w:pPr>
            <w:r>
              <w:rPr>
                <w:color w:val="000000"/>
                <w:sz w:val="14"/>
                <w:szCs w:val="14"/>
              </w:rPr>
              <w:t>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D" w14:textId="77777777" w:rsidR="0079599A" w:rsidRDefault="005D4C3C">
            <w:pPr>
              <w:spacing w:after="40"/>
            </w:pPr>
            <w:r>
              <w:rPr>
                <w:color w:val="000000"/>
                <w:sz w:val="14"/>
                <w:szCs w:val="14"/>
              </w:rPr>
              <w:t>Electronic performance monitoring is a reductionist surveillance tool that erodes workplace trust and devalues human contributions. Need for empirical testing across national contexts.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1E" w14:textId="77777777" w:rsidR="0079599A" w:rsidRDefault="005D4C3C">
            <w:pPr>
              <w:spacing w:after="40"/>
            </w:pPr>
            <w:r>
              <w:rPr>
                <w:b/>
                <w:bCs/>
                <w:color w:val="000000"/>
                <w:sz w:val="15"/>
                <w:szCs w:val="15"/>
              </w:rPr>
              <w:t>5/5</w:t>
            </w:r>
          </w:p>
        </w:tc>
      </w:tr>
      <w:tr w:rsidR="0079599A" w14:paraId="0DAE0A2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0" w14:textId="77777777" w:rsidR="0079599A" w:rsidRDefault="005D4C3C">
            <w:pPr>
              <w:spacing w:after="40"/>
            </w:pPr>
            <w:r>
              <w:rPr>
                <w:b/>
                <w:bCs/>
                <w:color w:val="000000"/>
                <w:sz w:val="15"/>
                <w:szCs w:val="15"/>
              </w:rPr>
              <w:t>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1" w14:textId="77777777" w:rsidR="0079599A" w:rsidRDefault="005D4C3C">
            <w:pPr>
              <w:spacing w:after="40"/>
            </w:pPr>
            <w:r>
              <w:rPr>
                <w:color w:val="000000"/>
                <w:sz w:val="15"/>
                <w:szCs w:val="15"/>
              </w:rPr>
              <w:t>Radu et al. (2023)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2" w14:textId="77777777" w:rsidR="0079599A" w:rsidRDefault="005D4C3C">
            <w:pPr>
              <w:spacing w:after="40"/>
            </w:pPr>
            <w:r>
              <w:rPr>
                <w:color w:val="000000"/>
                <w:sz w:val="14"/>
                <w:szCs w:val="14"/>
              </w:rPr>
              <w:t>Post-Pandemic / General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3" w14:textId="77777777" w:rsidR="0079599A" w:rsidRDefault="005D4C3C">
            <w:pPr>
              <w:spacing w:after="40"/>
            </w:pPr>
            <w:r>
              <w:rPr>
                <w:color w:val="000000"/>
                <w:sz w:val="14"/>
                <w:szCs w:val="14"/>
              </w:rPr>
              <w:t>Org Justice and Psychological Safety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4" w14:textId="77777777" w:rsidR="0079599A" w:rsidRDefault="005D4C3C">
            <w:pPr>
              <w:spacing w:after="40"/>
            </w:pPr>
            <w:r>
              <w:rPr>
                <w:color w:val="000000"/>
                <w:sz w:val="14"/>
                <w:szCs w:val="14"/>
              </w:rPr>
              <w:t>Quantitative Survey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5" w14:textId="77777777" w:rsidR="0079599A" w:rsidRDefault="005D4C3C">
            <w:pPr>
              <w:spacing w:after="40"/>
            </w:pPr>
            <w:r>
              <w:rPr>
                <w:color w:val="000000"/>
                <w:sz w:val="14"/>
                <w:szCs w:val="14"/>
              </w:rPr>
              <w:t>Technological oversight without empathetic governance undermines psychological safety required for high performance. Longitudinal data needed on recovery after removing AI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6" w14:textId="77777777" w:rsidR="0079599A" w:rsidRDefault="005D4C3C">
            <w:pPr>
              <w:spacing w:after="40"/>
            </w:pPr>
            <w:r>
              <w:rPr>
                <w:b/>
                <w:bCs/>
                <w:color w:val="000000"/>
                <w:sz w:val="15"/>
                <w:szCs w:val="15"/>
              </w:rPr>
              <w:t>5/5</w:t>
            </w:r>
          </w:p>
        </w:tc>
      </w:tr>
      <w:tr w:rsidR="0079599A" w14:paraId="0DAE0A2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8" w14:textId="77777777" w:rsidR="0079599A" w:rsidRDefault="005D4C3C">
            <w:pPr>
              <w:spacing w:after="40"/>
            </w:pPr>
            <w:r>
              <w:rPr>
                <w:b/>
                <w:bCs/>
                <w:color w:val="000000"/>
                <w:sz w:val="15"/>
                <w:szCs w:val="15"/>
              </w:rPr>
              <w:t>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9" w14:textId="77777777" w:rsidR="0079599A" w:rsidRDefault="005D4C3C">
            <w:pPr>
              <w:spacing w:after="40"/>
            </w:pPr>
            <w:r>
              <w:rPr>
                <w:color w:val="000000"/>
                <w:sz w:val="15"/>
                <w:szCs w:val="15"/>
              </w:rPr>
              <w:t>Ferrara et al. (2022)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A" w14:textId="77777777" w:rsidR="0079599A" w:rsidRDefault="005D4C3C">
            <w:pPr>
              <w:spacing w:after="40"/>
            </w:pPr>
            <w:r>
              <w:rPr>
                <w:color w:val="000000"/>
                <w:sz w:val="14"/>
                <w:szCs w:val="14"/>
              </w:rPr>
              <w:t>Remote Work / Multi-Sector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B" w14:textId="77777777" w:rsidR="0079599A" w:rsidRDefault="005D4C3C">
            <w:pPr>
              <w:spacing w:after="40"/>
            </w:pPr>
            <w:r>
              <w:rPr>
                <w:color w:val="000000"/>
                <w:sz w:val="14"/>
                <w:szCs w:val="14"/>
              </w:rPr>
              <w:t>Well-being and Performance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C" w14:textId="77777777" w:rsidR="0079599A" w:rsidRDefault="005D4C3C">
            <w:pPr>
              <w:spacing w:after="40"/>
            </w:pPr>
            <w:r>
              <w:rPr>
                <w:color w:val="000000"/>
                <w:sz w:val="14"/>
                <w:szCs w:val="14"/>
              </w:rPr>
              <w:t>Systematic 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D" w14:textId="77777777" w:rsidR="0079599A" w:rsidRDefault="005D4C3C">
            <w:pPr>
              <w:spacing w:after="40"/>
            </w:pPr>
            <w:r>
              <w:rPr>
                <w:color w:val="000000"/>
                <w:sz w:val="14"/>
                <w:szCs w:val="14"/>
              </w:rPr>
              <w:t>Remote work positively relates to performance when well-being is supported; monitoring-heavy environments erode this. Limited exploration of AI-specific vs general remote work effects.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2E" w14:textId="77777777" w:rsidR="0079599A" w:rsidRDefault="005D4C3C">
            <w:pPr>
              <w:spacing w:after="40"/>
            </w:pPr>
            <w:r>
              <w:rPr>
                <w:b/>
                <w:bCs/>
                <w:color w:val="000000"/>
                <w:sz w:val="15"/>
                <w:szCs w:val="15"/>
              </w:rPr>
              <w:t>5/5</w:t>
            </w:r>
          </w:p>
        </w:tc>
      </w:tr>
      <w:tr w:rsidR="0079599A" w14:paraId="0DAE0A3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0" w14:textId="77777777" w:rsidR="0079599A" w:rsidRDefault="005D4C3C">
            <w:pPr>
              <w:spacing w:after="40"/>
            </w:pPr>
            <w:r>
              <w:rPr>
                <w:b/>
                <w:bCs/>
                <w:color w:val="000000"/>
                <w:sz w:val="15"/>
                <w:szCs w:val="15"/>
              </w:rPr>
              <w:t>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1" w14:textId="77777777" w:rsidR="0079599A" w:rsidRDefault="005D4C3C">
            <w:pPr>
              <w:spacing w:after="40"/>
            </w:pPr>
            <w:proofErr w:type="spellStart"/>
            <w:r>
              <w:rPr>
                <w:color w:val="000000"/>
                <w:sz w:val="15"/>
                <w:szCs w:val="15"/>
              </w:rPr>
              <w:t>Huselid</w:t>
            </w:r>
            <w:proofErr w:type="spellEnd"/>
            <w:r>
              <w:rPr>
                <w:color w:val="000000"/>
                <w:sz w:val="15"/>
                <w:szCs w:val="15"/>
              </w:rPr>
              <w:t xml:space="preserve"> (1995)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2" w14:textId="77777777" w:rsidR="0079599A" w:rsidRDefault="005D4C3C">
            <w:pPr>
              <w:spacing w:after="40"/>
            </w:pPr>
            <w:r>
              <w:rPr>
                <w:color w:val="000000"/>
                <w:sz w:val="14"/>
                <w:szCs w:val="14"/>
              </w:rPr>
              <w:t>Manufacturing and Corporate / US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3" w14:textId="77777777" w:rsidR="0079599A" w:rsidRDefault="005D4C3C">
            <w:pPr>
              <w:spacing w:after="40"/>
            </w:pPr>
            <w:r>
              <w:rPr>
                <w:color w:val="000000"/>
                <w:sz w:val="14"/>
                <w:szCs w:val="14"/>
              </w:rPr>
              <w:t>High-Performance Work Systems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4" w14:textId="77777777" w:rsidR="0079599A" w:rsidRDefault="005D4C3C">
            <w:pPr>
              <w:spacing w:after="40"/>
            </w:pPr>
            <w:r>
              <w:rPr>
                <w:color w:val="000000"/>
                <w:sz w:val="14"/>
                <w:szCs w:val="14"/>
              </w:rPr>
              <w:t>Quantitative Longitudinal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5" w14:textId="77777777" w:rsidR="0079599A" w:rsidRDefault="005D4C3C">
            <w:pPr>
              <w:spacing w:after="40"/>
            </w:pPr>
            <w:r>
              <w:rPr>
                <w:color w:val="000000"/>
                <w:sz w:val="14"/>
                <w:szCs w:val="14"/>
              </w:rPr>
              <w:t>HRM practices enhancing skill, motivation, and opportunity reduce turnover and raise productivity. Pre-digital study; does not account for AI-mediated performance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6" w14:textId="77777777" w:rsidR="0079599A" w:rsidRDefault="005D4C3C">
            <w:pPr>
              <w:spacing w:after="40"/>
            </w:pPr>
            <w:r>
              <w:rPr>
                <w:b/>
                <w:bCs/>
                <w:color w:val="000000"/>
                <w:sz w:val="15"/>
                <w:szCs w:val="15"/>
              </w:rPr>
              <w:t>5/5</w:t>
            </w:r>
          </w:p>
        </w:tc>
      </w:tr>
      <w:tr w:rsidR="0079599A" w14:paraId="0DAE0A3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8" w14:textId="77777777" w:rsidR="0079599A" w:rsidRDefault="005D4C3C">
            <w:pPr>
              <w:spacing w:after="40"/>
            </w:pPr>
            <w:r>
              <w:rPr>
                <w:b/>
                <w:bCs/>
                <w:color w:val="000000"/>
                <w:sz w:val="15"/>
                <w:szCs w:val="15"/>
              </w:rPr>
              <w:t>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9" w14:textId="77777777" w:rsidR="0079599A" w:rsidRDefault="005D4C3C">
            <w:pPr>
              <w:spacing w:after="40"/>
            </w:pPr>
            <w:r>
              <w:rPr>
                <w:color w:val="000000"/>
                <w:sz w:val="15"/>
                <w:szCs w:val="15"/>
              </w:rPr>
              <w:t>Appelbaum et al. (2000)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A" w14:textId="77777777" w:rsidR="0079599A" w:rsidRDefault="005D4C3C">
            <w:pPr>
              <w:spacing w:after="40"/>
            </w:pPr>
            <w:r>
              <w:rPr>
                <w:color w:val="000000"/>
                <w:sz w:val="14"/>
                <w:szCs w:val="14"/>
              </w:rPr>
              <w:t>Manufacturing / US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B" w14:textId="77777777" w:rsidR="0079599A" w:rsidRDefault="005D4C3C">
            <w:pPr>
              <w:spacing w:after="40"/>
            </w:pPr>
            <w:r>
              <w:rPr>
                <w:color w:val="000000"/>
                <w:sz w:val="14"/>
                <w:szCs w:val="14"/>
              </w:rPr>
              <w:t>AMO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C" w14:textId="77777777" w:rsidR="0079599A" w:rsidRDefault="005D4C3C">
            <w:pPr>
              <w:spacing w:after="40"/>
            </w:pPr>
            <w:r>
              <w:rPr>
                <w:color w:val="000000"/>
                <w:sz w:val="14"/>
                <w:szCs w:val="14"/>
              </w:rPr>
              <w:t>Mixed-Methods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D" w14:textId="77777777" w:rsidR="0079599A" w:rsidRDefault="005D4C3C">
            <w:pPr>
              <w:spacing w:after="40"/>
            </w:pPr>
            <w:r>
              <w:rPr>
                <w:color w:val="000000"/>
                <w:sz w:val="14"/>
                <w:szCs w:val="14"/>
              </w:rPr>
              <w:t>High performance depends on alignment of ability, motivation, and opportunity; surveillance-heavy environments undermine all three. Manufacturing context limits applicability to knowledge-work.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3E" w14:textId="77777777" w:rsidR="0079599A" w:rsidRDefault="005D4C3C">
            <w:pPr>
              <w:spacing w:after="40"/>
            </w:pPr>
            <w:r>
              <w:rPr>
                <w:b/>
                <w:bCs/>
                <w:color w:val="000000"/>
                <w:sz w:val="15"/>
                <w:szCs w:val="15"/>
              </w:rPr>
              <w:t>5/5</w:t>
            </w:r>
          </w:p>
        </w:tc>
      </w:tr>
      <w:tr w:rsidR="0079599A" w14:paraId="0DAE0A4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0" w14:textId="77777777" w:rsidR="0079599A" w:rsidRDefault="005D4C3C">
            <w:pPr>
              <w:spacing w:after="40"/>
            </w:pPr>
            <w:r>
              <w:rPr>
                <w:b/>
                <w:bCs/>
                <w:color w:val="000000"/>
                <w:sz w:val="15"/>
                <w:szCs w:val="15"/>
              </w:rPr>
              <w:t>7</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1" w14:textId="77777777" w:rsidR="0079599A" w:rsidRDefault="005D4C3C">
            <w:pPr>
              <w:spacing w:after="40"/>
            </w:pPr>
            <w:r>
              <w:rPr>
                <w:color w:val="000000"/>
                <w:sz w:val="15"/>
                <w:szCs w:val="15"/>
              </w:rPr>
              <w:t>Boxall and Purcell (2016)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2" w14:textId="77777777" w:rsidR="0079599A" w:rsidRDefault="005D4C3C">
            <w:pPr>
              <w:spacing w:after="40"/>
            </w:pPr>
            <w:r>
              <w:rPr>
                <w:color w:val="000000"/>
                <w:sz w:val="14"/>
                <w:szCs w:val="14"/>
              </w:rPr>
              <w:t>Cross-Sector / Strategic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3" w14:textId="77777777" w:rsidR="0079599A" w:rsidRDefault="005D4C3C">
            <w:pPr>
              <w:spacing w:after="40"/>
            </w:pPr>
            <w:r>
              <w:rPr>
                <w:color w:val="000000"/>
                <w:sz w:val="14"/>
                <w:szCs w:val="14"/>
              </w:rPr>
              <w:t>Strategic HRM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4" w14:textId="77777777" w:rsidR="0079599A" w:rsidRDefault="005D4C3C">
            <w:pPr>
              <w:spacing w:after="40"/>
            </w:pPr>
            <w:r>
              <w:rPr>
                <w:color w:val="000000"/>
                <w:sz w:val="14"/>
                <w:szCs w:val="14"/>
              </w:rPr>
              <w:t>Conceptual / Theoretical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5" w14:textId="77777777" w:rsidR="0079599A" w:rsidRDefault="005D4C3C">
            <w:pPr>
              <w:spacing w:after="40"/>
            </w:pPr>
            <w:r>
              <w:rPr>
                <w:color w:val="000000"/>
                <w:sz w:val="14"/>
                <w:szCs w:val="14"/>
              </w:rPr>
              <w:t>Strategic HRM requires alignment between HR practices and business strategy; performance management must balance control and commitment. Does not address AI or digital tools.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6" w14:textId="77777777" w:rsidR="0079599A" w:rsidRDefault="005D4C3C">
            <w:pPr>
              <w:spacing w:after="40"/>
            </w:pPr>
            <w:r>
              <w:rPr>
                <w:b/>
                <w:bCs/>
                <w:color w:val="000000"/>
                <w:sz w:val="15"/>
                <w:szCs w:val="15"/>
              </w:rPr>
              <w:t>5/5</w:t>
            </w:r>
          </w:p>
        </w:tc>
      </w:tr>
      <w:tr w:rsidR="0079599A" w14:paraId="0DAE0A4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8" w14:textId="77777777" w:rsidR="0079599A" w:rsidRDefault="005D4C3C">
            <w:pPr>
              <w:spacing w:after="40"/>
            </w:pPr>
            <w:r>
              <w:rPr>
                <w:b/>
                <w:bCs/>
                <w:color w:val="000000"/>
                <w:sz w:val="15"/>
                <w:szCs w:val="15"/>
              </w:rPr>
              <w:t>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9" w14:textId="77777777" w:rsidR="0079599A" w:rsidRDefault="005D4C3C">
            <w:pPr>
              <w:spacing w:after="40"/>
            </w:pPr>
            <w:r>
              <w:rPr>
                <w:color w:val="000000"/>
                <w:sz w:val="15"/>
                <w:szCs w:val="15"/>
              </w:rPr>
              <w:t>Rousseau (1989)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A" w14:textId="77777777" w:rsidR="0079599A" w:rsidRDefault="005D4C3C">
            <w:pPr>
              <w:spacing w:after="40"/>
            </w:pPr>
            <w:r>
              <w:rPr>
                <w:color w:val="000000"/>
                <w:sz w:val="14"/>
                <w:szCs w:val="14"/>
              </w:rPr>
              <w:t xml:space="preserve">Org </w:t>
            </w:r>
            <w:proofErr w:type="spellStart"/>
            <w:r>
              <w:rPr>
                <w:color w:val="000000"/>
                <w:sz w:val="14"/>
                <w:szCs w:val="14"/>
              </w:rPr>
              <w:t>Behaviour</w:t>
            </w:r>
            <w:proofErr w:type="spellEnd"/>
            <w:r>
              <w:rPr>
                <w:color w:val="000000"/>
                <w:sz w:val="14"/>
                <w:szCs w:val="14"/>
              </w:rPr>
              <w:t xml:space="preserve"> / Cross-Sector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B" w14:textId="77777777" w:rsidR="0079599A" w:rsidRDefault="005D4C3C">
            <w:pPr>
              <w:spacing w:after="40"/>
            </w:pPr>
            <w:r>
              <w:rPr>
                <w:color w:val="000000"/>
                <w:sz w:val="14"/>
                <w:szCs w:val="14"/>
              </w:rPr>
              <w:t>Psychological Contract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C" w14:textId="77777777" w:rsidR="0079599A" w:rsidRDefault="005D4C3C">
            <w:pPr>
              <w:spacing w:after="40"/>
            </w:pPr>
            <w:r>
              <w:rPr>
                <w:color w:val="000000"/>
                <w:sz w:val="14"/>
                <w:szCs w:val="14"/>
              </w:rPr>
              <w:t>Conceptual Framework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D" w14:textId="77777777" w:rsidR="0079599A" w:rsidRDefault="005D4C3C">
            <w:pPr>
              <w:spacing w:after="40"/>
            </w:pPr>
            <w:r>
              <w:rPr>
                <w:color w:val="000000"/>
                <w:sz w:val="14"/>
                <w:szCs w:val="14"/>
              </w:rPr>
              <w:t>Unilateral changes to unwritten employer-employee expectations generate breach responses including reduced commitment. Foundational theory predates digital 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4E" w14:textId="77777777" w:rsidR="0079599A" w:rsidRDefault="005D4C3C">
            <w:pPr>
              <w:spacing w:after="40"/>
            </w:pPr>
            <w:r>
              <w:rPr>
                <w:b/>
                <w:bCs/>
                <w:color w:val="000000"/>
                <w:sz w:val="15"/>
                <w:szCs w:val="15"/>
              </w:rPr>
              <w:t>5/5</w:t>
            </w:r>
          </w:p>
        </w:tc>
      </w:tr>
      <w:tr w:rsidR="0079599A" w14:paraId="0DAE0A5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0" w14:textId="77777777" w:rsidR="0079599A" w:rsidRDefault="005D4C3C">
            <w:pPr>
              <w:spacing w:after="40"/>
            </w:pPr>
            <w:r>
              <w:rPr>
                <w:b/>
                <w:bCs/>
                <w:color w:val="000000"/>
                <w:sz w:val="15"/>
                <w:szCs w:val="15"/>
              </w:rPr>
              <w:t>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1" w14:textId="77777777" w:rsidR="0079599A" w:rsidRDefault="005D4C3C">
            <w:pPr>
              <w:spacing w:after="40"/>
            </w:pPr>
            <w:r>
              <w:rPr>
                <w:color w:val="000000"/>
                <w:sz w:val="15"/>
                <w:szCs w:val="15"/>
              </w:rPr>
              <w:t>Guest (1998)</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2" w14:textId="77777777" w:rsidR="0079599A" w:rsidRDefault="005D4C3C">
            <w:pPr>
              <w:spacing w:after="40"/>
            </w:pPr>
            <w:r>
              <w:rPr>
                <w:color w:val="000000"/>
                <w:sz w:val="14"/>
                <w:szCs w:val="14"/>
              </w:rPr>
              <w:t xml:space="preserve">Cross-Sector / Org </w:t>
            </w:r>
            <w:proofErr w:type="spellStart"/>
            <w:r>
              <w:rPr>
                <w:color w:val="000000"/>
                <w:sz w:val="14"/>
                <w:szCs w:val="14"/>
              </w:rPr>
              <w:t>Behaviour</w:t>
            </w:r>
            <w:proofErr w:type="spellEnd"/>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3" w14:textId="77777777" w:rsidR="0079599A" w:rsidRDefault="005D4C3C">
            <w:pPr>
              <w:spacing w:after="40"/>
            </w:pPr>
            <w:r>
              <w:rPr>
                <w:color w:val="000000"/>
                <w:sz w:val="14"/>
                <w:szCs w:val="14"/>
              </w:rPr>
              <w:t>Psychological Contract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4" w14:textId="77777777" w:rsidR="0079599A" w:rsidRDefault="005D4C3C">
            <w:pPr>
              <w:spacing w:after="40"/>
            </w:pPr>
            <w:r>
              <w:rPr>
                <w:color w:val="000000"/>
                <w:sz w:val="14"/>
                <w:szCs w:val="14"/>
              </w:rPr>
              <w:t>Theoretical and Empirical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5" w14:textId="77777777" w:rsidR="0079599A" w:rsidRDefault="005D4C3C">
            <w:pPr>
              <w:spacing w:after="40"/>
            </w:pPr>
            <w:r>
              <w:rPr>
                <w:color w:val="000000"/>
                <w:sz w:val="14"/>
                <w:szCs w:val="14"/>
              </w:rPr>
              <w:t>Psychological contract fulfilment is positively associated with performance; breach generates significant disengagement. Does not address how AI systems influence contract perceptions.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6" w14:textId="77777777" w:rsidR="0079599A" w:rsidRDefault="005D4C3C">
            <w:pPr>
              <w:spacing w:after="40"/>
            </w:pPr>
            <w:r>
              <w:rPr>
                <w:b/>
                <w:bCs/>
                <w:color w:val="000000"/>
                <w:sz w:val="15"/>
                <w:szCs w:val="15"/>
              </w:rPr>
              <w:t>5/5</w:t>
            </w:r>
          </w:p>
        </w:tc>
      </w:tr>
      <w:tr w:rsidR="0079599A" w14:paraId="0DAE0A5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8" w14:textId="77777777" w:rsidR="0079599A" w:rsidRDefault="005D4C3C">
            <w:pPr>
              <w:spacing w:after="40"/>
            </w:pPr>
            <w:r>
              <w:rPr>
                <w:b/>
                <w:bCs/>
                <w:color w:val="000000"/>
                <w:sz w:val="15"/>
                <w:szCs w:val="15"/>
              </w:rPr>
              <w:t>10</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9" w14:textId="77777777" w:rsidR="0079599A" w:rsidRDefault="005D4C3C">
            <w:pPr>
              <w:spacing w:after="40"/>
            </w:pPr>
            <w:r>
              <w:rPr>
                <w:color w:val="000000"/>
                <w:sz w:val="15"/>
                <w:szCs w:val="15"/>
              </w:rPr>
              <w:t>Deci and Ryan (1985)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A" w14:textId="77777777" w:rsidR="0079599A" w:rsidRDefault="005D4C3C">
            <w:pPr>
              <w:spacing w:after="40"/>
            </w:pPr>
            <w:r>
              <w:rPr>
                <w:color w:val="000000"/>
                <w:sz w:val="14"/>
                <w:szCs w:val="14"/>
              </w:rPr>
              <w:t>Org Psychology / Cross-Sector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B" w14:textId="77777777" w:rsidR="0079599A" w:rsidRDefault="005D4C3C">
            <w:pPr>
              <w:spacing w:after="40"/>
            </w:pPr>
            <w:r>
              <w:rPr>
                <w:color w:val="000000"/>
                <w:sz w:val="14"/>
                <w:szCs w:val="14"/>
              </w:rPr>
              <w:t>Self-Determination Theory (SDT)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C" w14:textId="77777777" w:rsidR="0079599A" w:rsidRDefault="005D4C3C">
            <w:pPr>
              <w:spacing w:after="40"/>
            </w:pPr>
            <w:r>
              <w:rPr>
                <w:color w:val="000000"/>
                <w:sz w:val="14"/>
                <w:szCs w:val="14"/>
              </w:rPr>
              <w:t>Experimental and Theoretical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D" w14:textId="77777777" w:rsidR="0079599A" w:rsidRDefault="005D4C3C">
            <w:pPr>
              <w:spacing w:after="40"/>
            </w:pPr>
            <w:r>
              <w:rPr>
                <w:color w:val="000000"/>
                <w:sz w:val="14"/>
                <w:szCs w:val="14"/>
              </w:rPr>
              <w:t>Intrinsic motivation depends on autonomy, competence, and relatedness; external surveillance systematically undermines all three. Requires extension to AI-mediated remote 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5E" w14:textId="77777777" w:rsidR="0079599A" w:rsidRDefault="005D4C3C">
            <w:pPr>
              <w:spacing w:after="40"/>
            </w:pPr>
            <w:r>
              <w:rPr>
                <w:b/>
                <w:bCs/>
                <w:color w:val="000000"/>
                <w:sz w:val="15"/>
                <w:szCs w:val="15"/>
              </w:rPr>
              <w:t>5/5</w:t>
            </w:r>
          </w:p>
        </w:tc>
      </w:tr>
      <w:tr w:rsidR="0079599A" w14:paraId="0DAE0A6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0" w14:textId="77777777" w:rsidR="0079599A" w:rsidRDefault="005D4C3C">
            <w:pPr>
              <w:spacing w:after="40"/>
            </w:pPr>
            <w:r>
              <w:rPr>
                <w:b/>
                <w:bCs/>
                <w:color w:val="000000"/>
                <w:sz w:val="15"/>
                <w:szCs w:val="15"/>
              </w:rPr>
              <w:t>11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1" w14:textId="77777777" w:rsidR="0079599A" w:rsidRDefault="005D4C3C">
            <w:pPr>
              <w:spacing w:after="40"/>
            </w:pPr>
            <w:r>
              <w:rPr>
                <w:color w:val="000000"/>
                <w:sz w:val="15"/>
                <w:szCs w:val="15"/>
              </w:rPr>
              <w:t>Adams (1965)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2" w14:textId="77777777" w:rsidR="0079599A" w:rsidRDefault="005D4C3C">
            <w:pPr>
              <w:spacing w:after="40"/>
            </w:pPr>
            <w:r>
              <w:rPr>
                <w:color w:val="000000"/>
                <w:sz w:val="14"/>
                <w:szCs w:val="14"/>
              </w:rPr>
              <w:t xml:space="preserve">Org </w:t>
            </w:r>
            <w:proofErr w:type="spellStart"/>
            <w:r>
              <w:rPr>
                <w:color w:val="000000"/>
                <w:sz w:val="14"/>
                <w:szCs w:val="14"/>
              </w:rPr>
              <w:t>Behaviour</w:t>
            </w:r>
            <w:proofErr w:type="spellEnd"/>
            <w:r>
              <w:rPr>
                <w:color w:val="000000"/>
                <w:sz w:val="14"/>
                <w:szCs w:val="14"/>
              </w:rPr>
              <w:t xml:space="preserve"> / Cross-Sector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3" w14:textId="77777777" w:rsidR="0079599A" w:rsidRDefault="005D4C3C">
            <w:pPr>
              <w:spacing w:after="40"/>
            </w:pPr>
            <w:r>
              <w:rPr>
                <w:color w:val="000000"/>
                <w:sz w:val="14"/>
                <w:szCs w:val="14"/>
              </w:rPr>
              <w:t>Equity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4" w14:textId="77777777" w:rsidR="0079599A" w:rsidRDefault="005D4C3C">
            <w:pPr>
              <w:spacing w:after="40"/>
            </w:pPr>
            <w:r>
              <w:rPr>
                <w:color w:val="000000"/>
                <w:sz w:val="14"/>
                <w:szCs w:val="14"/>
              </w:rPr>
              <w:t>Experimental (Foundational)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5" w14:textId="77777777" w:rsidR="0079599A" w:rsidRDefault="005D4C3C">
            <w:pPr>
              <w:spacing w:after="40"/>
            </w:pPr>
            <w:r>
              <w:rPr>
                <w:color w:val="000000"/>
                <w:sz w:val="14"/>
                <w:szCs w:val="14"/>
              </w:rPr>
              <w:t>Employees evaluate fairness by comparing input-outcome ratios; perceived inequity reduces effort. Does not account for algorithmic opacity as a source of procedural injustice.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6" w14:textId="77777777" w:rsidR="0079599A" w:rsidRDefault="005D4C3C">
            <w:pPr>
              <w:spacing w:after="40"/>
            </w:pPr>
            <w:r>
              <w:rPr>
                <w:b/>
                <w:bCs/>
                <w:color w:val="000000"/>
                <w:sz w:val="15"/>
                <w:szCs w:val="15"/>
              </w:rPr>
              <w:t>5/5</w:t>
            </w:r>
          </w:p>
        </w:tc>
      </w:tr>
      <w:tr w:rsidR="0079599A" w14:paraId="0DAE0A6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8" w14:textId="77777777" w:rsidR="0079599A" w:rsidRDefault="005D4C3C">
            <w:pPr>
              <w:spacing w:after="40"/>
            </w:pPr>
            <w:r>
              <w:rPr>
                <w:b/>
                <w:bCs/>
                <w:color w:val="000000"/>
                <w:sz w:val="15"/>
                <w:szCs w:val="15"/>
              </w:rPr>
              <w:t>12</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9" w14:textId="77777777" w:rsidR="0079599A" w:rsidRDefault="005D4C3C">
            <w:pPr>
              <w:spacing w:after="40"/>
            </w:pPr>
            <w:r>
              <w:rPr>
                <w:color w:val="000000"/>
                <w:sz w:val="15"/>
                <w:szCs w:val="15"/>
              </w:rPr>
              <w:t>Greenberg (1987)</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A" w14:textId="77777777" w:rsidR="0079599A" w:rsidRDefault="005D4C3C">
            <w:pPr>
              <w:spacing w:after="40"/>
            </w:pPr>
            <w:r>
              <w:rPr>
                <w:color w:val="000000"/>
                <w:sz w:val="14"/>
                <w:szCs w:val="14"/>
              </w:rPr>
              <w:t>Org Justice / Cross-Sector</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B" w14:textId="77777777" w:rsidR="0079599A" w:rsidRDefault="005D4C3C">
            <w:pPr>
              <w:spacing w:after="40"/>
            </w:pPr>
            <w:proofErr w:type="spellStart"/>
            <w:r>
              <w:rPr>
                <w:color w:val="000000"/>
                <w:sz w:val="14"/>
                <w:szCs w:val="14"/>
              </w:rPr>
              <w:t>Organisational</w:t>
            </w:r>
            <w:proofErr w:type="spellEnd"/>
            <w:r>
              <w:rPr>
                <w:color w:val="000000"/>
                <w:sz w:val="14"/>
                <w:szCs w:val="14"/>
              </w:rPr>
              <w:t xml:space="preserve"> Justice Theory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C" w14:textId="77777777" w:rsidR="0079599A" w:rsidRDefault="005D4C3C">
            <w:pPr>
              <w:spacing w:after="40"/>
            </w:pPr>
            <w:r>
              <w:rPr>
                <w:color w:val="000000"/>
                <w:sz w:val="14"/>
                <w:szCs w:val="14"/>
              </w:rPr>
              <w:t>Theoretical Review</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D" w14:textId="77777777" w:rsidR="0079599A" w:rsidRDefault="005D4C3C">
            <w:pPr>
              <w:spacing w:after="40"/>
            </w:pPr>
            <w:proofErr w:type="spellStart"/>
            <w:r>
              <w:rPr>
                <w:color w:val="000000"/>
                <w:sz w:val="14"/>
                <w:szCs w:val="14"/>
              </w:rPr>
              <w:t>Organisational</w:t>
            </w:r>
            <w:proofErr w:type="spellEnd"/>
            <w:r>
              <w:rPr>
                <w:color w:val="000000"/>
                <w:sz w:val="14"/>
                <w:szCs w:val="14"/>
              </w:rPr>
              <w:t xml:space="preserve"> justice comprises distributive, procedural, and interactional dimensions; procedural justice is most important for sustained motivation. Requires extension to AI contexts.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6E" w14:textId="77777777" w:rsidR="0079599A" w:rsidRDefault="005D4C3C">
            <w:pPr>
              <w:spacing w:after="40"/>
            </w:pPr>
            <w:r>
              <w:rPr>
                <w:b/>
                <w:bCs/>
                <w:color w:val="000000"/>
                <w:sz w:val="15"/>
                <w:szCs w:val="15"/>
              </w:rPr>
              <w:t>5/5</w:t>
            </w:r>
          </w:p>
        </w:tc>
      </w:tr>
      <w:tr w:rsidR="0079599A" w14:paraId="0DAE0A7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0" w14:textId="77777777" w:rsidR="0079599A" w:rsidRDefault="005D4C3C">
            <w:pPr>
              <w:spacing w:after="40"/>
            </w:pPr>
            <w:r>
              <w:rPr>
                <w:b/>
                <w:bCs/>
                <w:color w:val="000000"/>
                <w:sz w:val="15"/>
                <w:szCs w:val="15"/>
              </w:rPr>
              <w:lastRenderedPageBreak/>
              <w:t>13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1" w14:textId="77777777" w:rsidR="0079599A" w:rsidRDefault="005D4C3C">
            <w:pPr>
              <w:spacing w:after="40"/>
            </w:pPr>
            <w:r>
              <w:rPr>
                <w:color w:val="000000"/>
                <w:sz w:val="15"/>
                <w:szCs w:val="15"/>
              </w:rPr>
              <w:t>Trist and Bamforth (1951)</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2" w14:textId="77777777" w:rsidR="0079599A" w:rsidRDefault="005D4C3C">
            <w:pPr>
              <w:spacing w:after="40"/>
            </w:pPr>
            <w:r>
              <w:rPr>
                <w:color w:val="000000"/>
                <w:sz w:val="14"/>
                <w:szCs w:val="14"/>
              </w:rPr>
              <w:t>Coal Mining / UK Industrial</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3" w14:textId="77777777" w:rsidR="0079599A" w:rsidRDefault="005D4C3C">
            <w:pPr>
              <w:spacing w:after="40"/>
            </w:pPr>
            <w:r>
              <w:rPr>
                <w:color w:val="000000"/>
                <w:sz w:val="14"/>
                <w:szCs w:val="14"/>
              </w:rPr>
              <w:t>Socio-Technical Systems (STST)</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4" w14:textId="77777777" w:rsidR="0079599A" w:rsidRDefault="005D4C3C">
            <w:pPr>
              <w:spacing w:after="40"/>
            </w:pPr>
            <w:r>
              <w:rPr>
                <w:color w:val="000000"/>
                <w:sz w:val="14"/>
                <w:szCs w:val="14"/>
              </w:rPr>
              <w:t>Qualitative Ethnographic</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5" w14:textId="77777777" w:rsidR="0079599A" w:rsidRDefault="005D4C3C">
            <w:pPr>
              <w:spacing w:after="40"/>
            </w:pPr>
            <w:r>
              <w:rPr>
                <w:color w:val="000000"/>
                <w:sz w:val="14"/>
                <w:szCs w:val="14"/>
              </w:rPr>
              <w:t xml:space="preserve">Technological systems only function effectively when aligned with human social systems; </w:t>
            </w:r>
            <w:proofErr w:type="spellStart"/>
            <w:r>
              <w:rPr>
                <w:color w:val="000000"/>
                <w:sz w:val="14"/>
                <w:szCs w:val="14"/>
              </w:rPr>
              <w:t>optimising</w:t>
            </w:r>
            <w:proofErr w:type="spellEnd"/>
            <w:r>
              <w:rPr>
                <w:color w:val="000000"/>
                <w:sz w:val="14"/>
                <w:szCs w:val="14"/>
              </w:rPr>
              <w:t xml:space="preserve"> technical at expense of social generates dysfunction. Requires extension to AI workplaces.</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6" w14:textId="77777777" w:rsidR="0079599A" w:rsidRDefault="005D4C3C">
            <w:pPr>
              <w:spacing w:after="40"/>
            </w:pPr>
            <w:r>
              <w:rPr>
                <w:b/>
                <w:bCs/>
                <w:color w:val="000000"/>
                <w:sz w:val="15"/>
                <w:szCs w:val="15"/>
              </w:rPr>
              <w:t>5/5</w:t>
            </w:r>
          </w:p>
        </w:tc>
      </w:tr>
      <w:tr w:rsidR="0079599A" w14:paraId="0DAE0A7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8" w14:textId="77777777" w:rsidR="0079599A" w:rsidRDefault="005D4C3C">
            <w:pPr>
              <w:spacing w:after="40"/>
            </w:pPr>
            <w:r>
              <w:rPr>
                <w:b/>
                <w:bCs/>
                <w:color w:val="000000"/>
                <w:sz w:val="15"/>
                <w:szCs w:val="15"/>
              </w:rPr>
              <w:t>14</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9" w14:textId="77777777" w:rsidR="0079599A" w:rsidRDefault="005D4C3C">
            <w:pPr>
              <w:spacing w:after="40"/>
            </w:pPr>
            <w:r>
              <w:rPr>
                <w:color w:val="000000"/>
                <w:sz w:val="15"/>
                <w:szCs w:val="15"/>
              </w:rPr>
              <w:t xml:space="preserve">Sauer and </w:t>
            </w:r>
            <w:proofErr w:type="spellStart"/>
            <w:r>
              <w:rPr>
                <w:color w:val="000000"/>
                <w:sz w:val="15"/>
                <w:szCs w:val="15"/>
              </w:rPr>
              <w:t>Seuring</w:t>
            </w:r>
            <w:proofErr w:type="spellEnd"/>
            <w:r>
              <w:rPr>
                <w:color w:val="000000"/>
                <w:sz w:val="15"/>
                <w:szCs w:val="15"/>
              </w:rPr>
              <w:t xml:space="preserve"> (2023)</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A" w14:textId="77777777" w:rsidR="0079599A" w:rsidRDefault="005D4C3C">
            <w:pPr>
              <w:spacing w:after="40"/>
            </w:pPr>
            <w:r>
              <w:rPr>
                <w:color w:val="000000"/>
                <w:sz w:val="14"/>
                <w:szCs w:val="14"/>
              </w:rPr>
              <w:t>Management Research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B" w14:textId="77777777" w:rsidR="0079599A" w:rsidRDefault="005D4C3C">
            <w:pPr>
              <w:spacing w:after="40"/>
            </w:pPr>
            <w:r>
              <w:rPr>
                <w:color w:val="000000"/>
                <w:sz w:val="14"/>
                <w:szCs w:val="14"/>
              </w:rPr>
              <w:t>Systematic Review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C" w14:textId="77777777" w:rsidR="0079599A" w:rsidRDefault="005D4C3C">
            <w:pPr>
              <w:spacing w:after="40"/>
            </w:pPr>
            <w:r>
              <w:rPr>
                <w:color w:val="000000"/>
                <w:sz w:val="14"/>
                <w:szCs w:val="14"/>
              </w:rPr>
              <w:t>Methodological Framework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D" w14:textId="77777777" w:rsidR="0079599A" w:rsidRDefault="005D4C3C">
            <w:pPr>
              <w:spacing w:after="40"/>
            </w:pPr>
            <w:r>
              <w:rPr>
                <w:color w:val="000000"/>
                <w:sz w:val="14"/>
                <w:szCs w:val="14"/>
              </w:rPr>
              <w:t xml:space="preserve">Rigorous SLR protocol </w:t>
            </w:r>
            <w:proofErr w:type="spellStart"/>
            <w:r>
              <w:rPr>
                <w:color w:val="000000"/>
                <w:sz w:val="14"/>
                <w:szCs w:val="14"/>
              </w:rPr>
              <w:t>emphasising</w:t>
            </w:r>
            <w:proofErr w:type="spellEnd"/>
            <w:r>
              <w:rPr>
                <w:color w:val="000000"/>
                <w:sz w:val="14"/>
                <w:szCs w:val="14"/>
              </w:rPr>
              <w:t xml:space="preserve"> transparency, replicability, and quality appraisal. Methodological paper; no substantive AI or HRM contribution.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7E" w14:textId="77777777" w:rsidR="0079599A" w:rsidRDefault="005D4C3C">
            <w:pPr>
              <w:spacing w:after="40"/>
            </w:pPr>
            <w:r>
              <w:rPr>
                <w:b/>
                <w:bCs/>
                <w:color w:val="000000"/>
                <w:sz w:val="15"/>
                <w:szCs w:val="15"/>
              </w:rPr>
              <w:t>5/5</w:t>
            </w:r>
          </w:p>
        </w:tc>
      </w:tr>
      <w:tr w:rsidR="0079599A" w14:paraId="0DAE0A87"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0" w14:textId="77777777" w:rsidR="0079599A" w:rsidRDefault="005D4C3C">
            <w:pPr>
              <w:spacing w:after="40"/>
            </w:pPr>
            <w:r>
              <w:rPr>
                <w:b/>
                <w:bCs/>
                <w:color w:val="000000"/>
                <w:sz w:val="15"/>
                <w:szCs w:val="15"/>
              </w:rPr>
              <w:t>15</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1" w14:textId="77777777" w:rsidR="0079599A" w:rsidRDefault="005D4C3C">
            <w:pPr>
              <w:spacing w:after="40"/>
            </w:pPr>
            <w:r>
              <w:rPr>
                <w:color w:val="000000"/>
                <w:sz w:val="15"/>
                <w:szCs w:val="15"/>
              </w:rPr>
              <w:t>Xiao and Watson (2019)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2" w14:textId="77777777" w:rsidR="0079599A" w:rsidRDefault="005D4C3C">
            <w:pPr>
              <w:spacing w:after="40"/>
            </w:pPr>
            <w:r>
              <w:rPr>
                <w:color w:val="000000"/>
                <w:sz w:val="14"/>
                <w:szCs w:val="14"/>
              </w:rPr>
              <w:t>Planning and Management Research</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3" w14:textId="77777777" w:rsidR="0079599A" w:rsidRDefault="005D4C3C">
            <w:pPr>
              <w:spacing w:after="40"/>
            </w:pPr>
            <w:r>
              <w:rPr>
                <w:color w:val="000000"/>
                <w:sz w:val="14"/>
                <w:szCs w:val="14"/>
              </w:rPr>
              <w:t>Systematic Review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4" w14:textId="77777777" w:rsidR="0079599A" w:rsidRDefault="005D4C3C">
            <w:pPr>
              <w:spacing w:after="40"/>
            </w:pPr>
            <w:r>
              <w:rPr>
                <w:color w:val="000000"/>
                <w:sz w:val="14"/>
                <w:szCs w:val="14"/>
              </w:rPr>
              <w:t>Methodological Guidance</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5" w14:textId="77777777" w:rsidR="0079599A" w:rsidRDefault="005D4C3C">
            <w:pPr>
              <w:spacing w:after="40"/>
            </w:pPr>
            <w:r>
              <w:rPr>
                <w:color w:val="000000"/>
                <w:sz w:val="14"/>
                <w:szCs w:val="14"/>
              </w:rPr>
              <w:t>SLRs require clear protocols for identification, screening, quality appraisal, and synthesis. Methodological guidance only; no substantive topic contribution.</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6" w14:textId="77777777" w:rsidR="0079599A" w:rsidRDefault="005D4C3C">
            <w:pPr>
              <w:spacing w:after="40"/>
            </w:pPr>
            <w:r>
              <w:rPr>
                <w:b/>
                <w:bCs/>
                <w:color w:val="000000"/>
                <w:sz w:val="15"/>
                <w:szCs w:val="15"/>
              </w:rPr>
              <w:t>5/5</w:t>
            </w:r>
          </w:p>
        </w:tc>
      </w:tr>
      <w:tr w:rsidR="0079599A" w14:paraId="0DAE0A8F" w14:textId="77777777">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8" w14:textId="77777777" w:rsidR="0079599A" w:rsidRDefault="005D4C3C">
            <w:pPr>
              <w:spacing w:after="40"/>
            </w:pPr>
            <w:r>
              <w:rPr>
                <w:b/>
                <w:bCs/>
                <w:color w:val="000000"/>
                <w:sz w:val="15"/>
                <w:szCs w:val="15"/>
              </w:rPr>
              <w:t>16</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9" w14:textId="77777777" w:rsidR="0079599A" w:rsidRDefault="005D4C3C">
            <w:pPr>
              <w:spacing w:after="40"/>
            </w:pPr>
            <w:r>
              <w:rPr>
                <w:color w:val="000000"/>
                <w:sz w:val="15"/>
                <w:szCs w:val="15"/>
              </w:rPr>
              <w:t>Bowen (2009)</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A" w14:textId="77777777" w:rsidR="0079599A" w:rsidRDefault="005D4C3C">
            <w:pPr>
              <w:spacing w:after="40"/>
            </w:pPr>
            <w:r>
              <w:rPr>
                <w:color w:val="000000"/>
                <w:sz w:val="14"/>
                <w:szCs w:val="14"/>
              </w:rPr>
              <w:t>Qualitative Research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B" w14:textId="77777777" w:rsidR="0079599A" w:rsidRDefault="005D4C3C">
            <w:pPr>
              <w:spacing w:after="40"/>
            </w:pPr>
            <w:r>
              <w:rPr>
                <w:color w:val="000000"/>
                <w:sz w:val="14"/>
                <w:szCs w:val="14"/>
              </w:rPr>
              <w:t>Document Analysis Methodology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C" w14:textId="77777777" w:rsidR="0079599A" w:rsidRDefault="005D4C3C">
            <w:pPr>
              <w:spacing w:after="40"/>
            </w:pPr>
            <w:r>
              <w:rPr>
                <w:color w:val="000000"/>
                <w:sz w:val="14"/>
                <w:szCs w:val="14"/>
              </w:rPr>
              <w:t>Methodological Framework</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D" w14:textId="77777777" w:rsidR="0079599A" w:rsidRDefault="005D4C3C">
            <w:pPr>
              <w:spacing w:after="40"/>
            </w:pPr>
            <w:r>
              <w:rPr>
                <w:color w:val="000000"/>
                <w:sz w:val="14"/>
                <w:szCs w:val="14"/>
              </w:rPr>
              <w:t>Document analysis is a rigorous qualitative method when applied systematically; appropriate for exploratory and pilot designs. Methodological paper only.</w:t>
            </w:r>
          </w:p>
        </w:tc>
        <w:tc>
          <w:tcPr>
            <w:tcW w:w="0" w:type="auto"/>
            <w:tcBorders>
              <w:top w:val="single" w:sz="4" w:space="0" w:color="AAAAAA"/>
              <w:left w:val="single" w:sz="4" w:space="0" w:color="AAAAAA"/>
              <w:bottom w:val="single" w:sz="4" w:space="0" w:color="AAAAAA"/>
              <w:right w:val="single" w:sz="4" w:space="0" w:color="AAAAAA"/>
            </w:tcBorders>
            <w:shd w:val="clear" w:color="auto" w:fill="E8F5E0"/>
            <w:tcMar>
              <w:top w:w="60" w:type="dxa"/>
              <w:left w:w="80" w:type="dxa"/>
              <w:bottom w:w="60" w:type="dxa"/>
              <w:right w:w="80" w:type="dxa"/>
            </w:tcMar>
          </w:tcPr>
          <w:p w14:paraId="0DAE0A8E" w14:textId="77777777" w:rsidR="0079599A" w:rsidRDefault="005D4C3C">
            <w:pPr>
              <w:spacing w:after="40"/>
            </w:pPr>
            <w:r>
              <w:rPr>
                <w:b/>
                <w:bCs/>
                <w:color w:val="000000"/>
                <w:sz w:val="15"/>
                <w:szCs w:val="15"/>
              </w:rPr>
              <w:t>5/5</w:t>
            </w:r>
          </w:p>
        </w:tc>
      </w:tr>
      <w:tr w:rsidR="0079599A" w14:paraId="0DAE0A9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0" w14:textId="77777777" w:rsidR="0079599A" w:rsidRDefault="005D4C3C">
            <w:pPr>
              <w:spacing w:after="40"/>
            </w:pPr>
            <w:r>
              <w:rPr>
                <w:b/>
                <w:bCs/>
                <w:color w:val="000000"/>
                <w:sz w:val="15"/>
                <w:szCs w:val="15"/>
              </w:rPr>
              <w:t>17</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1" w14:textId="77777777" w:rsidR="0079599A" w:rsidRDefault="005D4C3C">
            <w:pPr>
              <w:spacing w:after="40"/>
            </w:pPr>
            <w:r>
              <w:rPr>
                <w:color w:val="000000"/>
                <w:sz w:val="15"/>
                <w:szCs w:val="15"/>
              </w:rPr>
              <w:t>Microsoft Work Trend Index (2023)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2" w14:textId="77777777" w:rsidR="0079599A" w:rsidRDefault="005D4C3C">
            <w:pPr>
              <w:spacing w:after="40"/>
            </w:pPr>
            <w:r>
              <w:rPr>
                <w:color w:val="000000"/>
                <w:sz w:val="14"/>
                <w:szCs w:val="14"/>
              </w:rPr>
              <w:t>Global Cross-Industry / Knowledge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3" w14:textId="77777777" w:rsidR="0079599A" w:rsidRDefault="005D4C3C">
            <w:pPr>
              <w:spacing w:after="40"/>
            </w:pPr>
            <w:r>
              <w:rPr>
                <w:color w:val="000000"/>
                <w:sz w:val="14"/>
                <w:szCs w:val="14"/>
              </w:rPr>
              <w:t>Productivity Paranoia / Trust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4" w14:textId="77777777" w:rsidR="0079599A" w:rsidRDefault="005D4C3C">
            <w:pPr>
              <w:spacing w:after="40"/>
            </w:pPr>
            <w:r>
              <w:rPr>
                <w:color w:val="000000"/>
                <w:sz w:val="14"/>
                <w:szCs w:val="14"/>
              </w:rPr>
              <w:t>Quantitative Survey (n=31,000+)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5" w14:textId="77777777" w:rsidR="0079599A" w:rsidRDefault="005D4C3C">
            <w:pPr>
              <w:spacing w:after="40"/>
            </w:pPr>
            <w:r>
              <w:rPr>
                <w:color w:val="000000"/>
                <w:sz w:val="14"/>
                <w:szCs w:val="14"/>
              </w:rPr>
              <w:t>85% of leaders distrust remote productivity despite employees reporting increased output. Commercial report; lacks peer-reviewed transparency and longitudinal tracking.</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6" w14:textId="77777777" w:rsidR="0079599A" w:rsidRDefault="005D4C3C">
            <w:pPr>
              <w:spacing w:after="40"/>
            </w:pPr>
            <w:r>
              <w:rPr>
                <w:b/>
                <w:bCs/>
                <w:color w:val="000000"/>
                <w:sz w:val="15"/>
                <w:szCs w:val="15"/>
              </w:rPr>
              <w:t>4/5</w:t>
            </w:r>
          </w:p>
        </w:tc>
      </w:tr>
      <w:tr w:rsidR="0079599A" w14:paraId="0DAE0A9F"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8" w14:textId="77777777" w:rsidR="0079599A" w:rsidRDefault="005D4C3C">
            <w:pPr>
              <w:spacing w:after="40"/>
            </w:pPr>
            <w:r>
              <w:rPr>
                <w:b/>
                <w:bCs/>
                <w:color w:val="000000"/>
                <w:sz w:val="15"/>
                <w:szCs w:val="15"/>
              </w:rPr>
              <w:t>18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9" w14:textId="77777777" w:rsidR="0079599A" w:rsidRDefault="005D4C3C">
            <w:pPr>
              <w:spacing w:after="40"/>
            </w:pPr>
            <w:r>
              <w:rPr>
                <w:color w:val="000000"/>
                <w:sz w:val="15"/>
                <w:szCs w:val="15"/>
              </w:rPr>
              <w:t>Gartner HR Research (2023)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A" w14:textId="77777777" w:rsidR="0079599A" w:rsidRDefault="005D4C3C">
            <w:pPr>
              <w:spacing w:after="40"/>
            </w:pPr>
            <w:r>
              <w:rPr>
                <w:color w:val="000000"/>
                <w:sz w:val="14"/>
                <w:szCs w:val="14"/>
              </w:rPr>
              <w:t>HR Leaders and Employees / Global</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B" w14:textId="77777777" w:rsidR="0079599A" w:rsidRDefault="005D4C3C">
            <w:pPr>
              <w:spacing w:after="40"/>
            </w:pPr>
            <w:r>
              <w:rPr>
                <w:color w:val="000000"/>
                <w:sz w:val="14"/>
                <w:szCs w:val="14"/>
              </w:rPr>
              <w:t>Algorithmic Governance and Justice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C" w14:textId="77777777" w:rsidR="0079599A" w:rsidRDefault="005D4C3C">
            <w:pPr>
              <w:spacing w:after="40"/>
            </w:pPr>
            <w:r>
              <w:rPr>
                <w:color w:val="000000"/>
                <w:sz w:val="14"/>
                <w:szCs w:val="14"/>
              </w:rPr>
              <w:t>Mixed-Methods (n=3,500)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D" w14:textId="77777777" w:rsidR="0079599A" w:rsidRDefault="005D4C3C">
            <w:pPr>
              <w:spacing w:after="40"/>
            </w:pPr>
            <w:proofErr w:type="spellStart"/>
            <w:r>
              <w:rPr>
                <w:color w:val="000000"/>
                <w:sz w:val="14"/>
                <w:szCs w:val="14"/>
              </w:rPr>
              <w:t>Organisations</w:t>
            </w:r>
            <w:proofErr w:type="spellEnd"/>
            <w:r>
              <w:rPr>
                <w:color w:val="000000"/>
                <w:sz w:val="14"/>
                <w:szCs w:val="14"/>
              </w:rPr>
              <w:t xml:space="preserve"> using automated metrics heavily experience 20% trust reduction in 12 months; psychological safety declines 34% where managers defer to AI. Commercial bias toward Gartner recommendations.</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9E" w14:textId="77777777" w:rsidR="0079599A" w:rsidRDefault="005D4C3C">
            <w:pPr>
              <w:spacing w:after="40"/>
            </w:pPr>
            <w:r>
              <w:rPr>
                <w:b/>
                <w:bCs/>
                <w:color w:val="000000"/>
                <w:sz w:val="15"/>
                <w:szCs w:val="15"/>
              </w:rPr>
              <w:t>4/5</w:t>
            </w:r>
          </w:p>
        </w:tc>
      </w:tr>
      <w:tr w:rsidR="0079599A" w14:paraId="0DAE0AA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0" w14:textId="77777777" w:rsidR="0079599A" w:rsidRDefault="005D4C3C">
            <w:pPr>
              <w:spacing w:after="40"/>
            </w:pPr>
            <w:r>
              <w:rPr>
                <w:b/>
                <w:bCs/>
                <w:color w:val="000000"/>
                <w:sz w:val="15"/>
                <w:szCs w:val="15"/>
              </w:rPr>
              <w:t>19</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1" w14:textId="77777777" w:rsidR="0079599A" w:rsidRDefault="005D4C3C">
            <w:pPr>
              <w:spacing w:after="40"/>
            </w:pPr>
            <w:r>
              <w:rPr>
                <w:color w:val="000000"/>
                <w:sz w:val="15"/>
                <w:szCs w:val="15"/>
              </w:rPr>
              <w:t>Deloitte Human Capital (2023)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2" w14:textId="77777777" w:rsidR="0079599A" w:rsidRDefault="005D4C3C">
            <w:pPr>
              <w:spacing w:after="40"/>
            </w:pPr>
            <w:r>
              <w:rPr>
                <w:color w:val="000000"/>
                <w:sz w:val="14"/>
                <w:szCs w:val="14"/>
              </w:rPr>
              <w:t>Global Business Leaders / Cross-Industry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3" w14:textId="77777777" w:rsidR="0079599A" w:rsidRDefault="005D4C3C">
            <w:pPr>
              <w:spacing w:after="40"/>
            </w:pPr>
            <w:r>
              <w:rPr>
                <w:color w:val="000000"/>
                <w:sz w:val="14"/>
                <w:szCs w:val="14"/>
              </w:rPr>
              <w:t>Human-</w:t>
            </w:r>
            <w:proofErr w:type="spellStart"/>
            <w:r>
              <w:rPr>
                <w:color w:val="000000"/>
                <w:sz w:val="14"/>
                <w:szCs w:val="14"/>
              </w:rPr>
              <w:t>Centred</w:t>
            </w:r>
            <w:proofErr w:type="spellEnd"/>
            <w:r>
              <w:rPr>
                <w:color w:val="000000"/>
                <w:sz w:val="14"/>
                <w:szCs w:val="14"/>
              </w:rPr>
              <w:t xml:space="preserve"> AI Governance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4" w14:textId="77777777" w:rsidR="0079599A" w:rsidRDefault="005D4C3C">
            <w:pPr>
              <w:spacing w:after="40"/>
            </w:pPr>
            <w:r>
              <w:rPr>
                <w:color w:val="000000"/>
                <w:sz w:val="14"/>
                <w:szCs w:val="14"/>
              </w:rPr>
              <w:t>Mixed-Methods (n=10,000)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5" w14:textId="77777777" w:rsidR="0079599A" w:rsidRDefault="005D4C3C">
            <w:pPr>
              <w:spacing w:after="40"/>
            </w:pPr>
            <w:r>
              <w:rPr>
                <w:color w:val="000000"/>
                <w:sz w:val="14"/>
                <w:szCs w:val="14"/>
              </w:rPr>
              <w:t xml:space="preserve">Only 23% of AI-monitoring </w:t>
            </w:r>
            <w:proofErr w:type="spellStart"/>
            <w:r>
              <w:rPr>
                <w:color w:val="000000"/>
                <w:sz w:val="14"/>
                <w:szCs w:val="14"/>
              </w:rPr>
              <w:t>organisations</w:t>
            </w:r>
            <w:proofErr w:type="spellEnd"/>
            <w:r>
              <w:rPr>
                <w:color w:val="000000"/>
                <w:sz w:val="14"/>
                <w:szCs w:val="14"/>
              </w:rPr>
              <w:t xml:space="preserve"> have formal ethical governance; 42% perceive evaluations as procedurally fair. Consultancy framing limits </w:t>
            </w:r>
            <w:proofErr w:type="spellStart"/>
            <w:r>
              <w:rPr>
                <w:color w:val="000000"/>
                <w:sz w:val="14"/>
                <w:szCs w:val="14"/>
              </w:rPr>
              <w:t>generalisability</w:t>
            </w:r>
            <w:proofErr w:type="spellEnd"/>
            <w:r>
              <w:rPr>
                <w:color w:val="000000"/>
                <w:sz w:val="14"/>
                <w:szCs w:val="14"/>
              </w:rPr>
              <w: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6" w14:textId="77777777" w:rsidR="0079599A" w:rsidRDefault="005D4C3C">
            <w:pPr>
              <w:spacing w:after="40"/>
            </w:pPr>
            <w:r>
              <w:rPr>
                <w:b/>
                <w:bCs/>
                <w:color w:val="000000"/>
                <w:sz w:val="15"/>
                <w:szCs w:val="15"/>
              </w:rPr>
              <w:t>4/5</w:t>
            </w:r>
          </w:p>
        </w:tc>
      </w:tr>
      <w:tr w:rsidR="0079599A" w14:paraId="0DAE0AAF"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8" w14:textId="77777777" w:rsidR="0079599A" w:rsidRDefault="005D4C3C">
            <w:pPr>
              <w:spacing w:after="40"/>
            </w:pPr>
            <w:r>
              <w:rPr>
                <w:b/>
                <w:bCs/>
                <w:color w:val="000000"/>
                <w:sz w:val="15"/>
                <w:szCs w:val="15"/>
              </w:rPr>
              <w:t>20</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9" w14:textId="77777777" w:rsidR="0079599A" w:rsidRDefault="005D4C3C">
            <w:pPr>
              <w:spacing w:after="40"/>
            </w:pPr>
            <w:r>
              <w:rPr>
                <w:color w:val="000000"/>
                <w:sz w:val="15"/>
                <w:szCs w:val="15"/>
              </w:rPr>
              <w:t>Mabaso and Manuel (2024)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A" w14:textId="77777777" w:rsidR="0079599A" w:rsidRDefault="005D4C3C">
            <w:pPr>
              <w:spacing w:after="40"/>
            </w:pPr>
            <w:r>
              <w:rPr>
                <w:color w:val="000000"/>
                <w:sz w:val="14"/>
                <w:szCs w:val="14"/>
              </w:rPr>
              <w:t>Hybrid Work / South African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B" w14:textId="77777777" w:rsidR="0079599A" w:rsidRDefault="005D4C3C">
            <w:pPr>
              <w:spacing w:after="40"/>
            </w:pPr>
            <w:r>
              <w:rPr>
                <w:color w:val="000000"/>
                <w:sz w:val="14"/>
                <w:szCs w:val="14"/>
              </w:rPr>
              <w:t>Strategic HRM / Performance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C" w14:textId="77777777" w:rsidR="0079599A" w:rsidRDefault="005D4C3C">
            <w:pPr>
              <w:spacing w:after="40"/>
            </w:pPr>
            <w:r>
              <w:rPr>
                <w:color w:val="000000"/>
                <w:sz w:val="14"/>
                <w:szCs w:val="14"/>
              </w:rPr>
              <w:t>Qualitative Exploratory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D" w14:textId="77777777" w:rsidR="0079599A" w:rsidRDefault="005D4C3C">
            <w:pPr>
              <w:spacing w:after="40"/>
            </w:pPr>
            <w:r>
              <w:rPr>
                <w:color w:val="000000"/>
                <w:sz w:val="14"/>
                <w:szCs w:val="14"/>
              </w:rPr>
              <w:t xml:space="preserve">Existing performance management frameworks are inadequate for hybrid environments; </w:t>
            </w:r>
            <w:proofErr w:type="spellStart"/>
            <w:r>
              <w:rPr>
                <w:color w:val="000000"/>
                <w:sz w:val="14"/>
                <w:szCs w:val="14"/>
              </w:rPr>
              <w:t>organisations</w:t>
            </w:r>
            <w:proofErr w:type="spellEnd"/>
            <w:r>
              <w:rPr>
                <w:color w:val="000000"/>
                <w:sz w:val="14"/>
                <w:szCs w:val="14"/>
              </w:rPr>
              <w:t xml:space="preserve"> lack governance structures for fair AI-assisted evaluation. No cross-sector framework proposed.</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AE" w14:textId="77777777" w:rsidR="0079599A" w:rsidRDefault="005D4C3C">
            <w:pPr>
              <w:spacing w:after="40"/>
            </w:pPr>
            <w:r>
              <w:rPr>
                <w:b/>
                <w:bCs/>
                <w:color w:val="000000"/>
                <w:sz w:val="15"/>
                <w:szCs w:val="15"/>
              </w:rPr>
              <w:t>4/5</w:t>
            </w:r>
          </w:p>
        </w:tc>
      </w:tr>
      <w:tr w:rsidR="0079599A" w14:paraId="0DAE0AB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0" w14:textId="77777777" w:rsidR="0079599A" w:rsidRDefault="005D4C3C">
            <w:pPr>
              <w:spacing w:after="40"/>
            </w:pPr>
            <w:r>
              <w:rPr>
                <w:b/>
                <w:bCs/>
                <w:color w:val="000000"/>
                <w:sz w:val="15"/>
                <w:szCs w:val="15"/>
              </w:rPr>
              <w:t>21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1" w14:textId="77777777" w:rsidR="0079599A" w:rsidRDefault="005D4C3C">
            <w:pPr>
              <w:spacing w:after="40"/>
            </w:pPr>
            <w:r>
              <w:rPr>
                <w:color w:val="000000"/>
                <w:sz w:val="15"/>
                <w:szCs w:val="15"/>
              </w:rPr>
              <w:t>Toscano and Zappala (2021)</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2" w14:textId="77777777" w:rsidR="0079599A" w:rsidRDefault="005D4C3C">
            <w:pPr>
              <w:spacing w:after="40"/>
            </w:pPr>
            <w:r>
              <w:rPr>
                <w:color w:val="000000"/>
                <w:sz w:val="14"/>
                <w:szCs w:val="14"/>
              </w:rPr>
              <w:t>COVID-19 Remote / Italian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3" w14:textId="77777777" w:rsidR="0079599A" w:rsidRDefault="005D4C3C">
            <w:pPr>
              <w:spacing w:after="40"/>
            </w:pPr>
            <w:r>
              <w:rPr>
                <w:color w:val="000000"/>
                <w:sz w:val="14"/>
                <w:szCs w:val="14"/>
              </w:rPr>
              <w:t>Work Engagement and Motivation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4" w14:textId="77777777" w:rsidR="0079599A" w:rsidRDefault="005D4C3C">
            <w:pPr>
              <w:spacing w:after="40"/>
            </w:pPr>
            <w:r>
              <w:rPr>
                <w:color w:val="000000"/>
                <w:sz w:val="14"/>
                <w:szCs w:val="14"/>
              </w:rPr>
              <w:t>Quantitative Mediated Moderation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5" w14:textId="77777777" w:rsidR="0079599A" w:rsidRDefault="005D4C3C">
            <w:pPr>
              <w:spacing w:after="40"/>
            </w:pPr>
            <w:r>
              <w:rPr>
                <w:color w:val="000000"/>
                <w:sz w:val="14"/>
                <w:szCs w:val="14"/>
              </w:rPr>
              <w:t xml:space="preserve">Remote work engagement mediates performance-productivity relationship; living conditions moderate this significantly. Findings are context-specific to pandemic; </w:t>
            </w:r>
            <w:proofErr w:type="spellStart"/>
            <w:r>
              <w:rPr>
                <w:color w:val="000000"/>
                <w:sz w:val="14"/>
                <w:szCs w:val="14"/>
              </w:rPr>
              <w:t>generalisability</w:t>
            </w:r>
            <w:proofErr w:type="spellEnd"/>
            <w:r>
              <w:rPr>
                <w:color w:val="000000"/>
                <w:sz w:val="14"/>
                <w:szCs w:val="14"/>
              </w:rPr>
              <w:t xml:space="preserve"> limited.</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6" w14:textId="77777777" w:rsidR="0079599A" w:rsidRDefault="005D4C3C">
            <w:pPr>
              <w:spacing w:after="40"/>
            </w:pPr>
            <w:r>
              <w:rPr>
                <w:b/>
                <w:bCs/>
                <w:color w:val="000000"/>
                <w:sz w:val="15"/>
                <w:szCs w:val="15"/>
              </w:rPr>
              <w:t>4/5</w:t>
            </w:r>
          </w:p>
        </w:tc>
      </w:tr>
      <w:tr w:rsidR="0079599A" w14:paraId="0DAE0ABF"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8" w14:textId="77777777" w:rsidR="0079599A" w:rsidRDefault="005D4C3C">
            <w:pPr>
              <w:spacing w:after="40"/>
            </w:pPr>
            <w:r>
              <w:rPr>
                <w:b/>
                <w:bCs/>
                <w:color w:val="000000"/>
                <w:sz w:val="15"/>
                <w:szCs w:val="15"/>
              </w:rPr>
              <w:t>22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9" w14:textId="77777777" w:rsidR="0079599A" w:rsidRDefault="005D4C3C">
            <w:pPr>
              <w:spacing w:after="40"/>
            </w:pPr>
            <w:r>
              <w:rPr>
                <w:color w:val="000000"/>
                <w:sz w:val="15"/>
                <w:szCs w:val="15"/>
              </w:rPr>
              <w:t xml:space="preserve">Kowalski and </w:t>
            </w:r>
            <w:proofErr w:type="spellStart"/>
            <w:r>
              <w:rPr>
                <w:color w:val="000000"/>
                <w:sz w:val="15"/>
                <w:szCs w:val="15"/>
              </w:rPr>
              <w:t>Slebarska</w:t>
            </w:r>
            <w:proofErr w:type="spellEnd"/>
            <w:r>
              <w:rPr>
                <w:color w:val="000000"/>
                <w:sz w:val="15"/>
                <w:szCs w:val="15"/>
              </w:rPr>
              <w:t xml:space="preserve"> (2022)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A" w14:textId="77777777" w:rsidR="0079599A" w:rsidRDefault="005D4C3C">
            <w:pPr>
              <w:spacing w:after="40"/>
            </w:pPr>
            <w:r>
              <w:rPr>
                <w:color w:val="000000"/>
                <w:sz w:val="14"/>
                <w:szCs w:val="14"/>
              </w:rPr>
              <w:t>Remote Work / European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B" w14:textId="77777777" w:rsidR="0079599A" w:rsidRDefault="005D4C3C">
            <w:pPr>
              <w:spacing w:after="40"/>
            </w:pPr>
            <w:r>
              <w:rPr>
                <w:color w:val="000000"/>
                <w:sz w:val="14"/>
                <w:szCs w:val="14"/>
              </w:rPr>
              <w:t>Leader-Member Exchange (LMX)</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C" w14:textId="77777777" w:rsidR="0079599A" w:rsidRDefault="005D4C3C">
            <w:pPr>
              <w:spacing w:after="40"/>
            </w:pPr>
            <w:r>
              <w:rPr>
                <w:color w:val="000000"/>
                <w:sz w:val="14"/>
                <w:szCs w:val="14"/>
              </w:rPr>
              <w:t>Quantitative Survey (n=312)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D" w14:textId="77777777" w:rsidR="0079599A" w:rsidRDefault="005D4C3C">
            <w:pPr>
              <w:spacing w:after="40"/>
            </w:pPr>
            <w:r>
              <w:rPr>
                <w:color w:val="000000"/>
                <w:sz w:val="14"/>
                <w:szCs w:val="14"/>
              </w:rPr>
              <w:t>Leadership quality significantly moderates remote working and effectiveness; directive leaders reduce performance whilst supportive leaders enhance it. Does not address AI-specific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BE" w14:textId="77777777" w:rsidR="0079599A" w:rsidRDefault="005D4C3C">
            <w:pPr>
              <w:spacing w:after="40"/>
            </w:pPr>
            <w:r>
              <w:rPr>
                <w:b/>
                <w:bCs/>
                <w:color w:val="000000"/>
                <w:sz w:val="15"/>
                <w:szCs w:val="15"/>
              </w:rPr>
              <w:t>4/5</w:t>
            </w:r>
          </w:p>
        </w:tc>
      </w:tr>
      <w:tr w:rsidR="0079599A" w14:paraId="0DAE0AC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0" w14:textId="77777777" w:rsidR="0079599A" w:rsidRDefault="005D4C3C">
            <w:pPr>
              <w:spacing w:after="40"/>
            </w:pPr>
            <w:r>
              <w:rPr>
                <w:b/>
                <w:bCs/>
                <w:color w:val="000000"/>
                <w:sz w:val="15"/>
                <w:szCs w:val="15"/>
              </w:rPr>
              <w:t>23</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1" w14:textId="77777777" w:rsidR="0079599A" w:rsidRDefault="005D4C3C">
            <w:pPr>
              <w:spacing w:after="40"/>
            </w:pPr>
            <w:r>
              <w:rPr>
                <w:color w:val="000000"/>
                <w:sz w:val="15"/>
                <w:szCs w:val="15"/>
              </w:rPr>
              <w:t>Bakewell et al. (2018)</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2" w14:textId="77777777" w:rsidR="0079599A" w:rsidRDefault="005D4C3C">
            <w:pPr>
              <w:spacing w:after="40"/>
            </w:pPr>
            <w:r>
              <w:rPr>
                <w:color w:val="000000"/>
                <w:sz w:val="14"/>
                <w:szCs w:val="14"/>
              </w:rPr>
              <w:t>Mobile Workplace / Technology Sector</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3" w14:textId="77777777" w:rsidR="0079599A" w:rsidRDefault="005D4C3C">
            <w:pPr>
              <w:spacing w:after="40"/>
            </w:pPr>
            <w:r>
              <w:rPr>
                <w:color w:val="000000"/>
                <w:sz w:val="14"/>
                <w:szCs w:val="14"/>
              </w:rPr>
              <w:t>Data-Driven Management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4" w14:textId="77777777" w:rsidR="0079599A" w:rsidRDefault="005D4C3C">
            <w:pPr>
              <w:spacing w:after="40"/>
            </w:pPr>
            <w:r>
              <w:rPr>
                <w:color w:val="000000"/>
                <w:sz w:val="14"/>
                <w:szCs w:val="14"/>
              </w:rPr>
              <w:t>Qualitative Ethnographic</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5" w14:textId="77777777" w:rsidR="0079599A" w:rsidRDefault="005D4C3C">
            <w:pPr>
              <w:spacing w:after="40"/>
            </w:pPr>
            <w:r>
              <w:rPr>
                <w:color w:val="000000"/>
                <w:sz w:val="14"/>
                <w:szCs w:val="14"/>
              </w:rPr>
              <w:t>Data-driven remote performance management generates surveillance anxiety and reduces professional autonomy; employees develop counter-</w:t>
            </w:r>
            <w:proofErr w:type="spellStart"/>
            <w:r>
              <w:rPr>
                <w:color w:val="000000"/>
                <w:sz w:val="14"/>
                <w:szCs w:val="14"/>
              </w:rPr>
              <w:t>behaviours</w:t>
            </w:r>
            <w:proofErr w:type="spellEnd"/>
            <w:r>
              <w:rPr>
                <w:color w:val="000000"/>
                <w:sz w:val="14"/>
                <w:szCs w:val="14"/>
              </w:rPr>
              <w:t xml:space="preserve"> to game metrics. Pre-pandemic; current AI platforms more sophisticated.</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6" w14:textId="77777777" w:rsidR="0079599A" w:rsidRDefault="005D4C3C">
            <w:pPr>
              <w:spacing w:after="40"/>
            </w:pPr>
            <w:r>
              <w:rPr>
                <w:b/>
                <w:bCs/>
                <w:color w:val="000000"/>
                <w:sz w:val="15"/>
                <w:szCs w:val="15"/>
              </w:rPr>
              <w:t>4/5</w:t>
            </w:r>
          </w:p>
        </w:tc>
      </w:tr>
      <w:tr w:rsidR="0079599A" w14:paraId="0DAE0ACF"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8" w14:textId="77777777" w:rsidR="0079599A" w:rsidRDefault="005D4C3C">
            <w:pPr>
              <w:spacing w:after="40"/>
            </w:pPr>
            <w:r>
              <w:rPr>
                <w:b/>
                <w:bCs/>
                <w:color w:val="000000"/>
                <w:sz w:val="15"/>
                <w:szCs w:val="15"/>
              </w:rPr>
              <w:t>24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9" w14:textId="77777777" w:rsidR="0079599A" w:rsidRDefault="005D4C3C">
            <w:pPr>
              <w:spacing w:after="40"/>
            </w:pPr>
            <w:r>
              <w:rPr>
                <w:color w:val="000000"/>
                <w:sz w:val="15"/>
                <w:szCs w:val="15"/>
              </w:rPr>
              <w:t>Gusti et al. (2024)</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A" w14:textId="77777777" w:rsidR="0079599A" w:rsidRDefault="005D4C3C">
            <w:pPr>
              <w:spacing w:after="40"/>
            </w:pPr>
            <w:r>
              <w:rPr>
                <w:color w:val="000000"/>
                <w:sz w:val="14"/>
                <w:szCs w:val="14"/>
              </w:rPr>
              <w:t>AI in HRM / Global Corporate</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B" w14:textId="77777777" w:rsidR="0079599A" w:rsidRDefault="005D4C3C">
            <w:pPr>
              <w:spacing w:after="40"/>
            </w:pPr>
            <w:r>
              <w:rPr>
                <w:color w:val="000000"/>
                <w:sz w:val="14"/>
                <w:szCs w:val="14"/>
              </w:rPr>
              <w:t>AI Adoption and Engagement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C" w14:textId="77777777" w:rsidR="0079599A" w:rsidRDefault="005D4C3C">
            <w:pPr>
              <w:spacing w:after="40"/>
            </w:pPr>
            <w:r>
              <w:rPr>
                <w:color w:val="000000"/>
                <w:sz w:val="14"/>
                <w:szCs w:val="14"/>
              </w:rPr>
              <w:t>Systematic Review</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D" w14:textId="77777777" w:rsidR="0079599A" w:rsidRDefault="005D4C3C">
            <w:pPr>
              <w:spacing w:after="40"/>
            </w:pPr>
            <w:r>
              <w:rPr>
                <w:color w:val="000000"/>
                <w:sz w:val="14"/>
                <w:szCs w:val="14"/>
              </w:rPr>
              <w:t>AI tools improve productivity metrics but risk reducing intrinsic motivation when deployed without employee involvement. Limited focus on performance monitoring specifically.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CE" w14:textId="77777777" w:rsidR="0079599A" w:rsidRDefault="005D4C3C">
            <w:pPr>
              <w:spacing w:after="40"/>
            </w:pPr>
            <w:r>
              <w:rPr>
                <w:b/>
                <w:bCs/>
                <w:color w:val="000000"/>
                <w:sz w:val="15"/>
                <w:szCs w:val="15"/>
              </w:rPr>
              <w:t>4/5</w:t>
            </w:r>
          </w:p>
        </w:tc>
      </w:tr>
      <w:tr w:rsidR="0079599A" w14:paraId="0DAE0AD7" w14:textId="77777777">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0" w14:textId="77777777" w:rsidR="0079599A" w:rsidRDefault="005D4C3C">
            <w:pPr>
              <w:spacing w:after="40"/>
            </w:pPr>
            <w:r>
              <w:rPr>
                <w:b/>
                <w:bCs/>
                <w:color w:val="000000"/>
                <w:sz w:val="15"/>
                <w:szCs w:val="15"/>
              </w:rPr>
              <w:t>25</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1" w14:textId="77777777" w:rsidR="0079599A" w:rsidRDefault="005D4C3C">
            <w:pPr>
              <w:spacing w:after="40"/>
            </w:pPr>
            <w:r>
              <w:rPr>
                <w:color w:val="000000"/>
                <w:sz w:val="15"/>
                <w:szCs w:val="15"/>
              </w:rPr>
              <w:t>Guest and Conway (2002)</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2" w14:textId="77777777" w:rsidR="0079599A" w:rsidRDefault="005D4C3C">
            <w:pPr>
              <w:spacing w:after="40"/>
            </w:pPr>
            <w:r>
              <w:rPr>
                <w:color w:val="000000"/>
                <w:sz w:val="14"/>
                <w:szCs w:val="14"/>
              </w:rPr>
              <w:t>UK Corporate / HRM</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3" w14:textId="77777777" w:rsidR="0079599A" w:rsidRDefault="005D4C3C">
            <w:pPr>
              <w:spacing w:after="40"/>
            </w:pPr>
            <w:r>
              <w:rPr>
                <w:color w:val="000000"/>
                <w:sz w:val="14"/>
                <w:szCs w:val="14"/>
              </w:rPr>
              <w:t>Psychological Contract and Communication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4" w14:textId="77777777" w:rsidR="0079599A" w:rsidRDefault="005D4C3C">
            <w:pPr>
              <w:spacing w:after="40"/>
            </w:pPr>
            <w:r>
              <w:rPr>
                <w:color w:val="000000"/>
                <w:sz w:val="14"/>
                <w:szCs w:val="14"/>
              </w:rPr>
              <w:t>Quantitative Employer Survey</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5" w14:textId="77777777" w:rsidR="0079599A" w:rsidRDefault="005D4C3C">
            <w:pPr>
              <w:spacing w:after="40"/>
            </w:pPr>
            <w:r>
              <w:rPr>
                <w:color w:val="000000"/>
                <w:sz w:val="14"/>
                <w:szCs w:val="14"/>
              </w:rPr>
              <w:t>Employer communication quality significantly influences perceived psychological contract fulfilment; transparency reduces breach perceptions. Does not address AI-generated performance communication.</w:t>
            </w:r>
          </w:p>
        </w:tc>
        <w:tc>
          <w:tcPr>
            <w:tcW w:w="0" w:type="auto"/>
            <w:tcBorders>
              <w:top w:val="single" w:sz="4" w:space="0" w:color="AAAAAA"/>
              <w:left w:val="single" w:sz="4" w:space="0" w:color="AAAAAA"/>
              <w:bottom w:val="single" w:sz="4" w:space="0" w:color="AAAAAA"/>
              <w:right w:val="single" w:sz="4" w:space="0" w:color="AAAAAA"/>
            </w:tcBorders>
            <w:shd w:val="clear" w:color="auto" w:fill="EBF3FB"/>
            <w:tcMar>
              <w:top w:w="60" w:type="dxa"/>
              <w:left w:w="80" w:type="dxa"/>
              <w:bottom w:w="60" w:type="dxa"/>
              <w:right w:w="80" w:type="dxa"/>
            </w:tcMar>
          </w:tcPr>
          <w:p w14:paraId="0DAE0AD6" w14:textId="77777777" w:rsidR="0079599A" w:rsidRDefault="005D4C3C">
            <w:pPr>
              <w:spacing w:after="40"/>
            </w:pPr>
            <w:r>
              <w:rPr>
                <w:b/>
                <w:bCs/>
                <w:color w:val="000000"/>
                <w:sz w:val="15"/>
                <w:szCs w:val="15"/>
              </w:rPr>
              <w:t>4/5</w:t>
            </w:r>
          </w:p>
        </w:tc>
      </w:tr>
      <w:tr w:rsidR="0079599A" w14:paraId="0DAE0AD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8" w14:textId="77777777" w:rsidR="0079599A" w:rsidRDefault="005D4C3C">
            <w:pPr>
              <w:spacing w:after="40"/>
            </w:pPr>
            <w:r>
              <w:rPr>
                <w:b/>
                <w:bCs/>
                <w:color w:val="000000"/>
                <w:sz w:val="15"/>
                <w:szCs w:val="15"/>
              </w:rPr>
              <w:t>26</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9" w14:textId="77777777" w:rsidR="0079599A" w:rsidRDefault="005D4C3C">
            <w:pPr>
              <w:spacing w:after="40"/>
            </w:pPr>
            <w:r>
              <w:rPr>
                <w:color w:val="000000"/>
                <w:sz w:val="15"/>
                <w:szCs w:val="15"/>
              </w:rPr>
              <w:t>Aslan et al. (2022)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A" w14:textId="77777777" w:rsidR="0079599A" w:rsidRDefault="005D4C3C">
            <w:pPr>
              <w:spacing w:after="40"/>
            </w:pPr>
            <w:r>
              <w:rPr>
                <w:color w:val="000000"/>
                <w:sz w:val="14"/>
                <w:szCs w:val="14"/>
              </w:rPr>
              <w:t>Call Centre / Service Sector</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B" w14:textId="77777777" w:rsidR="0079599A" w:rsidRDefault="005D4C3C">
            <w:pPr>
              <w:spacing w:after="40"/>
            </w:pPr>
            <w:r>
              <w:rPr>
                <w:color w:val="000000"/>
                <w:sz w:val="14"/>
                <w:szCs w:val="14"/>
              </w:rPr>
              <w:t>Self-Determination Theory (SDT)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C" w14:textId="77777777" w:rsidR="0079599A" w:rsidRDefault="005D4C3C">
            <w:pPr>
              <w:spacing w:after="40"/>
            </w:pPr>
            <w:r>
              <w:rPr>
                <w:color w:val="000000"/>
                <w:sz w:val="14"/>
                <w:szCs w:val="14"/>
              </w:rPr>
              <w:t>Quantitative Regression</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D" w14:textId="77777777" w:rsidR="0079599A" w:rsidRDefault="005D4C3C">
            <w:pPr>
              <w:spacing w:after="40"/>
            </w:pPr>
            <w:r>
              <w:rPr>
                <w:color w:val="000000"/>
                <w:sz w:val="14"/>
                <w:szCs w:val="14"/>
              </w:rPr>
              <w:t>Task performance and satisfaction significantly influenced by remote working; autonomy support moderates digital oversight effects. Sector-specific; limited applicability to knowledge-work.</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DE" w14:textId="77777777" w:rsidR="0079599A" w:rsidRDefault="005D4C3C">
            <w:pPr>
              <w:spacing w:after="40"/>
            </w:pPr>
            <w:r>
              <w:rPr>
                <w:b/>
                <w:bCs/>
                <w:color w:val="000000"/>
                <w:sz w:val="15"/>
                <w:szCs w:val="15"/>
              </w:rPr>
              <w:t>3/5</w:t>
            </w:r>
          </w:p>
        </w:tc>
      </w:tr>
      <w:tr w:rsidR="0079599A" w14:paraId="0DAE0AE7"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0" w14:textId="77777777" w:rsidR="0079599A" w:rsidRDefault="005D4C3C">
            <w:pPr>
              <w:spacing w:after="40"/>
            </w:pPr>
            <w:r>
              <w:rPr>
                <w:b/>
                <w:bCs/>
                <w:color w:val="000000"/>
                <w:sz w:val="15"/>
                <w:szCs w:val="15"/>
              </w:rPr>
              <w:t>27</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1" w14:textId="77777777" w:rsidR="0079599A" w:rsidRDefault="005D4C3C">
            <w:pPr>
              <w:spacing w:after="40"/>
            </w:pPr>
            <w:r>
              <w:rPr>
                <w:color w:val="000000"/>
                <w:sz w:val="15"/>
                <w:szCs w:val="15"/>
              </w:rPr>
              <w:t>Raj et al. (2023)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2" w14:textId="77777777" w:rsidR="0079599A" w:rsidRDefault="005D4C3C">
            <w:pPr>
              <w:spacing w:after="40"/>
            </w:pPr>
            <w:r>
              <w:rPr>
                <w:color w:val="000000"/>
                <w:sz w:val="14"/>
                <w:szCs w:val="14"/>
              </w:rPr>
              <w:t>Remote Work / Indian Corporate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3" w14:textId="77777777" w:rsidR="0079599A" w:rsidRDefault="005D4C3C">
            <w:pPr>
              <w:spacing w:after="40"/>
            </w:pPr>
            <w:r>
              <w:rPr>
                <w:color w:val="000000"/>
                <w:sz w:val="14"/>
                <w:szCs w:val="14"/>
              </w:rPr>
              <w:t>Firm Performance and HRM Theory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4" w14:textId="77777777" w:rsidR="0079599A" w:rsidRDefault="005D4C3C">
            <w:pPr>
              <w:spacing w:after="40"/>
            </w:pPr>
            <w:r>
              <w:rPr>
                <w:color w:val="000000"/>
                <w:sz w:val="14"/>
                <w:szCs w:val="14"/>
              </w:rPr>
              <w:t>Quantitative SEM</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5" w14:textId="77777777" w:rsidR="0079599A" w:rsidRDefault="005D4C3C">
            <w:pPr>
              <w:spacing w:after="40"/>
            </w:pPr>
            <w:r>
              <w:rPr>
                <w:color w:val="000000"/>
                <w:sz w:val="14"/>
                <w:szCs w:val="14"/>
              </w:rPr>
              <w:t>Remote working outcomes influence firm performance through employee commitment; governance quality is a key moderating variable. Does not isolate AI monitoring as distinct variable.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6" w14:textId="77777777" w:rsidR="0079599A" w:rsidRDefault="005D4C3C">
            <w:pPr>
              <w:spacing w:after="40"/>
            </w:pPr>
            <w:r>
              <w:rPr>
                <w:b/>
                <w:bCs/>
                <w:color w:val="000000"/>
                <w:sz w:val="15"/>
                <w:szCs w:val="15"/>
              </w:rPr>
              <w:t>3/5</w:t>
            </w:r>
          </w:p>
        </w:tc>
      </w:tr>
      <w:tr w:rsidR="0079599A" w14:paraId="0DAE0AE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8" w14:textId="77777777" w:rsidR="0079599A" w:rsidRDefault="005D4C3C">
            <w:pPr>
              <w:spacing w:after="40"/>
            </w:pPr>
            <w:r>
              <w:rPr>
                <w:b/>
                <w:bCs/>
                <w:color w:val="000000"/>
                <w:sz w:val="15"/>
                <w:szCs w:val="15"/>
              </w:rPr>
              <w:t>28</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9" w14:textId="77777777" w:rsidR="0079599A" w:rsidRDefault="005D4C3C">
            <w:pPr>
              <w:spacing w:after="40"/>
            </w:pPr>
            <w:proofErr w:type="spellStart"/>
            <w:r>
              <w:rPr>
                <w:color w:val="000000"/>
                <w:sz w:val="15"/>
                <w:szCs w:val="15"/>
              </w:rPr>
              <w:t>Tummalapalli</w:t>
            </w:r>
            <w:proofErr w:type="spellEnd"/>
            <w:r>
              <w:rPr>
                <w:color w:val="000000"/>
                <w:sz w:val="15"/>
                <w:szCs w:val="15"/>
              </w:rPr>
              <w:t xml:space="preserve"> et al. (2025)</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A" w14:textId="77777777" w:rsidR="0079599A" w:rsidRDefault="005D4C3C">
            <w:pPr>
              <w:spacing w:after="40"/>
            </w:pPr>
            <w:r>
              <w:rPr>
                <w:color w:val="000000"/>
                <w:sz w:val="14"/>
                <w:szCs w:val="14"/>
              </w:rPr>
              <w:t>AI-Driven Management / Global Corporate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B" w14:textId="77777777" w:rsidR="0079599A" w:rsidRDefault="005D4C3C">
            <w:pPr>
              <w:spacing w:after="40"/>
            </w:pPr>
            <w:r>
              <w:rPr>
                <w:color w:val="000000"/>
                <w:sz w:val="14"/>
                <w:szCs w:val="14"/>
              </w:rPr>
              <w:t>Decision-Making and Efficiency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C" w14:textId="77777777" w:rsidR="0079599A" w:rsidRDefault="005D4C3C">
            <w:pPr>
              <w:spacing w:after="40"/>
            </w:pPr>
            <w:r>
              <w:rPr>
                <w:color w:val="000000"/>
                <w:sz w:val="14"/>
                <w:szCs w:val="14"/>
              </w:rPr>
              <w:t>Mixed-Methods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D" w14:textId="77777777" w:rsidR="0079599A" w:rsidRDefault="005D4C3C">
            <w:pPr>
              <w:spacing w:after="40"/>
            </w:pPr>
            <w:r>
              <w:rPr>
                <w:color w:val="000000"/>
                <w:sz w:val="14"/>
                <w:szCs w:val="14"/>
              </w:rPr>
              <w:t>AI-driven management demonstrates measurable influence on performance and decision-making efficiency but creates equity concerns. Does not adequately address human relational consequences.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EE" w14:textId="77777777" w:rsidR="0079599A" w:rsidRDefault="005D4C3C">
            <w:pPr>
              <w:spacing w:after="40"/>
            </w:pPr>
            <w:r>
              <w:rPr>
                <w:b/>
                <w:bCs/>
                <w:color w:val="000000"/>
                <w:sz w:val="15"/>
                <w:szCs w:val="15"/>
              </w:rPr>
              <w:t>3/5</w:t>
            </w:r>
          </w:p>
        </w:tc>
      </w:tr>
      <w:tr w:rsidR="0079599A" w14:paraId="0DAE0AF7"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0" w14:textId="77777777" w:rsidR="0079599A" w:rsidRDefault="005D4C3C">
            <w:pPr>
              <w:spacing w:after="40"/>
            </w:pPr>
            <w:r>
              <w:rPr>
                <w:b/>
                <w:bCs/>
                <w:color w:val="000000"/>
                <w:sz w:val="15"/>
                <w:szCs w:val="15"/>
              </w:rPr>
              <w:lastRenderedPageBreak/>
              <w:t>29</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1" w14:textId="77777777" w:rsidR="0079599A" w:rsidRDefault="005D4C3C">
            <w:pPr>
              <w:spacing w:after="40"/>
            </w:pPr>
            <w:proofErr w:type="spellStart"/>
            <w:r>
              <w:rPr>
                <w:color w:val="000000"/>
                <w:sz w:val="15"/>
                <w:szCs w:val="15"/>
              </w:rPr>
              <w:t>Schrettenbrunner</w:t>
            </w:r>
            <w:proofErr w:type="spellEnd"/>
            <w:r>
              <w:rPr>
                <w:color w:val="000000"/>
                <w:sz w:val="15"/>
                <w:szCs w:val="15"/>
              </w:rPr>
              <w:t xml:space="preserve"> (2020)</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2" w14:textId="77777777" w:rsidR="0079599A" w:rsidRDefault="005D4C3C">
            <w:pPr>
              <w:spacing w:after="40"/>
            </w:pPr>
            <w:r>
              <w:rPr>
                <w:color w:val="000000"/>
                <w:sz w:val="14"/>
                <w:szCs w:val="14"/>
              </w:rPr>
              <w:t>Technology Management / Global</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3" w14:textId="77777777" w:rsidR="0079599A" w:rsidRDefault="005D4C3C">
            <w:pPr>
              <w:spacing w:after="40"/>
            </w:pPr>
            <w:r>
              <w:rPr>
                <w:color w:val="000000"/>
                <w:sz w:val="14"/>
                <w:szCs w:val="14"/>
              </w:rPr>
              <w:t>Algorithmic Management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4" w14:textId="77777777" w:rsidR="0079599A" w:rsidRDefault="005D4C3C">
            <w:pPr>
              <w:spacing w:after="40"/>
            </w:pPr>
            <w:r>
              <w:rPr>
                <w:color w:val="000000"/>
                <w:sz w:val="14"/>
                <w:szCs w:val="14"/>
              </w:rPr>
              <w:t>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5" w14:textId="77777777" w:rsidR="0079599A" w:rsidRDefault="005D4C3C">
            <w:pPr>
              <w:spacing w:after="40"/>
            </w:pPr>
            <w:r>
              <w:rPr>
                <w:color w:val="000000"/>
                <w:sz w:val="14"/>
                <w:szCs w:val="14"/>
              </w:rPr>
              <w:t xml:space="preserve">AI-driven management represents a structural shift in </w:t>
            </w:r>
            <w:proofErr w:type="spellStart"/>
            <w:r>
              <w:rPr>
                <w:color w:val="000000"/>
                <w:sz w:val="14"/>
                <w:szCs w:val="14"/>
              </w:rPr>
              <w:t>organisational</w:t>
            </w:r>
            <w:proofErr w:type="spellEnd"/>
            <w:r>
              <w:rPr>
                <w:color w:val="000000"/>
                <w:sz w:val="14"/>
                <w:szCs w:val="14"/>
              </w:rPr>
              <w:t xml:space="preserve"> authority; algorithms increasingly mediate decisions previously made by human managers. Largely descriptive; limited empirical testing.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6" w14:textId="77777777" w:rsidR="0079599A" w:rsidRDefault="005D4C3C">
            <w:pPr>
              <w:spacing w:after="40"/>
            </w:pPr>
            <w:r>
              <w:rPr>
                <w:b/>
                <w:bCs/>
                <w:color w:val="000000"/>
                <w:sz w:val="15"/>
                <w:szCs w:val="15"/>
              </w:rPr>
              <w:t>3/5</w:t>
            </w:r>
          </w:p>
        </w:tc>
      </w:tr>
      <w:tr w:rsidR="0079599A" w14:paraId="0DAE0AF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8" w14:textId="77777777" w:rsidR="0079599A" w:rsidRDefault="005D4C3C">
            <w:pPr>
              <w:spacing w:after="40"/>
            </w:pPr>
            <w:r>
              <w:rPr>
                <w:b/>
                <w:bCs/>
                <w:color w:val="000000"/>
                <w:sz w:val="15"/>
                <w:szCs w:val="15"/>
              </w:rPr>
              <w:t>30</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9" w14:textId="77777777" w:rsidR="0079599A" w:rsidRDefault="005D4C3C">
            <w:pPr>
              <w:spacing w:after="40"/>
            </w:pPr>
            <w:r>
              <w:rPr>
                <w:color w:val="000000"/>
                <w:sz w:val="15"/>
                <w:szCs w:val="15"/>
              </w:rPr>
              <w:t>Al-</w:t>
            </w:r>
            <w:proofErr w:type="spellStart"/>
            <w:r>
              <w:rPr>
                <w:color w:val="000000"/>
                <w:sz w:val="15"/>
                <w:szCs w:val="15"/>
              </w:rPr>
              <w:t>dahabi</w:t>
            </w:r>
            <w:proofErr w:type="spellEnd"/>
            <w:r>
              <w:rPr>
                <w:color w:val="000000"/>
                <w:sz w:val="15"/>
                <w:szCs w:val="15"/>
              </w:rPr>
              <w:t xml:space="preserve"> et al. (2024)</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A" w14:textId="77777777" w:rsidR="0079599A" w:rsidRDefault="005D4C3C">
            <w:pPr>
              <w:spacing w:after="40"/>
            </w:pPr>
            <w:r>
              <w:rPr>
                <w:color w:val="000000"/>
                <w:sz w:val="14"/>
                <w:szCs w:val="14"/>
              </w:rPr>
              <w:t>Remote Work / HRM / Global</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B" w14:textId="77777777" w:rsidR="0079599A" w:rsidRDefault="005D4C3C">
            <w:pPr>
              <w:spacing w:after="40"/>
            </w:pPr>
            <w:r>
              <w:rPr>
                <w:color w:val="000000"/>
                <w:sz w:val="14"/>
                <w:szCs w:val="14"/>
              </w:rPr>
              <w:t>Strategic HRM</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C" w14:textId="77777777" w:rsidR="0079599A" w:rsidRDefault="005D4C3C">
            <w:pPr>
              <w:spacing w:after="40"/>
            </w:pPr>
            <w:r>
              <w:rPr>
                <w:color w:val="000000"/>
                <w:sz w:val="14"/>
                <w:szCs w:val="14"/>
              </w:rPr>
              <w:t>Conceptual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D" w14:textId="77777777" w:rsidR="0079599A" w:rsidRDefault="005D4C3C">
            <w:pPr>
              <w:spacing w:after="40"/>
            </w:pPr>
            <w:r>
              <w:rPr>
                <w:color w:val="000000"/>
                <w:sz w:val="14"/>
                <w:szCs w:val="14"/>
              </w:rPr>
              <w:t xml:space="preserve">Remote work introduces fundamental HRM challenges; </w:t>
            </w:r>
            <w:proofErr w:type="spellStart"/>
            <w:r>
              <w:rPr>
                <w:color w:val="000000"/>
                <w:sz w:val="14"/>
                <w:szCs w:val="14"/>
              </w:rPr>
              <w:t>organisations</w:t>
            </w:r>
            <w:proofErr w:type="spellEnd"/>
            <w:r>
              <w:rPr>
                <w:color w:val="000000"/>
                <w:sz w:val="14"/>
                <w:szCs w:val="14"/>
              </w:rPr>
              <w:t xml:space="preserve"> require new frameworks for performance management, communication, and well-being. Does not isolate AI-specific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AFE" w14:textId="77777777" w:rsidR="0079599A" w:rsidRDefault="005D4C3C">
            <w:pPr>
              <w:spacing w:after="40"/>
            </w:pPr>
            <w:r>
              <w:rPr>
                <w:b/>
                <w:bCs/>
                <w:color w:val="000000"/>
                <w:sz w:val="15"/>
                <w:szCs w:val="15"/>
              </w:rPr>
              <w:t>3/5</w:t>
            </w:r>
          </w:p>
        </w:tc>
      </w:tr>
      <w:tr w:rsidR="0079599A" w14:paraId="0DAE0B07"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0" w14:textId="77777777" w:rsidR="0079599A" w:rsidRDefault="005D4C3C">
            <w:pPr>
              <w:spacing w:after="40"/>
            </w:pPr>
            <w:r>
              <w:rPr>
                <w:b/>
                <w:bCs/>
                <w:color w:val="000000"/>
                <w:sz w:val="15"/>
                <w:szCs w:val="15"/>
              </w:rPr>
              <w:t>31</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1" w14:textId="77777777" w:rsidR="0079599A" w:rsidRDefault="005D4C3C">
            <w:pPr>
              <w:spacing w:after="40"/>
            </w:pPr>
            <w:r>
              <w:rPr>
                <w:color w:val="000000"/>
                <w:sz w:val="15"/>
                <w:szCs w:val="15"/>
              </w:rPr>
              <w:t>Evans-</w:t>
            </w:r>
            <w:proofErr w:type="spellStart"/>
            <w:r>
              <w:rPr>
                <w:color w:val="000000"/>
                <w:sz w:val="15"/>
                <w:szCs w:val="15"/>
              </w:rPr>
              <w:t>Uzosike</w:t>
            </w:r>
            <w:proofErr w:type="spellEnd"/>
            <w:r>
              <w:rPr>
                <w:color w:val="000000"/>
                <w:sz w:val="15"/>
                <w:szCs w:val="15"/>
              </w:rPr>
              <w:t xml:space="preserve"> and </w:t>
            </w:r>
            <w:proofErr w:type="spellStart"/>
            <w:r>
              <w:rPr>
                <w:color w:val="000000"/>
                <w:sz w:val="15"/>
                <w:szCs w:val="15"/>
              </w:rPr>
              <w:t>Okatta</w:t>
            </w:r>
            <w:proofErr w:type="spellEnd"/>
            <w:r>
              <w:rPr>
                <w:color w:val="000000"/>
                <w:sz w:val="15"/>
                <w:szCs w:val="15"/>
              </w:rPr>
              <w:t xml:space="preserve"> (2023)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2" w14:textId="77777777" w:rsidR="0079599A" w:rsidRDefault="005D4C3C">
            <w:pPr>
              <w:spacing w:after="40"/>
            </w:pPr>
            <w:r>
              <w:rPr>
                <w:color w:val="000000"/>
                <w:sz w:val="14"/>
                <w:szCs w:val="14"/>
              </w:rPr>
              <w:t>Gig Economy and Remote / Global</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3" w14:textId="77777777" w:rsidR="0079599A" w:rsidRDefault="005D4C3C">
            <w:pPr>
              <w:spacing w:after="40"/>
            </w:pPr>
            <w:r>
              <w:rPr>
                <w:color w:val="000000"/>
                <w:sz w:val="14"/>
                <w:szCs w:val="14"/>
              </w:rPr>
              <w:t>Talent Management Theory</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4" w14:textId="77777777" w:rsidR="0079599A" w:rsidRDefault="005D4C3C">
            <w:pPr>
              <w:spacing w:after="40"/>
            </w:pPr>
            <w:r>
              <w:rPr>
                <w:color w:val="000000"/>
                <w:sz w:val="14"/>
                <w:szCs w:val="14"/>
              </w:rPr>
              <w:t>Literature Review</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5" w14:textId="77777777" w:rsidR="0079599A" w:rsidRDefault="005D4C3C">
            <w:pPr>
              <w:spacing w:after="40"/>
            </w:pPr>
            <w:r>
              <w:rPr>
                <w:color w:val="000000"/>
                <w:sz w:val="14"/>
                <w:szCs w:val="14"/>
              </w:rPr>
              <w:t xml:space="preserve">AI and remote work are reshaping talent management; </w:t>
            </w:r>
            <w:proofErr w:type="spellStart"/>
            <w:r>
              <w:rPr>
                <w:color w:val="000000"/>
                <w:sz w:val="14"/>
                <w:szCs w:val="14"/>
              </w:rPr>
              <w:t>organisations</w:t>
            </w:r>
            <w:proofErr w:type="spellEnd"/>
            <w:r>
              <w:rPr>
                <w:color w:val="000000"/>
                <w:sz w:val="14"/>
                <w:szCs w:val="14"/>
              </w:rPr>
              <w:t xml:space="preserve"> that fail to adapt HRM practices face retention and performance risks. Broader scope reduces depth on performance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6" w14:textId="77777777" w:rsidR="0079599A" w:rsidRDefault="005D4C3C">
            <w:pPr>
              <w:spacing w:after="40"/>
            </w:pPr>
            <w:r>
              <w:rPr>
                <w:b/>
                <w:bCs/>
                <w:color w:val="000000"/>
                <w:sz w:val="15"/>
                <w:szCs w:val="15"/>
              </w:rPr>
              <w:t>3/5</w:t>
            </w:r>
          </w:p>
        </w:tc>
      </w:tr>
      <w:tr w:rsidR="0079599A" w14:paraId="0DAE0B0F" w14:textId="77777777">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8" w14:textId="77777777" w:rsidR="0079599A" w:rsidRDefault="005D4C3C">
            <w:pPr>
              <w:spacing w:after="40"/>
            </w:pPr>
            <w:r>
              <w:rPr>
                <w:b/>
                <w:bCs/>
                <w:color w:val="000000"/>
                <w:sz w:val="15"/>
                <w:szCs w:val="15"/>
              </w:rPr>
              <w:t>32</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9" w14:textId="77777777" w:rsidR="0079599A" w:rsidRDefault="005D4C3C">
            <w:pPr>
              <w:spacing w:after="40"/>
            </w:pPr>
            <w:r>
              <w:rPr>
                <w:color w:val="000000"/>
                <w:sz w:val="15"/>
                <w:szCs w:val="15"/>
              </w:rPr>
              <w:t>Calvo (2013)</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A" w14:textId="77777777" w:rsidR="0079599A" w:rsidRDefault="005D4C3C">
            <w:pPr>
              <w:spacing w:after="40"/>
            </w:pPr>
            <w:r>
              <w:rPr>
                <w:color w:val="000000"/>
                <w:sz w:val="14"/>
                <w:szCs w:val="14"/>
              </w:rPr>
              <w:t>Remote Work / US Corporate</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B" w14:textId="77777777" w:rsidR="0079599A" w:rsidRDefault="005D4C3C">
            <w:pPr>
              <w:spacing w:after="40"/>
            </w:pPr>
            <w:r>
              <w:rPr>
                <w:color w:val="000000"/>
                <w:sz w:val="14"/>
                <w:szCs w:val="14"/>
              </w:rPr>
              <w:t>Face-Time and Performance Management</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C" w14:textId="77777777" w:rsidR="0079599A" w:rsidRDefault="005D4C3C">
            <w:pPr>
              <w:spacing w:after="40"/>
            </w:pPr>
            <w:r>
              <w:rPr>
                <w:color w:val="000000"/>
                <w:sz w:val="14"/>
                <w:szCs w:val="14"/>
              </w:rPr>
              <w:t>Conceptual Analysis</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D" w14:textId="77777777" w:rsidR="0079599A" w:rsidRDefault="005D4C3C">
            <w:pPr>
              <w:spacing w:after="40"/>
            </w:pPr>
            <w:r>
              <w:rPr>
                <w:color w:val="000000"/>
                <w:sz w:val="14"/>
                <w:szCs w:val="14"/>
              </w:rPr>
              <w:t>Face-time norms significantly influence performance management; remote work disrupts these norms and creates measurement challenges. Pre-AI study; does not account for algorithmic monitoring.</w:t>
            </w:r>
          </w:p>
        </w:tc>
        <w:tc>
          <w:tcPr>
            <w:tcW w:w="0" w:type="auto"/>
            <w:tcBorders>
              <w:top w:val="single" w:sz="4" w:space="0" w:color="AAAAAA"/>
              <w:left w:val="single" w:sz="4" w:space="0" w:color="AAAAAA"/>
              <w:bottom w:val="single" w:sz="4" w:space="0" w:color="AAAAAA"/>
              <w:right w:val="single" w:sz="4" w:space="0" w:color="AAAAAA"/>
            </w:tcBorders>
            <w:shd w:val="clear" w:color="auto" w:fill="FFF8E1"/>
            <w:tcMar>
              <w:top w:w="60" w:type="dxa"/>
              <w:left w:w="80" w:type="dxa"/>
              <w:bottom w:w="60" w:type="dxa"/>
              <w:right w:w="80" w:type="dxa"/>
            </w:tcMar>
          </w:tcPr>
          <w:p w14:paraId="0DAE0B0E" w14:textId="77777777" w:rsidR="0079599A" w:rsidRDefault="005D4C3C">
            <w:pPr>
              <w:spacing w:after="40"/>
            </w:pPr>
            <w:r>
              <w:rPr>
                <w:b/>
                <w:bCs/>
                <w:color w:val="000000"/>
                <w:sz w:val="15"/>
                <w:szCs w:val="15"/>
              </w:rPr>
              <w:t>3/5</w:t>
            </w:r>
          </w:p>
        </w:tc>
      </w:tr>
    </w:tbl>
    <w:p w14:paraId="0DAE0B10" w14:textId="77777777" w:rsidR="0079599A" w:rsidRDefault="0079599A">
      <w:pPr>
        <w:spacing w:after="200"/>
      </w:pPr>
    </w:p>
    <w:p w14:paraId="0DAE0B11" w14:textId="77777777" w:rsidR="0079599A" w:rsidRDefault="005D4C3C">
      <w:pPr>
        <w:spacing w:after="100"/>
      </w:pPr>
      <w:r>
        <w:rPr>
          <w:color w:val="555555"/>
          <w:sz w:val="18"/>
          <w:szCs w:val="18"/>
        </w:rPr>
        <w:t>Source: Compiled by the author through systematic database search across Scopus, Web of Science, and Business Source Ultimate (EBSCO), conducted 15 March 2026, supplemented by industry reports from Microsoft, Gartner, and Deloitte.</w:t>
      </w:r>
    </w:p>
    <w:p w14:paraId="0DAE0B12" w14:textId="77777777" w:rsidR="0079599A" w:rsidRDefault="005D4C3C">
      <w:r>
        <w:br w:type="page"/>
      </w:r>
    </w:p>
    <w:p w14:paraId="0DAE0B31" w14:textId="33738A03" w:rsidR="0079599A" w:rsidRDefault="0079599A">
      <w:pPr>
        <w:spacing w:after="120"/>
        <w:ind w:left="400" w:hanging="400"/>
      </w:pPr>
    </w:p>
    <w:sectPr w:rsidR="0079599A">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A67955"/>
    <w:multiLevelType w:val="hybridMultilevel"/>
    <w:tmpl w:val="F6604B9E"/>
    <w:lvl w:ilvl="0" w:tplc="6D1C27BE">
      <w:start w:val="1"/>
      <w:numFmt w:val="bullet"/>
      <w:lvlText w:val="●"/>
      <w:lvlJc w:val="left"/>
      <w:pPr>
        <w:ind w:left="720" w:hanging="360"/>
      </w:pPr>
    </w:lvl>
    <w:lvl w:ilvl="1" w:tplc="263E5FDA">
      <w:start w:val="1"/>
      <w:numFmt w:val="bullet"/>
      <w:lvlText w:val="○"/>
      <w:lvlJc w:val="left"/>
      <w:pPr>
        <w:ind w:left="1440" w:hanging="360"/>
      </w:pPr>
    </w:lvl>
    <w:lvl w:ilvl="2" w:tplc="B8E80D0E">
      <w:start w:val="1"/>
      <w:numFmt w:val="bullet"/>
      <w:lvlText w:val="■"/>
      <w:lvlJc w:val="left"/>
      <w:pPr>
        <w:ind w:left="2160" w:hanging="360"/>
      </w:pPr>
    </w:lvl>
    <w:lvl w:ilvl="3" w:tplc="42C6115A">
      <w:start w:val="1"/>
      <w:numFmt w:val="bullet"/>
      <w:lvlText w:val="●"/>
      <w:lvlJc w:val="left"/>
      <w:pPr>
        <w:ind w:left="2880" w:hanging="360"/>
      </w:pPr>
    </w:lvl>
    <w:lvl w:ilvl="4" w:tplc="26B8BB54">
      <w:start w:val="1"/>
      <w:numFmt w:val="bullet"/>
      <w:lvlText w:val="○"/>
      <w:lvlJc w:val="left"/>
      <w:pPr>
        <w:ind w:left="3600" w:hanging="360"/>
      </w:pPr>
    </w:lvl>
    <w:lvl w:ilvl="5" w:tplc="3EB641C8">
      <w:start w:val="1"/>
      <w:numFmt w:val="bullet"/>
      <w:lvlText w:val="■"/>
      <w:lvlJc w:val="left"/>
      <w:pPr>
        <w:ind w:left="4320" w:hanging="360"/>
      </w:pPr>
    </w:lvl>
    <w:lvl w:ilvl="6" w:tplc="2A3CA8E2">
      <w:start w:val="1"/>
      <w:numFmt w:val="bullet"/>
      <w:lvlText w:val="●"/>
      <w:lvlJc w:val="left"/>
      <w:pPr>
        <w:ind w:left="5040" w:hanging="360"/>
      </w:pPr>
    </w:lvl>
    <w:lvl w:ilvl="7" w:tplc="6944BE58">
      <w:start w:val="1"/>
      <w:numFmt w:val="bullet"/>
      <w:lvlText w:val="●"/>
      <w:lvlJc w:val="left"/>
      <w:pPr>
        <w:ind w:left="5760" w:hanging="360"/>
      </w:pPr>
    </w:lvl>
    <w:lvl w:ilvl="8" w:tplc="B9683D0E">
      <w:start w:val="1"/>
      <w:numFmt w:val="bullet"/>
      <w:lvlText w:val="●"/>
      <w:lvlJc w:val="left"/>
      <w:pPr>
        <w:ind w:left="6480" w:hanging="360"/>
      </w:pPr>
    </w:lvl>
  </w:abstractNum>
  <w:num w:numId="1" w16cid:durableId="186648430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99A"/>
    <w:rsid w:val="00012238"/>
    <w:rsid w:val="004A7F5F"/>
    <w:rsid w:val="004F10B1"/>
    <w:rsid w:val="0079599A"/>
    <w:rsid w:val="008A63A6"/>
    <w:rsid w:val="00B15493"/>
    <w:rsid w:val="00D676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E094C"/>
  <w15:docId w15:val="{C9AD785A-F758-4D13-964C-BDD2F5CF7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2865BC6-F946-4AA9-BBB0-A300AC1FC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28</Pages>
  <Words>8730</Words>
  <Characters>49761</Characters>
  <Application>Microsoft Office Word</Application>
  <DocSecurity>0</DocSecurity>
  <Lines>414</Lines>
  <Paragraphs>116</Paragraphs>
  <ScaleCrop>false</ScaleCrop>
  <Company/>
  <LinksUpToDate>false</LinksUpToDate>
  <CharactersWithSpaces>58375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Monaf Hossain Fuad (2524463)</cp:lastModifiedBy>
  <cp:revision>4</cp:revision>
  <dcterms:created xsi:type="dcterms:W3CDTF">2026-07-18T12:36:00Z</dcterms:created>
  <dcterms:modified xsi:type="dcterms:W3CDTF">2026-07-25T11:26:00Z</dcterms:modified>
</cp:coreProperties>
</file>