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093" w:rsidRDefault="00C33093" w:rsidP="00185AEF">
      <w:pPr>
        <w:spacing w:after="0" w:line="240" w:lineRule="auto"/>
        <w:jc w:val="both"/>
        <w:rPr>
          <w:rFonts w:ascii="Times New Roman" w:hAnsi="Times New Roman" w:cs="Times New Roman"/>
          <w:sz w:val="24"/>
          <w:szCs w:val="24"/>
          <w:lang w:val="en-GB"/>
        </w:rPr>
      </w:pPr>
      <w:r w:rsidRPr="00185AEF">
        <w:rPr>
          <w:rFonts w:ascii="Times New Roman" w:hAnsi="Times New Roman" w:cs="Times New Roman"/>
          <w:sz w:val="24"/>
          <w:szCs w:val="24"/>
          <w:lang w:val="en-GB"/>
        </w:rPr>
        <w:t>AHHI6013 CIVIL DISOBEDIENCE AND STATE CONTROL: BRITAIN AND EUROPE 1750–1990</w:t>
      </w:r>
    </w:p>
    <w:p w:rsidR="00C57FBF" w:rsidRPr="00185AEF" w:rsidRDefault="00C57FBF" w:rsidP="00185AEF">
      <w:pPr>
        <w:spacing w:after="0" w:line="240" w:lineRule="auto"/>
        <w:jc w:val="both"/>
        <w:rPr>
          <w:rFonts w:ascii="Times New Roman" w:hAnsi="Times New Roman" w:cs="Times New Roman"/>
          <w:sz w:val="24"/>
          <w:szCs w:val="24"/>
          <w:lang w:val="en-GB"/>
        </w:rPr>
      </w:pPr>
    </w:p>
    <w:p w:rsidR="00C33093" w:rsidRPr="00185AEF" w:rsidRDefault="00C33093" w:rsidP="00185AEF">
      <w:pPr>
        <w:spacing w:after="0" w:line="240" w:lineRule="auto"/>
        <w:jc w:val="both"/>
        <w:rPr>
          <w:rFonts w:ascii="Times New Roman" w:hAnsi="Times New Roman" w:cs="Times New Roman"/>
          <w:b/>
          <w:sz w:val="24"/>
          <w:szCs w:val="24"/>
          <w:lang w:val="en-GB"/>
        </w:rPr>
      </w:pPr>
      <w:r w:rsidRPr="00185AEF">
        <w:rPr>
          <w:rFonts w:ascii="Times New Roman" w:hAnsi="Times New Roman" w:cs="Times New Roman"/>
          <w:b/>
          <w:sz w:val="24"/>
          <w:szCs w:val="24"/>
          <w:lang w:val="en-GB"/>
        </w:rPr>
        <w:t>Week 9</w:t>
      </w:r>
    </w:p>
    <w:p w:rsidR="00C33093" w:rsidRDefault="00C33093" w:rsidP="00185AEF">
      <w:pPr>
        <w:spacing w:after="0" w:line="240" w:lineRule="auto"/>
        <w:jc w:val="both"/>
        <w:rPr>
          <w:rFonts w:ascii="Times New Roman" w:hAnsi="Times New Roman" w:cs="Times New Roman"/>
          <w:b/>
          <w:sz w:val="24"/>
          <w:szCs w:val="24"/>
          <w:lang w:val="en-GB"/>
        </w:rPr>
      </w:pPr>
      <w:r w:rsidRPr="00185AEF">
        <w:rPr>
          <w:rFonts w:ascii="Times New Roman" w:hAnsi="Times New Roman" w:cs="Times New Roman"/>
          <w:b/>
          <w:sz w:val="24"/>
          <w:szCs w:val="24"/>
          <w:lang w:val="en-GB"/>
        </w:rPr>
        <w:t>Margaret on the Guillotine: State Control and Civil Disobedience in Thatcher-Era Britain</w:t>
      </w:r>
    </w:p>
    <w:p w:rsidR="00C57FBF" w:rsidRPr="00185AEF" w:rsidRDefault="00C57FBF" w:rsidP="00185AEF">
      <w:pPr>
        <w:spacing w:after="0" w:line="240" w:lineRule="auto"/>
        <w:jc w:val="both"/>
        <w:rPr>
          <w:rFonts w:ascii="Times New Roman" w:hAnsi="Times New Roman" w:cs="Times New Roman"/>
          <w:b/>
          <w:sz w:val="24"/>
          <w:szCs w:val="24"/>
          <w:lang w:val="en-GB"/>
        </w:rPr>
      </w:pPr>
    </w:p>
    <w:p w:rsidR="00C33093" w:rsidRPr="00185AEF" w:rsidRDefault="00C33093" w:rsidP="00185AEF">
      <w:pPr>
        <w:pStyle w:val="ListParagraph"/>
        <w:numPr>
          <w:ilvl w:val="0"/>
          <w:numId w:val="2"/>
        </w:numPr>
        <w:spacing w:after="0" w:line="240" w:lineRule="auto"/>
        <w:jc w:val="right"/>
        <w:rPr>
          <w:rFonts w:ascii="Times New Roman" w:hAnsi="Times New Roman" w:cs="Times New Roman"/>
          <w:b/>
          <w:sz w:val="24"/>
          <w:szCs w:val="24"/>
          <w:lang w:val="en-GB"/>
        </w:rPr>
      </w:pPr>
      <w:r w:rsidRPr="00185AEF">
        <w:rPr>
          <w:rFonts w:ascii="Times New Roman" w:hAnsi="Times New Roman" w:cs="Times New Roman"/>
          <w:b/>
          <w:sz w:val="24"/>
          <w:szCs w:val="24"/>
          <w:lang w:val="en-GB"/>
        </w:rPr>
        <w:t>Alex Scott</w:t>
      </w:r>
    </w:p>
    <w:p w:rsidR="00C57FBF" w:rsidRDefault="00C57FBF" w:rsidP="00185AEF">
      <w:pPr>
        <w:spacing w:after="0" w:line="240" w:lineRule="auto"/>
        <w:jc w:val="both"/>
        <w:rPr>
          <w:rFonts w:ascii="Times New Roman" w:hAnsi="Times New Roman" w:cs="Times New Roman"/>
          <w:sz w:val="24"/>
          <w:szCs w:val="24"/>
        </w:rPr>
      </w:pPr>
    </w:p>
    <w:p w:rsidR="00C33093" w:rsidRPr="00185AEF" w:rsidRDefault="00C33093" w:rsidP="00185AEF">
      <w:pPr>
        <w:spacing w:after="0" w:line="240" w:lineRule="auto"/>
        <w:jc w:val="both"/>
        <w:rPr>
          <w:rFonts w:ascii="Times New Roman" w:hAnsi="Times New Roman" w:cs="Times New Roman"/>
          <w:sz w:val="24"/>
          <w:szCs w:val="24"/>
        </w:rPr>
      </w:pPr>
      <w:bookmarkStart w:id="0" w:name="_GoBack"/>
      <w:bookmarkEnd w:id="0"/>
      <w:r w:rsidRPr="00185AEF">
        <w:rPr>
          <w:rFonts w:ascii="Times New Roman" w:hAnsi="Times New Roman" w:cs="Times New Roman"/>
          <w:sz w:val="24"/>
          <w:szCs w:val="24"/>
        </w:rPr>
        <w:t xml:space="preserve">This week examines the manner in which British society and the modern state were shaped under the premiership of Margaret Thatcher. In the first lecture, the key planks of Thatcherism will be discussed, framing this ideology as a (somewhat paradoxical) combination of neoliberal free market economics and a belief in a strong, well-policed state. Elaborating on the latter, in the second lecture we will examine 'flashpoints' from the 1980s – starting with the 1981 urban riots. Students should read the documents in the folder labelled ‘primary sources' in preparation for the lectures. </w:t>
      </w:r>
    </w:p>
    <w:p w:rsidR="00185AEF" w:rsidRDefault="00185AEF" w:rsidP="00185AEF">
      <w:pPr>
        <w:spacing w:after="0" w:line="240" w:lineRule="auto"/>
        <w:rPr>
          <w:rFonts w:ascii="Times New Roman" w:eastAsia="Times New Roman" w:hAnsi="Times New Roman" w:cs="Times New Roman"/>
          <w:sz w:val="24"/>
          <w:szCs w:val="24"/>
          <w:u w:val="single"/>
        </w:rPr>
      </w:pPr>
    </w:p>
    <w:p w:rsidR="00C33093" w:rsidRPr="00C33093" w:rsidRDefault="00C33093" w:rsidP="00185AEF">
      <w:pPr>
        <w:spacing w:after="0" w:line="240" w:lineRule="auto"/>
        <w:jc w:val="both"/>
        <w:rPr>
          <w:rFonts w:ascii="Times New Roman" w:eastAsia="Times New Roman" w:hAnsi="Times New Roman" w:cs="Times New Roman"/>
          <w:sz w:val="24"/>
          <w:szCs w:val="24"/>
        </w:rPr>
      </w:pPr>
      <w:r w:rsidRPr="00185AEF">
        <w:rPr>
          <w:rFonts w:ascii="Times New Roman" w:eastAsia="Times New Roman" w:hAnsi="Times New Roman" w:cs="Times New Roman"/>
          <w:sz w:val="24"/>
          <w:szCs w:val="24"/>
          <w:u w:val="single"/>
        </w:rPr>
        <w:t xml:space="preserve">Required </w:t>
      </w:r>
      <w:r w:rsidRPr="00C33093">
        <w:rPr>
          <w:rFonts w:ascii="Times New Roman" w:eastAsia="Times New Roman" w:hAnsi="Times New Roman" w:cs="Times New Roman"/>
          <w:sz w:val="24"/>
          <w:szCs w:val="24"/>
          <w:u w:val="single"/>
        </w:rPr>
        <w:t>reading (Tuesday lecture):</w:t>
      </w:r>
    </w:p>
    <w:p w:rsidR="00C33093" w:rsidRPr="00C33093" w:rsidRDefault="00C33093" w:rsidP="00185AEF">
      <w:pPr>
        <w:numPr>
          <w:ilvl w:val="0"/>
          <w:numId w:val="3"/>
        </w:numPr>
        <w:spacing w:after="0" w:line="240" w:lineRule="auto"/>
        <w:jc w:val="both"/>
        <w:rPr>
          <w:rFonts w:ascii="Times New Roman" w:eastAsia="Times New Roman" w:hAnsi="Times New Roman" w:cs="Times New Roman"/>
          <w:sz w:val="24"/>
          <w:szCs w:val="24"/>
        </w:rPr>
      </w:pPr>
      <w:r w:rsidRPr="00C33093">
        <w:rPr>
          <w:rFonts w:ascii="Times New Roman" w:eastAsia="Times New Roman" w:hAnsi="Times New Roman" w:cs="Times New Roman"/>
          <w:sz w:val="24"/>
          <w:szCs w:val="24"/>
        </w:rPr>
        <w:t xml:space="preserve">Margaret </w:t>
      </w:r>
      <w:r w:rsidRPr="00185AEF">
        <w:rPr>
          <w:rFonts w:ascii="Times New Roman" w:eastAsia="Times New Roman" w:hAnsi="Times New Roman" w:cs="Times New Roman"/>
          <w:sz w:val="24"/>
          <w:szCs w:val="24"/>
        </w:rPr>
        <w:t>Thatcher, speech</w:t>
      </w:r>
      <w:r w:rsidRPr="00C33093">
        <w:rPr>
          <w:rFonts w:ascii="Times New Roman" w:eastAsia="Times New Roman" w:hAnsi="Times New Roman" w:cs="Times New Roman"/>
          <w:sz w:val="24"/>
          <w:szCs w:val="24"/>
        </w:rPr>
        <w:t xml:space="preserve"> to Conservative Party conference, October 10 1975</w:t>
      </w:r>
    </w:p>
    <w:p w:rsidR="00C33093" w:rsidRPr="00C33093" w:rsidRDefault="00C33093" w:rsidP="00185AEF">
      <w:pPr>
        <w:numPr>
          <w:ilvl w:val="0"/>
          <w:numId w:val="3"/>
        </w:numPr>
        <w:spacing w:after="0" w:line="240" w:lineRule="auto"/>
        <w:jc w:val="both"/>
        <w:rPr>
          <w:rFonts w:ascii="Times New Roman" w:eastAsia="Times New Roman" w:hAnsi="Times New Roman" w:cs="Times New Roman"/>
          <w:sz w:val="24"/>
          <w:szCs w:val="24"/>
        </w:rPr>
      </w:pPr>
      <w:r w:rsidRPr="00C33093">
        <w:rPr>
          <w:rFonts w:ascii="Times New Roman" w:eastAsia="Times New Roman" w:hAnsi="Times New Roman" w:cs="Times New Roman"/>
          <w:sz w:val="24"/>
          <w:szCs w:val="24"/>
        </w:rPr>
        <w:t xml:space="preserve">Stuart Hall, ‘The Great Moving Right Show,’ </w:t>
      </w:r>
      <w:r w:rsidRPr="00C33093">
        <w:rPr>
          <w:rFonts w:ascii="Times New Roman" w:eastAsia="Times New Roman" w:hAnsi="Times New Roman" w:cs="Times New Roman"/>
          <w:i/>
          <w:iCs/>
          <w:sz w:val="24"/>
          <w:szCs w:val="24"/>
        </w:rPr>
        <w:t>Marxism Today</w:t>
      </w:r>
      <w:r w:rsidRPr="00C33093">
        <w:rPr>
          <w:rFonts w:ascii="Times New Roman" w:eastAsia="Times New Roman" w:hAnsi="Times New Roman" w:cs="Times New Roman"/>
          <w:sz w:val="24"/>
          <w:szCs w:val="24"/>
        </w:rPr>
        <w:t>, January 1979, pp. 14–20.</w:t>
      </w:r>
    </w:p>
    <w:p w:rsidR="00C33093" w:rsidRPr="00C33093" w:rsidRDefault="00C33093" w:rsidP="00185AEF">
      <w:pPr>
        <w:spacing w:after="0" w:line="240" w:lineRule="auto"/>
        <w:jc w:val="both"/>
        <w:rPr>
          <w:rFonts w:ascii="Times New Roman" w:eastAsia="Times New Roman" w:hAnsi="Times New Roman" w:cs="Times New Roman"/>
          <w:sz w:val="24"/>
          <w:szCs w:val="24"/>
        </w:rPr>
      </w:pPr>
      <w:r w:rsidRPr="00C33093">
        <w:rPr>
          <w:rFonts w:ascii="Times New Roman" w:eastAsia="Times New Roman" w:hAnsi="Times New Roman" w:cs="Times New Roman"/>
          <w:sz w:val="24"/>
          <w:szCs w:val="24"/>
          <w:u w:val="single"/>
        </w:rPr>
        <w:t>Required reading (Friday lecture)</w:t>
      </w:r>
      <w:r w:rsidR="00185AEF" w:rsidRPr="00185AEF">
        <w:rPr>
          <w:rFonts w:ascii="Times New Roman" w:eastAsia="Times New Roman" w:hAnsi="Times New Roman" w:cs="Times New Roman"/>
          <w:sz w:val="24"/>
          <w:szCs w:val="24"/>
          <w:u w:val="single"/>
        </w:rPr>
        <w:t xml:space="preserve"> </w:t>
      </w:r>
      <w:r w:rsidR="00185AEF" w:rsidRPr="00185AEF">
        <w:rPr>
          <w:rFonts w:ascii="Times New Roman" w:eastAsia="Times New Roman" w:hAnsi="Times New Roman" w:cs="Times New Roman"/>
          <w:b/>
          <w:sz w:val="24"/>
          <w:szCs w:val="24"/>
          <w:u w:val="single"/>
        </w:rPr>
        <w:t>(more important in terms of in-class discussion)</w:t>
      </w:r>
      <w:r w:rsidRPr="00C33093">
        <w:rPr>
          <w:rFonts w:ascii="Times New Roman" w:eastAsia="Times New Roman" w:hAnsi="Times New Roman" w:cs="Times New Roman"/>
          <w:sz w:val="24"/>
          <w:szCs w:val="24"/>
          <w:u w:val="single"/>
        </w:rPr>
        <w:t>:</w:t>
      </w:r>
    </w:p>
    <w:p w:rsidR="00C33093" w:rsidRPr="00C33093" w:rsidRDefault="00C33093" w:rsidP="00185AEF">
      <w:pPr>
        <w:numPr>
          <w:ilvl w:val="0"/>
          <w:numId w:val="4"/>
        </w:numPr>
        <w:spacing w:after="0" w:line="240" w:lineRule="auto"/>
        <w:jc w:val="both"/>
        <w:rPr>
          <w:rFonts w:ascii="Times New Roman" w:eastAsia="Times New Roman" w:hAnsi="Times New Roman" w:cs="Times New Roman"/>
          <w:sz w:val="24"/>
          <w:szCs w:val="24"/>
        </w:rPr>
      </w:pPr>
      <w:r w:rsidRPr="00C33093">
        <w:rPr>
          <w:rFonts w:ascii="Times New Roman" w:eastAsia="Times New Roman" w:hAnsi="Times New Roman" w:cs="Times New Roman"/>
          <w:sz w:val="24"/>
          <w:szCs w:val="24"/>
        </w:rPr>
        <w:t xml:space="preserve">1981 cabinet papers: Letters from Geoffrey Howe to Margaret Thatcher August 11 and September 9 1981; Michael Heseltine report on riots August 13 1981; minute on cabinet meeting in response to </w:t>
      </w:r>
      <w:r w:rsidRPr="00185AEF">
        <w:rPr>
          <w:rFonts w:ascii="Times New Roman" w:eastAsia="Times New Roman" w:hAnsi="Times New Roman" w:cs="Times New Roman"/>
          <w:sz w:val="24"/>
          <w:szCs w:val="24"/>
        </w:rPr>
        <w:t>Heseltine</w:t>
      </w:r>
      <w:r w:rsidRPr="00C33093">
        <w:rPr>
          <w:rFonts w:ascii="Times New Roman" w:eastAsia="Times New Roman" w:hAnsi="Times New Roman" w:cs="Times New Roman"/>
          <w:sz w:val="24"/>
          <w:szCs w:val="24"/>
        </w:rPr>
        <w:t xml:space="preserve"> report, September 23 1981.</w:t>
      </w:r>
      <w:r w:rsidRPr="00185AEF">
        <w:rPr>
          <w:rFonts w:ascii="Times New Roman" w:eastAsia="Times New Roman" w:hAnsi="Times New Roman" w:cs="Times New Roman"/>
          <w:sz w:val="24"/>
          <w:szCs w:val="24"/>
        </w:rPr>
        <w:t xml:space="preserve"> (National Archives)</w:t>
      </w:r>
    </w:p>
    <w:p w:rsidR="00C33093" w:rsidRPr="00185AEF" w:rsidRDefault="00C33093" w:rsidP="00185AEF">
      <w:pPr>
        <w:numPr>
          <w:ilvl w:val="0"/>
          <w:numId w:val="4"/>
        </w:numPr>
        <w:spacing w:after="0" w:line="240" w:lineRule="auto"/>
        <w:jc w:val="both"/>
        <w:rPr>
          <w:rFonts w:ascii="Times New Roman" w:eastAsia="Times New Roman" w:hAnsi="Times New Roman" w:cs="Times New Roman"/>
          <w:sz w:val="24"/>
          <w:szCs w:val="24"/>
        </w:rPr>
      </w:pPr>
      <w:r w:rsidRPr="00185AEF">
        <w:rPr>
          <w:rFonts w:ascii="Times New Roman" w:eastAsia="Times New Roman" w:hAnsi="Times New Roman" w:cs="Times New Roman"/>
          <w:sz w:val="24"/>
          <w:szCs w:val="24"/>
        </w:rPr>
        <w:t>Margaret Thatcher, ‘The Urban Riots of 1981,’</w:t>
      </w:r>
      <w:r w:rsidRPr="00C33093">
        <w:rPr>
          <w:rFonts w:ascii="Times New Roman" w:eastAsia="Times New Roman" w:hAnsi="Times New Roman" w:cs="Times New Roman"/>
          <w:sz w:val="24"/>
          <w:szCs w:val="24"/>
        </w:rPr>
        <w:t xml:space="preserve"> </w:t>
      </w:r>
      <w:proofErr w:type="gramStart"/>
      <w:r w:rsidRPr="00185AEF">
        <w:rPr>
          <w:rFonts w:ascii="Times New Roman" w:eastAsia="Times New Roman" w:hAnsi="Times New Roman" w:cs="Times New Roman"/>
          <w:i/>
          <w:iCs/>
          <w:sz w:val="24"/>
          <w:szCs w:val="24"/>
        </w:rPr>
        <w:t>The</w:t>
      </w:r>
      <w:proofErr w:type="gramEnd"/>
      <w:r w:rsidRPr="00185AEF">
        <w:rPr>
          <w:rFonts w:ascii="Times New Roman" w:eastAsia="Times New Roman" w:hAnsi="Times New Roman" w:cs="Times New Roman"/>
          <w:i/>
          <w:iCs/>
          <w:sz w:val="24"/>
          <w:szCs w:val="24"/>
        </w:rPr>
        <w:t xml:space="preserve"> Downing Street Years </w:t>
      </w:r>
      <w:r w:rsidRPr="00C33093">
        <w:rPr>
          <w:rFonts w:ascii="Times New Roman" w:eastAsia="Times New Roman" w:hAnsi="Times New Roman" w:cs="Times New Roman"/>
          <w:sz w:val="24"/>
          <w:szCs w:val="24"/>
        </w:rPr>
        <w:t>(London: HarperCollins, 1995 [1993]), pp. 143</w:t>
      </w:r>
      <w:r w:rsidRPr="00185AEF">
        <w:rPr>
          <w:rFonts w:ascii="Times New Roman" w:eastAsia="Times New Roman" w:hAnsi="Times New Roman" w:cs="Times New Roman"/>
          <w:sz w:val="24"/>
          <w:szCs w:val="24"/>
        </w:rPr>
        <w:t>–</w:t>
      </w:r>
      <w:r w:rsidRPr="00C33093">
        <w:rPr>
          <w:rFonts w:ascii="Times New Roman" w:eastAsia="Times New Roman" w:hAnsi="Times New Roman" w:cs="Times New Roman"/>
          <w:sz w:val="24"/>
          <w:szCs w:val="24"/>
        </w:rPr>
        <w:t>147.</w:t>
      </w:r>
    </w:p>
    <w:p w:rsidR="00185AEF" w:rsidRDefault="00185AEF" w:rsidP="00185AEF">
      <w:pPr>
        <w:spacing w:after="0" w:line="240" w:lineRule="auto"/>
        <w:rPr>
          <w:rFonts w:ascii="Times New Roman" w:eastAsia="Times New Roman" w:hAnsi="Times New Roman" w:cs="Times New Roman"/>
          <w:sz w:val="24"/>
          <w:szCs w:val="24"/>
          <w:u w:val="single"/>
        </w:rPr>
      </w:pPr>
    </w:p>
    <w:p w:rsidR="00C33093" w:rsidRPr="00185AEF" w:rsidRDefault="00C33093" w:rsidP="00185AEF">
      <w:pPr>
        <w:spacing w:after="0" w:line="240" w:lineRule="auto"/>
        <w:rPr>
          <w:rFonts w:ascii="Times New Roman" w:eastAsia="Times New Roman" w:hAnsi="Times New Roman" w:cs="Times New Roman"/>
          <w:sz w:val="24"/>
          <w:szCs w:val="24"/>
          <w:u w:val="single"/>
        </w:rPr>
      </w:pPr>
      <w:r w:rsidRPr="00185AEF">
        <w:rPr>
          <w:rFonts w:ascii="Times New Roman" w:eastAsia="Times New Roman" w:hAnsi="Times New Roman" w:cs="Times New Roman"/>
          <w:sz w:val="24"/>
          <w:szCs w:val="24"/>
          <w:u w:val="single"/>
        </w:rPr>
        <w:t>Guidance o</w:t>
      </w:r>
      <w:r w:rsidR="00185AEF" w:rsidRPr="00185AEF">
        <w:rPr>
          <w:rFonts w:ascii="Times New Roman" w:eastAsia="Times New Roman" w:hAnsi="Times New Roman" w:cs="Times New Roman"/>
          <w:sz w:val="24"/>
          <w:szCs w:val="24"/>
          <w:u w:val="single"/>
        </w:rPr>
        <w:t xml:space="preserve">n </w:t>
      </w:r>
      <w:r w:rsidRPr="00185AEF">
        <w:rPr>
          <w:rFonts w:ascii="Times New Roman" w:eastAsia="Times New Roman" w:hAnsi="Times New Roman" w:cs="Times New Roman"/>
          <w:sz w:val="24"/>
          <w:szCs w:val="24"/>
          <w:u w:val="single"/>
        </w:rPr>
        <w:t>readings:</w:t>
      </w:r>
    </w:p>
    <w:p w:rsidR="00185AEF" w:rsidRPr="00185AEF" w:rsidRDefault="00C33093" w:rsidP="00185AEF">
      <w:pPr>
        <w:spacing w:after="0" w:line="240" w:lineRule="auto"/>
        <w:jc w:val="both"/>
        <w:rPr>
          <w:rFonts w:ascii="Times New Roman" w:hAnsi="Times New Roman" w:cs="Times New Roman"/>
          <w:sz w:val="24"/>
          <w:szCs w:val="24"/>
        </w:rPr>
      </w:pPr>
      <w:r w:rsidRPr="00185AEF">
        <w:rPr>
          <w:rFonts w:ascii="Times New Roman" w:hAnsi="Times New Roman" w:cs="Times New Roman"/>
          <w:sz w:val="24"/>
          <w:szCs w:val="24"/>
        </w:rPr>
        <w:t xml:space="preserve">The </w:t>
      </w:r>
      <w:r w:rsidRPr="00185AEF">
        <w:rPr>
          <w:rFonts w:ascii="Times New Roman" w:hAnsi="Times New Roman" w:cs="Times New Roman"/>
          <w:sz w:val="24"/>
          <w:szCs w:val="24"/>
        </w:rPr>
        <w:t xml:space="preserve">assigned readings are primary sources from the 1970s and 1980s. </w:t>
      </w:r>
    </w:p>
    <w:p w:rsidR="00185AEF" w:rsidRPr="00185AEF" w:rsidRDefault="00C33093" w:rsidP="00185AEF">
      <w:pPr>
        <w:spacing w:after="0" w:line="240" w:lineRule="auto"/>
        <w:ind w:firstLine="720"/>
        <w:jc w:val="both"/>
        <w:rPr>
          <w:rFonts w:ascii="Times New Roman" w:hAnsi="Times New Roman" w:cs="Times New Roman"/>
          <w:sz w:val="24"/>
          <w:szCs w:val="24"/>
        </w:rPr>
      </w:pPr>
      <w:r w:rsidRPr="00185AEF">
        <w:rPr>
          <w:rFonts w:ascii="Times New Roman" w:hAnsi="Times New Roman" w:cs="Times New Roman"/>
          <w:sz w:val="24"/>
          <w:szCs w:val="24"/>
        </w:rPr>
        <w:t xml:space="preserve">For Tuesday, students should read a landmark speech by Margaret Thatcher, plus </w:t>
      </w:r>
      <w:r w:rsidRPr="00185AEF">
        <w:rPr>
          <w:rFonts w:ascii="Times New Roman" w:hAnsi="Times New Roman" w:cs="Times New Roman"/>
          <w:sz w:val="24"/>
          <w:szCs w:val="24"/>
        </w:rPr>
        <w:t>an article by Stuart Hall</w:t>
      </w:r>
      <w:r w:rsidR="00185AEF" w:rsidRPr="00185AEF">
        <w:rPr>
          <w:rFonts w:ascii="Times New Roman" w:hAnsi="Times New Roman" w:cs="Times New Roman"/>
          <w:sz w:val="24"/>
          <w:szCs w:val="24"/>
        </w:rPr>
        <w:t xml:space="preserve">. Each of these are central to </w:t>
      </w:r>
      <w:r w:rsidRPr="00185AEF">
        <w:rPr>
          <w:rFonts w:ascii="Times New Roman" w:hAnsi="Times New Roman" w:cs="Times New Roman"/>
          <w:sz w:val="24"/>
          <w:szCs w:val="24"/>
        </w:rPr>
        <w:t xml:space="preserve">how Thatcherism </w:t>
      </w:r>
      <w:r w:rsidR="00185AEF" w:rsidRPr="00185AEF">
        <w:rPr>
          <w:rFonts w:ascii="Times New Roman" w:hAnsi="Times New Roman" w:cs="Times New Roman"/>
          <w:sz w:val="24"/>
          <w:szCs w:val="24"/>
        </w:rPr>
        <w:t xml:space="preserve">was </w:t>
      </w:r>
      <w:proofErr w:type="spellStart"/>
      <w:r w:rsidR="00185AEF" w:rsidRPr="00185AEF">
        <w:rPr>
          <w:rFonts w:ascii="Times New Roman" w:hAnsi="Times New Roman" w:cs="Times New Roman"/>
          <w:sz w:val="24"/>
          <w:szCs w:val="24"/>
        </w:rPr>
        <w:t>theorised</w:t>
      </w:r>
      <w:proofErr w:type="spellEnd"/>
      <w:r w:rsidR="00185AEF" w:rsidRPr="00185AEF">
        <w:rPr>
          <w:rFonts w:ascii="Times New Roman" w:hAnsi="Times New Roman" w:cs="Times New Roman"/>
          <w:sz w:val="24"/>
          <w:szCs w:val="24"/>
        </w:rPr>
        <w:t xml:space="preserve"> by scholars, and </w:t>
      </w:r>
      <w:proofErr w:type="spellStart"/>
      <w:proofErr w:type="gramStart"/>
      <w:r w:rsidR="00185AEF" w:rsidRPr="00185AEF">
        <w:rPr>
          <w:rFonts w:ascii="Times New Roman" w:hAnsi="Times New Roman" w:cs="Times New Roman"/>
          <w:sz w:val="24"/>
          <w:szCs w:val="24"/>
        </w:rPr>
        <w:t>fo</w:t>
      </w:r>
      <w:proofErr w:type="spellEnd"/>
      <w:proofErr w:type="gramEnd"/>
      <w:r w:rsidR="00185AEF" w:rsidRPr="00185AEF">
        <w:rPr>
          <w:rFonts w:ascii="Times New Roman" w:hAnsi="Times New Roman" w:cs="Times New Roman"/>
          <w:sz w:val="24"/>
          <w:szCs w:val="24"/>
        </w:rPr>
        <w:t xml:space="preserve"> the formation of the types of ideas engaged with in our lectures. </w:t>
      </w:r>
    </w:p>
    <w:p w:rsidR="00185AEF" w:rsidRDefault="00185AEF" w:rsidP="00185AEF">
      <w:pPr>
        <w:spacing w:after="0" w:line="240" w:lineRule="auto"/>
        <w:ind w:firstLine="720"/>
        <w:jc w:val="both"/>
        <w:rPr>
          <w:rFonts w:ascii="Times New Roman" w:hAnsi="Times New Roman" w:cs="Times New Roman"/>
          <w:sz w:val="24"/>
          <w:szCs w:val="24"/>
        </w:rPr>
      </w:pPr>
      <w:r w:rsidRPr="00185AEF">
        <w:rPr>
          <w:rFonts w:ascii="Times New Roman" w:hAnsi="Times New Roman" w:cs="Times New Roman"/>
          <w:sz w:val="24"/>
          <w:szCs w:val="24"/>
        </w:rPr>
        <w:t xml:space="preserve">For Friday, students should examine a set of sources </w:t>
      </w:r>
      <w:r w:rsidR="00C33093" w:rsidRPr="00185AEF">
        <w:rPr>
          <w:rFonts w:ascii="Times New Roman" w:hAnsi="Times New Roman" w:cs="Times New Roman"/>
          <w:sz w:val="24"/>
          <w:szCs w:val="24"/>
        </w:rPr>
        <w:t>focus</w:t>
      </w:r>
      <w:r w:rsidRPr="00185AEF">
        <w:rPr>
          <w:rFonts w:ascii="Times New Roman" w:hAnsi="Times New Roman" w:cs="Times New Roman"/>
          <w:sz w:val="24"/>
          <w:szCs w:val="24"/>
        </w:rPr>
        <w:t xml:space="preserve">ing </w:t>
      </w:r>
      <w:r w:rsidR="00C33093" w:rsidRPr="00185AEF">
        <w:rPr>
          <w:rFonts w:ascii="Times New Roman" w:hAnsi="Times New Roman" w:cs="Times New Roman"/>
          <w:sz w:val="24"/>
          <w:szCs w:val="24"/>
        </w:rPr>
        <w:t>on the urban riots of 1981</w:t>
      </w:r>
      <w:r w:rsidRPr="00185AEF">
        <w:rPr>
          <w:rFonts w:ascii="Times New Roman" w:hAnsi="Times New Roman" w:cs="Times New Roman"/>
          <w:sz w:val="24"/>
          <w:szCs w:val="24"/>
        </w:rPr>
        <w:t xml:space="preserve">, </w:t>
      </w:r>
      <w:r w:rsidR="00C33093" w:rsidRPr="00185AEF">
        <w:rPr>
          <w:rFonts w:ascii="Times New Roman" w:hAnsi="Times New Roman" w:cs="Times New Roman"/>
          <w:sz w:val="24"/>
          <w:szCs w:val="24"/>
        </w:rPr>
        <w:t xml:space="preserve">he sources on the riots are from cabinet papers housed in the National Archives, plus an extract from Thatcher's memoirs. Think about how the riots are explained and interpreted in them: </w:t>
      </w:r>
    </w:p>
    <w:p w:rsidR="00185AEF" w:rsidRDefault="00185AEF" w:rsidP="00185AEF">
      <w:pPr>
        <w:spacing w:after="0" w:line="240" w:lineRule="auto"/>
        <w:ind w:firstLine="720"/>
        <w:jc w:val="both"/>
        <w:rPr>
          <w:rFonts w:ascii="Times New Roman" w:hAnsi="Times New Roman" w:cs="Times New Roman"/>
          <w:sz w:val="24"/>
          <w:szCs w:val="24"/>
        </w:rPr>
      </w:pPr>
    </w:p>
    <w:p w:rsidR="00185AEF" w:rsidRPr="00185AEF" w:rsidRDefault="00185AEF" w:rsidP="00185AEF">
      <w:pPr>
        <w:pStyle w:val="ListParagraph"/>
        <w:numPr>
          <w:ilvl w:val="0"/>
          <w:numId w:val="2"/>
        </w:numPr>
        <w:spacing w:after="0" w:line="240" w:lineRule="auto"/>
        <w:jc w:val="both"/>
        <w:rPr>
          <w:rFonts w:ascii="Times New Roman" w:eastAsia="Times New Roman" w:hAnsi="Times New Roman" w:cs="Times New Roman"/>
          <w:sz w:val="24"/>
          <w:szCs w:val="24"/>
          <w:u w:val="single"/>
        </w:rPr>
      </w:pPr>
      <w:r w:rsidRPr="00185AEF">
        <w:rPr>
          <w:rFonts w:ascii="Times New Roman" w:hAnsi="Times New Roman" w:cs="Times New Roman"/>
          <w:b/>
          <w:sz w:val="24"/>
          <w:szCs w:val="24"/>
        </w:rPr>
        <w:t>What</w:t>
      </w:r>
      <w:r w:rsidR="00C33093" w:rsidRPr="00185AEF">
        <w:rPr>
          <w:rFonts w:ascii="Times New Roman" w:hAnsi="Times New Roman" w:cs="Times New Roman"/>
          <w:b/>
          <w:sz w:val="24"/>
          <w:szCs w:val="24"/>
        </w:rPr>
        <w:t xml:space="preserve"> different opinions are voiced</w:t>
      </w:r>
      <w:r>
        <w:rPr>
          <w:rFonts w:ascii="Times New Roman" w:hAnsi="Times New Roman" w:cs="Times New Roman"/>
          <w:b/>
          <w:sz w:val="24"/>
          <w:szCs w:val="24"/>
        </w:rPr>
        <w:t xml:space="preserve"> about the riots</w:t>
      </w:r>
      <w:r w:rsidR="00C33093" w:rsidRPr="00185AEF">
        <w:rPr>
          <w:rFonts w:ascii="Times New Roman" w:hAnsi="Times New Roman" w:cs="Times New Roman"/>
          <w:b/>
          <w:sz w:val="24"/>
          <w:szCs w:val="24"/>
        </w:rPr>
        <w:t xml:space="preserve">? </w:t>
      </w:r>
    </w:p>
    <w:p w:rsidR="00185AEF" w:rsidRPr="00185AEF" w:rsidRDefault="00185AEF" w:rsidP="00185AEF">
      <w:pPr>
        <w:pStyle w:val="ListParagraph"/>
        <w:numPr>
          <w:ilvl w:val="0"/>
          <w:numId w:val="2"/>
        </w:numPr>
        <w:spacing w:after="0" w:line="240" w:lineRule="auto"/>
        <w:jc w:val="both"/>
        <w:rPr>
          <w:rFonts w:ascii="Times New Roman" w:eastAsia="Times New Roman" w:hAnsi="Times New Roman" w:cs="Times New Roman"/>
          <w:sz w:val="24"/>
          <w:szCs w:val="24"/>
          <w:u w:val="single"/>
        </w:rPr>
      </w:pPr>
      <w:r w:rsidRPr="00185AEF">
        <w:rPr>
          <w:rFonts w:ascii="Times New Roman" w:hAnsi="Times New Roman" w:cs="Times New Roman"/>
          <w:b/>
          <w:sz w:val="24"/>
          <w:szCs w:val="24"/>
        </w:rPr>
        <w:t>Was</w:t>
      </w:r>
      <w:r w:rsidR="00C33093" w:rsidRPr="00185AEF">
        <w:rPr>
          <w:rFonts w:ascii="Times New Roman" w:hAnsi="Times New Roman" w:cs="Times New Roman"/>
          <w:b/>
          <w:sz w:val="24"/>
          <w:szCs w:val="24"/>
        </w:rPr>
        <w:t xml:space="preserve"> there unanimity or dissent within the government in the aftermath of the riots? </w:t>
      </w:r>
    </w:p>
    <w:p w:rsidR="00185AEF" w:rsidRPr="00185AEF" w:rsidRDefault="00185AEF" w:rsidP="00185AEF">
      <w:pPr>
        <w:pStyle w:val="ListParagraph"/>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b/>
          <w:bCs/>
          <w:sz w:val="24"/>
          <w:szCs w:val="24"/>
          <w:lang w:val="en-GB"/>
        </w:rPr>
        <w:t xml:space="preserve">How are the riots explained by members of the government? </w:t>
      </w:r>
    </w:p>
    <w:p w:rsidR="00185AEF" w:rsidRPr="00185AEF" w:rsidRDefault="00185AEF" w:rsidP="00185AEF">
      <w:pPr>
        <w:pStyle w:val="ListParagraph"/>
        <w:numPr>
          <w:ilvl w:val="0"/>
          <w:numId w:val="2"/>
        </w:numPr>
        <w:spacing w:after="0" w:line="240" w:lineRule="auto"/>
        <w:jc w:val="both"/>
        <w:rPr>
          <w:rFonts w:ascii="Times New Roman" w:hAnsi="Times New Roman" w:cs="Times New Roman"/>
          <w:b/>
          <w:sz w:val="24"/>
          <w:szCs w:val="24"/>
        </w:rPr>
      </w:pPr>
      <w:r w:rsidRPr="00185AEF">
        <w:rPr>
          <w:rFonts w:ascii="Times New Roman" w:hAnsi="Times New Roman" w:cs="Times New Roman"/>
          <w:b/>
          <w:bCs/>
          <w:sz w:val="24"/>
          <w:szCs w:val="24"/>
          <w:lang w:val="en-GB"/>
        </w:rPr>
        <w:t xml:space="preserve">How do </w:t>
      </w:r>
      <w:r>
        <w:rPr>
          <w:rFonts w:ascii="Times New Roman" w:hAnsi="Times New Roman" w:cs="Times New Roman"/>
          <w:b/>
          <w:bCs/>
          <w:sz w:val="24"/>
          <w:szCs w:val="24"/>
          <w:lang w:val="en-GB"/>
        </w:rPr>
        <w:t xml:space="preserve">Michael </w:t>
      </w:r>
      <w:r w:rsidRPr="00185AEF">
        <w:rPr>
          <w:rFonts w:ascii="Times New Roman" w:hAnsi="Times New Roman" w:cs="Times New Roman"/>
          <w:b/>
          <w:bCs/>
          <w:sz w:val="24"/>
          <w:szCs w:val="24"/>
          <w:lang w:val="en-GB"/>
        </w:rPr>
        <w:t>Heseltine’s explanations differ from those of Thatcher, Geoffrey Howe and others?</w:t>
      </w:r>
    </w:p>
    <w:p w:rsidR="00185AEF" w:rsidRPr="00185AEF" w:rsidRDefault="00185AEF" w:rsidP="00185AEF">
      <w:pPr>
        <w:pStyle w:val="ListParagraph"/>
        <w:numPr>
          <w:ilvl w:val="0"/>
          <w:numId w:val="2"/>
        </w:numPr>
        <w:spacing w:after="0" w:line="240" w:lineRule="auto"/>
        <w:jc w:val="both"/>
        <w:rPr>
          <w:rFonts w:ascii="Times New Roman" w:hAnsi="Times New Roman" w:cs="Times New Roman"/>
          <w:b/>
          <w:sz w:val="24"/>
          <w:szCs w:val="24"/>
        </w:rPr>
      </w:pPr>
      <w:r w:rsidRPr="00185AEF">
        <w:rPr>
          <w:rFonts w:ascii="Times New Roman" w:hAnsi="Times New Roman" w:cs="Times New Roman"/>
          <w:b/>
          <w:bCs/>
          <w:sz w:val="24"/>
          <w:szCs w:val="24"/>
          <w:lang w:val="en-GB"/>
        </w:rPr>
        <w:t xml:space="preserve">What </w:t>
      </w:r>
      <w:r>
        <w:rPr>
          <w:rFonts w:ascii="Times New Roman" w:hAnsi="Times New Roman" w:cs="Times New Roman"/>
          <w:b/>
          <w:bCs/>
          <w:sz w:val="24"/>
          <w:szCs w:val="24"/>
          <w:lang w:val="en-GB"/>
        </w:rPr>
        <w:t xml:space="preserve">ideas does Heseltine forward for dealing with the situation, and </w:t>
      </w:r>
      <w:r w:rsidRPr="00185AEF">
        <w:rPr>
          <w:rFonts w:ascii="Times New Roman" w:hAnsi="Times New Roman" w:cs="Times New Roman"/>
          <w:b/>
          <w:bCs/>
          <w:sz w:val="24"/>
          <w:szCs w:val="24"/>
          <w:lang w:val="en-GB"/>
        </w:rPr>
        <w:t>sort of response were Heseltine’s suggested proposals for Liverpool met with?</w:t>
      </w:r>
    </w:p>
    <w:p w:rsidR="00185AEF" w:rsidRPr="00185AEF" w:rsidRDefault="00185AEF" w:rsidP="00185AEF">
      <w:pPr>
        <w:pStyle w:val="ListParagraph"/>
        <w:numPr>
          <w:ilvl w:val="0"/>
          <w:numId w:val="2"/>
        </w:numPr>
        <w:spacing w:after="0" w:line="240" w:lineRule="auto"/>
        <w:jc w:val="both"/>
        <w:rPr>
          <w:rFonts w:ascii="Times New Roman" w:eastAsia="Times New Roman" w:hAnsi="Times New Roman" w:cs="Times New Roman"/>
          <w:sz w:val="24"/>
          <w:szCs w:val="24"/>
          <w:u w:val="single"/>
        </w:rPr>
      </w:pPr>
      <w:r>
        <w:rPr>
          <w:rFonts w:ascii="Times New Roman" w:hAnsi="Times New Roman" w:cs="Times New Roman"/>
          <w:b/>
          <w:sz w:val="24"/>
          <w:szCs w:val="24"/>
        </w:rPr>
        <w:t>H</w:t>
      </w:r>
      <w:r w:rsidR="00C33093" w:rsidRPr="00185AEF">
        <w:rPr>
          <w:rFonts w:ascii="Times New Roman" w:hAnsi="Times New Roman" w:cs="Times New Roman"/>
          <w:b/>
          <w:sz w:val="24"/>
          <w:szCs w:val="24"/>
        </w:rPr>
        <w:t>ow do Thatcher's later recollections compare to the sources produced in summer 1981?</w:t>
      </w:r>
      <w:r w:rsidRPr="00185AEF">
        <w:t xml:space="preserve"> </w:t>
      </w:r>
      <w:r w:rsidRPr="00185AEF">
        <w:rPr>
          <w:rFonts w:ascii="Times New Roman" w:hAnsi="Times New Roman" w:cs="Times New Roman"/>
          <w:b/>
          <w:sz w:val="24"/>
          <w:szCs w:val="24"/>
        </w:rPr>
        <w:t xml:space="preserve">What explanations does she offer? </w:t>
      </w:r>
    </w:p>
    <w:p w:rsidR="00185AEF" w:rsidRPr="00185AEF" w:rsidRDefault="00185AEF" w:rsidP="00185AEF">
      <w:pPr>
        <w:pStyle w:val="ListParagraph"/>
        <w:spacing w:after="0" w:line="240" w:lineRule="auto"/>
        <w:jc w:val="both"/>
        <w:rPr>
          <w:rFonts w:ascii="Times New Roman" w:eastAsia="Times New Roman" w:hAnsi="Times New Roman" w:cs="Times New Roman"/>
          <w:sz w:val="24"/>
          <w:szCs w:val="24"/>
          <w:u w:val="single"/>
        </w:rPr>
      </w:pPr>
    </w:p>
    <w:p w:rsidR="00185AEF" w:rsidRDefault="00185AEF" w:rsidP="00185AEF">
      <w:pPr>
        <w:spacing w:after="0" w:line="240" w:lineRule="auto"/>
        <w:ind w:firstLine="720"/>
        <w:jc w:val="both"/>
        <w:rPr>
          <w:rFonts w:ascii="Times New Roman" w:eastAsia="Times New Roman" w:hAnsi="Times New Roman" w:cs="Times New Roman"/>
          <w:i/>
          <w:sz w:val="24"/>
          <w:szCs w:val="24"/>
        </w:rPr>
      </w:pPr>
      <w:r w:rsidRPr="00185AEF">
        <w:rPr>
          <w:rFonts w:ascii="Times New Roman" w:eastAsia="Times New Roman" w:hAnsi="Times New Roman" w:cs="Times New Roman"/>
          <w:sz w:val="24"/>
          <w:szCs w:val="24"/>
        </w:rPr>
        <w:t xml:space="preserve">For information on the politicians mentioned in the sources, consult </w:t>
      </w:r>
      <w:r w:rsidRPr="00185AEF">
        <w:rPr>
          <w:rFonts w:ascii="Times New Roman" w:eastAsia="Times New Roman" w:hAnsi="Times New Roman" w:cs="Times New Roman"/>
          <w:i/>
          <w:sz w:val="24"/>
          <w:szCs w:val="24"/>
        </w:rPr>
        <w:t>The Oxford Dictionary of Political Biography</w:t>
      </w:r>
      <w:r>
        <w:rPr>
          <w:rFonts w:ascii="Times New Roman" w:eastAsia="Times New Roman" w:hAnsi="Times New Roman" w:cs="Times New Roman"/>
          <w:i/>
          <w:sz w:val="24"/>
          <w:szCs w:val="24"/>
        </w:rPr>
        <w:t xml:space="preserve">: </w:t>
      </w:r>
    </w:p>
    <w:p w:rsidR="00185AEF" w:rsidRPr="00C33093" w:rsidRDefault="00185AEF" w:rsidP="00185AEF">
      <w:pPr>
        <w:spacing w:after="0" w:line="240" w:lineRule="auto"/>
        <w:ind w:firstLine="720"/>
        <w:jc w:val="both"/>
        <w:rPr>
          <w:rFonts w:ascii="Times New Roman" w:eastAsia="Times New Roman" w:hAnsi="Times New Roman" w:cs="Times New Roman"/>
          <w:sz w:val="24"/>
          <w:szCs w:val="24"/>
        </w:rPr>
      </w:pPr>
      <w:r w:rsidRPr="00185AEF">
        <w:rPr>
          <w:rFonts w:ascii="Times New Roman" w:eastAsia="Times New Roman" w:hAnsi="Times New Roman" w:cs="Times New Roman"/>
          <w:i/>
          <w:sz w:val="24"/>
          <w:szCs w:val="24"/>
        </w:rPr>
        <w:t xml:space="preserve"> </w:t>
      </w:r>
      <w:r w:rsidRPr="00185AEF">
        <w:rPr>
          <w:rFonts w:ascii="Times New Roman" w:eastAsia="Times New Roman" w:hAnsi="Times New Roman" w:cs="Times New Roman"/>
          <w:sz w:val="24"/>
          <w:szCs w:val="24"/>
        </w:rPr>
        <w:t>(</w:t>
      </w:r>
      <w:hyperlink r:id="rId5" w:history="1">
        <w:r w:rsidRPr="00AA6219">
          <w:rPr>
            <w:rStyle w:val="Hyperlink"/>
            <w:rFonts w:ascii="Times New Roman" w:eastAsia="Times New Roman" w:hAnsi="Times New Roman" w:cs="Times New Roman"/>
            <w:sz w:val="24"/>
            <w:szCs w:val="24"/>
          </w:rPr>
          <w:t>http://www.oxfordreference.com/view/10.1093/acref/9780199569137.001.0001/acref-9780199569137</w:t>
        </w:r>
      </w:hyperlink>
      <w:r>
        <w:rPr>
          <w:rFonts w:ascii="Times New Roman" w:eastAsia="Times New Roman" w:hAnsi="Times New Roman" w:cs="Times New Roman"/>
          <w:sz w:val="24"/>
          <w:szCs w:val="24"/>
        </w:rPr>
        <w:t>)</w:t>
      </w:r>
    </w:p>
    <w:sectPr w:rsidR="00185AEF" w:rsidRPr="00C33093" w:rsidSect="00C330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37DB2"/>
    <w:multiLevelType w:val="hybridMultilevel"/>
    <w:tmpl w:val="A1F859E4"/>
    <w:lvl w:ilvl="0" w:tplc="9B20A92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D6353E"/>
    <w:multiLevelType w:val="multilevel"/>
    <w:tmpl w:val="A76A2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884E33"/>
    <w:multiLevelType w:val="multilevel"/>
    <w:tmpl w:val="5FF6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6C484C"/>
    <w:multiLevelType w:val="hybridMultilevel"/>
    <w:tmpl w:val="7270A056"/>
    <w:lvl w:ilvl="0" w:tplc="C3F6592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093"/>
    <w:rsid w:val="00185AEF"/>
    <w:rsid w:val="001F7B50"/>
    <w:rsid w:val="00232BEA"/>
    <w:rsid w:val="00632EEC"/>
    <w:rsid w:val="00761690"/>
    <w:rsid w:val="00803F09"/>
    <w:rsid w:val="00825E28"/>
    <w:rsid w:val="00A575F9"/>
    <w:rsid w:val="00C33093"/>
    <w:rsid w:val="00C57FBF"/>
    <w:rsid w:val="00DD115F"/>
    <w:rsid w:val="00F02960"/>
    <w:rsid w:val="00F04030"/>
    <w:rsid w:val="00F77C47"/>
    <w:rsid w:val="00FA1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05A56A-76D6-4E7E-98F0-9AB72A0A8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093"/>
    <w:pPr>
      <w:ind w:left="720"/>
      <w:contextualSpacing/>
    </w:pPr>
  </w:style>
  <w:style w:type="paragraph" w:styleId="NormalWeb">
    <w:name w:val="Normal (Web)"/>
    <w:basedOn w:val="Normal"/>
    <w:uiPriority w:val="99"/>
    <w:semiHidden/>
    <w:unhideWhenUsed/>
    <w:rsid w:val="00C330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3093"/>
    <w:rPr>
      <w:i/>
      <w:iCs/>
    </w:rPr>
  </w:style>
  <w:style w:type="character" w:styleId="Hyperlink">
    <w:name w:val="Hyperlink"/>
    <w:basedOn w:val="DefaultParagraphFont"/>
    <w:uiPriority w:val="99"/>
    <w:unhideWhenUsed/>
    <w:rsid w:val="00185A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99472">
      <w:bodyDiv w:val="1"/>
      <w:marLeft w:val="0"/>
      <w:marRight w:val="0"/>
      <w:marTop w:val="0"/>
      <w:marBottom w:val="0"/>
      <w:divBdr>
        <w:top w:val="none" w:sz="0" w:space="0" w:color="auto"/>
        <w:left w:val="none" w:sz="0" w:space="0" w:color="auto"/>
        <w:bottom w:val="none" w:sz="0" w:space="0" w:color="auto"/>
        <w:right w:val="none" w:sz="0" w:space="0" w:color="auto"/>
      </w:divBdr>
      <w:divsChild>
        <w:div w:id="577055327">
          <w:marLeft w:val="0"/>
          <w:marRight w:val="0"/>
          <w:marTop w:val="0"/>
          <w:marBottom w:val="0"/>
          <w:divBdr>
            <w:top w:val="none" w:sz="0" w:space="0" w:color="auto"/>
            <w:left w:val="none" w:sz="0" w:space="0" w:color="auto"/>
            <w:bottom w:val="none" w:sz="0" w:space="0" w:color="auto"/>
            <w:right w:val="none" w:sz="0" w:space="0" w:color="auto"/>
          </w:divBdr>
          <w:divsChild>
            <w:div w:id="206926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214755">
      <w:bodyDiv w:val="1"/>
      <w:marLeft w:val="0"/>
      <w:marRight w:val="0"/>
      <w:marTop w:val="0"/>
      <w:marBottom w:val="0"/>
      <w:divBdr>
        <w:top w:val="none" w:sz="0" w:space="0" w:color="auto"/>
        <w:left w:val="none" w:sz="0" w:space="0" w:color="auto"/>
        <w:bottom w:val="none" w:sz="0" w:space="0" w:color="auto"/>
        <w:right w:val="none" w:sz="0" w:space="0" w:color="auto"/>
      </w:divBdr>
    </w:div>
    <w:div w:id="1872104343">
      <w:bodyDiv w:val="1"/>
      <w:marLeft w:val="0"/>
      <w:marRight w:val="0"/>
      <w:marTop w:val="0"/>
      <w:marBottom w:val="0"/>
      <w:divBdr>
        <w:top w:val="none" w:sz="0" w:space="0" w:color="auto"/>
        <w:left w:val="none" w:sz="0" w:space="0" w:color="auto"/>
        <w:bottom w:val="none" w:sz="0" w:space="0" w:color="auto"/>
        <w:right w:val="none" w:sz="0" w:space="0" w:color="auto"/>
      </w:divBdr>
    </w:div>
    <w:div w:id="201198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xfordreference.com/view/10.1093/acref/9780199569137.001.0001/acref-97801995691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2017-11-23T16:30:00Z</dcterms:created>
  <dcterms:modified xsi:type="dcterms:W3CDTF">2017-11-23T16:51:00Z</dcterms:modified>
</cp:coreProperties>
</file>