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A5756C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37C36">
              <w:rPr>
                <w:rFonts w:ascii="Times New Roman" w:hAnsi="Times New Roman" w:cs="Times New Roman"/>
                <w:b/>
                <w:color w:val="auto"/>
                <w:sz w:val="48"/>
              </w:rPr>
              <w:t>Ceri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46655B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37C36">
              <w:rPr>
                <w:rFonts w:ascii="Times New Roman" w:hAnsi="Times New Roman" w:cs="Times New Roman"/>
                <w:b/>
                <w:color w:val="auto"/>
                <w:sz w:val="48"/>
              </w:rPr>
              <w:t xml:space="preserve"> cerij459@hotmail.co.uk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E0DF4B9" w14:textId="77777777" w:rsidR="00937C36" w:rsidRDefault="0085230E" w:rsidP="00937C36">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37C36">
              <w:rPr>
                <w:rFonts w:ascii="Times New Roman" w:hAnsi="Times New Roman" w:cs="Times New Roman"/>
                <w:b/>
                <w:color w:val="auto"/>
                <w:sz w:val="48"/>
              </w:rPr>
              <w:t xml:space="preserve"> </w:t>
            </w:r>
          </w:p>
          <w:p w14:paraId="05E6522D" w14:textId="6FEB2D36" w:rsidR="00937C36" w:rsidRPr="00937C36" w:rsidRDefault="00937C36" w:rsidP="00937C36">
            <w:pPr>
              <w:ind w:right="-957"/>
              <w:rPr>
                <w:rFonts w:ascii="Times New Roman" w:hAnsi="Times New Roman" w:cs="Times New Roman"/>
                <w:b/>
                <w:sz w:val="48"/>
              </w:rPr>
            </w:pPr>
            <w:r>
              <w:rPr>
                <w:rFonts w:ascii="Times New Roman" w:hAnsi="Times New Roman" w:cs="Times New Roman"/>
                <w:b/>
                <w:sz w:val="48"/>
              </w:rPr>
              <w:t>2320476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74CD31C3" w14:textId="5181673D" w:rsidR="002604CF" w:rsidRDefault="002604CF" w:rsidP="002604CF">
            <w:pPr>
              <w:rPr>
                <w:sz w:val="24"/>
                <w:szCs w:val="24"/>
              </w:rPr>
            </w:pPr>
            <w:r>
              <w:rPr>
                <w:sz w:val="24"/>
                <w:szCs w:val="24"/>
              </w:rPr>
              <w:t xml:space="preserve">Adult safeguarding procedures are followed under the </w:t>
            </w:r>
            <w:r w:rsidRPr="00E52788">
              <w:rPr>
                <w:i/>
                <w:iCs/>
                <w:sz w:val="24"/>
                <w:szCs w:val="24"/>
              </w:rPr>
              <w:t>Social Services and Wellbeing (Wales) Act 2014</w:t>
            </w:r>
            <w:r>
              <w:rPr>
                <w:sz w:val="24"/>
                <w:szCs w:val="24"/>
              </w:rPr>
              <w:t xml:space="preserve"> (SSWBA) in Wales. In England this is the </w:t>
            </w:r>
            <w:r w:rsidRPr="00E52788">
              <w:rPr>
                <w:i/>
                <w:iCs/>
                <w:sz w:val="24"/>
                <w:szCs w:val="24"/>
              </w:rPr>
              <w:t>Care Act 2014</w:t>
            </w:r>
            <w:r>
              <w:rPr>
                <w:sz w:val="24"/>
                <w:szCs w:val="24"/>
              </w:rPr>
              <w:t xml:space="preserve">. An adult at risk is defined as an adult who is at risk of experiencing abuse or neglect and has care and supports needs, from these needs they cannot protect themselves from the risk of abuse or neglect (SSWBA, 2014). If there is reasonable cause to believe an adult is at risk, then the Local Authority has a duty to investigate this under a section 126 (SSWBA, 2014). Abuse and neglect can be physical, sexual, psychological, emotional and financial abuse (XX </w:t>
            </w:r>
            <w:proofErr w:type="spellStart"/>
            <w:r>
              <w:rPr>
                <w:sz w:val="24"/>
                <w:szCs w:val="24"/>
              </w:rPr>
              <w:t>XX</w:t>
            </w:r>
            <w:proofErr w:type="spellEnd"/>
            <w:r>
              <w:rPr>
                <w:sz w:val="24"/>
                <w:szCs w:val="24"/>
              </w:rPr>
              <w:t xml:space="preserve"> Safeguarding Board, 2023). Additionally, neglect is an impairment to an individual’s wellbeing from a lack of meeting basic needs in relations to physical, psychological, social and emotional needs (XX </w:t>
            </w:r>
            <w:proofErr w:type="spellStart"/>
            <w:r>
              <w:rPr>
                <w:sz w:val="24"/>
                <w:szCs w:val="24"/>
              </w:rPr>
              <w:t>XX</w:t>
            </w:r>
            <w:proofErr w:type="spellEnd"/>
            <w:r>
              <w:rPr>
                <w:sz w:val="24"/>
                <w:szCs w:val="24"/>
              </w:rPr>
              <w:t xml:space="preserve"> Safeguarding Board, 2023). Under the SSWBA 201</w:t>
            </w:r>
            <w:r w:rsidR="00E52788">
              <w:rPr>
                <w:sz w:val="24"/>
                <w:szCs w:val="24"/>
              </w:rPr>
              <w:t>4</w:t>
            </w:r>
            <w:r>
              <w:rPr>
                <w:sz w:val="24"/>
                <w:szCs w:val="24"/>
              </w:rPr>
              <w:t xml:space="preserve"> there are key principles to follow which are wellbeing, voice and control, prevention and early intervention, co-production and multi-agency.</w:t>
            </w:r>
          </w:p>
          <w:p w14:paraId="7EFAE96B" w14:textId="77777777" w:rsidR="002604CF" w:rsidRDefault="002604CF" w:rsidP="002604CF">
            <w:pPr>
              <w:rPr>
                <w:sz w:val="24"/>
                <w:szCs w:val="24"/>
              </w:rPr>
            </w:pPr>
          </w:p>
          <w:p w14:paraId="7AD99724" w14:textId="77777777" w:rsidR="002604CF" w:rsidRDefault="002604CF" w:rsidP="002604CF">
            <w:pPr>
              <w:rPr>
                <w:sz w:val="24"/>
                <w:szCs w:val="24"/>
              </w:rPr>
            </w:pPr>
            <w:r>
              <w:rPr>
                <w:sz w:val="24"/>
                <w:szCs w:val="24"/>
              </w:rPr>
              <w:t xml:space="preserve">The XX </w:t>
            </w:r>
            <w:proofErr w:type="spellStart"/>
            <w:r>
              <w:rPr>
                <w:sz w:val="24"/>
                <w:szCs w:val="24"/>
              </w:rPr>
              <w:t>XX</w:t>
            </w:r>
            <w:proofErr w:type="spellEnd"/>
            <w:r>
              <w:rPr>
                <w:sz w:val="24"/>
                <w:szCs w:val="24"/>
              </w:rPr>
              <w:t xml:space="preserve"> Safeguarding Board have an online form to report abuse or neglect for an adult at risk (XX </w:t>
            </w:r>
            <w:proofErr w:type="spellStart"/>
            <w:r>
              <w:rPr>
                <w:sz w:val="24"/>
                <w:szCs w:val="24"/>
              </w:rPr>
              <w:t>XX</w:t>
            </w:r>
            <w:proofErr w:type="spellEnd"/>
            <w:r>
              <w:rPr>
                <w:sz w:val="24"/>
                <w:szCs w:val="24"/>
              </w:rPr>
              <w:t xml:space="preserve"> Safeguarding Board, 2024). In XX Local Authority, this referral is sent to the Single Point of Access Team. Under section 127 of the SSWBA the adult protection and support orders can be applied for, this allows an authorised officer by the Local Authority and another accompanying individual to enter the property of an individual who is thought to be risk if required. It then allows the professionals to talk to an individual and decide the appropriate actions. If an adult is thought to be at risk a safeguarding investigation is undertaken under a section 126 (SSWBA, 2014). These enquiries should take place within 7 working days of the safeguarding referral (Wales Safeguarding procedures, 2019). If an adult is deemed to be at risk, then a strategy meeting should take place, to allow a multi-agency action planning. This meeting should take place within 7 working days of the section 126 enquiries (Wales Safeguarding procedures, 2019).</w:t>
            </w:r>
          </w:p>
          <w:p w14:paraId="0888483A" w14:textId="77777777" w:rsidR="002604CF" w:rsidRDefault="002604CF" w:rsidP="002604CF">
            <w:pPr>
              <w:rPr>
                <w:sz w:val="24"/>
                <w:szCs w:val="24"/>
              </w:rPr>
            </w:pPr>
          </w:p>
          <w:p w14:paraId="6F478E31" w14:textId="77777777" w:rsidR="002604CF" w:rsidRDefault="002604CF" w:rsidP="002604CF">
            <w:pPr>
              <w:rPr>
                <w:sz w:val="24"/>
                <w:szCs w:val="24"/>
              </w:rPr>
            </w:pPr>
            <w:r>
              <w:rPr>
                <w:sz w:val="24"/>
                <w:szCs w:val="24"/>
              </w:rPr>
              <w:t xml:space="preserve">An outcome of the section 126 can be a care and support protection plan, this should be reviewed regularly within 6 weeks, under a multi-agency group (Wales Safeguarding Procedures, 2019). The safeguarding process can be ended but this will need to be agreed </w:t>
            </w:r>
            <w:r>
              <w:rPr>
                <w:sz w:val="24"/>
                <w:szCs w:val="24"/>
              </w:rPr>
              <w:lastRenderedPageBreak/>
              <w:t>by the Local Authority. An adult protection conference should take place if an adult continues to be at risk and requires a long-term action plan to safeguard them, this is a multi-agency group (Wales Safeguarding Procedures, 2019).</w:t>
            </w:r>
          </w:p>
          <w:p w14:paraId="2726E5B0" w14:textId="77777777" w:rsidR="002604CF" w:rsidRDefault="002604CF" w:rsidP="002604CF">
            <w:pPr>
              <w:rPr>
                <w:sz w:val="24"/>
                <w:szCs w:val="24"/>
              </w:rPr>
            </w:pPr>
          </w:p>
          <w:p w14:paraId="1A465C65" w14:textId="194B752E" w:rsidR="002604CF" w:rsidRDefault="002604CF" w:rsidP="002604CF">
            <w:pPr>
              <w:rPr>
                <w:sz w:val="24"/>
                <w:szCs w:val="24"/>
              </w:rPr>
            </w:pPr>
            <w:r>
              <w:rPr>
                <w:sz w:val="24"/>
                <w:szCs w:val="24"/>
              </w:rPr>
              <w:t xml:space="preserve">It is important to involve the adult at risk where possible. Additionally, consent should be gained for an adult for a safeguarding referral, and personal wishes of an adult should be respected throughout (Social Care Wales, 2017). An important factor to consider when making safeguarding decisions is mental capacity under the </w:t>
            </w:r>
            <w:r w:rsidRPr="00E52788">
              <w:rPr>
                <w:i/>
                <w:iCs/>
                <w:sz w:val="24"/>
                <w:szCs w:val="24"/>
              </w:rPr>
              <w:t>Mental Capacity Act (MCA) 2005</w:t>
            </w:r>
            <w:r>
              <w:rPr>
                <w:sz w:val="24"/>
                <w:szCs w:val="24"/>
              </w:rPr>
              <w:t>. This is used throughout the UK. A mental capacity assessment can be undertaken to decide whether an individual has the capacity to decide on a specific situation at that time (MCA, 2005). If an individual lacks capacity a best interest meeting takes place under a multi-agency group (MCA, 2005). As under the code of professional practice, as a professional you have the duty to promote wellbeing and help an individual to stay safe (Social Care Wales, 2017).</w:t>
            </w:r>
          </w:p>
          <w:p w14:paraId="18533ECC" w14:textId="77777777" w:rsidR="002604CF" w:rsidRDefault="002604CF" w:rsidP="002604CF">
            <w:pPr>
              <w:rPr>
                <w:sz w:val="24"/>
                <w:szCs w:val="24"/>
              </w:rPr>
            </w:pPr>
          </w:p>
          <w:p w14:paraId="4C9CE31D" w14:textId="77777777" w:rsidR="002604CF" w:rsidRDefault="002604CF" w:rsidP="002604CF">
            <w:pPr>
              <w:rPr>
                <w:sz w:val="24"/>
                <w:szCs w:val="24"/>
              </w:rPr>
            </w:pPr>
            <w:r>
              <w:rPr>
                <w:sz w:val="24"/>
                <w:szCs w:val="24"/>
              </w:rPr>
              <w:t>(Word count: 550)</w:t>
            </w:r>
          </w:p>
          <w:p w14:paraId="39C1A28E" w14:textId="77777777" w:rsidR="002604CF" w:rsidRDefault="002604CF" w:rsidP="002604CF">
            <w:pPr>
              <w:rPr>
                <w:sz w:val="24"/>
                <w:szCs w:val="24"/>
              </w:rPr>
            </w:pP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6C64DF08" w:rsidR="00FC0334" w:rsidRDefault="002604CF" w:rsidP="002604CF">
            <w:pPr>
              <w:tabs>
                <w:tab w:val="left" w:pos="6501"/>
              </w:tabs>
              <w:jc w:val="both"/>
              <w:rPr>
                <w:sz w:val="24"/>
                <w:szCs w:val="24"/>
              </w:rPr>
            </w:pPr>
            <w:r>
              <w:rPr>
                <w:sz w:val="24"/>
                <w:szCs w:val="24"/>
              </w:rPr>
              <w:tab/>
            </w: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F75D05A" w14:textId="1DF25BCD" w:rsidR="002604CF" w:rsidRDefault="002604CF" w:rsidP="002604CF">
            <w:pPr>
              <w:rPr>
                <w:sz w:val="24"/>
                <w:szCs w:val="24"/>
              </w:rPr>
            </w:pPr>
            <w:r>
              <w:rPr>
                <w:sz w:val="24"/>
                <w:szCs w:val="24"/>
              </w:rPr>
              <w:t xml:space="preserve">Both adults and children’s safeguarding in Wales follow procedures under the </w:t>
            </w:r>
            <w:r w:rsidRPr="00E52788">
              <w:rPr>
                <w:i/>
                <w:iCs/>
                <w:sz w:val="24"/>
                <w:szCs w:val="24"/>
              </w:rPr>
              <w:t>Social Services and Wellbeing (Wales) Act 2014</w:t>
            </w:r>
            <w:r>
              <w:rPr>
                <w:sz w:val="24"/>
                <w:szCs w:val="24"/>
              </w:rPr>
              <w:t xml:space="preserve"> (SSWBA). Children’s safeguarding also has an additional legislation the </w:t>
            </w:r>
            <w:r w:rsidRPr="00E52788">
              <w:rPr>
                <w:i/>
                <w:iCs/>
                <w:sz w:val="24"/>
                <w:szCs w:val="24"/>
              </w:rPr>
              <w:t xml:space="preserve">Children’s Act </w:t>
            </w:r>
            <w:r w:rsidR="00E52788" w:rsidRPr="00E52788">
              <w:rPr>
                <w:i/>
                <w:iCs/>
                <w:sz w:val="24"/>
                <w:szCs w:val="24"/>
              </w:rPr>
              <w:t>2004</w:t>
            </w:r>
            <w:r>
              <w:rPr>
                <w:sz w:val="24"/>
                <w:szCs w:val="24"/>
              </w:rPr>
              <w:t xml:space="preserve"> which sets out guidelines for children’s safeguarding, in relation to a section 47 investigation for safeguarding for a child and a professional’s duty to investigate. Whilst for adults under the SSWBA 2014 a section 126 is undertaken to investigate safeguarding concerns for an adult.</w:t>
            </w:r>
          </w:p>
          <w:p w14:paraId="65C70E18" w14:textId="77777777" w:rsidR="002604CF" w:rsidRDefault="002604CF" w:rsidP="002604CF">
            <w:pPr>
              <w:rPr>
                <w:sz w:val="24"/>
                <w:szCs w:val="24"/>
              </w:rPr>
            </w:pPr>
          </w:p>
          <w:p w14:paraId="2074A33C" w14:textId="6024C16A" w:rsidR="002604CF" w:rsidRPr="00514EAD" w:rsidRDefault="002604CF" w:rsidP="002604CF">
            <w:pPr>
              <w:rPr>
                <w:sz w:val="24"/>
                <w:szCs w:val="24"/>
              </w:rPr>
            </w:pPr>
            <w:r>
              <w:rPr>
                <w:sz w:val="24"/>
                <w:szCs w:val="24"/>
              </w:rPr>
              <w:t>A difference between adult and child safeguarding is consent must be obtained from adults, when possible. For children consent does not need to be obtained, if a child is at risk of experiencing significant harm, then safeguarding protocols can take place (</w:t>
            </w:r>
            <w:r w:rsidRPr="00E52788">
              <w:rPr>
                <w:i/>
                <w:iCs/>
                <w:sz w:val="24"/>
                <w:szCs w:val="24"/>
              </w:rPr>
              <w:t xml:space="preserve">Children Act, </w:t>
            </w:r>
            <w:r w:rsidR="00E52788" w:rsidRPr="00E52788">
              <w:rPr>
                <w:i/>
                <w:iCs/>
                <w:sz w:val="24"/>
                <w:szCs w:val="24"/>
              </w:rPr>
              <w:t>2004</w:t>
            </w:r>
            <w:r>
              <w:rPr>
                <w:sz w:val="24"/>
                <w:szCs w:val="24"/>
              </w:rPr>
              <w:t xml:space="preserve">). However, children can consent to their own treatment if they are assessed to have the ability to fully understand the treatment, under Gillick Competence (NSPCC Learning, </w:t>
            </w:r>
            <w:r>
              <w:rPr>
                <w:sz w:val="24"/>
                <w:szCs w:val="24"/>
              </w:rPr>
              <w:lastRenderedPageBreak/>
              <w:t xml:space="preserve">2022). The voice of the child is essential in safeguarding and as a professional we should promote this. Additionally, if appropriate children also have the right to be involved in the safeguarding process and the decision making (Race </w:t>
            </w:r>
            <w:r w:rsidR="00E52788">
              <w:rPr>
                <w:sz w:val="24"/>
                <w:szCs w:val="24"/>
              </w:rPr>
              <w:t>and</w:t>
            </w:r>
            <w:r>
              <w:rPr>
                <w:sz w:val="24"/>
                <w:szCs w:val="24"/>
              </w:rPr>
              <w:t xml:space="preserve"> Frost, 2022). Advocacy services can also be used to promote this in children (Race </w:t>
            </w:r>
            <w:r w:rsidR="00E52788">
              <w:rPr>
                <w:sz w:val="24"/>
                <w:szCs w:val="24"/>
              </w:rPr>
              <w:t>and</w:t>
            </w:r>
            <w:r>
              <w:rPr>
                <w:sz w:val="24"/>
                <w:szCs w:val="24"/>
              </w:rPr>
              <w:t xml:space="preserve"> Frost, 2022). </w:t>
            </w:r>
          </w:p>
          <w:p w14:paraId="35A6F995" w14:textId="77777777" w:rsidR="002604CF" w:rsidRDefault="002604CF" w:rsidP="002604CF">
            <w:pPr>
              <w:rPr>
                <w:sz w:val="24"/>
                <w:szCs w:val="24"/>
              </w:rPr>
            </w:pPr>
          </w:p>
          <w:p w14:paraId="61C1993A" w14:textId="71529ED4" w:rsidR="002604CF" w:rsidRDefault="002604CF" w:rsidP="002604CF">
            <w:pPr>
              <w:rPr>
                <w:sz w:val="24"/>
                <w:szCs w:val="24"/>
              </w:rPr>
            </w:pPr>
            <w:r>
              <w:rPr>
                <w:sz w:val="24"/>
                <w:szCs w:val="24"/>
              </w:rPr>
              <w:t xml:space="preserve">If an adult does not have capacity to give consent, then the </w:t>
            </w:r>
            <w:r w:rsidRPr="00E52788">
              <w:rPr>
                <w:i/>
                <w:iCs/>
                <w:sz w:val="24"/>
                <w:szCs w:val="24"/>
              </w:rPr>
              <w:t>Mental Capacity Act (MCA) 200</w:t>
            </w:r>
            <w:r w:rsidR="00E52788">
              <w:rPr>
                <w:i/>
                <w:iCs/>
                <w:sz w:val="24"/>
                <w:szCs w:val="24"/>
              </w:rPr>
              <w:t>5</w:t>
            </w:r>
            <w:r>
              <w:rPr>
                <w:sz w:val="24"/>
                <w:szCs w:val="24"/>
              </w:rPr>
              <w:t xml:space="preserve"> applies to individuals over the age of 16 years old. The act reflects on an individual’s capacity, and individual is deemed to have capacity unless proven otherwise (MCA, 2005). An adult has the right to make their own decisions. A mental capacity assessment is undertaken on a specific situation at a specific time (MCA, 2005). During the assessment, a professional should make every effort to involve an individual in decision making and support them to make their own decision (MCA, 2005). The act involves best interest meetings, which must take place when an individual has been assessed to not have capacity to make a specific decision (MCA, 2005). Therefore, a decision is made in an individual’s best interest within a multi-disciplinary setting of all professionals involved with the adult involving the adults wishes and views as much as possible. Advocacy can also be used in adults safeguarding particularly when an adult lacks capacity (</w:t>
            </w:r>
            <w:proofErr w:type="spellStart"/>
            <w:r>
              <w:rPr>
                <w:sz w:val="24"/>
                <w:szCs w:val="24"/>
              </w:rPr>
              <w:t>Lonbay</w:t>
            </w:r>
            <w:proofErr w:type="spellEnd"/>
            <w:r>
              <w:rPr>
                <w:sz w:val="24"/>
                <w:szCs w:val="24"/>
              </w:rPr>
              <w:t xml:space="preserve"> </w:t>
            </w:r>
            <w:r w:rsidR="001F51F6">
              <w:rPr>
                <w:sz w:val="24"/>
                <w:szCs w:val="24"/>
              </w:rPr>
              <w:t>and Brandon</w:t>
            </w:r>
            <w:r>
              <w:rPr>
                <w:sz w:val="24"/>
                <w:szCs w:val="24"/>
              </w:rPr>
              <w:t>, 2017).</w:t>
            </w:r>
          </w:p>
          <w:p w14:paraId="5B202694" w14:textId="77777777" w:rsidR="002604CF" w:rsidRDefault="002604CF" w:rsidP="002604CF">
            <w:pPr>
              <w:rPr>
                <w:sz w:val="24"/>
                <w:szCs w:val="24"/>
              </w:rPr>
            </w:pPr>
          </w:p>
          <w:p w14:paraId="7B74D3CE" w14:textId="77777777" w:rsidR="002604CF" w:rsidRDefault="002604CF" w:rsidP="002604CF">
            <w:pPr>
              <w:rPr>
                <w:sz w:val="24"/>
                <w:szCs w:val="24"/>
              </w:rPr>
            </w:pPr>
            <w:r>
              <w:rPr>
                <w:sz w:val="24"/>
                <w:szCs w:val="24"/>
              </w:rPr>
              <w:t xml:space="preserve">If an adult has capacity to </w:t>
            </w:r>
            <w:proofErr w:type="gramStart"/>
            <w:r>
              <w:rPr>
                <w:sz w:val="24"/>
                <w:szCs w:val="24"/>
              </w:rPr>
              <w:t>make a decision</w:t>
            </w:r>
            <w:proofErr w:type="gramEnd"/>
            <w:r>
              <w:rPr>
                <w:sz w:val="24"/>
                <w:szCs w:val="24"/>
              </w:rPr>
              <w:t>, they may choose not to protect and safeguard themselves from circumstances and have the right to make their own decisions even if unwise. However, not gaining consent for a report can be overridden in areas such as if it is likely to put the adult at further risk (Wales Safeguarding Procedures, 2024).</w:t>
            </w:r>
          </w:p>
          <w:p w14:paraId="4BEE7015" w14:textId="77777777" w:rsidR="002604CF" w:rsidRDefault="002604CF" w:rsidP="002604CF">
            <w:pPr>
              <w:rPr>
                <w:sz w:val="24"/>
                <w:szCs w:val="24"/>
              </w:rPr>
            </w:pPr>
          </w:p>
          <w:p w14:paraId="154EC55A" w14:textId="77777777" w:rsidR="002604CF" w:rsidRPr="00514EAD" w:rsidRDefault="002604CF" w:rsidP="002604CF">
            <w:pPr>
              <w:rPr>
                <w:sz w:val="24"/>
                <w:szCs w:val="24"/>
              </w:rPr>
            </w:pPr>
            <w:r>
              <w:rPr>
                <w:sz w:val="24"/>
                <w:szCs w:val="24"/>
              </w:rPr>
              <w:t>(Word count: 435)</w:t>
            </w: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BECFD" w14:textId="77777777" w:rsidR="00213D18" w:rsidRDefault="00213D18">
      <w:r>
        <w:separator/>
      </w:r>
    </w:p>
  </w:endnote>
  <w:endnote w:type="continuationSeparator" w:id="0">
    <w:p w14:paraId="2BE4425F" w14:textId="77777777" w:rsidR="00213D18" w:rsidRDefault="00213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B1DE7" w14:textId="77777777" w:rsidR="00213D18" w:rsidRDefault="00213D18">
      <w:r>
        <w:separator/>
      </w:r>
    </w:p>
  </w:footnote>
  <w:footnote w:type="continuationSeparator" w:id="0">
    <w:p w14:paraId="4CA5A2BE" w14:textId="77777777" w:rsidR="00213D18" w:rsidRDefault="00213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1F51F6"/>
    <w:rsid w:val="002019EB"/>
    <w:rsid w:val="00204B58"/>
    <w:rsid w:val="00205051"/>
    <w:rsid w:val="00211F65"/>
    <w:rsid w:val="00213D18"/>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4CF"/>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7C36"/>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5417"/>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2788"/>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623A"/>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1114</Words>
  <Characters>6352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Jones</cp:lastModifiedBy>
  <cp:revision>7</cp:revision>
  <cp:lastPrinted>2020-02-11T19:20:00Z</cp:lastPrinted>
  <dcterms:created xsi:type="dcterms:W3CDTF">2024-10-07T17:33:00Z</dcterms:created>
  <dcterms:modified xsi:type="dcterms:W3CDTF">2024-10-07T22:21:00Z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