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2088B" w14:textId="77777777" w:rsidR="008E7342" w:rsidRDefault="008E7342" w:rsidP="001E1F11">
      <w:pPr>
        <w:rPr>
          <w:sz w:val="32"/>
          <w:szCs w:val="36"/>
          <w:lang w:val="en-US"/>
        </w:rPr>
      </w:pPr>
    </w:p>
    <w:p w14:paraId="728DAD81" w14:textId="027DCBD9" w:rsidR="001E1F11" w:rsidRPr="000011DB" w:rsidRDefault="001E1F11" w:rsidP="001E1F11">
      <w:pPr>
        <w:rPr>
          <w:sz w:val="32"/>
          <w:szCs w:val="36"/>
          <w:lang w:val="en-US"/>
        </w:rPr>
      </w:pPr>
      <w:r w:rsidRPr="00A406E5">
        <w:rPr>
          <w:rFonts w:ascii="Arial" w:hAnsi="Arial" w:cs="Arial"/>
          <w:noProof/>
        </w:rPr>
        <w:drawing>
          <wp:anchor distT="0" distB="0" distL="114300" distR="114300" simplePos="0" relativeHeight="251659264" behindDoc="0" locked="0" layoutInCell="1" allowOverlap="1" wp14:anchorId="7956AECA" wp14:editId="0D7C7B5D">
            <wp:simplePos x="0" y="0"/>
            <wp:positionH relativeFrom="column">
              <wp:posOffset>0</wp:posOffset>
            </wp:positionH>
            <wp:positionV relativeFrom="paragraph">
              <wp:posOffset>382270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margin">
              <wp14:pctWidth>0</wp14:pctWidth>
            </wp14:sizeRelH>
          </wp:anchor>
        </w:drawing>
      </w:r>
    </w:p>
    <w:p w14:paraId="40461351" w14:textId="77777777" w:rsidR="001E1F11" w:rsidRDefault="001E1F11" w:rsidP="001E1F11">
      <w:pPr>
        <w:rPr>
          <w:sz w:val="32"/>
          <w:szCs w:val="36"/>
          <w:lang w:val="en-US"/>
        </w:rPr>
      </w:pPr>
    </w:p>
    <w:p w14:paraId="5B5FE22A" w14:textId="77777777" w:rsidR="001E1F11" w:rsidRDefault="001E1F11" w:rsidP="001E1F11">
      <w:pPr>
        <w:rPr>
          <w:sz w:val="32"/>
          <w:szCs w:val="36"/>
          <w:lang w:val="en-US"/>
        </w:rPr>
      </w:pPr>
    </w:p>
    <w:p w14:paraId="08745A00" w14:textId="77777777" w:rsidR="001E1F11" w:rsidRDefault="001E1F11" w:rsidP="001E1F11">
      <w:pPr>
        <w:rPr>
          <w:sz w:val="32"/>
          <w:szCs w:val="36"/>
          <w:lang w:val="en-US"/>
        </w:rPr>
      </w:pPr>
    </w:p>
    <w:tbl>
      <w:tblPr>
        <w:tblStyle w:val="TableGrid"/>
        <w:tblW w:w="9922" w:type="dxa"/>
        <w:tblLayout w:type="fixed"/>
        <w:tblLook w:val="0000" w:firstRow="0" w:lastRow="0" w:firstColumn="0" w:lastColumn="0" w:noHBand="0" w:noVBand="0"/>
      </w:tblPr>
      <w:tblGrid>
        <w:gridCol w:w="2093"/>
        <w:gridCol w:w="3293"/>
        <w:gridCol w:w="2268"/>
        <w:gridCol w:w="2268"/>
      </w:tblGrid>
      <w:tr w:rsidR="00605F4E" w:rsidRPr="00756F4C" w14:paraId="52B69A10" w14:textId="77777777" w:rsidTr="00605F4E">
        <w:tc>
          <w:tcPr>
            <w:tcW w:w="2093" w:type="dxa"/>
          </w:tcPr>
          <w:p w14:paraId="72AD6553" w14:textId="47DB3024" w:rsidR="00605F4E" w:rsidRPr="00605F4E" w:rsidRDefault="00605F4E" w:rsidP="00605F4E">
            <w:pPr>
              <w:spacing w:before="120" w:after="120"/>
              <w:rPr>
                <w:rFonts w:cs="Times New Roman"/>
                <w:b/>
                <w:bCs/>
                <w:szCs w:val="24"/>
              </w:rPr>
            </w:pPr>
            <w:r w:rsidRPr="00605F4E">
              <w:rPr>
                <w:b/>
                <w:bCs/>
              </w:rPr>
              <w:t>Student name:</w:t>
            </w:r>
          </w:p>
        </w:tc>
        <w:tc>
          <w:tcPr>
            <w:tcW w:w="3293" w:type="dxa"/>
          </w:tcPr>
          <w:p w14:paraId="01150B41" w14:textId="284D8E9D" w:rsidR="00605F4E" w:rsidRPr="00605F4E" w:rsidRDefault="00285A4B" w:rsidP="00605F4E">
            <w:pPr>
              <w:spacing w:before="120" w:after="120"/>
              <w:rPr>
                <w:rFonts w:cs="Times New Roman"/>
                <w:b/>
                <w:bCs/>
                <w:szCs w:val="24"/>
              </w:rPr>
            </w:pPr>
            <w:r>
              <w:rPr>
                <w:b/>
                <w:bCs/>
              </w:rPr>
              <w:t xml:space="preserve">Md. </w:t>
            </w:r>
            <w:proofErr w:type="spellStart"/>
            <w:r w:rsidR="00605F4E" w:rsidRPr="00605F4E">
              <w:rPr>
                <w:b/>
                <w:bCs/>
              </w:rPr>
              <w:t>Rakibul</w:t>
            </w:r>
            <w:proofErr w:type="spellEnd"/>
            <w:r w:rsidR="00605F4E" w:rsidRPr="00605F4E">
              <w:rPr>
                <w:b/>
                <w:bCs/>
              </w:rPr>
              <w:t xml:space="preserve"> Hasan</w:t>
            </w:r>
          </w:p>
        </w:tc>
        <w:tc>
          <w:tcPr>
            <w:tcW w:w="2268" w:type="dxa"/>
          </w:tcPr>
          <w:p w14:paraId="1F5D77E2" w14:textId="1C052ABA" w:rsidR="00605F4E" w:rsidRPr="00605F4E" w:rsidRDefault="00605F4E" w:rsidP="00605F4E">
            <w:pPr>
              <w:spacing w:before="120" w:after="120"/>
              <w:rPr>
                <w:rFonts w:cs="Times New Roman"/>
                <w:b/>
                <w:bCs/>
                <w:szCs w:val="24"/>
              </w:rPr>
            </w:pPr>
            <w:r w:rsidRPr="00605F4E">
              <w:rPr>
                <w:b/>
                <w:bCs/>
              </w:rPr>
              <w:t>Student ID number:</w:t>
            </w:r>
          </w:p>
        </w:tc>
        <w:tc>
          <w:tcPr>
            <w:tcW w:w="2268" w:type="dxa"/>
          </w:tcPr>
          <w:p w14:paraId="5FCCE694" w14:textId="0D44E622" w:rsidR="00605F4E" w:rsidRPr="00605F4E" w:rsidRDefault="00605F4E" w:rsidP="00605F4E">
            <w:pPr>
              <w:spacing w:before="120" w:after="120"/>
              <w:rPr>
                <w:rFonts w:cs="Times New Roman"/>
                <w:b/>
                <w:bCs/>
                <w:szCs w:val="24"/>
              </w:rPr>
            </w:pPr>
            <w:r w:rsidRPr="00605F4E">
              <w:rPr>
                <w:b/>
                <w:bCs/>
              </w:rPr>
              <w:t>2438287</w:t>
            </w:r>
          </w:p>
        </w:tc>
      </w:tr>
      <w:tr w:rsidR="001E1F11" w:rsidRPr="00756F4C" w14:paraId="66C018A3" w14:textId="77777777" w:rsidTr="00605F4E">
        <w:tc>
          <w:tcPr>
            <w:tcW w:w="2093" w:type="dxa"/>
          </w:tcPr>
          <w:p w14:paraId="42413553" w14:textId="77777777" w:rsidR="001E1F11" w:rsidRPr="00756F4C" w:rsidRDefault="001E1F11" w:rsidP="00766FC8">
            <w:pPr>
              <w:spacing w:before="120" w:after="120"/>
              <w:rPr>
                <w:rFonts w:cs="Times New Roman"/>
                <w:b/>
                <w:szCs w:val="24"/>
              </w:rPr>
            </w:pPr>
            <w:r w:rsidRPr="00756F4C">
              <w:rPr>
                <w:rFonts w:cs="Times New Roman"/>
                <w:b/>
                <w:szCs w:val="24"/>
              </w:rPr>
              <w:t>Programme:</w:t>
            </w:r>
          </w:p>
        </w:tc>
        <w:tc>
          <w:tcPr>
            <w:tcW w:w="7829" w:type="dxa"/>
            <w:gridSpan w:val="3"/>
          </w:tcPr>
          <w:p w14:paraId="5AA77F00" w14:textId="77777777" w:rsidR="001E1F11" w:rsidRPr="00756F4C" w:rsidRDefault="001E1F11" w:rsidP="00766FC8">
            <w:pPr>
              <w:spacing w:before="120" w:after="120"/>
              <w:rPr>
                <w:rFonts w:cs="Times New Roman"/>
                <w:b/>
                <w:szCs w:val="24"/>
              </w:rPr>
            </w:pPr>
            <w:r w:rsidRPr="00756F4C">
              <w:rPr>
                <w:rFonts w:cs="Times New Roman"/>
                <w:szCs w:val="24"/>
              </w:rPr>
              <w:t>MBA</w:t>
            </w:r>
          </w:p>
        </w:tc>
      </w:tr>
      <w:tr w:rsidR="001E1F11" w:rsidRPr="00756F4C" w14:paraId="16425F07" w14:textId="77777777" w:rsidTr="00605F4E">
        <w:tc>
          <w:tcPr>
            <w:tcW w:w="2093" w:type="dxa"/>
          </w:tcPr>
          <w:p w14:paraId="727E05CB" w14:textId="77777777" w:rsidR="001E1F11" w:rsidRPr="00756F4C" w:rsidRDefault="001E1F11" w:rsidP="00766FC8">
            <w:pPr>
              <w:spacing w:before="120" w:after="120"/>
              <w:rPr>
                <w:rFonts w:cs="Times New Roman"/>
                <w:b/>
                <w:szCs w:val="24"/>
              </w:rPr>
            </w:pPr>
            <w:r w:rsidRPr="00756F4C">
              <w:rPr>
                <w:rFonts w:cs="Times New Roman"/>
                <w:b/>
                <w:szCs w:val="24"/>
              </w:rPr>
              <w:t>Module:</w:t>
            </w:r>
          </w:p>
        </w:tc>
        <w:tc>
          <w:tcPr>
            <w:tcW w:w="7829" w:type="dxa"/>
            <w:gridSpan w:val="3"/>
          </w:tcPr>
          <w:p w14:paraId="67B1421E" w14:textId="77777777" w:rsidR="001E1F11" w:rsidRPr="00756F4C" w:rsidRDefault="001E1F11" w:rsidP="00766FC8">
            <w:pPr>
              <w:spacing w:before="120" w:after="120"/>
              <w:rPr>
                <w:rFonts w:cs="Times New Roman"/>
                <w:b/>
                <w:szCs w:val="24"/>
              </w:rPr>
            </w:pPr>
            <w:r w:rsidRPr="00756F4C">
              <w:rPr>
                <w:rFonts w:cs="Times New Roman"/>
                <w:szCs w:val="24"/>
              </w:rPr>
              <w:t>Finance for Business Managers</w:t>
            </w:r>
          </w:p>
        </w:tc>
      </w:tr>
      <w:tr w:rsidR="001E1F11" w:rsidRPr="00756F4C" w14:paraId="487E36A2" w14:textId="77777777" w:rsidTr="00605F4E">
        <w:tc>
          <w:tcPr>
            <w:tcW w:w="2093" w:type="dxa"/>
          </w:tcPr>
          <w:p w14:paraId="0B445920" w14:textId="77777777" w:rsidR="001E1F11" w:rsidRPr="00756F4C" w:rsidRDefault="001E1F11" w:rsidP="00766FC8">
            <w:pPr>
              <w:spacing w:before="120" w:after="120"/>
              <w:rPr>
                <w:rFonts w:cs="Times New Roman"/>
                <w:b/>
                <w:szCs w:val="24"/>
              </w:rPr>
            </w:pPr>
            <w:r w:rsidRPr="00756F4C">
              <w:rPr>
                <w:rFonts w:cs="Times New Roman"/>
                <w:b/>
                <w:szCs w:val="24"/>
              </w:rPr>
              <w:t>Module code:</w:t>
            </w:r>
          </w:p>
        </w:tc>
        <w:tc>
          <w:tcPr>
            <w:tcW w:w="3293" w:type="dxa"/>
          </w:tcPr>
          <w:p w14:paraId="581BE256" w14:textId="77777777" w:rsidR="001E1F11" w:rsidRPr="00756F4C" w:rsidRDefault="001E1F11" w:rsidP="00766FC8">
            <w:pPr>
              <w:spacing w:before="120" w:after="120"/>
              <w:rPr>
                <w:rFonts w:cs="Times New Roman"/>
                <w:b/>
                <w:szCs w:val="24"/>
              </w:rPr>
            </w:pPr>
            <w:r w:rsidRPr="00756F4C">
              <w:rPr>
                <w:rFonts w:cs="Times New Roman"/>
                <w:bCs/>
                <w:szCs w:val="24"/>
              </w:rPr>
              <w:t>BMMB7005D</w:t>
            </w:r>
          </w:p>
        </w:tc>
        <w:tc>
          <w:tcPr>
            <w:tcW w:w="2268" w:type="dxa"/>
          </w:tcPr>
          <w:p w14:paraId="40C6E28C" w14:textId="77777777" w:rsidR="001E1F11" w:rsidRPr="00BA5255" w:rsidRDefault="001E1F11" w:rsidP="00BA5255">
            <w:pPr>
              <w:rPr>
                <w:b/>
                <w:bCs/>
              </w:rPr>
            </w:pPr>
            <w:r w:rsidRPr="00BA5255">
              <w:rPr>
                <w:b/>
                <w:bCs/>
              </w:rPr>
              <w:t>Contribution to Overall Module Assessment (%):</w:t>
            </w:r>
          </w:p>
        </w:tc>
        <w:tc>
          <w:tcPr>
            <w:tcW w:w="2268" w:type="dxa"/>
          </w:tcPr>
          <w:p w14:paraId="28EDDE84" w14:textId="77777777" w:rsidR="001E1F11" w:rsidRPr="00756F4C" w:rsidRDefault="001E1F11" w:rsidP="00766FC8">
            <w:pPr>
              <w:spacing w:before="120" w:after="120"/>
              <w:rPr>
                <w:rFonts w:cs="Times New Roman"/>
                <w:b/>
                <w:szCs w:val="24"/>
              </w:rPr>
            </w:pPr>
            <w:r w:rsidRPr="00756F4C">
              <w:rPr>
                <w:rFonts w:cs="Times New Roman"/>
                <w:szCs w:val="24"/>
              </w:rPr>
              <w:t>100%</w:t>
            </w:r>
          </w:p>
        </w:tc>
      </w:tr>
      <w:tr w:rsidR="001E1F11" w:rsidRPr="00756F4C" w14:paraId="4A7DA65D" w14:textId="77777777" w:rsidTr="00605F4E">
        <w:tc>
          <w:tcPr>
            <w:tcW w:w="2093" w:type="dxa"/>
          </w:tcPr>
          <w:p w14:paraId="2D02C609" w14:textId="77777777" w:rsidR="001E1F11" w:rsidRPr="00756F4C" w:rsidRDefault="001E1F11" w:rsidP="00766FC8">
            <w:pPr>
              <w:spacing w:before="120" w:after="120"/>
              <w:rPr>
                <w:rFonts w:cs="Times New Roman"/>
                <w:b/>
                <w:szCs w:val="24"/>
              </w:rPr>
            </w:pPr>
            <w:r w:rsidRPr="00756F4C">
              <w:rPr>
                <w:rFonts w:cs="Times New Roman"/>
                <w:b/>
                <w:szCs w:val="24"/>
              </w:rPr>
              <w:t>Lecturer:</w:t>
            </w:r>
          </w:p>
        </w:tc>
        <w:tc>
          <w:tcPr>
            <w:tcW w:w="3293" w:type="dxa"/>
          </w:tcPr>
          <w:p w14:paraId="5E74114C" w14:textId="77777777" w:rsidR="001E1F11" w:rsidRPr="00756F4C" w:rsidRDefault="001E1F11" w:rsidP="00766FC8">
            <w:pPr>
              <w:spacing w:before="120" w:after="120"/>
              <w:rPr>
                <w:rFonts w:cs="Times New Roman"/>
                <w:b/>
                <w:szCs w:val="24"/>
              </w:rPr>
            </w:pPr>
            <w:r w:rsidRPr="00756F4C">
              <w:rPr>
                <w:rFonts w:cs="Times New Roman"/>
                <w:szCs w:val="24"/>
              </w:rPr>
              <w:t xml:space="preserve">Marie </w:t>
            </w:r>
            <w:proofErr w:type="spellStart"/>
            <w:r w:rsidRPr="00756F4C">
              <w:rPr>
                <w:rFonts w:cs="Times New Roman"/>
                <w:szCs w:val="24"/>
              </w:rPr>
              <w:t>Pitson</w:t>
            </w:r>
            <w:proofErr w:type="spellEnd"/>
          </w:p>
        </w:tc>
        <w:tc>
          <w:tcPr>
            <w:tcW w:w="2268" w:type="dxa"/>
          </w:tcPr>
          <w:p w14:paraId="25C87C22" w14:textId="77777777" w:rsidR="001E1F11" w:rsidRPr="00756F4C" w:rsidRDefault="001E1F11" w:rsidP="00766FC8">
            <w:pPr>
              <w:spacing w:before="120" w:after="120"/>
              <w:rPr>
                <w:rFonts w:cs="Times New Roman"/>
                <w:b/>
                <w:szCs w:val="24"/>
              </w:rPr>
            </w:pPr>
            <w:r w:rsidRPr="00756F4C">
              <w:rPr>
                <w:rFonts w:cs="Times New Roman"/>
                <w:b/>
                <w:szCs w:val="24"/>
              </w:rPr>
              <w:t>Internal Verifier:</w:t>
            </w:r>
          </w:p>
        </w:tc>
        <w:tc>
          <w:tcPr>
            <w:tcW w:w="2268" w:type="dxa"/>
          </w:tcPr>
          <w:p w14:paraId="174EF0EE" w14:textId="77777777" w:rsidR="001E1F11" w:rsidRPr="00756F4C" w:rsidRDefault="001E1F11" w:rsidP="00766FC8">
            <w:pPr>
              <w:spacing w:before="120" w:after="120"/>
              <w:rPr>
                <w:rFonts w:cs="Times New Roman"/>
                <w:b/>
                <w:szCs w:val="24"/>
              </w:rPr>
            </w:pPr>
            <w:proofErr w:type="spellStart"/>
            <w:r w:rsidRPr="00756F4C">
              <w:rPr>
                <w:rFonts w:cs="Times New Roman"/>
                <w:szCs w:val="24"/>
              </w:rPr>
              <w:t>Badir</w:t>
            </w:r>
            <w:proofErr w:type="spellEnd"/>
            <w:r w:rsidRPr="00756F4C">
              <w:rPr>
                <w:rFonts w:cs="Times New Roman"/>
                <w:szCs w:val="24"/>
              </w:rPr>
              <w:t xml:space="preserve"> Miftah</w:t>
            </w:r>
          </w:p>
        </w:tc>
      </w:tr>
      <w:tr w:rsidR="001E1F11" w:rsidRPr="00756F4C" w14:paraId="232DCFB2" w14:textId="77777777" w:rsidTr="00605F4E">
        <w:tc>
          <w:tcPr>
            <w:tcW w:w="2093" w:type="dxa"/>
          </w:tcPr>
          <w:p w14:paraId="516417B3" w14:textId="77777777" w:rsidR="001E1F11" w:rsidRPr="00756F4C" w:rsidRDefault="001E1F11" w:rsidP="00766FC8">
            <w:pPr>
              <w:spacing w:before="120" w:after="120"/>
              <w:rPr>
                <w:rFonts w:cs="Times New Roman"/>
                <w:b/>
                <w:szCs w:val="24"/>
              </w:rPr>
            </w:pPr>
            <w:r w:rsidRPr="00756F4C">
              <w:rPr>
                <w:rFonts w:cs="Times New Roman"/>
                <w:b/>
                <w:szCs w:val="24"/>
              </w:rPr>
              <w:t>Assignment Title:</w:t>
            </w:r>
          </w:p>
        </w:tc>
        <w:tc>
          <w:tcPr>
            <w:tcW w:w="3293" w:type="dxa"/>
          </w:tcPr>
          <w:p w14:paraId="07EE06AC" w14:textId="4439751C" w:rsidR="001E1F11" w:rsidRPr="00756F4C" w:rsidRDefault="001E1F11" w:rsidP="00766FC8">
            <w:pPr>
              <w:spacing w:before="120" w:after="120"/>
              <w:rPr>
                <w:rFonts w:cs="Times New Roman"/>
                <w:szCs w:val="24"/>
              </w:rPr>
            </w:pPr>
            <w:r>
              <w:rPr>
                <w:rFonts w:cs="Times New Roman"/>
                <w:szCs w:val="24"/>
              </w:rPr>
              <w:t>Finance Report for</w:t>
            </w:r>
            <w:r w:rsidR="00BA5255">
              <w:rPr>
                <w:lang w:val="en-US"/>
              </w:rPr>
              <w:t xml:space="preserve"> BP</w:t>
            </w:r>
            <w:r>
              <w:rPr>
                <w:rFonts w:cs="Times New Roman"/>
                <w:szCs w:val="24"/>
              </w:rPr>
              <w:t xml:space="preserve"> </w:t>
            </w:r>
            <w:r w:rsidR="00363C9A">
              <w:rPr>
                <w:rFonts w:cs="Times New Roman"/>
                <w:szCs w:val="24"/>
              </w:rPr>
              <w:t>p.l.c.</w:t>
            </w:r>
            <w:r>
              <w:rPr>
                <w:rFonts w:cs="Times New Roman"/>
                <w:szCs w:val="24"/>
              </w:rPr>
              <w:t xml:space="preserve"> &amp; </w:t>
            </w:r>
            <w:r w:rsidRPr="00756F4C">
              <w:rPr>
                <w:rFonts w:cs="Times New Roman"/>
                <w:szCs w:val="24"/>
              </w:rPr>
              <w:t xml:space="preserve">Westward </w:t>
            </w:r>
            <w:r w:rsidR="00363C9A">
              <w:rPr>
                <w:rFonts w:cs="Times New Roman"/>
                <w:szCs w:val="24"/>
              </w:rPr>
              <w:t>p.l.c.</w:t>
            </w:r>
          </w:p>
        </w:tc>
        <w:tc>
          <w:tcPr>
            <w:tcW w:w="2268" w:type="dxa"/>
          </w:tcPr>
          <w:p w14:paraId="5182A364" w14:textId="77777777" w:rsidR="001E1F11" w:rsidRPr="00756F4C" w:rsidRDefault="001E1F11" w:rsidP="00766FC8">
            <w:pPr>
              <w:spacing w:before="120" w:after="120"/>
              <w:rPr>
                <w:rFonts w:cs="Times New Roman"/>
                <w:b/>
                <w:szCs w:val="24"/>
              </w:rPr>
            </w:pPr>
            <w:r w:rsidRPr="00756F4C">
              <w:rPr>
                <w:rFonts w:cs="Times New Roman"/>
                <w:b/>
                <w:szCs w:val="24"/>
              </w:rPr>
              <w:t>Word count (or equivalent):</w:t>
            </w:r>
          </w:p>
        </w:tc>
        <w:tc>
          <w:tcPr>
            <w:tcW w:w="2268" w:type="dxa"/>
          </w:tcPr>
          <w:p w14:paraId="1BC301EE" w14:textId="77777777" w:rsidR="001E1F11" w:rsidRPr="00756F4C" w:rsidRDefault="001E1F11" w:rsidP="00766FC8">
            <w:pPr>
              <w:spacing w:before="120" w:after="120"/>
              <w:rPr>
                <w:rFonts w:cs="Times New Roman"/>
                <w:b/>
                <w:szCs w:val="24"/>
              </w:rPr>
            </w:pPr>
            <w:r w:rsidRPr="00756F4C">
              <w:rPr>
                <w:rFonts w:cs="Times New Roman"/>
                <w:szCs w:val="24"/>
              </w:rPr>
              <w:t>5000 words</w:t>
            </w:r>
          </w:p>
        </w:tc>
      </w:tr>
      <w:tr w:rsidR="001E1F11" w:rsidRPr="00756F4C" w14:paraId="59C0AA46" w14:textId="77777777" w:rsidTr="00605F4E">
        <w:tc>
          <w:tcPr>
            <w:tcW w:w="2093" w:type="dxa"/>
          </w:tcPr>
          <w:p w14:paraId="2F85970A" w14:textId="77777777" w:rsidR="001E1F11" w:rsidRPr="00756F4C" w:rsidRDefault="001E1F11" w:rsidP="00766FC8">
            <w:pPr>
              <w:spacing w:before="120" w:after="120"/>
              <w:rPr>
                <w:rFonts w:cs="Times New Roman"/>
                <w:b/>
                <w:szCs w:val="24"/>
              </w:rPr>
            </w:pPr>
            <w:r w:rsidRPr="00756F4C">
              <w:rPr>
                <w:rFonts w:cs="Times New Roman"/>
                <w:b/>
                <w:szCs w:val="24"/>
              </w:rPr>
              <w:t>Submission deadline:</w:t>
            </w:r>
          </w:p>
        </w:tc>
        <w:tc>
          <w:tcPr>
            <w:tcW w:w="3293" w:type="dxa"/>
          </w:tcPr>
          <w:p w14:paraId="33001707" w14:textId="776173DD" w:rsidR="001E1F11" w:rsidRPr="00756F4C" w:rsidRDefault="00285A4B" w:rsidP="00766FC8">
            <w:pPr>
              <w:spacing w:before="120" w:after="120"/>
              <w:rPr>
                <w:rFonts w:cs="Times New Roman"/>
                <w:szCs w:val="24"/>
              </w:rPr>
            </w:pPr>
            <w:r>
              <w:rPr>
                <w:rFonts w:cs="Times New Roman"/>
                <w:szCs w:val="24"/>
              </w:rPr>
              <w:t>20 March, 2026</w:t>
            </w:r>
          </w:p>
        </w:tc>
        <w:tc>
          <w:tcPr>
            <w:tcW w:w="2268" w:type="dxa"/>
          </w:tcPr>
          <w:p w14:paraId="25802A75" w14:textId="77777777" w:rsidR="001E1F11" w:rsidRPr="00756F4C" w:rsidRDefault="001E1F11" w:rsidP="00766FC8">
            <w:pPr>
              <w:spacing w:before="120" w:after="120"/>
              <w:rPr>
                <w:rFonts w:cs="Times New Roman"/>
                <w:b/>
                <w:szCs w:val="24"/>
              </w:rPr>
            </w:pPr>
          </w:p>
        </w:tc>
        <w:tc>
          <w:tcPr>
            <w:tcW w:w="2268" w:type="dxa"/>
          </w:tcPr>
          <w:p w14:paraId="40E985D9" w14:textId="77777777" w:rsidR="001E1F11" w:rsidRPr="00756F4C" w:rsidRDefault="001E1F11" w:rsidP="00766FC8">
            <w:pPr>
              <w:spacing w:before="120" w:after="120"/>
              <w:rPr>
                <w:rFonts w:cs="Times New Roman"/>
                <w:szCs w:val="24"/>
              </w:rPr>
            </w:pPr>
          </w:p>
        </w:tc>
      </w:tr>
    </w:tbl>
    <w:p w14:paraId="4F513478" w14:textId="60148BE8" w:rsidR="00470875" w:rsidRDefault="00470875" w:rsidP="001E1F11">
      <w:pPr>
        <w:rPr>
          <w:sz w:val="32"/>
          <w:szCs w:val="36"/>
          <w:lang w:val="en-US"/>
        </w:rPr>
      </w:pPr>
    </w:p>
    <w:p w14:paraId="0F483267" w14:textId="77777777" w:rsidR="00470875" w:rsidRDefault="00470875">
      <w:pPr>
        <w:jc w:val="left"/>
        <w:rPr>
          <w:sz w:val="32"/>
          <w:szCs w:val="36"/>
          <w:lang w:val="en-US"/>
        </w:rPr>
      </w:pPr>
      <w:r>
        <w:rPr>
          <w:sz w:val="32"/>
          <w:szCs w:val="36"/>
          <w:lang w:val="en-US"/>
        </w:rPr>
        <w:br w:type="page"/>
      </w:r>
    </w:p>
    <w:p w14:paraId="5FC25B34" w14:textId="77777777" w:rsidR="00470875" w:rsidRDefault="00470875" w:rsidP="00285A4B">
      <w:pPr>
        <w:pStyle w:val="Heading1"/>
        <w:rPr>
          <w:lang w:val="en-US"/>
        </w:rPr>
      </w:pPr>
      <w:bookmarkStart w:id="0" w:name="_Toc224919045"/>
      <w:r>
        <w:rPr>
          <w:lang w:val="en-US"/>
        </w:rPr>
        <w:lastRenderedPageBreak/>
        <w:t>Executive Summary</w:t>
      </w:r>
      <w:bookmarkEnd w:id="0"/>
    </w:p>
    <w:p w14:paraId="3E31C62A" w14:textId="0A41F6ED" w:rsidR="00470875" w:rsidRPr="00186D93" w:rsidRDefault="00186D93" w:rsidP="00470875">
      <w:r w:rsidRPr="00186D93">
        <w:t xml:space="preserve">Whether the business is manufacturing, energy, or something else entirely, this paper assesses how financial ratio analysis and investment appraisal methods like NPV, IRR, etc. assist in making crucial managerial decisions. In order to identify trends related to the company's overall performance, liquidity, leverage, and other areas of concern, Part 1 of the report uses the company's 2023–2024 financial statements to demonstrate the application of profitability, liquidity, efficiency, gearing, and investor ratios pertinent to BP p.l.c. Despite the persistence of sector-wide issues, the company's financial performance has declined in comparison to its historical performance alongside its rivals, according to the performance study. Overall, the company's managers have received several </w:t>
      </w:r>
      <w:r w:rsidR="00FC6F14" w:rsidRPr="00186D93">
        <w:t>advices</w:t>
      </w:r>
      <w:r w:rsidRPr="00186D93">
        <w:t xml:space="preserve"> in order to</w:t>
      </w:r>
      <w:r w:rsidR="006A73BC">
        <w:rPr>
          <w:lang w:val="en-US"/>
        </w:rPr>
        <w:t>enable them to overcome the current problems.</w:t>
      </w:r>
    </w:p>
    <w:p w14:paraId="3469F624" w14:textId="18E1F7D0" w:rsidR="001E1F11" w:rsidRPr="00FC6F14" w:rsidRDefault="00FC6F14" w:rsidP="00470875">
      <w:r w:rsidRPr="00FC6F14">
        <w:t>Under the specified circumstances of returns surpassing 6% of cost of capital, Part 2 of the report will assess the three mutually exclusive investment projects for the company in question using three widely used investment appraisal techniques: NPV, IRR, and payback period. Additionally, this paper has explained the underlying presumptions and constraints of the investment appraisal methods that have been used. Once more, justifications for why non-discounted methods are still so widely used in practice despite the existence of discounted methods have been offered.</w:t>
      </w:r>
      <w:r w:rsidR="00470875">
        <w:rPr>
          <w:lang w:val="en-US"/>
        </w:rPr>
        <w:t xml:space="preserve"> </w:t>
      </w:r>
      <w:r w:rsidRPr="00FC6F14">
        <w:t xml:space="preserve">After </w:t>
      </w:r>
      <w:proofErr w:type="spellStart"/>
      <w:r w:rsidRPr="00FC6F14">
        <w:t>analyzing</w:t>
      </w:r>
      <w:proofErr w:type="spellEnd"/>
      <w:r w:rsidRPr="00FC6F14">
        <w:t xml:space="preserve"> the company's most recent financial accounts, the report's author claims that BP's financial performance is under pressure in terms of profitability and returns. Additionally, even though option B does not have the shortest payback period, it has proven to be the most profitable option for Westward P.L.C. This demonstrates the existence of a trade-off between a project's recovery period and value production.</w:t>
      </w:r>
    </w:p>
    <w:p w14:paraId="5C343C9A" w14:textId="5B05BEE1" w:rsidR="001E1F11" w:rsidRDefault="001E1F11" w:rsidP="00646C3C">
      <w:pPr>
        <w:rPr>
          <w:sz w:val="32"/>
          <w:szCs w:val="36"/>
          <w:lang w:val="en-US"/>
        </w:rPr>
      </w:pPr>
    </w:p>
    <w:p w14:paraId="06789CE7" w14:textId="77777777" w:rsidR="001E1F11" w:rsidRDefault="001E1F11" w:rsidP="00646C3C">
      <w:pPr>
        <w:rPr>
          <w:sz w:val="32"/>
          <w:szCs w:val="36"/>
          <w:lang w:val="en-US"/>
        </w:rPr>
      </w:pPr>
    </w:p>
    <w:p w14:paraId="0C6AD53A" w14:textId="77777777" w:rsidR="00FE4C0C" w:rsidRDefault="00FE4C0C" w:rsidP="00646C3C">
      <w:pPr>
        <w:rPr>
          <w:sz w:val="32"/>
          <w:szCs w:val="36"/>
          <w:lang w:val="en-US"/>
        </w:rPr>
      </w:pPr>
      <w:r>
        <w:rPr>
          <w:sz w:val="32"/>
          <w:szCs w:val="36"/>
          <w:lang w:val="en-US"/>
        </w:rPr>
        <w:br w:type="page"/>
      </w:r>
    </w:p>
    <w:bookmarkStart w:id="1" w:name="_Toc224919046" w:displacedByCustomXml="next"/>
    <w:bookmarkStart w:id="2" w:name="_Toc223993326" w:displacedByCustomXml="next"/>
    <w:bookmarkStart w:id="3" w:name="_Toc219049729" w:displacedByCustomXml="next"/>
    <w:sdt>
      <w:sdtPr>
        <w:rPr>
          <w:rFonts w:eastAsiaTheme="minorHAnsi" w:cstheme="minorBidi"/>
          <w:b w:val="0"/>
          <w:color w:val="auto"/>
          <w:sz w:val="24"/>
          <w:szCs w:val="30"/>
        </w:rPr>
        <w:id w:val="745069294"/>
        <w:docPartObj>
          <w:docPartGallery w:val="Table of Contents"/>
          <w:docPartUnique/>
        </w:docPartObj>
      </w:sdtPr>
      <w:sdtEndPr>
        <w:rPr>
          <w:bCs/>
        </w:rPr>
      </w:sdtEndPr>
      <w:sdtContent>
        <w:p w14:paraId="3F92FBD2" w14:textId="77777777" w:rsidR="004D3EC3" w:rsidRDefault="00FE4C0C" w:rsidP="00285A4B">
          <w:pPr>
            <w:pStyle w:val="Heading1"/>
            <w:numPr>
              <w:ilvl w:val="0"/>
              <w:numId w:val="0"/>
            </w:numPr>
            <w:rPr>
              <w:noProof/>
            </w:rPr>
          </w:pPr>
          <w:r>
            <w:t>Table of Contents</w:t>
          </w:r>
          <w:bookmarkEnd w:id="3"/>
          <w:bookmarkEnd w:id="2"/>
          <w:bookmarkEnd w:id="1"/>
          <w:r>
            <w:fldChar w:fldCharType="begin"/>
          </w:r>
          <w:r>
            <w:instrText xml:space="preserve"> TOC \o "1-3" \h \z \u </w:instrText>
          </w:r>
          <w:r>
            <w:fldChar w:fldCharType="separate"/>
          </w:r>
        </w:p>
        <w:p w14:paraId="04D38182" w14:textId="0ACFC5DD" w:rsidR="004D3EC3" w:rsidRDefault="004D3EC3">
          <w:pPr>
            <w:pStyle w:val="TOC1"/>
            <w:tabs>
              <w:tab w:val="left" w:pos="480"/>
              <w:tab w:val="right" w:leader="dot" w:pos="9016"/>
            </w:tabs>
            <w:rPr>
              <w:rFonts w:asciiTheme="minorHAnsi" w:eastAsiaTheme="minorEastAsia" w:hAnsiTheme="minorHAnsi"/>
              <w:noProof/>
              <w:kern w:val="0"/>
              <w:sz w:val="22"/>
              <w:szCs w:val="22"/>
              <w:lang w:eastAsia="en-GB" w:bidi="ar-SA"/>
              <w14:ligatures w14:val="none"/>
            </w:rPr>
          </w:pPr>
          <w:hyperlink w:anchor="_Toc224919045" w:history="1">
            <w:r w:rsidRPr="009E57EC">
              <w:rPr>
                <w:rStyle w:val="Hyperlink"/>
                <w:noProof/>
                <w:lang w:val="en-US"/>
              </w:rPr>
              <w:t>1.</w:t>
            </w:r>
            <w:r>
              <w:rPr>
                <w:rFonts w:asciiTheme="minorHAnsi" w:eastAsiaTheme="minorEastAsia" w:hAnsiTheme="minorHAnsi"/>
                <w:noProof/>
                <w:kern w:val="0"/>
                <w:sz w:val="22"/>
                <w:szCs w:val="22"/>
                <w:lang w:eastAsia="en-GB" w:bidi="ar-SA"/>
                <w14:ligatures w14:val="none"/>
              </w:rPr>
              <w:tab/>
            </w:r>
            <w:r w:rsidRPr="009E57EC">
              <w:rPr>
                <w:rStyle w:val="Hyperlink"/>
                <w:noProof/>
                <w:lang w:val="en-US"/>
              </w:rPr>
              <w:t>Executive Summary</w:t>
            </w:r>
            <w:r>
              <w:rPr>
                <w:noProof/>
                <w:webHidden/>
              </w:rPr>
              <w:tab/>
            </w:r>
            <w:r>
              <w:rPr>
                <w:noProof/>
                <w:webHidden/>
              </w:rPr>
              <w:fldChar w:fldCharType="begin"/>
            </w:r>
            <w:r>
              <w:rPr>
                <w:noProof/>
                <w:webHidden/>
              </w:rPr>
              <w:instrText xml:space="preserve"> PAGEREF _Toc224919045 \h </w:instrText>
            </w:r>
            <w:r>
              <w:rPr>
                <w:noProof/>
                <w:webHidden/>
              </w:rPr>
            </w:r>
            <w:r>
              <w:rPr>
                <w:noProof/>
                <w:webHidden/>
              </w:rPr>
              <w:fldChar w:fldCharType="separate"/>
            </w:r>
            <w:r>
              <w:rPr>
                <w:noProof/>
                <w:webHidden/>
              </w:rPr>
              <w:t>2</w:t>
            </w:r>
            <w:r>
              <w:rPr>
                <w:noProof/>
                <w:webHidden/>
              </w:rPr>
              <w:fldChar w:fldCharType="end"/>
            </w:r>
          </w:hyperlink>
        </w:p>
        <w:p w14:paraId="411C0004" w14:textId="7D7264A6" w:rsidR="004D3EC3" w:rsidRDefault="004D3EC3">
          <w:pPr>
            <w:pStyle w:val="TOC1"/>
            <w:tabs>
              <w:tab w:val="right" w:leader="dot" w:pos="9016"/>
            </w:tabs>
            <w:rPr>
              <w:rFonts w:asciiTheme="minorHAnsi" w:eastAsiaTheme="minorEastAsia" w:hAnsiTheme="minorHAnsi"/>
              <w:noProof/>
              <w:kern w:val="0"/>
              <w:sz w:val="22"/>
              <w:szCs w:val="22"/>
              <w:lang w:eastAsia="en-GB" w:bidi="ar-SA"/>
              <w14:ligatures w14:val="none"/>
            </w:rPr>
          </w:pPr>
          <w:hyperlink w:anchor="_Toc224919046" w:history="1">
            <w:r w:rsidRPr="009E57EC">
              <w:rPr>
                <w:rStyle w:val="Hyperlink"/>
                <w:noProof/>
              </w:rPr>
              <w:t>Table of Contents</w:t>
            </w:r>
            <w:r>
              <w:rPr>
                <w:noProof/>
                <w:webHidden/>
              </w:rPr>
              <w:tab/>
            </w:r>
            <w:r>
              <w:rPr>
                <w:noProof/>
                <w:webHidden/>
              </w:rPr>
              <w:fldChar w:fldCharType="begin"/>
            </w:r>
            <w:r>
              <w:rPr>
                <w:noProof/>
                <w:webHidden/>
              </w:rPr>
              <w:instrText xml:space="preserve"> PAGEREF _Toc224919046 \h </w:instrText>
            </w:r>
            <w:r>
              <w:rPr>
                <w:noProof/>
                <w:webHidden/>
              </w:rPr>
            </w:r>
            <w:r>
              <w:rPr>
                <w:noProof/>
                <w:webHidden/>
              </w:rPr>
              <w:fldChar w:fldCharType="separate"/>
            </w:r>
            <w:r>
              <w:rPr>
                <w:noProof/>
                <w:webHidden/>
              </w:rPr>
              <w:t>3</w:t>
            </w:r>
            <w:r>
              <w:rPr>
                <w:noProof/>
                <w:webHidden/>
              </w:rPr>
              <w:fldChar w:fldCharType="end"/>
            </w:r>
          </w:hyperlink>
        </w:p>
        <w:p w14:paraId="6A395E3C" w14:textId="38165438" w:rsidR="004D3EC3" w:rsidRDefault="004D3EC3">
          <w:pPr>
            <w:pStyle w:val="TOC1"/>
            <w:tabs>
              <w:tab w:val="left" w:pos="480"/>
              <w:tab w:val="right" w:leader="dot" w:pos="9016"/>
            </w:tabs>
            <w:rPr>
              <w:rFonts w:asciiTheme="minorHAnsi" w:eastAsiaTheme="minorEastAsia" w:hAnsiTheme="minorHAnsi"/>
              <w:noProof/>
              <w:kern w:val="0"/>
              <w:sz w:val="22"/>
              <w:szCs w:val="22"/>
              <w:lang w:eastAsia="en-GB" w:bidi="ar-SA"/>
              <w14:ligatures w14:val="none"/>
            </w:rPr>
          </w:pPr>
          <w:hyperlink w:anchor="_Toc224919047" w:history="1">
            <w:r w:rsidRPr="009E57EC">
              <w:rPr>
                <w:rStyle w:val="Hyperlink"/>
                <w:noProof/>
                <w:lang w:val="en-US"/>
              </w:rPr>
              <w:t>2.</w:t>
            </w:r>
            <w:r>
              <w:rPr>
                <w:rFonts w:asciiTheme="minorHAnsi" w:eastAsiaTheme="minorEastAsia" w:hAnsiTheme="minorHAnsi"/>
                <w:noProof/>
                <w:kern w:val="0"/>
                <w:sz w:val="22"/>
                <w:szCs w:val="22"/>
                <w:lang w:eastAsia="en-GB" w:bidi="ar-SA"/>
                <w14:ligatures w14:val="none"/>
              </w:rPr>
              <w:tab/>
            </w:r>
            <w:r w:rsidRPr="009E57EC">
              <w:rPr>
                <w:rStyle w:val="Hyperlink"/>
                <w:noProof/>
                <w:lang w:val="en-US"/>
              </w:rPr>
              <w:t>Introduction</w:t>
            </w:r>
            <w:r>
              <w:rPr>
                <w:noProof/>
                <w:webHidden/>
              </w:rPr>
              <w:tab/>
            </w:r>
            <w:r>
              <w:rPr>
                <w:noProof/>
                <w:webHidden/>
              </w:rPr>
              <w:fldChar w:fldCharType="begin"/>
            </w:r>
            <w:r>
              <w:rPr>
                <w:noProof/>
                <w:webHidden/>
              </w:rPr>
              <w:instrText xml:space="preserve"> PAGEREF _Toc224919047 \h </w:instrText>
            </w:r>
            <w:r>
              <w:rPr>
                <w:noProof/>
                <w:webHidden/>
              </w:rPr>
            </w:r>
            <w:r>
              <w:rPr>
                <w:noProof/>
                <w:webHidden/>
              </w:rPr>
              <w:fldChar w:fldCharType="separate"/>
            </w:r>
            <w:r>
              <w:rPr>
                <w:noProof/>
                <w:webHidden/>
              </w:rPr>
              <w:t>4</w:t>
            </w:r>
            <w:r>
              <w:rPr>
                <w:noProof/>
                <w:webHidden/>
              </w:rPr>
              <w:fldChar w:fldCharType="end"/>
            </w:r>
          </w:hyperlink>
        </w:p>
        <w:p w14:paraId="35E11A42" w14:textId="25804186" w:rsidR="004D3EC3" w:rsidRDefault="004D3EC3">
          <w:pPr>
            <w:pStyle w:val="TOC1"/>
            <w:tabs>
              <w:tab w:val="left" w:pos="480"/>
              <w:tab w:val="right" w:leader="dot" w:pos="9016"/>
            </w:tabs>
            <w:rPr>
              <w:rFonts w:asciiTheme="minorHAnsi" w:eastAsiaTheme="minorEastAsia" w:hAnsiTheme="minorHAnsi"/>
              <w:noProof/>
              <w:kern w:val="0"/>
              <w:sz w:val="22"/>
              <w:szCs w:val="22"/>
              <w:lang w:eastAsia="en-GB" w:bidi="ar-SA"/>
              <w14:ligatures w14:val="none"/>
            </w:rPr>
          </w:pPr>
          <w:hyperlink w:anchor="_Toc224919048" w:history="1">
            <w:r w:rsidRPr="009E57EC">
              <w:rPr>
                <w:rStyle w:val="Hyperlink"/>
                <w:noProof/>
                <w:lang w:val="en-US"/>
              </w:rPr>
              <w:t>3.</w:t>
            </w:r>
            <w:r>
              <w:rPr>
                <w:rFonts w:asciiTheme="minorHAnsi" w:eastAsiaTheme="minorEastAsia" w:hAnsiTheme="minorHAnsi"/>
                <w:noProof/>
                <w:kern w:val="0"/>
                <w:sz w:val="22"/>
                <w:szCs w:val="22"/>
                <w:lang w:eastAsia="en-GB" w:bidi="ar-SA"/>
                <w14:ligatures w14:val="none"/>
              </w:rPr>
              <w:tab/>
            </w:r>
            <w:r w:rsidRPr="009E57EC">
              <w:rPr>
                <w:rStyle w:val="Hyperlink"/>
                <w:noProof/>
                <w:lang w:val="en-US"/>
              </w:rPr>
              <w:t>Main Findings</w:t>
            </w:r>
            <w:r>
              <w:rPr>
                <w:noProof/>
                <w:webHidden/>
              </w:rPr>
              <w:tab/>
            </w:r>
            <w:r>
              <w:rPr>
                <w:noProof/>
                <w:webHidden/>
              </w:rPr>
              <w:fldChar w:fldCharType="begin"/>
            </w:r>
            <w:r>
              <w:rPr>
                <w:noProof/>
                <w:webHidden/>
              </w:rPr>
              <w:instrText xml:space="preserve"> PAGEREF _Toc224919048 \h </w:instrText>
            </w:r>
            <w:r>
              <w:rPr>
                <w:noProof/>
                <w:webHidden/>
              </w:rPr>
            </w:r>
            <w:r>
              <w:rPr>
                <w:noProof/>
                <w:webHidden/>
              </w:rPr>
              <w:fldChar w:fldCharType="separate"/>
            </w:r>
            <w:r>
              <w:rPr>
                <w:noProof/>
                <w:webHidden/>
              </w:rPr>
              <w:t>5</w:t>
            </w:r>
            <w:r>
              <w:rPr>
                <w:noProof/>
                <w:webHidden/>
              </w:rPr>
              <w:fldChar w:fldCharType="end"/>
            </w:r>
          </w:hyperlink>
        </w:p>
        <w:p w14:paraId="17B9367D" w14:textId="419CACE1" w:rsidR="004D3EC3" w:rsidRDefault="004D3EC3">
          <w:pPr>
            <w:pStyle w:val="TOC2"/>
            <w:tabs>
              <w:tab w:val="right" w:leader="dot" w:pos="9016"/>
            </w:tabs>
            <w:rPr>
              <w:rFonts w:asciiTheme="minorHAnsi" w:eastAsiaTheme="minorEastAsia" w:hAnsiTheme="minorHAnsi"/>
              <w:noProof/>
              <w:kern w:val="0"/>
              <w:sz w:val="22"/>
              <w:szCs w:val="22"/>
              <w:lang w:eastAsia="en-GB" w:bidi="ar-SA"/>
              <w14:ligatures w14:val="none"/>
            </w:rPr>
          </w:pPr>
          <w:hyperlink w:anchor="_Toc224919049" w:history="1">
            <w:r w:rsidRPr="009E57EC">
              <w:rPr>
                <w:rStyle w:val="Hyperlink"/>
                <w:noProof/>
              </w:rPr>
              <w:t>3.1. Part – 01: Analysis of Financial Ratios of BP UK</w:t>
            </w:r>
            <w:r>
              <w:rPr>
                <w:noProof/>
                <w:webHidden/>
              </w:rPr>
              <w:tab/>
            </w:r>
            <w:r>
              <w:rPr>
                <w:noProof/>
                <w:webHidden/>
              </w:rPr>
              <w:fldChar w:fldCharType="begin"/>
            </w:r>
            <w:r>
              <w:rPr>
                <w:noProof/>
                <w:webHidden/>
              </w:rPr>
              <w:instrText xml:space="preserve"> PAGEREF _Toc224919049 \h </w:instrText>
            </w:r>
            <w:r>
              <w:rPr>
                <w:noProof/>
                <w:webHidden/>
              </w:rPr>
            </w:r>
            <w:r>
              <w:rPr>
                <w:noProof/>
                <w:webHidden/>
              </w:rPr>
              <w:fldChar w:fldCharType="separate"/>
            </w:r>
            <w:r>
              <w:rPr>
                <w:noProof/>
                <w:webHidden/>
              </w:rPr>
              <w:t>5</w:t>
            </w:r>
            <w:r>
              <w:rPr>
                <w:noProof/>
                <w:webHidden/>
              </w:rPr>
              <w:fldChar w:fldCharType="end"/>
            </w:r>
          </w:hyperlink>
        </w:p>
        <w:p w14:paraId="376C0B17" w14:textId="4FADA380" w:rsidR="004D3EC3" w:rsidRPr="004D3EC3" w:rsidRDefault="004D3EC3">
          <w:pPr>
            <w:pStyle w:val="TOC3"/>
            <w:tabs>
              <w:tab w:val="right" w:leader="dot" w:pos="9016"/>
            </w:tabs>
            <w:rPr>
              <w:rFonts w:asciiTheme="minorHAnsi" w:eastAsiaTheme="minorEastAsia" w:hAnsiTheme="minorHAnsi"/>
              <w:noProof/>
              <w:kern w:val="0"/>
              <w:sz w:val="22"/>
              <w:szCs w:val="22"/>
              <w:lang w:eastAsia="en-GB" w:bidi="ar-SA"/>
              <w14:ligatures w14:val="none"/>
            </w:rPr>
          </w:pPr>
          <w:hyperlink w:anchor="_Toc224919050" w:history="1">
            <w:r w:rsidRPr="004D3EC3">
              <w:rPr>
                <w:rStyle w:val="Hyperlink"/>
                <w:rFonts w:cs="Times New Roman"/>
                <w:noProof/>
                <w:lang w:val="en-US"/>
              </w:rPr>
              <w:t>3.1.1. Overview of BP P.L.C.</w:t>
            </w:r>
            <w:r w:rsidRPr="004D3EC3">
              <w:rPr>
                <w:noProof/>
                <w:webHidden/>
              </w:rPr>
              <w:tab/>
            </w:r>
            <w:r w:rsidRPr="004D3EC3">
              <w:rPr>
                <w:noProof/>
                <w:webHidden/>
              </w:rPr>
              <w:fldChar w:fldCharType="begin"/>
            </w:r>
            <w:r w:rsidRPr="004D3EC3">
              <w:rPr>
                <w:noProof/>
                <w:webHidden/>
              </w:rPr>
              <w:instrText xml:space="preserve"> PAGEREF _Toc224919050 \h </w:instrText>
            </w:r>
            <w:r w:rsidRPr="004D3EC3">
              <w:rPr>
                <w:noProof/>
                <w:webHidden/>
              </w:rPr>
            </w:r>
            <w:r w:rsidRPr="004D3EC3">
              <w:rPr>
                <w:noProof/>
                <w:webHidden/>
              </w:rPr>
              <w:fldChar w:fldCharType="separate"/>
            </w:r>
            <w:r w:rsidRPr="004D3EC3">
              <w:rPr>
                <w:noProof/>
                <w:webHidden/>
              </w:rPr>
              <w:t>5</w:t>
            </w:r>
            <w:r w:rsidRPr="004D3EC3">
              <w:rPr>
                <w:noProof/>
                <w:webHidden/>
              </w:rPr>
              <w:fldChar w:fldCharType="end"/>
            </w:r>
          </w:hyperlink>
        </w:p>
        <w:p w14:paraId="46F2353E" w14:textId="30AC93D0" w:rsidR="004D3EC3" w:rsidRPr="004D3EC3" w:rsidRDefault="004D3EC3">
          <w:pPr>
            <w:pStyle w:val="TOC3"/>
            <w:tabs>
              <w:tab w:val="right" w:leader="dot" w:pos="9016"/>
            </w:tabs>
            <w:rPr>
              <w:rFonts w:asciiTheme="minorHAnsi" w:eastAsiaTheme="minorEastAsia" w:hAnsiTheme="minorHAnsi"/>
              <w:noProof/>
              <w:kern w:val="0"/>
              <w:sz w:val="22"/>
              <w:szCs w:val="22"/>
              <w:lang w:eastAsia="en-GB" w:bidi="ar-SA"/>
              <w14:ligatures w14:val="none"/>
            </w:rPr>
          </w:pPr>
          <w:hyperlink w:anchor="_Toc224919051" w:history="1">
            <w:r w:rsidRPr="004D3EC3">
              <w:rPr>
                <w:rStyle w:val="Hyperlink"/>
                <w:rFonts w:cs="Times New Roman"/>
                <w:noProof/>
                <w:lang w:val="en-US"/>
              </w:rPr>
              <w:t>3.1.2. Ratio Calculation and Analysis</w:t>
            </w:r>
            <w:r w:rsidRPr="004D3EC3">
              <w:rPr>
                <w:noProof/>
                <w:webHidden/>
              </w:rPr>
              <w:tab/>
            </w:r>
            <w:r w:rsidRPr="004D3EC3">
              <w:rPr>
                <w:noProof/>
                <w:webHidden/>
              </w:rPr>
              <w:fldChar w:fldCharType="begin"/>
            </w:r>
            <w:r w:rsidRPr="004D3EC3">
              <w:rPr>
                <w:noProof/>
                <w:webHidden/>
              </w:rPr>
              <w:instrText xml:space="preserve"> PAGEREF _Toc224919051 \h </w:instrText>
            </w:r>
            <w:r w:rsidRPr="004D3EC3">
              <w:rPr>
                <w:noProof/>
                <w:webHidden/>
              </w:rPr>
            </w:r>
            <w:r w:rsidRPr="004D3EC3">
              <w:rPr>
                <w:noProof/>
                <w:webHidden/>
              </w:rPr>
              <w:fldChar w:fldCharType="separate"/>
            </w:r>
            <w:r w:rsidRPr="004D3EC3">
              <w:rPr>
                <w:noProof/>
                <w:webHidden/>
              </w:rPr>
              <w:t>5</w:t>
            </w:r>
            <w:r w:rsidRPr="004D3EC3">
              <w:rPr>
                <w:noProof/>
                <w:webHidden/>
              </w:rPr>
              <w:fldChar w:fldCharType="end"/>
            </w:r>
          </w:hyperlink>
        </w:p>
        <w:p w14:paraId="54F154BA" w14:textId="4E96F584" w:rsidR="004D3EC3" w:rsidRPr="004D3EC3" w:rsidRDefault="004D3EC3">
          <w:pPr>
            <w:pStyle w:val="TOC3"/>
            <w:tabs>
              <w:tab w:val="right" w:leader="dot" w:pos="9016"/>
            </w:tabs>
            <w:rPr>
              <w:rFonts w:asciiTheme="minorHAnsi" w:eastAsiaTheme="minorEastAsia" w:hAnsiTheme="minorHAnsi"/>
              <w:noProof/>
              <w:kern w:val="0"/>
              <w:sz w:val="22"/>
              <w:szCs w:val="22"/>
              <w:lang w:eastAsia="en-GB" w:bidi="ar-SA"/>
              <w14:ligatures w14:val="none"/>
            </w:rPr>
          </w:pPr>
          <w:hyperlink w:anchor="_Toc224919052" w:history="1">
            <w:r w:rsidRPr="004D3EC3">
              <w:rPr>
                <w:rStyle w:val="Hyperlink"/>
                <w:rFonts w:cs="Times New Roman"/>
                <w:noProof/>
              </w:rPr>
              <w:t>3.1.3. Critical Evaluation and Interpretation</w:t>
            </w:r>
            <w:r w:rsidRPr="004D3EC3">
              <w:rPr>
                <w:noProof/>
                <w:webHidden/>
              </w:rPr>
              <w:tab/>
            </w:r>
            <w:r w:rsidRPr="004D3EC3">
              <w:rPr>
                <w:noProof/>
                <w:webHidden/>
              </w:rPr>
              <w:fldChar w:fldCharType="begin"/>
            </w:r>
            <w:r w:rsidRPr="004D3EC3">
              <w:rPr>
                <w:noProof/>
                <w:webHidden/>
              </w:rPr>
              <w:instrText xml:space="preserve"> PAGEREF _Toc224919052 \h </w:instrText>
            </w:r>
            <w:r w:rsidRPr="004D3EC3">
              <w:rPr>
                <w:noProof/>
                <w:webHidden/>
              </w:rPr>
            </w:r>
            <w:r w:rsidRPr="004D3EC3">
              <w:rPr>
                <w:noProof/>
                <w:webHidden/>
              </w:rPr>
              <w:fldChar w:fldCharType="separate"/>
            </w:r>
            <w:r w:rsidRPr="004D3EC3">
              <w:rPr>
                <w:noProof/>
                <w:webHidden/>
              </w:rPr>
              <w:t>14</w:t>
            </w:r>
            <w:r w:rsidRPr="004D3EC3">
              <w:rPr>
                <w:noProof/>
                <w:webHidden/>
              </w:rPr>
              <w:fldChar w:fldCharType="end"/>
            </w:r>
          </w:hyperlink>
        </w:p>
        <w:p w14:paraId="494C4F2B" w14:textId="048A620E" w:rsidR="004D3EC3" w:rsidRPr="004D3EC3" w:rsidRDefault="004D3EC3">
          <w:pPr>
            <w:pStyle w:val="TOC3"/>
            <w:tabs>
              <w:tab w:val="right" w:leader="dot" w:pos="9016"/>
            </w:tabs>
            <w:rPr>
              <w:rFonts w:asciiTheme="minorHAnsi" w:eastAsiaTheme="minorEastAsia" w:hAnsiTheme="minorHAnsi"/>
              <w:noProof/>
              <w:kern w:val="0"/>
              <w:sz w:val="22"/>
              <w:szCs w:val="22"/>
              <w:lang w:eastAsia="en-GB" w:bidi="ar-SA"/>
              <w14:ligatures w14:val="none"/>
            </w:rPr>
          </w:pPr>
          <w:hyperlink w:anchor="_Toc224919053" w:history="1">
            <w:r w:rsidRPr="004D3EC3">
              <w:rPr>
                <w:rStyle w:val="Hyperlink"/>
                <w:rFonts w:cs="Times New Roman"/>
                <w:noProof/>
                <w:lang w:val="en-US"/>
              </w:rPr>
              <w:t>3.1.4. Recommendations for Improvements</w:t>
            </w:r>
            <w:r w:rsidRPr="004D3EC3">
              <w:rPr>
                <w:noProof/>
                <w:webHidden/>
              </w:rPr>
              <w:tab/>
            </w:r>
            <w:r w:rsidRPr="004D3EC3">
              <w:rPr>
                <w:noProof/>
                <w:webHidden/>
              </w:rPr>
              <w:fldChar w:fldCharType="begin"/>
            </w:r>
            <w:r w:rsidRPr="004D3EC3">
              <w:rPr>
                <w:noProof/>
                <w:webHidden/>
              </w:rPr>
              <w:instrText xml:space="preserve"> PAGEREF _Toc224919053 \h </w:instrText>
            </w:r>
            <w:r w:rsidRPr="004D3EC3">
              <w:rPr>
                <w:noProof/>
                <w:webHidden/>
              </w:rPr>
            </w:r>
            <w:r w:rsidRPr="004D3EC3">
              <w:rPr>
                <w:noProof/>
                <w:webHidden/>
              </w:rPr>
              <w:fldChar w:fldCharType="separate"/>
            </w:r>
            <w:r w:rsidRPr="004D3EC3">
              <w:rPr>
                <w:noProof/>
                <w:webHidden/>
              </w:rPr>
              <w:t>16</w:t>
            </w:r>
            <w:r w:rsidRPr="004D3EC3">
              <w:rPr>
                <w:noProof/>
                <w:webHidden/>
              </w:rPr>
              <w:fldChar w:fldCharType="end"/>
            </w:r>
          </w:hyperlink>
        </w:p>
        <w:p w14:paraId="0F85F82B" w14:textId="2EF59D23" w:rsidR="004D3EC3" w:rsidRPr="004D3EC3" w:rsidRDefault="004D3EC3">
          <w:pPr>
            <w:pStyle w:val="TOC2"/>
            <w:tabs>
              <w:tab w:val="left" w:pos="880"/>
              <w:tab w:val="right" w:leader="dot" w:pos="9016"/>
            </w:tabs>
            <w:rPr>
              <w:rFonts w:asciiTheme="minorHAnsi" w:eastAsiaTheme="minorEastAsia" w:hAnsiTheme="minorHAnsi"/>
              <w:noProof/>
              <w:kern w:val="0"/>
              <w:sz w:val="22"/>
              <w:szCs w:val="22"/>
              <w:lang w:eastAsia="en-GB" w:bidi="ar-SA"/>
              <w14:ligatures w14:val="none"/>
            </w:rPr>
          </w:pPr>
          <w:hyperlink w:anchor="_Toc224919054" w:history="1">
            <w:r w:rsidRPr="004D3EC3">
              <w:rPr>
                <w:rStyle w:val="Hyperlink"/>
                <w:noProof/>
              </w:rPr>
              <w:t>3.2.</w:t>
            </w:r>
            <w:r w:rsidRPr="004D3EC3">
              <w:rPr>
                <w:rFonts w:asciiTheme="minorHAnsi" w:eastAsiaTheme="minorEastAsia" w:hAnsiTheme="minorHAnsi"/>
                <w:noProof/>
                <w:kern w:val="0"/>
                <w:sz w:val="22"/>
                <w:szCs w:val="22"/>
                <w:lang w:eastAsia="en-GB" w:bidi="ar-SA"/>
                <w14:ligatures w14:val="none"/>
              </w:rPr>
              <w:tab/>
            </w:r>
            <w:r w:rsidRPr="004D3EC3">
              <w:rPr>
                <w:rStyle w:val="Hyperlink"/>
                <w:noProof/>
              </w:rPr>
              <w:t>Part – 02: Investment Decision for Westward P.L.C.</w:t>
            </w:r>
            <w:r w:rsidRPr="004D3EC3">
              <w:rPr>
                <w:noProof/>
                <w:webHidden/>
              </w:rPr>
              <w:tab/>
            </w:r>
            <w:r w:rsidRPr="004D3EC3">
              <w:rPr>
                <w:noProof/>
                <w:webHidden/>
              </w:rPr>
              <w:fldChar w:fldCharType="begin"/>
            </w:r>
            <w:r w:rsidRPr="004D3EC3">
              <w:rPr>
                <w:noProof/>
                <w:webHidden/>
              </w:rPr>
              <w:instrText xml:space="preserve"> PAGEREF _Toc224919054 \h </w:instrText>
            </w:r>
            <w:r w:rsidRPr="004D3EC3">
              <w:rPr>
                <w:noProof/>
                <w:webHidden/>
              </w:rPr>
            </w:r>
            <w:r w:rsidRPr="004D3EC3">
              <w:rPr>
                <w:noProof/>
                <w:webHidden/>
              </w:rPr>
              <w:fldChar w:fldCharType="separate"/>
            </w:r>
            <w:r w:rsidRPr="004D3EC3">
              <w:rPr>
                <w:noProof/>
                <w:webHidden/>
              </w:rPr>
              <w:t>17</w:t>
            </w:r>
            <w:r w:rsidRPr="004D3EC3">
              <w:rPr>
                <w:noProof/>
                <w:webHidden/>
              </w:rPr>
              <w:fldChar w:fldCharType="end"/>
            </w:r>
          </w:hyperlink>
        </w:p>
        <w:p w14:paraId="218E5168" w14:textId="6B7EF5C9"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55" w:history="1">
            <w:r w:rsidRPr="004D3EC3">
              <w:rPr>
                <w:rStyle w:val="Hyperlink"/>
                <w:rFonts w:cs="Times New Roman"/>
                <w:noProof/>
                <w:lang w:val="en-US"/>
              </w:rPr>
              <w:t>3.2.1.</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lang w:val="en-US"/>
              </w:rPr>
              <w:t>Project Overview and Investment Options</w:t>
            </w:r>
            <w:r w:rsidRPr="004D3EC3">
              <w:rPr>
                <w:noProof/>
                <w:webHidden/>
              </w:rPr>
              <w:tab/>
            </w:r>
            <w:r w:rsidRPr="004D3EC3">
              <w:rPr>
                <w:noProof/>
                <w:webHidden/>
              </w:rPr>
              <w:fldChar w:fldCharType="begin"/>
            </w:r>
            <w:r w:rsidRPr="004D3EC3">
              <w:rPr>
                <w:noProof/>
                <w:webHidden/>
              </w:rPr>
              <w:instrText xml:space="preserve"> PAGEREF _Toc224919055 \h </w:instrText>
            </w:r>
            <w:r w:rsidRPr="004D3EC3">
              <w:rPr>
                <w:noProof/>
                <w:webHidden/>
              </w:rPr>
            </w:r>
            <w:r w:rsidRPr="004D3EC3">
              <w:rPr>
                <w:noProof/>
                <w:webHidden/>
              </w:rPr>
              <w:fldChar w:fldCharType="separate"/>
            </w:r>
            <w:r w:rsidRPr="004D3EC3">
              <w:rPr>
                <w:noProof/>
                <w:webHidden/>
              </w:rPr>
              <w:t>17</w:t>
            </w:r>
            <w:r w:rsidRPr="004D3EC3">
              <w:rPr>
                <w:noProof/>
                <w:webHidden/>
              </w:rPr>
              <w:fldChar w:fldCharType="end"/>
            </w:r>
          </w:hyperlink>
        </w:p>
        <w:p w14:paraId="6BD5B6B4" w14:textId="67810D1D"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56" w:history="1">
            <w:r w:rsidRPr="004D3EC3">
              <w:rPr>
                <w:rStyle w:val="Hyperlink"/>
                <w:rFonts w:cs="Times New Roman"/>
                <w:noProof/>
                <w:lang w:val="en-US"/>
              </w:rPr>
              <w:t>3.2.2.</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lang w:val="en-US"/>
              </w:rPr>
              <w:t>Calculation of NPV for all the Options</w:t>
            </w:r>
            <w:r w:rsidRPr="004D3EC3">
              <w:rPr>
                <w:noProof/>
                <w:webHidden/>
              </w:rPr>
              <w:tab/>
            </w:r>
            <w:r w:rsidRPr="004D3EC3">
              <w:rPr>
                <w:noProof/>
                <w:webHidden/>
              </w:rPr>
              <w:fldChar w:fldCharType="begin"/>
            </w:r>
            <w:r w:rsidRPr="004D3EC3">
              <w:rPr>
                <w:noProof/>
                <w:webHidden/>
              </w:rPr>
              <w:instrText xml:space="preserve"> PAGEREF _Toc224919056 \h </w:instrText>
            </w:r>
            <w:r w:rsidRPr="004D3EC3">
              <w:rPr>
                <w:noProof/>
                <w:webHidden/>
              </w:rPr>
            </w:r>
            <w:r w:rsidRPr="004D3EC3">
              <w:rPr>
                <w:noProof/>
                <w:webHidden/>
              </w:rPr>
              <w:fldChar w:fldCharType="separate"/>
            </w:r>
            <w:r w:rsidRPr="004D3EC3">
              <w:rPr>
                <w:noProof/>
                <w:webHidden/>
              </w:rPr>
              <w:t>18</w:t>
            </w:r>
            <w:r w:rsidRPr="004D3EC3">
              <w:rPr>
                <w:noProof/>
                <w:webHidden/>
              </w:rPr>
              <w:fldChar w:fldCharType="end"/>
            </w:r>
          </w:hyperlink>
        </w:p>
        <w:p w14:paraId="00CF12E0" w14:textId="29C035F9"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57" w:history="1">
            <w:r w:rsidRPr="004D3EC3">
              <w:rPr>
                <w:rStyle w:val="Hyperlink"/>
                <w:rFonts w:cs="Times New Roman"/>
                <w:noProof/>
                <w:lang w:val="en-US"/>
              </w:rPr>
              <w:t>3.2.3.</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lang w:val="en-US"/>
              </w:rPr>
              <w:t>Payback Period</w:t>
            </w:r>
            <w:r w:rsidRPr="004D3EC3">
              <w:rPr>
                <w:noProof/>
                <w:webHidden/>
              </w:rPr>
              <w:tab/>
            </w:r>
            <w:r w:rsidRPr="004D3EC3">
              <w:rPr>
                <w:noProof/>
                <w:webHidden/>
              </w:rPr>
              <w:fldChar w:fldCharType="begin"/>
            </w:r>
            <w:r w:rsidRPr="004D3EC3">
              <w:rPr>
                <w:noProof/>
                <w:webHidden/>
              </w:rPr>
              <w:instrText xml:space="preserve"> PAGEREF _Toc224919057 \h </w:instrText>
            </w:r>
            <w:r w:rsidRPr="004D3EC3">
              <w:rPr>
                <w:noProof/>
                <w:webHidden/>
              </w:rPr>
            </w:r>
            <w:r w:rsidRPr="004D3EC3">
              <w:rPr>
                <w:noProof/>
                <w:webHidden/>
              </w:rPr>
              <w:fldChar w:fldCharType="separate"/>
            </w:r>
            <w:r w:rsidRPr="004D3EC3">
              <w:rPr>
                <w:noProof/>
                <w:webHidden/>
              </w:rPr>
              <w:t>21</w:t>
            </w:r>
            <w:r w:rsidRPr="004D3EC3">
              <w:rPr>
                <w:noProof/>
                <w:webHidden/>
              </w:rPr>
              <w:fldChar w:fldCharType="end"/>
            </w:r>
          </w:hyperlink>
        </w:p>
        <w:p w14:paraId="2313DC0A" w14:textId="105B96EE"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58" w:history="1">
            <w:r w:rsidRPr="004D3EC3">
              <w:rPr>
                <w:rStyle w:val="Hyperlink"/>
                <w:rFonts w:cs="Times New Roman"/>
                <w:noProof/>
                <w:lang w:val="en-US"/>
              </w:rPr>
              <w:t>3.2.4.</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lang w:val="en-US"/>
              </w:rPr>
              <w:t>Calculation of IRR for Option B</w:t>
            </w:r>
            <w:r w:rsidRPr="004D3EC3">
              <w:rPr>
                <w:noProof/>
                <w:webHidden/>
              </w:rPr>
              <w:tab/>
            </w:r>
            <w:r w:rsidRPr="004D3EC3">
              <w:rPr>
                <w:noProof/>
                <w:webHidden/>
              </w:rPr>
              <w:fldChar w:fldCharType="begin"/>
            </w:r>
            <w:r w:rsidRPr="004D3EC3">
              <w:rPr>
                <w:noProof/>
                <w:webHidden/>
              </w:rPr>
              <w:instrText xml:space="preserve"> PAGEREF _Toc224919058 \h </w:instrText>
            </w:r>
            <w:r w:rsidRPr="004D3EC3">
              <w:rPr>
                <w:noProof/>
                <w:webHidden/>
              </w:rPr>
            </w:r>
            <w:r w:rsidRPr="004D3EC3">
              <w:rPr>
                <w:noProof/>
                <w:webHidden/>
              </w:rPr>
              <w:fldChar w:fldCharType="separate"/>
            </w:r>
            <w:r w:rsidRPr="004D3EC3">
              <w:rPr>
                <w:noProof/>
                <w:webHidden/>
              </w:rPr>
              <w:t>22</w:t>
            </w:r>
            <w:r w:rsidRPr="004D3EC3">
              <w:rPr>
                <w:noProof/>
                <w:webHidden/>
              </w:rPr>
              <w:fldChar w:fldCharType="end"/>
            </w:r>
          </w:hyperlink>
        </w:p>
        <w:p w14:paraId="4BED3C1B" w14:textId="24ABA7B4"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59" w:history="1">
            <w:r w:rsidRPr="004D3EC3">
              <w:rPr>
                <w:rStyle w:val="Hyperlink"/>
                <w:rFonts w:cs="Times New Roman"/>
                <w:noProof/>
                <w:lang w:val="en-US"/>
              </w:rPr>
              <w:t>3.2.5.</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lang w:val="en-US"/>
              </w:rPr>
              <w:t>Interpretation of Results for Management</w:t>
            </w:r>
            <w:r w:rsidRPr="004D3EC3">
              <w:rPr>
                <w:noProof/>
                <w:webHidden/>
              </w:rPr>
              <w:tab/>
            </w:r>
            <w:r w:rsidRPr="004D3EC3">
              <w:rPr>
                <w:noProof/>
                <w:webHidden/>
              </w:rPr>
              <w:fldChar w:fldCharType="begin"/>
            </w:r>
            <w:r w:rsidRPr="004D3EC3">
              <w:rPr>
                <w:noProof/>
                <w:webHidden/>
              </w:rPr>
              <w:instrText xml:space="preserve"> PAGEREF _Toc224919059 \h </w:instrText>
            </w:r>
            <w:r w:rsidRPr="004D3EC3">
              <w:rPr>
                <w:noProof/>
                <w:webHidden/>
              </w:rPr>
            </w:r>
            <w:r w:rsidRPr="004D3EC3">
              <w:rPr>
                <w:noProof/>
                <w:webHidden/>
              </w:rPr>
              <w:fldChar w:fldCharType="separate"/>
            </w:r>
            <w:r w:rsidRPr="004D3EC3">
              <w:rPr>
                <w:noProof/>
                <w:webHidden/>
              </w:rPr>
              <w:t>23</w:t>
            </w:r>
            <w:r w:rsidRPr="004D3EC3">
              <w:rPr>
                <w:noProof/>
                <w:webHidden/>
              </w:rPr>
              <w:fldChar w:fldCharType="end"/>
            </w:r>
          </w:hyperlink>
        </w:p>
        <w:p w14:paraId="6727C04B" w14:textId="783783D4"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60" w:history="1">
            <w:r w:rsidRPr="004D3EC3">
              <w:rPr>
                <w:rStyle w:val="Hyperlink"/>
                <w:rFonts w:cs="Times New Roman"/>
                <w:noProof/>
              </w:rPr>
              <w:t>3.2.6.</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rPr>
              <w:t>Additional Factors to Consider for Investment Decisions</w:t>
            </w:r>
            <w:r w:rsidRPr="004D3EC3">
              <w:rPr>
                <w:noProof/>
                <w:webHidden/>
              </w:rPr>
              <w:tab/>
            </w:r>
            <w:r w:rsidRPr="004D3EC3">
              <w:rPr>
                <w:noProof/>
                <w:webHidden/>
              </w:rPr>
              <w:fldChar w:fldCharType="begin"/>
            </w:r>
            <w:r w:rsidRPr="004D3EC3">
              <w:rPr>
                <w:noProof/>
                <w:webHidden/>
              </w:rPr>
              <w:instrText xml:space="preserve"> PAGEREF _Toc224919060 \h </w:instrText>
            </w:r>
            <w:r w:rsidRPr="004D3EC3">
              <w:rPr>
                <w:noProof/>
                <w:webHidden/>
              </w:rPr>
            </w:r>
            <w:r w:rsidRPr="004D3EC3">
              <w:rPr>
                <w:noProof/>
                <w:webHidden/>
              </w:rPr>
              <w:fldChar w:fldCharType="separate"/>
            </w:r>
            <w:r w:rsidRPr="004D3EC3">
              <w:rPr>
                <w:noProof/>
                <w:webHidden/>
              </w:rPr>
              <w:t>24</w:t>
            </w:r>
            <w:r w:rsidRPr="004D3EC3">
              <w:rPr>
                <w:noProof/>
                <w:webHidden/>
              </w:rPr>
              <w:fldChar w:fldCharType="end"/>
            </w:r>
          </w:hyperlink>
        </w:p>
        <w:p w14:paraId="7B08F5BA" w14:textId="1B55483D"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61" w:history="1">
            <w:r w:rsidRPr="004D3EC3">
              <w:rPr>
                <w:rStyle w:val="Hyperlink"/>
                <w:rFonts w:cs="Times New Roman"/>
                <w:noProof/>
              </w:rPr>
              <w:t>3.2.7.</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rPr>
              <w:t>Capital Rationing Analysis</w:t>
            </w:r>
            <w:r w:rsidRPr="004D3EC3">
              <w:rPr>
                <w:noProof/>
                <w:webHidden/>
              </w:rPr>
              <w:tab/>
            </w:r>
            <w:r w:rsidRPr="004D3EC3">
              <w:rPr>
                <w:noProof/>
                <w:webHidden/>
              </w:rPr>
              <w:fldChar w:fldCharType="begin"/>
            </w:r>
            <w:r w:rsidRPr="004D3EC3">
              <w:rPr>
                <w:noProof/>
                <w:webHidden/>
              </w:rPr>
              <w:instrText xml:space="preserve"> PAGEREF _Toc224919061 \h </w:instrText>
            </w:r>
            <w:r w:rsidRPr="004D3EC3">
              <w:rPr>
                <w:noProof/>
                <w:webHidden/>
              </w:rPr>
            </w:r>
            <w:r w:rsidRPr="004D3EC3">
              <w:rPr>
                <w:noProof/>
                <w:webHidden/>
              </w:rPr>
              <w:fldChar w:fldCharType="separate"/>
            </w:r>
            <w:r w:rsidRPr="004D3EC3">
              <w:rPr>
                <w:noProof/>
                <w:webHidden/>
              </w:rPr>
              <w:t>25</w:t>
            </w:r>
            <w:r w:rsidRPr="004D3EC3">
              <w:rPr>
                <w:noProof/>
                <w:webHidden/>
              </w:rPr>
              <w:fldChar w:fldCharType="end"/>
            </w:r>
          </w:hyperlink>
        </w:p>
        <w:p w14:paraId="21C7E3C6" w14:textId="3AE9A03F" w:rsidR="004D3EC3" w:rsidRPr="004D3EC3" w:rsidRDefault="004D3EC3">
          <w:pPr>
            <w:pStyle w:val="TOC3"/>
            <w:tabs>
              <w:tab w:val="left" w:pos="1320"/>
              <w:tab w:val="right" w:leader="dot" w:pos="9016"/>
            </w:tabs>
            <w:rPr>
              <w:rFonts w:asciiTheme="minorHAnsi" w:eastAsiaTheme="minorEastAsia" w:hAnsiTheme="minorHAnsi"/>
              <w:noProof/>
              <w:kern w:val="0"/>
              <w:sz w:val="22"/>
              <w:szCs w:val="22"/>
              <w:lang w:eastAsia="en-GB" w:bidi="ar-SA"/>
              <w14:ligatures w14:val="none"/>
            </w:rPr>
          </w:pPr>
          <w:hyperlink w:anchor="_Toc224919062" w:history="1">
            <w:r w:rsidRPr="004D3EC3">
              <w:rPr>
                <w:rStyle w:val="Hyperlink"/>
                <w:rFonts w:cs="Times New Roman"/>
                <w:noProof/>
              </w:rPr>
              <w:t>3.2.9.</w:t>
            </w:r>
            <w:r w:rsidRPr="004D3EC3">
              <w:rPr>
                <w:rFonts w:asciiTheme="minorHAnsi" w:eastAsiaTheme="minorEastAsia" w:hAnsiTheme="minorHAnsi"/>
                <w:noProof/>
                <w:kern w:val="0"/>
                <w:sz w:val="22"/>
                <w:szCs w:val="22"/>
                <w:lang w:eastAsia="en-GB" w:bidi="ar-SA"/>
                <w14:ligatures w14:val="none"/>
              </w:rPr>
              <w:tab/>
            </w:r>
            <w:r w:rsidRPr="004D3EC3">
              <w:rPr>
                <w:rStyle w:val="Hyperlink"/>
                <w:rFonts w:cs="Times New Roman"/>
                <w:noProof/>
              </w:rPr>
              <w:t>Sources of Finances for Investment Program</w:t>
            </w:r>
            <w:r w:rsidRPr="004D3EC3">
              <w:rPr>
                <w:noProof/>
                <w:webHidden/>
              </w:rPr>
              <w:tab/>
            </w:r>
            <w:r w:rsidRPr="004D3EC3">
              <w:rPr>
                <w:noProof/>
                <w:webHidden/>
              </w:rPr>
              <w:fldChar w:fldCharType="begin"/>
            </w:r>
            <w:r w:rsidRPr="004D3EC3">
              <w:rPr>
                <w:noProof/>
                <w:webHidden/>
              </w:rPr>
              <w:instrText xml:space="preserve"> PAGEREF _Toc224919062 \h </w:instrText>
            </w:r>
            <w:r w:rsidRPr="004D3EC3">
              <w:rPr>
                <w:noProof/>
                <w:webHidden/>
              </w:rPr>
            </w:r>
            <w:r w:rsidRPr="004D3EC3">
              <w:rPr>
                <w:noProof/>
                <w:webHidden/>
              </w:rPr>
              <w:fldChar w:fldCharType="separate"/>
            </w:r>
            <w:r w:rsidRPr="004D3EC3">
              <w:rPr>
                <w:noProof/>
                <w:webHidden/>
              </w:rPr>
              <w:t>26</w:t>
            </w:r>
            <w:r w:rsidRPr="004D3EC3">
              <w:rPr>
                <w:noProof/>
                <w:webHidden/>
              </w:rPr>
              <w:fldChar w:fldCharType="end"/>
            </w:r>
          </w:hyperlink>
        </w:p>
        <w:p w14:paraId="0C79D882" w14:textId="65F3391A" w:rsidR="004D3EC3" w:rsidRDefault="004D3EC3">
          <w:pPr>
            <w:pStyle w:val="TOC1"/>
            <w:tabs>
              <w:tab w:val="left" w:pos="480"/>
              <w:tab w:val="right" w:leader="dot" w:pos="9016"/>
            </w:tabs>
            <w:rPr>
              <w:rFonts w:asciiTheme="minorHAnsi" w:eastAsiaTheme="minorEastAsia" w:hAnsiTheme="minorHAnsi"/>
              <w:noProof/>
              <w:kern w:val="0"/>
              <w:sz w:val="22"/>
              <w:szCs w:val="22"/>
              <w:lang w:eastAsia="en-GB" w:bidi="ar-SA"/>
              <w14:ligatures w14:val="none"/>
            </w:rPr>
          </w:pPr>
          <w:hyperlink w:anchor="_Toc224919063" w:history="1">
            <w:r w:rsidRPr="009E57EC">
              <w:rPr>
                <w:rStyle w:val="Hyperlink"/>
                <w:noProof/>
                <w:lang w:val="en-US"/>
              </w:rPr>
              <w:t>4.</w:t>
            </w:r>
            <w:r>
              <w:rPr>
                <w:rFonts w:asciiTheme="minorHAnsi" w:eastAsiaTheme="minorEastAsia" w:hAnsiTheme="minorHAnsi"/>
                <w:noProof/>
                <w:kern w:val="0"/>
                <w:sz w:val="22"/>
                <w:szCs w:val="22"/>
                <w:lang w:eastAsia="en-GB" w:bidi="ar-SA"/>
                <w14:ligatures w14:val="none"/>
              </w:rPr>
              <w:tab/>
            </w:r>
            <w:r w:rsidRPr="009E57EC">
              <w:rPr>
                <w:rStyle w:val="Hyperlink"/>
                <w:noProof/>
                <w:lang w:val="en-US"/>
              </w:rPr>
              <w:t>Conclusion</w:t>
            </w:r>
            <w:r>
              <w:rPr>
                <w:noProof/>
                <w:webHidden/>
              </w:rPr>
              <w:tab/>
            </w:r>
            <w:r>
              <w:rPr>
                <w:noProof/>
                <w:webHidden/>
              </w:rPr>
              <w:fldChar w:fldCharType="begin"/>
            </w:r>
            <w:r>
              <w:rPr>
                <w:noProof/>
                <w:webHidden/>
              </w:rPr>
              <w:instrText xml:space="preserve"> PAGEREF _Toc224919063 \h </w:instrText>
            </w:r>
            <w:r>
              <w:rPr>
                <w:noProof/>
                <w:webHidden/>
              </w:rPr>
            </w:r>
            <w:r>
              <w:rPr>
                <w:noProof/>
                <w:webHidden/>
              </w:rPr>
              <w:fldChar w:fldCharType="separate"/>
            </w:r>
            <w:r>
              <w:rPr>
                <w:noProof/>
                <w:webHidden/>
              </w:rPr>
              <w:t>28</w:t>
            </w:r>
            <w:r>
              <w:rPr>
                <w:noProof/>
                <w:webHidden/>
              </w:rPr>
              <w:fldChar w:fldCharType="end"/>
            </w:r>
          </w:hyperlink>
        </w:p>
        <w:p w14:paraId="3973A1D5" w14:textId="45F47CE4" w:rsidR="004D3EC3" w:rsidRDefault="004D3EC3">
          <w:pPr>
            <w:pStyle w:val="TOC1"/>
            <w:tabs>
              <w:tab w:val="right" w:leader="dot" w:pos="9016"/>
            </w:tabs>
            <w:rPr>
              <w:rFonts w:asciiTheme="minorHAnsi" w:eastAsiaTheme="minorEastAsia" w:hAnsiTheme="minorHAnsi"/>
              <w:noProof/>
              <w:kern w:val="0"/>
              <w:sz w:val="22"/>
              <w:szCs w:val="22"/>
              <w:lang w:eastAsia="en-GB" w:bidi="ar-SA"/>
              <w14:ligatures w14:val="none"/>
            </w:rPr>
          </w:pPr>
          <w:hyperlink w:anchor="_Toc224919064" w:history="1">
            <w:r w:rsidRPr="009E57E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_Toc224919064 \h </w:instrText>
            </w:r>
            <w:r>
              <w:rPr>
                <w:noProof/>
                <w:webHidden/>
              </w:rPr>
            </w:r>
            <w:r>
              <w:rPr>
                <w:noProof/>
                <w:webHidden/>
              </w:rPr>
              <w:fldChar w:fldCharType="separate"/>
            </w:r>
            <w:r>
              <w:rPr>
                <w:noProof/>
                <w:webHidden/>
              </w:rPr>
              <w:t>29</w:t>
            </w:r>
            <w:r>
              <w:rPr>
                <w:noProof/>
                <w:webHidden/>
              </w:rPr>
              <w:fldChar w:fldCharType="end"/>
            </w:r>
          </w:hyperlink>
        </w:p>
        <w:p w14:paraId="24144178" w14:textId="72F238AE" w:rsidR="004D3EC3" w:rsidRDefault="004D3EC3">
          <w:pPr>
            <w:pStyle w:val="TOC1"/>
            <w:tabs>
              <w:tab w:val="right" w:leader="dot" w:pos="9016"/>
            </w:tabs>
            <w:rPr>
              <w:rFonts w:asciiTheme="minorHAnsi" w:eastAsiaTheme="minorEastAsia" w:hAnsiTheme="minorHAnsi"/>
              <w:noProof/>
              <w:kern w:val="0"/>
              <w:sz w:val="22"/>
              <w:szCs w:val="22"/>
              <w:lang w:eastAsia="en-GB" w:bidi="ar-SA"/>
              <w14:ligatures w14:val="none"/>
            </w:rPr>
          </w:pPr>
          <w:hyperlink w:anchor="_Toc224919065" w:history="1">
            <w:r w:rsidRPr="009E57EC">
              <w:rPr>
                <w:rStyle w:val="Hyperlink"/>
                <w:rFonts w:eastAsia="Times New Roman"/>
                <w:noProof/>
                <w:lang w:eastAsia="en-GB"/>
              </w:rPr>
              <w:t>Appendix</w:t>
            </w:r>
            <w:r>
              <w:rPr>
                <w:noProof/>
                <w:webHidden/>
              </w:rPr>
              <w:tab/>
            </w:r>
            <w:r>
              <w:rPr>
                <w:noProof/>
                <w:webHidden/>
              </w:rPr>
              <w:fldChar w:fldCharType="begin"/>
            </w:r>
            <w:r>
              <w:rPr>
                <w:noProof/>
                <w:webHidden/>
              </w:rPr>
              <w:instrText xml:space="preserve"> PAGEREF _Toc224919065 \h </w:instrText>
            </w:r>
            <w:r>
              <w:rPr>
                <w:noProof/>
                <w:webHidden/>
              </w:rPr>
            </w:r>
            <w:r>
              <w:rPr>
                <w:noProof/>
                <w:webHidden/>
              </w:rPr>
              <w:fldChar w:fldCharType="separate"/>
            </w:r>
            <w:r>
              <w:rPr>
                <w:noProof/>
                <w:webHidden/>
              </w:rPr>
              <w:t>30</w:t>
            </w:r>
            <w:r>
              <w:rPr>
                <w:noProof/>
                <w:webHidden/>
              </w:rPr>
              <w:fldChar w:fldCharType="end"/>
            </w:r>
          </w:hyperlink>
        </w:p>
        <w:p w14:paraId="6490D867" w14:textId="67C81711" w:rsidR="00FE4C0C" w:rsidRDefault="00FE4C0C" w:rsidP="00646C3C">
          <w:r>
            <w:rPr>
              <w:b/>
              <w:bCs/>
              <w:noProof/>
            </w:rPr>
            <w:fldChar w:fldCharType="end"/>
          </w:r>
        </w:p>
      </w:sdtContent>
    </w:sdt>
    <w:p w14:paraId="4A59B5DD" w14:textId="2291A7E3" w:rsidR="001723A8" w:rsidRPr="00470875" w:rsidRDefault="001723A8" w:rsidP="001723A8">
      <w:pPr>
        <w:rPr>
          <w:sz w:val="32"/>
          <w:szCs w:val="36"/>
          <w:lang w:val="en-US"/>
        </w:rPr>
      </w:pPr>
      <w:r>
        <w:rPr>
          <w:lang w:val="en-US"/>
        </w:rPr>
        <w:br w:type="page"/>
      </w:r>
    </w:p>
    <w:p w14:paraId="4ED04715" w14:textId="2E569332" w:rsidR="00D84B6D" w:rsidRDefault="00FE4C0C" w:rsidP="00285A4B">
      <w:pPr>
        <w:pStyle w:val="Heading1"/>
        <w:rPr>
          <w:lang w:val="en-US"/>
        </w:rPr>
      </w:pPr>
      <w:bookmarkStart w:id="4" w:name="_Toc224919047"/>
      <w:r w:rsidRPr="00FE4C0C">
        <w:rPr>
          <w:lang w:val="en-US"/>
        </w:rPr>
        <w:lastRenderedPageBreak/>
        <w:t>Introduction</w:t>
      </w:r>
      <w:bookmarkEnd w:id="4"/>
    </w:p>
    <w:p w14:paraId="07BB0365" w14:textId="2075812F" w:rsidR="009712FB" w:rsidRPr="00CD7C71" w:rsidRDefault="00CD7C71" w:rsidP="00285A4B">
      <w:r w:rsidRPr="00CD7C71">
        <w:rPr>
          <w:lang w:eastAsia="en-GB"/>
        </w:rPr>
        <w:t>Financial management serves as a cornerstone for assessing financial performance effectively and making wise decisions to support all of these activities in order to guarantee sustainable business operations and ensure that resources are distributed in an adequate manner. This report will consist of two parts in this context. The examination of BP UK's financial ratios will be one element. An introduction of the business, ratio computation and analysis, critical assessment and interpretation, and suggestions for enhancements will all be provided for this purpose. For Westward P.L.C., the second component will be developed utilizing a variety of investment assessment approaches in order to reach a firm judgment regarding the project in which the business must invest</w:t>
      </w:r>
      <w:r w:rsidRPr="00CD7C71">
        <w:rPr>
          <w:lang w:val="en-US"/>
        </w:rPr>
        <w:t xml:space="preserve">. </w:t>
      </w:r>
      <w:r w:rsidRPr="00CD7C71">
        <w:t xml:space="preserve">An overview of the project and investment options, the superiority of NPV as an appraisal method, the computation of NPV for all options, the computation of IRR for chosen options, the interpretation of the results for both options, the popularity of non-discounted methods, other factors to take into account when making investment decisions, capital rationing analysis, and sources of funding for investment programs will all be included for this purpose. All things considered, this will be a thorough and detailed report that includes all computations required for both businesses. Once more, the theoretical underpinnings will be supported by the relevant theory and, if needed, instances. Therefore, by </w:t>
      </w:r>
      <w:proofErr w:type="spellStart"/>
      <w:r w:rsidRPr="00CD7C71">
        <w:t>analyzing</w:t>
      </w:r>
      <w:proofErr w:type="spellEnd"/>
      <w:r w:rsidRPr="00CD7C71">
        <w:t xml:space="preserve"> past performance and applying investment assessment methods, this report will be able to provide decision-makers with specific insights to help them make wise choices</w:t>
      </w:r>
      <w:r w:rsidRPr="00CD7C71">
        <w:rPr>
          <w:lang w:val="en-US"/>
        </w:rPr>
        <w:t xml:space="preserve"> and obtaining the best results in the process. It is in this context that the recommendations provided in this report will also be based on analysis.</w:t>
      </w:r>
      <w:r w:rsidR="009712FB">
        <w:rPr>
          <w:lang w:val="en-US"/>
        </w:rPr>
        <w:br w:type="page"/>
      </w:r>
    </w:p>
    <w:p w14:paraId="77286EF8" w14:textId="155FDC7D" w:rsidR="009712FB" w:rsidRDefault="009712FB" w:rsidP="00285A4B">
      <w:pPr>
        <w:pStyle w:val="Heading1"/>
        <w:rPr>
          <w:lang w:val="en-US"/>
        </w:rPr>
      </w:pPr>
      <w:bookmarkStart w:id="5" w:name="_Toc224919048"/>
      <w:r>
        <w:rPr>
          <w:lang w:val="en-US"/>
        </w:rPr>
        <w:lastRenderedPageBreak/>
        <w:t>Main Findings</w:t>
      </w:r>
      <w:bookmarkEnd w:id="5"/>
    </w:p>
    <w:p w14:paraId="1A772EB1" w14:textId="1E442544" w:rsidR="00FE4C0C" w:rsidRDefault="009712FB" w:rsidP="00810F31">
      <w:pPr>
        <w:pStyle w:val="Heading2"/>
      </w:pPr>
      <w:bookmarkStart w:id="6" w:name="_Toc224919049"/>
      <w:r>
        <w:t xml:space="preserve">3.1. </w:t>
      </w:r>
      <w:r w:rsidR="00FE4C0C">
        <w:t>Part – 01: Analysis of Financial Ratios of BP UK</w:t>
      </w:r>
      <w:bookmarkEnd w:id="6"/>
    </w:p>
    <w:p w14:paraId="26190CEC" w14:textId="20474DE3" w:rsidR="00ED3279" w:rsidRPr="009712FB" w:rsidRDefault="009712FB" w:rsidP="009712FB">
      <w:pPr>
        <w:pStyle w:val="Heading3"/>
        <w:rPr>
          <w:rFonts w:ascii="Times New Roman" w:hAnsi="Times New Roman" w:cs="Times New Roman"/>
          <w:b/>
          <w:bCs/>
          <w:sz w:val="24"/>
          <w:szCs w:val="32"/>
          <w:lang w:val="en-US"/>
        </w:rPr>
      </w:pPr>
      <w:bookmarkStart w:id="7" w:name="_Toc224919050"/>
      <w:r>
        <w:rPr>
          <w:rFonts w:ascii="Times New Roman" w:hAnsi="Times New Roman" w:cs="Times New Roman"/>
          <w:b/>
          <w:bCs/>
          <w:sz w:val="24"/>
          <w:szCs w:val="32"/>
          <w:lang w:val="en-US"/>
        </w:rPr>
        <w:t xml:space="preserve">3.1.1. </w:t>
      </w:r>
      <w:r w:rsidR="00ED3279" w:rsidRPr="009712FB">
        <w:rPr>
          <w:rFonts w:ascii="Times New Roman" w:hAnsi="Times New Roman" w:cs="Times New Roman"/>
          <w:b/>
          <w:bCs/>
          <w:sz w:val="24"/>
          <w:szCs w:val="32"/>
          <w:lang w:val="en-US"/>
        </w:rPr>
        <w:t xml:space="preserve">Overview of BP </w:t>
      </w:r>
      <w:r w:rsidR="00CB2CC3">
        <w:rPr>
          <w:rFonts w:ascii="Times New Roman" w:hAnsi="Times New Roman" w:cs="Times New Roman"/>
          <w:b/>
          <w:bCs/>
          <w:sz w:val="24"/>
          <w:szCs w:val="32"/>
          <w:lang w:val="en-US"/>
        </w:rPr>
        <w:t>P.L.C.</w:t>
      </w:r>
      <w:bookmarkEnd w:id="7"/>
    </w:p>
    <w:p w14:paraId="7DF2C282" w14:textId="77777777" w:rsidR="000F49FA" w:rsidRPr="000F49FA" w:rsidRDefault="000F49FA" w:rsidP="00285A4B">
      <w:r w:rsidRPr="000F49FA">
        <w:t>One of the world's most integrated energy supermajors, BP P.L.C. is currently engaged in exploration, production, refinement, distribution, and retail operations along the oil and gas industry's value chain. With little over 100,000 workers as of 2024, it maintains its dominant position in the global energy industry (BP p.l.c., 2025). However, recent financial results have demonstrated that the organization is experiencing pressure and volatility due to both internal operational problems and macroeconomic problems.</w:t>
      </w:r>
    </w:p>
    <w:p w14:paraId="608FAE99" w14:textId="3B341F08" w:rsidR="00580C27" w:rsidRDefault="00580C27" w:rsidP="00285A4B">
      <w:pPr>
        <w:rPr>
          <w:lang w:val="en-US"/>
        </w:rPr>
      </w:pPr>
      <w:r>
        <w:rPr>
          <w:lang w:val="en-US"/>
        </w:rPr>
        <w:t xml:space="preserve">Overall, </w:t>
      </w:r>
      <w:r w:rsidR="00DB7BC1">
        <w:rPr>
          <w:lang w:val="en-US"/>
        </w:rPr>
        <w:t xml:space="preserve">BP’s 2024 financial performance does not appear to be stronger than its historic performance as declines have been identified in profitability and returns due to higher financing costs and increased impairment charges (BP </w:t>
      </w:r>
      <w:r w:rsidR="00363C9A">
        <w:rPr>
          <w:lang w:val="en-US"/>
        </w:rPr>
        <w:t>p.l.c.</w:t>
      </w:r>
      <w:r w:rsidR="00CB2CC3">
        <w:rPr>
          <w:lang w:val="en-US"/>
        </w:rPr>
        <w:t>.</w:t>
      </w:r>
      <w:r w:rsidR="00DB7BC1">
        <w:rPr>
          <w:lang w:val="en-US"/>
        </w:rPr>
        <w:t xml:space="preserve">, 2025). </w:t>
      </w:r>
      <w:r w:rsidR="004B01F9">
        <w:rPr>
          <w:lang w:val="en-US"/>
        </w:rPr>
        <w:t>Thus, it raises concerns regarding the company’s capacity in maintaining better performance when faced with turmoil and intricate operating environment.</w:t>
      </w:r>
    </w:p>
    <w:p w14:paraId="03CECEF5" w14:textId="24A86E5B" w:rsidR="00ED3279" w:rsidRPr="009712FB" w:rsidRDefault="009712FB" w:rsidP="009712FB">
      <w:pPr>
        <w:pStyle w:val="Heading3"/>
        <w:rPr>
          <w:rFonts w:ascii="Times New Roman" w:hAnsi="Times New Roman" w:cs="Times New Roman"/>
          <w:b/>
          <w:bCs/>
          <w:sz w:val="24"/>
          <w:szCs w:val="32"/>
          <w:lang w:val="en-US"/>
        </w:rPr>
      </w:pPr>
      <w:bookmarkStart w:id="8" w:name="_Toc224919051"/>
      <w:r>
        <w:rPr>
          <w:rFonts w:ascii="Times New Roman" w:hAnsi="Times New Roman" w:cs="Times New Roman"/>
          <w:b/>
          <w:bCs/>
          <w:sz w:val="24"/>
          <w:szCs w:val="32"/>
          <w:lang w:val="en-US"/>
        </w:rPr>
        <w:t xml:space="preserve">3.1.2. </w:t>
      </w:r>
      <w:r w:rsidR="00BE241B" w:rsidRPr="009712FB">
        <w:rPr>
          <w:rFonts w:ascii="Times New Roman" w:hAnsi="Times New Roman" w:cs="Times New Roman"/>
          <w:b/>
          <w:bCs/>
          <w:sz w:val="24"/>
          <w:szCs w:val="32"/>
          <w:lang w:val="en-US"/>
        </w:rPr>
        <w:t>Ratio Calculation and Analysis</w:t>
      </w:r>
      <w:bookmarkEnd w:id="8"/>
    </w:p>
    <w:p w14:paraId="2FE65024" w14:textId="083064F3" w:rsidR="00ED3279" w:rsidRDefault="00375F8E" w:rsidP="00285A4B">
      <w:pPr>
        <w:rPr>
          <w:lang w:val="en-US"/>
        </w:rPr>
      </w:pPr>
      <w:r>
        <w:rPr>
          <w:lang w:val="en-US"/>
        </w:rPr>
        <w:t xml:space="preserve">In this report, profitability, liquidity, gearing, efficiency and investor ratios will be calculated for BP </w:t>
      </w:r>
      <w:r w:rsidR="00CB2CC3">
        <w:rPr>
          <w:lang w:val="en-US"/>
        </w:rPr>
        <w:t>P.L.C.</w:t>
      </w:r>
      <w:r>
        <w:rPr>
          <w:lang w:val="en-US"/>
        </w:rPr>
        <w:t xml:space="preserve"> using its 2024 annual report</w:t>
      </w:r>
      <w:r w:rsidR="0049650C">
        <w:rPr>
          <w:lang w:val="en-US"/>
        </w:rPr>
        <w:t>. The calculation process has been presented in the appendix section in details.</w:t>
      </w:r>
    </w:p>
    <w:p w14:paraId="37953A03" w14:textId="3AA3F765" w:rsidR="00F14FD7" w:rsidRPr="00F14FD7" w:rsidRDefault="00A718A9" w:rsidP="00285A4B">
      <w:pPr>
        <w:pStyle w:val="Heading4"/>
        <w:rPr>
          <w:lang w:val="en-US"/>
        </w:rPr>
      </w:pPr>
      <w:r>
        <w:rPr>
          <w:lang w:val="en-US"/>
        </w:rPr>
        <w:t>Profitability Ratio</w:t>
      </w:r>
    </w:p>
    <w:p w14:paraId="76034898" w14:textId="0FDE1C8A" w:rsidR="004D03B7" w:rsidRDefault="004D03B7" w:rsidP="00285A4B">
      <w:r>
        <w:t>Profitability ratios help quantify a company's earnings in relation to a number of factors, including revenue, assets, equity, etc. The following formula is used to determine BP's profitability ratios for 2024</w:t>
      </w:r>
    </w:p>
    <w:p w14:paraId="6567F1AB" w14:textId="77777777" w:rsidR="004D03B7" w:rsidRDefault="004D03B7" w:rsidP="00285A4B">
      <w:r w:rsidRPr="004D03B7">
        <w:rPr>
          <w:b/>
          <w:bCs/>
        </w:rPr>
        <w:t>Net Profit Ratio:</w:t>
      </w:r>
      <w:r>
        <w:t xml:space="preserve"> This ratio calculates the profit made after all corporate expenses and liabilities are paid to shareholders.</w:t>
      </w:r>
    </w:p>
    <w:p w14:paraId="41A884C5" w14:textId="3E97ECE5" w:rsidR="00A718A9" w:rsidRDefault="00A718A9" w:rsidP="00285A4B">
      <w:pPr>
        <w:rPr>
          <w:lang w:val="en-US"/>
        </w:rPr>
      </w:pPr>
      <w:r>
        <w:rPr>
          <w:lang w:val="en-US"/>
        </w:rPr>
        <w:t>Formula = (Net Profit / Revenue) * 100</w:t>
      </w:r>
    </w:p>
    <w:p w14:paraId="19B874EB" w14:textId="7DA8FAFA" w:rsidR="00A718A9" w:rsidRDefault="00A718A9"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40"/>
        <w:gridCol w:w="4156"/>
      </w:tblGrid>
      <w:tr w:rsidR="00A718A9" w14:paraId="386F6D90" w14:textId="77777777" w:rsidTr="00285A4B">
        <w:tc>
          <w:tcPr>
            <w:tcW w:w="4140" w:type="dxa"/>
          </w:tcPr>
          <w:p w14:paraId="34D2F36A" w14:textId="17365844" w:rsidR="00A718A9" w:rsidRPr="00A718A9" w:rsidRDefault="00A718A9" w:rsidP="00A718A9">
            <w:pPr>
              <w:jc w:val="center"/>
              <w:rPr>
                <w:b/>
                <w:bCs/>
                <w:lang w:val="en-US"/>
              </w:rPr>
            </w:pPr>
            <w:r>
              <w:rPr>
                <w:b/>
                <w:bCs/>
                <w:lang w:val="en-US"/>
              </w:rPr>
              <w:t>Year</w:t>
            </w:r>
          </w:p>
        </w:tc>
        <w:tc>
          <w:tcPr>
            <w:tcW w:w="4156" w:type="dxa"/>
          </w:tcPr>
          <w:p w14:paraId="1BD0E860" w14:textId="376A4269" w:rsidR="00A718A9" w:rsidRPr="00A718A9" w:rsidRDefault="00A718A9" w:rsidP="00A718A9">
            <w:pPr>
              <w:jc w:val="center"/>
              <w:rPr>
                <w:b/>
                <w:bCs/>
                <w:lang w:val="en-US"/>
              </w:rPr>
            </w:pPr>
            <w:r>
              <w:rPr>
                <w:b/>
                <w:bCs/>
                <w:lang w:val="en-US"/>
              </w:rPr>
              <w:t>Result</w:t>
            </w:r>
          </w:p>
        </w:tc>
      </w:tr>
      <w:tr w:rsidR="00A718A9" w14:paraId="0BC1FC86" w14:textId="77777777" w:rsidTr="00285A4B">
        <w:tc>
          <w:tcPr>
            <w:tcW w:w="4140" w:type="dxa"/>
          </w:tcPr>
          <w:p w14:paraId="25CAFA1E" w14:textId="394DE954" w:rsidR="00A718A9" w:rsidRDefault="00A718A9" w:rsidP="00A718A9">
            <w:pPr>
              <w:jc w:val="center"/>
              <w:rPr>
                <w:lang w:val="en-US"/>
              </w:rPr>
            </w:pPr>
            <w:r>
              <w:rPr>
                <w:lang w:val="en-US"/>
              </w:rPr>
              <w:t>2023</w:t>
            </w:r>
          </w:p>
        </w:tc>
        <w:tc>
          <w:tcPr>
            <w:tcW w:w="4156" w:type="dxa"/>
          </w:tcPr>
          <w:p w14:paraId="76EA0B57" w14:textId="4674AEA4" w:rsidR="00A718A9" w:rsidRDefault="00DF4F5F" w:rsidP="00A718A9">
            <w:pPr>
              <w:jc w:val="center"/>
              <w:rPr>
                <w:lang w:val="en-US"/>
              </w:rPr>
            </w:pPr>
            <w:r>
              <w:rPr>
                <w:lang w:val="en-US"/>
              </w:rPr>
              <w:t>7.3%</w:t>
            </w:r>
          </w:p>
        </w:tc>
      </w:tr>
      <w:tr w:rsidR="00A718A9" w14:paraId="6FD92847" w14:textId="77777777" w:rsidTr="00285A4B">
        <w:tc>
          <w:tcPr>
            <w:tcW w:w="4140" w:type="dxa"/>
          </w:tcPr>
          <w:p w14:paraId="2C015428" w14:textId="4CDC2E1E" w:rsidR="00A718A9" w:rsidRDefault="00A718A9" w:rsidP="00A718A9">
            <w:pPr>
              <w:jc w:val="center"/>
              <w:rPr>
                <w:lang w:val="en-US"/>
              </w:rPr>
            </w:pPr>
            <w:r>
              <w:rPr>
                <w:lang w:val="en-US"/>
              </w:rPr>
              <w:t>2024</w:t>
            </w:r>
          </w:p>
        </w:tc>
        <w:tc>
          <w:tcPr>
            <w:tcW w:w="4156" w:type="dxa"/>
          </w:tcPr>
          <w:p w14:paraId="4A065434" w14:textId="139D60DC" w:rsidR="00A718A9" w:rsidRDefault="00DF4F5F" w:rsidP="00A718A9">
            <w:pPr>
              <w:jc w:val="center"/>
              <w:rPr>
                <w:lang w:val="en-US"/>
              </w:rPr>
            </w:pPr>
            <w:r>
              <w:rPr>
                <w:lang w:val="en-US"/>
              </w:rPr>
              <w:t>0.2%</w:t>
            </w:r>
          </w:p>
        </w:tc>
      </w:tr>
    </w:tbl>
    <w:p w14:paraId="2D37C533" w14:textId="1F84D3FC" w:rsidR="00A47F89" w:rsidRDefault="00A47F89" w:rsidP="00285A4B">
      <w:pPr>
        <w:rPr>
          <w:lang w:val="en-US"/>
        </w:rPr>
      </w:pPr>
      <w:r>
        <w:rPr>
          <w:noProof/>
          <w:lang w:val="en-US"/>
        </w:rPr>
        <w:lastRenderedPageBreak/>
        <w:drawing>
          <wp:inline distT="0" distB="0" distL="0" distR="0" wp14:anchorId="45C53001" wp14:editId="67F7A135">
            <wp:extent cx="5486400" cy="3200400"/>
            <wp:effectExtent l="0" t="0" r="0" b="0"/>
            <wp:docPr id="1170157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51ECA1" w14:textId="6E4685E3" w:rsidR="00A47F89" w:rsidRPr="00A47F89" w:rsidRDefault="00A47F89" w:rsidP="00285A4B">
      <w:pPr>
        <w:jc w:val="center"/>
        <w:rPr>
          <w:lang w:val="en-US"/>
        </w:rPr>
      </w:pPr>
      <w:r>
        <w:rPr>
          <w:b/>
          <w:bCs/>
          <w:lang w:val="en-US"/>
        </w:rPr>
        <w:t xml:space="preserve">Figure: </w:t>
      </w:r>
      <w:r>
        <w:rPr>
          <w:lang w:val="en-US"/>
        </w:rPr>
        <w:t>Net Profit Ratio Illustrated</w:t>
      </w:r>
      <w:r w:rsidR="00862F75">
        <w:rPr>
          <w:lang w:val="en-US"/>
        </w:rPr>
        <w:t xml:space="preserve"> (Source: Own)</w:t>
      </w:r>
    </w:p>
    <w:p w14:paraId="3F86DCCE" w14:textId="22A62B2E" w:rsidR="00A718A9" w:rsidRDefault="00D22048" w:rsidP="00285A4B">
      <w:pPr>
        <w:rPr>
          <w:lang w:val="en-US"/>
        </w:rPr>
      </w:pPr>
      <w:r>
        <w:rPr>
          <w:lang w:val="en-US"/>
        </w:rPr>
        <w:t xml:space="preserve">From the above results, </w:t>
      </w:r>
      <w:r w:rsidR="00135C5C">
        <w:rPr>
          <w:lang w:val="en-US"/>
        </w:rPr>
        <w:t xml:space="preserve">BP </w:t>
      </w:r>
      <w:r w:rsidR="00363C9A">
        <w:rPr>
          <w:lang w:val="en-US"/>
        </w:rPr>
        <w:t>p.l.c.</w:t>
      </w:r>
      <w:r w:rsidR="00135C5C">
        <w:rPr>
          <w:lang w:val="en-US"/>
        </w:rPr>
        <w:t xml:space="preserve"> has experienced a major decline in its net profitability as the margin fell from 7.3% in 2023 to 0.2% in 2024 (BP </w:t>
      </w:r>
      <w:r w:rsidR="00CB2CC3">
        <w:rPr>
          <w:lang w:val="en-US"/>
        </w:rPr>
        <w:t>p.l.c.</w:t>
      </w:r>
      <w:r w:rsidR="00135C5C">
        <w:rPr>
          <w:lang w:val="en-US"/>
        </w:rPr>
        <w:t>, 202</w:t>
      </w:r>
      <w:r w:rsidR="00CB2CC3">
        <w:rPr>
          <w:lang w:val="en-US"/>
        </w:rPr>
        <w:t>5</w:t>
      </w:r>
      <w:r w:rsidR="00135C5C">
        <w:rPr>
          <w:lang w:val="en-US"/>
        </w:rPr>
        <w:t xml:space="preserve">). </w:t>
      </w:r>
      <w:r w:rsidR="006F1F62">
        <w:rPr>
          <w:lang w:val="en-US"/>
        </w:rPr>
        <w:t xml:space="preserve">In this regard, other oil and gas majors have also earnings volatility although not at the level of BP </w:t>
      </w:r>
      <w:r w:rsidR="00363C9A">
        <w:rPr>
          <w:lang w:val="en-US"/>
        </w:rPr>
        <w:t>p.l.c.</w:t>
      </w:r>
      <w:r w:rsidR="00CB2CC3">
        <w:rPr>
          <w:lang w:val="en-US"/>
        </w:rPr>
        <w:t>.</w:t>
      </w:r>
      <w:r w:rsidR="006F1F62">
        <w:rPr>
          <w:lang w:val="en-US"/>
        </w:rPr>
        <w:t xml:space="preserve">. </w:t>
      </w:r>
      <w:r w:rsidR="003E2960">
        <w:rPr>
          <w:lang w:val="en-US"/>
        </w:rPr>
        <w:t xml:space="preserve">These other competitors include </w:t>
      </w:r>
      <w:r w:rsidR="00DE413C">
        <w:rPr>
          <w:lang w:val="en-US"/>
        </w:rPr>
        <w:t xml:space="preserve">Shell </w:t>
      </w:r>
      <w:r w:rsidR="00363C9A">
        <w:rPr>
          <w:lang w:val="en-US"/>
        </w:rPr>
        <w:t>p.l.c.</w:t>
      </w:r>
      <w:r w:rsidR="00DE413C">
        <w:rPr>
          <w:lang w:val="en-US"/>
        </w:rPr>
        <w:t xml:space="preserve"> facing a fall of 17.4% in earnings in 2024, Equinor facing a profit fall of 25.8% in 2024</w:t>
      </w:r>
      <w:r w:rsidR="00941BAB">
        <w:rPr>
          <w:lang w:val="en-US"/>
        </w:rPr>
        <w:t xml:space="preserve"> and others as well</w:t>
      </w:r>
      <w:r w:rsidR="00167AC0">
        <w:rPr>
          <w:lang w:val="en-US"/>
        </w:rPr>
        <w:t xml:space="preserve"> (</w:t>
      </w:r>
      <w:proofErr w:type="spellStart"/>
      <w:r w:rsidR="00167AC0">
        <w:rPr>
          <w:lang w:val="en-US"/>
        </w:rPr>
        <w:t>Alhan</w:t>
      </w:r>
      <w:proofErr w:type="spellEnd"/>
      <w:r w:rsidR="00167AC0">
        <w:rPr>
          <w:lang w:val="en-US"/>
        </w:rPr>
        <w:t>, 2024)</w:t>
      </w:r>
      <w:r w:rsidR="00941BAB">
        <w:rPr>
          <w:lang w:val="en-US"/>
        </w:rPr>
        <w:t xml:space="preserve">. </w:t>
      </w:r>
      <w:r w:rsidR="00167AC0">
        <w:rPr>
          <w:lang w:val="en-US"/>
        </w:rPr>
        <w:t xml:space="preserve">The reasoning </w:t>
      </w:r>
      <w:r w:rsidR="00E11452">
        <w:rPr>
          <w:lang w:val="en-US"/>
        </w:rPr>
        <w:t xml:space="preserve">behind such industry-wide profit decline can be resonated back to sector-wide headwinds in </w:t>
      </w:r>
      <w:r w:rsidR="00517F54">
        <w:rPr>
          <w:lang w:val="en-US"/>
        </w:rPr>
        <w:t xml:space="preserve">a </w:t>
      </w:r>
      <w:r w:rsidR="00E11452">
        <w:rPr>
          <w:lang w:val="en-US"/>
        </w:rPr>
        <w:t>similar trend and fashion</w:t>
      </w:r>
      <w:r w:rsidR="00C338B7">
        <w:rPr>
          <w:lang w:val="en-US"/>
        </w:rPr>
        <w:t xml:space="preserve"> because of lower oil prices and shrinking refining margins (</w:t>
      </w:r>
      <w:proofErr w:type="spellStart"/>
      <w:r w:rsidR="00C338B7">
        <w:rPr>
          <w:lang w:val="en-US"/>
        </w:rPr>
        <w:t>Alhan</w:t>
      </w:r>
      <w:proofErr w:type="spellEnd"/>
      <w:r w:rsidR="00C338B7">
        <w:rPr>
          <w:lang w:val="en-US"/>
        </w:rPr>
        <w:t>, 2024)</w:t>
      </w:r>
      <w:r w:rsidR="00E11452">
        <w:rPr>
          <w:lang w:val="en-US"/>
        </w:rPr>
        <w:t xml:space="preserve">. </w:t>
      </w:r>
    </w:p>
    <w:p w14:paraId="6D879D44" w14:textId="77777777" w:rsidR="00E14786" w:rsidRPr="00E14786" w:rsidRDefault="00E14786" w:rsidP="00285A4B">
      <w:pPr>
        <w:rPr>
          <w:b/>
          <w:bCs/>
        </w:rPr>
      </w:pPr>
      <w:r w:rsidRPr="00E14786">
        <w:rPr>
          <w:b/>
          <w:bCs/>
        </w:rPr>
        <w:t>Return on Equity</w:t>
      </w:r>
      <w:r w:rsidRPr="00E14786">
        <w:t>: It allows shareholders to make important decisions about their interests in a company by quantifying the return on their investment.</w:t>
      </w:r>
    </w:p>
    <w:p w14:paraId="53B87CA0" w14:textId="7BD1FD18" w:rsidR="00FA392F" w:rsidRDefault="00FA392F" w:rsidP="00285A4B">
      <w:pPr>
        <w:rPr>
          <w:lang w:val="en-US"/>
        </w:rPr>
      </w:pPr>
      <w:r>
        <w:rPr>
          <w:lang w:val="en-US"/>
        </w:rPr>
        <w:t xml:space="preserve">Formula = (Net Profit / </w:t>
      </w:r>
      <w:r w:rsidR="00D01643">
        <w:rPr>
          <w:lang w:val="en-US"/>
        </w:rPr>
        <w:t>Shareholder’s Equity</w:t>
      </w:r>
      <w:r>
        <w:rPr>
          <w:lang w:val="en-US"/>
        </w:rPr>
        <w:t>) * 100</w:t>
      </w:r>
    </w:p>
    <w:p w14:paraId="6791E61B" w14:textId="77777777" w:rsidR="00FA392F" w:rsidRDefault="00FA392F"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35"/>
        <w:gridCol w:w="4161"/>
      </w:tblGrid>
      <w:tr w:rsidR="00FA392F" w14:paraId="0E06440E" w14:textId="77777777" w:rsidTr="00285A4B">
        <w:tc>
          <w:tcPr>
            <w:tcW w:w="4135" w:type="dxa"/>
          </w:tcPr>
          <w:p w14:paraId="63358DCC" w14:textId="77777777" w:rsidR="00FA392F" w:rsidRPr="00A718A9" w:rsidRDefault="00FA392F" w:rsidP="00F208D5">
            <w:pPr>
              <w:jc w:val="center"/>
              <w:rPr>
                <w:b/>
                <w:bCs/>
                <w:lang w:val="en-US"/>
              </w:rPr>
            </w:pPr>
            <w:r>
              <w:rPr>
                <w:b/>
                <w:bCs/>
                <w:lang w:val="en-US"/>
              </w:rPr>
              <w:t>Year</w:t>
            </w:r>
          </w:p>
        </w:tc>
        <w:tc>
          <w:tcPr>
            <w:tcW w:w="4161" w:type="dxa"/>
          </w:tcPr>
          <w:p w14:paraId="188DABD8" w14:textId="77777777" w:rsidR="00FA392F" w:rsidRPr="00A718A9" w:rsidRDefault="00FA392F" w:rsidP="00F208D5">
            <w:pPr>
              <w:jc w:val="center"/>
              <w:rPr>
                <w:b/>
                <w:bCs/>
                <w:lang w:val="en-US"/>
              </w:rPr>
            </w:pPr>
            <w:r>
              <w:rPr>
                <w:b/>
                <w:bCs/>
                <w:lang w:val="en-US"/>
              </w:rPr>
              <w:t>Result</w:t>
            </w:r>
          </w:p>
        </w:tc>
      </w:tr>
      <w:tr w:rsidR="00FA392F" w14:paraId="6B032408" w14:textId="77777777" w:rsidTr="00285A4B">
        <w:tc>
          <w:tcPr>
            <w:tcW w:w="4135" w:type="dxa"/>
          </w:tcPr>
          <w:p w14:paraId="216D849C" w14:textId="77777777" w:rsidR="00FA392F" w:rsidRDefault="00FA392F" w:rsidP="00F208D5">
            <w:pPr>
              <w:jc w:val="center"/>
              <w:rPr>
                <w:lang w:val="en-US"/>
              </w:rPr>
            </w:pPr>
            <w:r>
              <w:rPr>
                <w:lang w:val="en-US"/>
              </w:rPr>
              <w:t>2023</w:t>
            </w:r>
          </w:p>
        </w:tc>
        <w:tc>
          <w:tcPr>
            <w:tcW w:w="4161" w:type="dxa"/>
          </w:tcPr>
          <w:p w14:paraId="01851F01" w14:textId="04784FD8" w:rsidR="00FA392F" w:rsidRDefault="00DF4F5F" w:rsidP="00F208D5">
            <w:pPr>
              <w:jc w:val="center"/>
              <w:rPr>
                <w:lang w:val="en-US"/>
              </w:rPr>
            </w:pPr>
            <w:r>
              <w:rPr>
                <w:lang w:val="en-US"/>
              </w:rPr>
              <w:t>21.69%</w:t>
            </w:r>
          </w:p>
        </w:tc>
      </w:tr>
      <w:tr w:rsidR="00FA392F" w14:paraId="7352836C" w14:textId="77777777" w:rsidTr="00285A4B">
        <w:tc>
          <w:tcPr>
            <w:tcW w:w="4135" w:type="dxa"/>
          </w:tcPr>
          <w:p w14:paraId="728A295C" w14:textId="77777777" w:rsidR="00FA392F" w:rsidRDefault="00FA392F" w:rsidP="00F208D5">
            <w:pPr>
              <w:jc w:val="center"/>
              <w:rPr>
                <w:lang w:val="en-US"/>
              </w:rPr>
            </w:pPr>
            <w:r>
              <w:rPr>
                <w:lang w:val="en-US"/>
              </w:rPr>
              <w:t>2024</w:t>
            </w:r>
          </w:p>
        </w:tc>
        <w:tc>
          <w:tcPr>
            <w:tcW w:w="4161" w:type="dxa"/>
          </w:tcPr>
          <w:p w14:paraId="3961ADBA" w14:textId="61309480" w:rsidR="00FA392F" w:rsidRDefault="00DF4F5F" w:rsidP="00F208D5">
            <w:pPr>
              <w:jc w:val="center"/>
              <w:rPr>
                <w:lang w:val="en-US"/>
              </w:rPr>
            </w:pPr>
            <w:r>
              <w:rPr>
                <w:lang w:val="en-US"/>
              </w:rPr>
              <w:t>0.64%</w:t>
            </w:r>
          </w:p>
        </w:tc>
      </w:tr>
    </w:tbl>
    <w:p w14:paraId="1AD3939E" w14:textId="25B749A6" w:rsidR="00862F75" w:rsidRDefault="002928BB" w:rsidP="00285A4B">
      <w:pPr>
        <w:rPr>
          <w:lang w:val="en-US"/>
        </w:rPr>
      </w:pPr>
      <w:r>
        <w:rPr>
          <w:noProof/>
          <w:lang w:val="en-US"/>
        </w:rPr>
        <w:lastRenderedPageBreak/>
        <w:drawing>
          <wp:inline distT="0" distB="0" distL="0" distR="0" wp14:anchorId="03912C91" wp14:editId="55C3DFE8">
            <wp:extent cx="5486400" cy="3200400"/>
            <wp:effectExtent l="0" t="0" r="0" b="0"/>
            <wp:docPr id="168173624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955BAB" w14:textId="4A7F908E" w:rsidR="00862F75" w:rsidRDefault="00862F75" w:rsidP="00285A4B">
      <w:pPr>
        <w:jc w:val="center"/>
        <w:rPr>
          <w:lang w:val="en-US"/>
        </w:rPr>
      </w:pPr>
      <w:r>
        <w:rPr>
          <w:b/>
          <w:bCs/>
          <w:lang w:val="en-US"/>
        </w:rPr>
        <w:t xml:space="preserve">Figure: </w:t>
      </w:r>
      <w:r>
        <w:rPr>
          <w:lang w:val="en-US"/>
        </w:rPr>
        <w:t>Return on Equity Illustrated (Source: Own)</w:t>
      </w:r>
    </w:p>
    <w:p w14:paraId="0EE4CDC5" w14:textId="1E4FDE47" w:rsidR="00FA392F" w:rsidRDefault="00862258" w:rsidP="00285A4B">
      <w:pPr>
        <w:rPr>
          <w:lang w:val="en-US"/>
        </w:rPr>
      </w:pPr>
      <w:r>
        <w:rPr>
          <w:lang w:val="en-US"/>
        </w:rPr>
        <w:t xml:space="preserve">Return on equity of BP </w:t>
      </w:r>
      <w:r w:rsidR="00363C9A">
        <w:rPr>
          <w:lang w:val="en-US"/>
        </w:rPr>
        <w:t>p.l.c.</w:t>
      </w:r>
      <w:r>
        <w:rPr>
          <w:lang w:val="en-US"/>
        </w:rPr>
        <w:t xml:space="preserve"> has </w:t>
      </w:r>
      <w:r w:rsidR="007F6F78">
        <w:rPr>
          <w:lang w:val="en-US"/>
        </w:rPr>
        <w:t xml:space="preserve">also weakened in the same period as the margin fell from 21.69% in 2023 to just 0.64% in the following year. </w:t>
      </w:r>
      <w:r w:rsidR="008840C6">
        <w:rPr>
          <w:lang w:val="en-US"/>
        </w:rPr>
        <w:t>This shows that the shareholder funds are generating much lower returns compared to previous year (</w:t>
      </w:r>
      <w:r w:rsidR="00BA376A">
        <w:rPr>
          <w:lang w:val="en-US"/>
        </w:rPr>
        <w:t>Kharatyan et al., 2016)</w:t>
      </w:r>
      <w:r w:rsidR="008840C6">
        <w:rPr>
          <w:lang w:val="en-US"/>
        </w:rPr>
        <w:t xml:space="preserve">. </w:t>
      </w:r>
      <w:r w:rsidR="009C527F">
        <w:rPr>
          <w:lang w:val="en-US"/>
        </w:rPr>
        <w:t xml:space="preserve">From academic studies, it can be stated that if ROE sustains below peers and sector norms, it can signal towards strategic or even operational underperformance. </w:t>
      </w:r>
      <w:r w:rsidR="00C941F4">
        <w:rPr>
          <w:lang w:val="en-US"/>
        </w:rPr>
        <w:t xml:space="preserve">For instance, peers such as Equinor, Chevron, Shell, ExxonMobil, </w:t>
      </w:r>
      <w:proofErr w:type="spellStart"/>
      <w:r w:rsidR="00C941F4">
        <w:rPr>
          <w:lang w:val="en-US"/>
        </w:rPr>
        <w:t>TotalEnergies</w:t>
      </w:r>
      <w:proofErr w:type="spellEnd"/>
      <w:r w:rsidR="00C941F4">
        <w:rPr>
          <w:lang w:val="en-US"/>
        </w:rPr>
        <w:t xml:space="preserve"> etc. all have faced decline in their ROE to certain degrees in 2024 compared to 2023 in the range of 6-13%</w:t>
      </w:r>
      <w:r w:rsidR="00BA376A">
        <w:rPr>
          <w:lang w:val="en-US"/>
        </w:rPr>
        <w:t xml:space="preserve"> (Anderson, 2024)</w:t>
      </w:r>
      <w:r w:rsidR="00C941F4">
        <w:rPr>
          <w:lang w:val="en-US"/>
        </w:rPr>
        <w:t xml:space="preserve">. However, the fall of BP </w:t>
      </w:r>
      <w:r w:rsidR="00CB2CC3">
        <w:rPr>
          <w:lang w:val="en-US"/>
        </w:rPr>
        <w:t>p.l.c.</w:t>
      </w:r>
      <w:r w:rsidR="00C941F4">
        <w:rPr>
          <w:lang w:val="en-US"/>
        </w:rPr>
        <w:t xml:space="preserve"> has fallen nearly to zero which showcases much worse performance compared to its industry peers.</w:t>
      </w:r>
    </w:p>
    <w:p w14:paraId="504A579F" w14:textId="0E9DB14C" w:rsidR="00117A43" w:rsidRPr="00F14FD7" w:rsidRDefault="0093252F" w:rsidP="00285A4B">
      <w:pPr>
        <w:pStyle w:val="Heading4"/>
        <w:rPr>
          <w:lang w:val="en-US"/>
        </w:rPr>
      </w:pPr>
      <w:r>
        <w:rPr>
          <w:lang w:val="en-US"/>
        </w:rPr>
        <w:t>Liqu</w:t>
      </w:r>
      <w:r w:rsidR="00DF4F5F">
        <w:rPr>
          <w:lang w:val="en-US"/>
        </w:rPr>
        <w:t>i</w:t>
      </w:r>
      <w:r>
        <w:rPr>
          <w:lang w:val="en-US"/>
        </w:rPr>
        <w:t>dity</w:t>
      </w:r>
      <w:r w:rsidR="00117A43">
        <w:rPr>
          <w:lang w:val="en-US"/>
        </w:rPr>
        <w:t xml:space="preserve"> Ratio</w:t>
      </w:r>
    </w:p>
    <w:p w14:paraId="6A2AAA49" w14:textId="77777777" w:rsidR="00E14786" w:rsidRPr="00E14786" w:rsidRDefault="00E14786" w:rsidP="00285A4B">
      <w:r w:rsidRPr="00E14786">
        <w:t xml:space="preserve">The metrics used to assess a company's liquidity status, which shows how well it can settle its short-term and urgent debts over a specific time frame, are known as liquidity ratios. </w:t>
      </w:r>
      <w:r w:rsidRPr="00E14786">
        <w:br/>
      </w:r>
      <w:r w:rsidRPr="00E14786">
        <w:rPr>
          <w:b/>
          <w:bCs/>
        </w:rPr>
        <w:t>Current Ratio:</w:t>
      </w:r>
      <w:r w:rsidRPr="00E14786">
        <w:t xml:space="preserve"> This liquidity ratio is used to assess how well a company can use its short-term assets to settle its short-term debts. Although it varies by industry, textbooks say that a company can pay off its short-term loans if its current ratio is greater than 1 (La Rosa, 2020).</w:t>
      </w:r>
    </w:p>
    <w:p w14:paraId="3F45278A" w14:textId="215FF8AD" w:rsidR="00117A43" w:rsidRDefault="00117A43" w:rsidP="00285A4B">
      <w:pPr>
        <w:rPr>
          <w:lang w:val="en-US"/>
        </w:rPr>
      </w:pPr>
      <w:r>
        <w:rPr>
          <w:lang w:val="en-US"/>
        </w:rPr>
        <w:t>Formula = (</w:t>
      </w:r>
      <w:r w:rsidR="00882CED">
        <w:rPr>
          <w:lang w:val="en-US"/>
        </w:rPr>
        <w:t>Current Assets</w:t>
      </w:r>
      <w:r>
        <w:rPr>
          <w:lang w:val="en-US"/>
        </w:rPr>
        <w:t xml:space="preserve"> / </w:t>
      </w:r>
      <w:r w:rsidR="00882CED">
        <w:rPr>
          <w:lang w:val="en-US"/>
        </w:rPr>
        <w:t>Current Debts</w:t>
      </w:r>
      <w:r>
        <w:rPr>
          <w:lang w:val="en-US"/>
        </w:rPr>
        <w:t>)</w:t>
      </w:r>
    </w:p>
    <w:p w14:paraId="5B0AB0A6" w14:textId="77777777" w:rsidR="00117A43" w:rsidRDefault="00117A43"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40"/>
        <w:gridCol w:w="4156"/>
      </w:tblGrid>
      <w:tr w:rsidR="00117A43" w14:paraId="42328C2E" w14:textId="77777777" w:rsidTr="00285A4B">
        <w:tc>
          <w:tcPr>
            <w:tcW w:w="4140" w:type="dxa"/>
          </w:tcPr>
          <w:p w14:paraId="4427B023" w14:textId="77777777" w:rsidR="00117A43" w:rsidRPr="00A718A9" w:rsidRDefault="00117A43" w:rsidP="00F208D5">
            <w:pPr>
              <w:jc w:val="center"/>
              <w:rPr>
                <w:b/>
                <w:bCs/>
                <w:lang w:val="en-US"/>
              </w:rPr>
            </w:pPr>
            <w:r>
              <w:rPr>
                <w:b/>
                <w:bCs/>
                <w:lang w:val="en-US"/>
              </w:rPr>
              <w:lastRenderedPageBreak/>
              <w:t>Year</w:t>
            </w:r>
          </w:p>
        </w:tc>
        <w:tc>
          <w:tcPr>
            <w:tcW w:w="4156" w:type="dxa"/>
          </w:tcPr>
          <w:p w14:paraId="419D14C4" w14:textId="77777777" w:rsidR="00117A43" w:rsidRPr="00A718A9" w:rsidRDefault="00117A43" w:rsidP="00F208D5">
            <w:pPr>
              <w:jc w:val="center"/>
              <w:rPr>
                <w:b/>
                <w:bCs/>
                <w:lang w:val="en-US"/>
              </w:rPr>
            </w:pPr>
            <w:r>
              <w:rPr>
                <w:b/>
                <w:bCs/>
                <w:lang w:val="en-US"/>
              </w:rPr>
              <w:t>Result</w:t>
            </w:r>
          </w:p>
        </w:tc>
      </w:tr>
      <w:tr w:rsidR="00117A43" w14:paraId="41228DC6" w14:textId="77777777" w:rsidTr="00285A4B">
        <w:tc>
          <w:tcPr>
            <w:tcW w:w="4140" w:type="dxa"/>
          </w:tcPr>
          <w:p w14:paraId="2838868C" w14:textId="77777777" w:rsidR="00117A43" w:rsidRDefault="00117A43" w:rsidP="00F208D5">
            <w:pPr>
              <w:jc w:val="center"/>
              <w:rPr>
                <w:lang w:val="en-US"/>
              </w:rPr>
            </w:pPr>
            <w:r>
              <w:rPr>
                <w:lang w:val="en-US"/>
              </w:rPr>
              <w:t>2023</w:t>
            </w:r>
          </w:p>
        </w:tc>
        <w:tc>
          <w:tcPr>
            <w:tcW w:w="4156" w:type="dxa"/>
          </w:tcPr>
          <w:p w14:paraId="1B8E676D" w14:textId="3AE77B5C" w:rsidR="00117A43" w:rsidRDefault="002D4F55" w:rsidP="00F208D5">
            <w:pPr>
              <w:jc w:val="center"/>
              <w:rPr>
                <w:lang w:val="en-US"/>
              </w:rPr>
            </w:pPr>
            <w:r>
              <w:rPr>
                <w:lang w:val="en-US"/>
              </w:rPr>
              <w:t>1.21</w:t>
            </w:r>
          </w:p>
        </w:tc>
      </w:tr>
      <w:tr w:rsidR="00117A43" w14:paraId="0170CD86" w14:textId="77777777" w:rsidTr="00285A4B">
        <w:tc>
          <w:tcPr>
            <w:tcW w:w="4140" w:type="dxa"/>
          </w:tcPr>
          <w:p w14:paraId="65A5C237" w14:textId="77777777" w:rsidR="00117A43" w:rsidRDefault="00117A43" w:rsidP="00F208D5">
            <w:pPr>
              <w:jc w:val="center"/>
              <w:rPr>
                <w:lang w:val="en-US"/>
              </w:rPr>
            </w:pPr>
            <w:r>
              <w:rPr>
                <w:lang w:val="en-US"/>
              </w:rPr>
              <w:t>2024</w:t>
            </w:r>
          </w:p>
        </w:tc>
        <w:tc>
          <w:tcPr>
            <w:tcW w:w="4156" w:type="dxa"/>
          </w:tcPr>
          <w:p w14:paraId="2318974B" w14:textId="1A4DCAF1" w:rsidR="00117A43" w:rsidRDefault="002D4F55" w:rsidP="00F208D5">
            <w:pPr>
              <w:jc w:val="center"/>
              <w:rPr>
                <w:lang w:val="en-US"/>
              </w:rPr>
            </w:pPr>
            <w:r>
              <w:rPr>
                <w:lang w:val="en-US"/>
              </w:rPr>
              <w:t>1.25</w:t>
            </w:r>
          </w:p>
        </w:tc>
      </w:tr>
    </w:tbl>
    <w:p w14:paraId="720E84CE" w14:textId="77777777" w:rsidR="00862F75" w:rsidRDefault="00862F75" w:rsidP="00285A4B">
      <w:pPr>
        <w:rPr>
          <w:lang w:val="en-US"/>
        </w:rPr>
      </w:pPr>
    </w:p>
    <w:p w14:paraId="5E4A5087" w14:textId="6B1A3E00" w:rsidR="002928BB" w:rsidRDefault="002928BB" w:rsidP="00285A4B">
      <w:pPr>
        <w:rPr>
          <w:lang w:val="en-US"/>
        </w:rPr>
      </w:pPr>
      <w:r>
        <w:rPr>
          <w:noProof/>
          <w:lang w:val="en-US"/>
        </w:rPr>
        <w:drawing>
          <wp:inline distT="0" distB="0" distL="0" distR="0" wp14:anchorId="68C96D40" wp14:editId="4F8F51F0">
            <wp:extent cx="5486400" cy="3200400"/>
            <wp:effectExtent l="0" t="0" r="0" b="0"/>
            <wp:docPr id="31956544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B8A68D" w14:textId="537631A7" w:rsidR="00862F75" w:rsidRDefault="00862F75" w:rsidP="00285A4B">
      <w:pPr>
        <w:jc w:val="center"/>
        <w:rPr>
          <w:lang w:val="en-US"/>
        </w:rPr>
      </w:pPr>
      <w:r>
        <w:rPr>
          <w:b/>
          <w:bCs/>
          <w:lang w:val="en-US"/>
        </w:rPr>
        <w:t xml:space="preserve">Figure: </w:t>
      </w:r>
      <w:r>
        <w:rPr>
          <w:lang w:val="en-US"/>
        </w:rPr>
        <w:t>Current Ratio Illustrated (Source: Own)</w:t>
      </w:r>
    </w:p>
    <w:p w14:paraId="4EA5C739" w14:textId="77777777" w:rsidR="00E14786" w:rsidRPr="00E14786" w:rsidRDefault="00E14786" w:rsidP="00285A4B">
      <w:r w:rsidRPr="00E14786">
        <w:t xml:space="preserve">The current ratio of BP p.l.c. is now expected to have slightly increased between 2023 and 2024, rising from 1.21 in 2023 to 1.25 in 2024 (BP p.l.c., 2025). For manufacturing and capital-intensive businesses like BP p.l.c., a range of 1.5 to 2.0 is typically mentioned; however, since the current ratio is greater than 1.0, it will be able to adequately </w:t>
      </w:r>
      <w:proofErr w:type="spellStart"/>
      <w:r w:rsidRPr="00E14786">
        <w:t>fulfill</w:t>
      </w:r>
      <w:proofErr w:type="spellEnd"/>
      <w:r w:rsidRPr="00E14786">
        <w:t xml:space="preserve"> all of its short-term obligations (</w:t>
      </w:r>
      <w:proofErr w:type="spellStart"/>
      <w:r w:rsidRPr="00E14786">
        <w:t>Lanjewar</w:t>
      </w:r>
      <w:proofErr w:type="spellEnd"/>
      <w:r w:rsidRPr="00E14786">
        <w:t xml:space="preserve"> and Bansal, 2021).</w:t>
      </w:r>
    </w:p>
    <w:p w14:paraId="61E2DCCE" w14:textId="2BE419B7" w:rsidR="00E14786" w:rsidRPr="00E14786" w:rsidRDefault="00E14786" w:rsidP="00285A4B">
      <w:r w:rsidRPr="00E14786">
        <w:rPr>
          <w:b/>
          <w:bCs/>
        </w:rPr>
        <w:t>Acid Test Ratio</w:t>
      </w:r>
      <w:r>
        <w:rPr>
          <w:b/>
          <w:bCs/>
        </w:rPr>
        <w:t>:</w:t>
      </w:r>
      <w:r w:rsidRPr="00E14786">
        <w:rPr>
          <w:b/>
          <w:bCs/>
        </w:rPr>
        <w:t xml:space="preserve"> </w:t>
      </w:r>
      <w:r w:rsidRPr="00E14786">
        <w:t>It is a quicker way to assess a company's ability to settle its most pressing debts using its present assets, excluding inventories.</w:t>
      </w:r>
    </w:p>
    <w:p w14:paraId="612C4E8B" w14:textId="42770A61" w:rsidR="00117A43" w:rsidRDefault="00117A43" w:rsidP="00285A4B">
      <w:pPr>
        <w:rPr>
          <w:lang w:val="en-US"/>
        </w:rPr>
      </w:pPr>
      <w:r>
        <w:rPr>
          <w:lang w:val="en-US"/>
        </w:rPr>
        <w:t xml:space="preserve">Formula = </w:t>
      </w:r>
      <w:r w:rsidR="002D4F55">
        <w:rPr>
          <w:lang w:val="en-US"/>
        </w:rPr>
        <w:t>[</w:t>
      </w:r>
      <w:r>
        <w:rPr>
          <w:lang w:val="en-US"/>
        </w:rPr>
        <w:t>(</w:t>
      </w:r>
      <w:r w:rsidR="002D4F55">
        <w:rPr>
          <w:lang w:val="en-US"/>
        </w:rPr>
        <w:t>Current Assets – Inventories)</w:t>
      </w:r>
      <w:r>
        <w:rPr>
          <w:lang w:val="en-US"/>
        </w:rPr>
        <w:t xml:space="preserve"> / </w:t>
      </w:r>
      <w:r w:rsidR="002D4F55">
        <w:rPr>
          <w:lang w:val="en-US"/>
        </w:rPr>
        <w:t>Current Debts]</w:t>
      </w:r>
    </w:p>
    <w:p w14:paraId="7BCE0CCC" w14:textId="77777777" w:rsidR="00117A43" w:rsidRDefault="00117A43"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40"/>
        <w:gridCol w:w="4156"/>
      </w:tblGrid>
      <w:tr w:rsidR="00117A43" w14:paraId="442AC810" w14:textId="77777777" w:rsidTr="00285A4B">
        <w:tc>
          <w:tcPr>
            <w:tcW w:w="4140" w:type="dxa"/>
          </w:tcPr>
          <w:p w14:paraId="2ACDFA4D" w14:textId="77777777" w:rsidR="00117A43" w:rsidRPr="00A718A9" w:rsidRDefault="00117A43" w:rsidP="00F208D5">
            <w:pPr>
              <w:jc w:val="center"/>
              <w:rPr>
                <w:b/>
                <w:bCs/>
                <w:lang w:val="en-US"/>
              </w:rPr>
            </w:pPr>
            <w:r>
              <w:rPr>
                <w:b/>
                <w:bCs/>
                <w:lang w:val="en-US"/>
              </w:rPr>
              <w:t>Year</w:t>
            </w:r>
          </w:p>
        </w:tc>
        <w:tc>
          <w:tcPr>
            <w:tcW w:w="4156" w:type="dxa"/>
          </w:tcPr>
          <w:p w14:paraId="3B08301E" w14:textId="77777777" w:rsidR="00117A43" w:rsidRPr="00A718A9" w:rsidRDefault="00117A43" w:rsidP="00F208D5">
            <w:pPr>
              <w:jc w:val="center"/>
              <w:rPr>
                <w:b/>
                <w:bCs/>
                <w:lang w:val="en-US"/>
              </w:rPr>
            </w:pPr>
            <w:r>
              <w:rPr>
                <w:b/>
                <w:bCs/>
                <w:lang w:val="en-US"/>
              </w:rPr>
              <w:t>Result</w:t>
            </w:r>
          </w:p>
        </w:tc>
      </w:tr>
      <w:tr w:rsidR="00117A43" w14:paraId="49EEFD77" w14:textId="77777777" w:rsidTr="00285A4B">
        <w:tc>
          <w:tcPr>
            <w:tcW w:w="4140" w:type="dxa"/>
          </w:tcPr>
          <w:p w14:paraId="3849ED7F" w14:textId="77777777" w:rsidR="00117A43" w:rsidRDefault="00117A43" w:rsidP="00F208D5">
            <w:pPr>
              <w:jc w:val="center"/>
              <w:rPr>
                <w:lang w:val="en-US"/>
              </w:rPr>
            </w:pPr>
            <w:r>
              <w:rPr>
                <w:lang w:val="en-US"/>
              </w:rPr>
              <w:t>2023</w:t>
            </w:r>
          </w:p>
        </w:tc>
        <w:tc>
          <w:tcPr>
            <w:tcW w:w="4156" w:type="dxa"/>
          </w:tcPr>
          <w:p w14:paraId="0728F942" w14:textId="5820BAFD" w:rsidR="00117A43" w:rsidRDefault="002D4F55" w:rsidP="00F208D5">
            <w:pPr>
              <w:jc w:val="center"/>
              <w:rPr>
                <w:lang w:val="en-US"/>
              </w:rPr>
            </w:pPr>
            <w:r>
              <w:rPr>
                <w:lang w:val="en-US"/>
              </w:rPr>
              <w:t>0.94</w:t>
            </w:r>
          </w:p>
        </w:tc>
      </w:tr>
      <w:tr w:rsidR="00117A43" w14:paraId="29907164" w14:textId="77777777" w:rsidTr="00285A4B">
        <w:tc>
          <w:tcPr>
            <w:tcW w:w="4140" w:type="dxa"/>
          </w:tcPr>
          <w:p w14:paraId="707EA9AD" w14:textId="77777777" w:rsidR="00117A43" w:rsidRDefault="00117A43" w:rsidP="00F208D5">
            <w:pPr>
              <w:jc w:val="center"/>
              <w:rPr>
                <w:lang w:val="en-US"/>
              </w:rPr>
            </w:pPr>
            <w:r>
              <w:rPr>
                <w:lang w:val="en-US"/>
              </w:rPr>
              <w:t>2024</w:t>
            </w:r>
          </w:p>
        </w:tc>
        <w:tc>
          <w:tcPr>
            <w:tcW w:w="4156" w:type="dxa"/>
          </w:tcPr>
          <w:p w14:paraId="46403DD2" w14:textId="240B061A" w:rsidR="00117A43" w:rsidRDefault="002D4F55" w:rsidP="00F208D5">
            <w:pPr>
              <w:jc w:val="center"/>
              <w:rPr>
                <w:lang w:val="en-US"/>
              </w:rPr>
            </w:pPr>
            <w:r>
              <w:rPr>
                <w:lang w:val="en-US"/>
              </w:rPr>
              <w:t>0.97</w:t>
            </w:r>
          </w:p>
        </w:tc>
      </w:tr>
    </w:tbl>
    <w:p w14:paraId="211B08B5" w14:textId="77777777" w:rsidR="00862F75" w:rsidRDefault="00862F75" w:rsidP="00285A4B">
      <w:pPr>
        <w:rPr>
          <w:lang w:val="en-US"/>
        </w:rPr>
      </w:pPr>
    </w:p>
    <w:p w14:paraId="552E3325" w14:textId="582C1077" w:rsidR="002928BB" w:rsidRDefault="002928BB" w:rsidP="00285A4B">
      <w:pPr>
        <w:rPr>
          <w:lang w:val="en-US"/>
        </w:rPr>
      </w:pPr>
      <w:r>
        <w:rPr>
          <w:noProof/>
          <w:lang w:val="en-US"/>
        </w:rPr>
        <w:lastRenderedPageBreak/>
        <w:drawing>
          <wp:inline distT="0" distB="0" distL="0" distR="0" wp14:anchorId="2D807EB2" wp14:editId="10DD7CFB">
            <wp:extent cx="5486400" cy="3200400"/>
            <wp:effectExtent l="0" t="0" r="0" b="0"/>
            <wp:docPr id="109256930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CC71AB1" w14:textId="4A3D7101" w:rsidR="00862F75" w:rsidRDefault="00862F75" w:rsidP="00285A4B">
      <w:pPr>
        <w:jc w:val="center"/>
        <w:rPr>
          <w:lang w:val="en-US"/>
        </w:rPr>
      </w:pPr>
      <w:r>
        <w:rPr>
          <w:b/>
          <w:bCs/>
          <w:lang w:val="en-US"/>
        </w:rPr>
        <w:t xml:space="preserve">Figure: </w:t>
      </w:r>
      <w:r>
        <w:rPr>
          <w:lang w:val="en-US"/>
        </w:rPr>
        <w:t>Acid Test Ratio</w:t>
      </w:r>
      <w:r w:rsidR="00C91FAC">
        <w:rPr>
          <w:lang w:val="en-US"/>
        </w:rPr>
        <w:t xml:space="preserve"> </w:t>
      </w:r>
      <w:r>
        <w:rPr>
          <w:lang w:val="en-US"/>
        </w:rPr>
        <w:t>Illustrated (Source: Own)</w:t>
      </w:r>
    </w:p>
    <w:p w14:paraId="37D6F123" w14:textId="01B68F0E" w:rsidR="00E14786" w:rsidRPr="003A7FB8" w:rsidRDefault="00E14786" w:rsidP="00285A4B">
      <w:r w:rsidRPr="00E14786">
        <w:t>Once more, the company's fast asset ratio has improved along with the current ratio. In 2024, the company's fast asset ratio was 0.97, up from 0.94 in 2023. Considering how turbulent the company's overall financial performance has been, this is a minor improvement. Once more, although the levels vary from industry to industry, a quick asset ratio of 1 is thought to be a reasonable benchmark for a company to meet its extremely short-term needs (Bragg, 2012).</w:t>
      </w:r>
    </w:p>
    <w:p w14:paraId="45D90C34" w14:textId="76B02732" w:rsidR="00117A43" w:rsidRPr="00F14FD7" w:rsidRDefault="0093252F" w:rsidP="00285A4B">
      <w:pPr>
        <w:pStyle w:val="Heading4"/>
        <w:rPr>
          <w:lang w:val="en-US"/>
        </w:rPr>
      </w:pPr>
      <w:r>
        <w:rPr>
          <w:lang w:val="en-US"/>
        </w:rPr>
        <w:t>Efficiency</w:t>
      </w:r>
      <w:r w:rsidR="00117A43">
        <w:rPr>
          <w:lang w:val="en-US"/>
        </w:rPr>
        <w:t xml:space="preserve"> Ratio</w:t>
      </w:r>
    </w:p>
    <w:p w14:paraId="7CA3BBB2" w14:textId="77777777" w:rsidR="00002C55" w:rsidRPr="00002C55" w:rsidRDefault="00002C55" w:rsidP="00285A4B">
      <w:pPr>
        <w:rPr>
          <w:lang w:val="en-US"/>
        </w:rPr>
      </w:pPr>
      <w:r w:rsidRPr="00002C55">
        <w:rPr>
          <w:lang w:val="en-US"/>
        </w:rPr>
        <w:t xml:space="preserve">Efficiency ratios are often used to determine how well a business can use its assets, inventory, and other resources. </w:t>
      </w:r>
    </w:p>
    <w:p w14:paraId="367B9069" w14:textId="77777777" w:rsidR="00002C55" w:rsidRDefault="00002C55" w:rsidP="00285A4B">
      <w:pPr>
        <w:rPr>
          <w:lang w:val="en-US"/>
        </w:rPr>
      </w:pPr>
      <w:r w:rsidRPr="00002C55">
        <w:rPr>
          <w:lang w:val="en-US"/>
        </w:rPr>
        <w:t>Asset Turnover Ratio: This ratio assesses a company's ability to generate revenue for every dollar invested in assets in order to estimate its asset productivity.</w:t>
      </w:r>
    </w:p>
    <w:p w14:paraId="09E267A5" w14:textId="1FB67A39" w:rsidR="00117A43" w:rsidRDefault="00117A43" w:rsidP="00285A4B">
      <w:pPr>
        <w:rPr>
          <w:lang w:val="en-US"/>
        </w:rPr>
      </w:pPr>
      <w:r>
        <w:rPr>
          <w:lang w:val="en-US"/>
        </w:rPr>
        <w:t>Formula = (</w:t>
      </w:r>
      <w:r w:rsidR="00D100AD">
        <w:rPr>
          <w:lang w:val="en-US"/>
        </w:rPr>
        <w:t xml:space="preserve">Revenue </w:t>
      </w:r>
      <w:r>
        <w:rPr>
          <w:lang w:val="en-US"/>
        </w:rPr>
        <w:t xml:space="preserve">/ </w:t>
      </w:r>
      <w:r w:rsidR="00D100AD">
        <w:rPr>
          <w:lang w:val="en-US"/>
        </w:rPr>
        <w:t>Total Assets</w:t>
      </w:r>
      <w:r>
        <w:rPr>
          <w:lang w:val="en-US"/>
        </w:rPr>
        <w:t>)</w:t>
      </w:r>
    </w:p>
    <w:p w14:paraId="4DAEE441" w14:textId="77777777" w:rsidR="00117A43" w:rsidRDefault="00117A43"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40"/>
        <w:gridCol w:w="4156"/>
      </w:tblGrid>
      <w:tr w:rsidR="00117A43" w14:paraId="60F58DBA" w14:textId="77777777" w:rsidTr="00285A4B">
        <w:tc>
          <w:tcPr>
            <w:tcW w:w="4140" w:type="dxa"/>
          </w:tcPr>
          <w:p w14:paraId="49777E1C" w14:textId="77777777" w:rsidR="00117A43" w:rsidRPr="00A718A9" w:rsidRDefault="00117A43" w:rsidP="00F208D5">
            <w:pPr>
              <w:jc w:val="center"/>
              <w:rPr>
                <w:b/>
                <w:bCs/>
                <w:lang w:val="en-US"/>
              </w:rPr>
            </w:pPr>
            <w:r>
              <w:rPr>
                <w:b/>
                <w:bCs/>
                <w:lang w:val="en-US"/>
              </w:rPr>
              <w:t>Year</w:t>
            </w:r>
          </w:p>
        </w:tc>
        <w:tc>
          <w:tcPr>
            <w:tcW w:w="4156" w:type="dxa"/>
          </w:tcPr>
          <w:p w14:paraId="082DD29D" w14:textId="77777777" w:rsidR="00117A43" w:rsidRPr="00A718A9" w:rsidRDefault="00117A43" w:rsidP="00F208D5">
            <w:pPr>
              <w:jc w:val="center"/>
              <w:rPr>
                <w:b/>
                <w:bCs/>
                <w:lang w:val="en-US"/>
              </w:rPr>
            </w:pPr>
            <w:r>
              <w:rPr>
                <w:b/>
                <w:bCs/>
                <w:lang w:val="en-US"/>
              </w:rPr>
              <w:t>Result</w:t>
            </w:r>
          </w:p>
        </w:tc>
      </w:tr>
      <w:tr w:rsidR="00117A43" w14:paraId="7C22B318" w14:textId="77777777" w:rsidTr="00285A4B">
        <w:tc>
          <w:tcPr>
            <w:tcW w:w="4140" w:type="dxa"/>
          </w:tcPr>
          <w:p w14:paraId="474AF75B" w14:textId="77777777" w:rsidR="00117A43" w:rsidRDefault="00117A43" w:rsidP="00F208D5">
            <w:pPr>
              <w:jc w:val="center"/>
              <w:rPr>
                <w:lang w:val="en-US"/>
              </w:rPr>
            </w:pPr>
            <w:r>
              <w:rPr>
                <w:lang w:val="en-US"/>
              </w:rPr>
              <w:t>2023</w:t>
            </w:r>
          </w:p>
        </w:tc>
        <w:tc>
          <w:tcPr>
            <w:tcW w:w="4156" w:type="dxa"/>
          </w:tcPr>
          <w:p w14:paraId="22002F48" w14:textId="6F7C27A9" w:rsidR="00117A43" w:rsidRDefault="00D100AD" w:rsidP="00F208D5">
            <w:pPr>
              <w:jc w:val="center"/>
              <w:rPr>
                <w:lang w:val="en-US"/>
              </w:rPr>
            </w:pPr>
            <w:r>
              <w:rPr>
                <w:lang w:val="en-US"/>
              </w:rPr>
              <w:t>0.75 Times</w:t>
            </w:r>
          </w:p>
        </w:tc>
      </w:tr>
      <w:tr w:rsidR="00117A43" w14:paraId="7E847BC6" w14:textId="77777777" w:rsidTr="00285A4B">
        <w:tc>
          <w:tcPr>
            <w:tcW w:w="4140" w:type="dxa"/>
          </w:tcPr>
          <w:p w14:paraId="5A3DAD08" w14:textId="77777777" w:rsidR="00117A43" w:rsidRDefault="00117A43" w:rsidP="00F208D5">
            <w:pPr>
              <w:jc w:val="center"/>
              <w:rPr>
                <w:lang w:val="en-US"/>
              </w:rPr>
            </w:pPr>
            <w:r>
              <w:rPr>
                <w:lang w:val="en-US"/>
              </w:rPr>
              <w:t>2024</w:t>
            </w:r>
          </w:p>
        </w:tc>
        <w:tc>
          <w:tcPr>
            <w:tcW w:w="4156" w:type="dxa"/>
          </w:tcPr>
          <w:p w14:paraId="0B23FBED" w14:textId="680D7EAA" w:rsidR="00117A43" w:rsidRDefault="00D100AD" w:rsidP="00F208D5">
            <w:pPr>
              <w:jc w:val="center"/>
              <w:rPr>
                <w:lang w:val="en-US"/>
              </w:rPr>
            </w:pPr>
            <w:r>
              <w:rPr>
                <w:lang w:val="en-US"/>
              </w:rPr>
              <w:t>0.67 Times</w:t>
            </w:r>
          </w:p>
        </w:tc>
      </w:tr>
    </w:tbl>
    <w:p w14:paraId="4BF58889" w14:textId="1C105E03" w:rsidR="003908EA" w:rsidRDefault="002928BB" w:rsidP="00285A4B">
      <w:pPr>
        <w:rPr>
          <w:lang w:val="en-US"/>
        </w:rPr>
      </w:pPr>
      <w:r>
        <w:rPr>
          <w:noProof/>
          <w:lang w:val="en-US"/>
        </w:rPr>
        <w:lastRenderedPageBreak/>
        <w:drawing>
          <wp:inline distT="0" distB="0" distL="0" distR="0" wp14:anchorId="3AF34EBD" wp14:editId="03DF6E02">
            <wp:extent cx="5486400" cy="3200400"/>
            <wp:effectExtent l="0" t="0" r="0" b="0"/>
            <wp:docPr id="113532178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C922F11" w14:textId="186048A7" w:rsidR="003908EA" w:rsidRDefault="003908EA" w:rsidP="00285A4B">
      <w:pPr>
        <w:jc w:val="center"/>
        <w:rPr>
          <w:lang w:val="en-US"/>
        </w:rPr>
      </w:pPr>
      <w:r>
        <w:rPr>
          <w:b/>
          <w:bCs/>
          <w:lang w:val="en-US"/>
        </w:rPr>
        <w:t xml:space="preserve">Figure: </w:t>
      </w:r>
      <w:r>
        <w:rPr>
          <w:lang w:val="en-US"/>
        </w:rPr>
        <w:t>Asset Turnover Ratio Illustrated (Source: Own)</w:t>
      </w:r>
    </w:p>
    <w:p w14:paraId="3B8D627A" w14:textId="77136A68" w:rsidR="00117A43" w:rsidRPr="0013520D" w:rsidRDefault="003D1448" w:rsidP="00285A4B">
      <w:r w:rsidRPr="003D1448">
        <w:t>BP P.L.C.'s asset turnover dropped from 0.75 times in 2023 to 0.67 times in 2024. This indicates that, in contrast to a higher $0.75 of revenue created against each dollar of assets invested, the company has only been able to generate $0.67 of revenue against each dollar of assets invested. This is a reflection of BP P.L.C.'s declining revenue as well as its unchanging asset base. The decrease in BP p.l.c.'s asset turnover ratio is indicative of both underutilized refinery capacity and a fall in the use of its asset base, both of which are consistent with decreasing production quantities (</w:t>
      </w:r>
      <w:proofErr w:type="spellStart"/>
      <w:r w:rsidRPr="003D1448">
        <w:t>Alhan</w:t>
      </w:r>
      <w:proofErr w:type="spellEnd"/>
      <w:r w:rsidRPr="003D1448">
        <w:t>, 2024).</w:t>
      </w:r>
    </w:p>
    <w:p w14:paraId="0D983BB7" w14:textId="1FFB01CF" w:rsidR="00117A43" w:rsidRPr="00F14FD7" w:rsidRDefault="007624F8" w:rsidP="00285A4B">
      <w:pPr>
        <w:pStyle w:val="Heading4"/>
        <w:rPr>
          <w:lang w:val="en-US"/>
        </w:rPr>
      </w:pPr>
      <w:r>
        <w:rPr>
          <w:lang w:val="en-US"/>
        </w:rPr>
        <w:t>Gearing</w:t>
      </w:r>
      <w:r w:rsidR="00117A43">
        <w:rPr>
          <w:lang w:val="en-US"/>
        </w:rPr>
        <w:t xml:space="preserve"> Ratio</w:t>
      </w:r>
    </w:p>
    <w:p w14:paraId="5476A14F" w14:textId="77777777" w:rsidR="00F26555" w:rsidRPr="00F26555" w:rsidRDefault="00F26555" w:rsidP="00285A4B">
      <w:pPr>
        <w:rPr>
          <w:lang w:val="en-US"/>
        </w:rPr>
      </w:pPr>
      <w:r w:rsidRPr="00F26555">
        <w:rPr>
          <w:lang w:val="en-US"/>
        </w:rPr>
        <w:t>Such a ratio typically assesses a company's debt servicing capacity and financial leverage, demonstrating both the sustainability of a company's capital structure and its susceptibility to financial risk.</w:t>
      </w:r>
    </w:p>
    <w:p w14:paraId="300F4DC1" w14:textId="77777777" w:rsidR="00F71C7C" w:rsidRDefault="00F26555" w:rsidP="00285A4B">
      <w:pPr>
        <w:rPr>
          <w:lang w:val="en-US"/>
        </w:rPr>
      </w:pPr>
      <w:r w:rsidRPr="00F26555">
        <w:rPr>
          <w:lang w:val="en-US"/>
        </w:rPr>
        <w:t>Debt-to-Equity Ratio: This measures a company's financial leverage by contrasting the amount of debt and equity it has used in its capital structure.</w:t>
      </w:r>
    </w:p>
    <w:p w14:paraId="03CFEF08" w14:textId="7DC60088" w:rsidR="00117A43" w:rsidRDefault="00117A43" w:rsidP="00285A4B">
      <w:pPr>
        <w:rPr>
          <w:lang w:val="en-US"/>
        </w:rPr>
      </w:pPr>
      <w:r>
        <w:rPr>
          <w:lang w:val="en-US"/>
        </w:rPr>
        <w:t>Formula = (</w:t>
      </w:r>
      <w:r w:rsidR="00393AA5">
        <w:rPr>
          <w:lang w:val="en-US"/>
        </w:rPr>
        <w:t xml:space="preserve">Total Debt </w:t>
      </w:r>
      <w:r>
        <w:rPr>
          <w:lang w:val="en-US"/>
        </w:rPr>
        <w:t xml:space="preserve">/ </w:t>
      </w:r>
      <w:r w:rsidR="00393AA5">
        <w:rPr>
          <w:lang w:val="en-US"/>
        </w:rPr>
        <w:t>Total Equity</w:t>
      </w:r>
      <w:r>
        <w:rPr>
          <w:lang w:val="en-US"/>
        </w:rPr>
        <w:t>)</w:t>
      </w:r>
    </w:p>
    <w:p w14:paraId="5B11B902" w14:textId="77777777" w:rsidR="00117A43" w:rsidRDefault="00117A43"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40"/>
        <w:gridCol w:w="4156"/>
      </w:tblGrid>
      <w:tr w:rsidR="00117A43" w14:paraId="49A2D980" w14:textId="77777777" w:rsidTr="00285A4B">
        <w:tc>
          <w:tcPr>
            <w:tcW w:w="4140" w:type="dxa"/>
          </w:tcPr>
          <w:p w14:paraId="51F356EB" w14:textId="77777777" w:rsidR="00117A43" w:rsidRPr="00A718A9" w:rsidRDefault="00117A43" w:rsidP="00F208D5">
            <w:pPr>
              <w:jc w:val="center"/>
              <w:rPr>
                <w:b/>
                <w:bCs/>
                <w:lang w:val="en-US"/>
              </w:rPr>
            </w:pPr>
            <w:r>
              <w:rPr>
                <w:b/>
                <w:bCs/>
                <w:lang w:val="en-US"/>
              </w:rPr>
              <w:t>Year</w:t>
            </w:r>
          </w:p>
        </w:tc>
        <w:tc>
          <w:tcPr>
            <w:tcW w:w="4156" w:type="dxa"/>
          </w:tcPr>
          <w:p w14:paraId="7F5A635D" w14:textId="77777777" w:rsidR="00117A43" w:rsidRPr="00A718A9" w:rsidRDefault="00117A43" w:rsidP="00F208D5">
            <w:pPr>
              <w:jc w:val="center"/>
              <w:rPr>
                <w:b/>
                <w:bCs/>
                <w:lang w:val="en-US"/>
              </w:rPr>
            </w:pPr>
            <w:r>
              <w:rPr>
                <w:b/>
                <w:bCs/>
                <w:lang w:val="en-US"/>
              </w:rPr>
              <w:t>Result</w:t>
            </w:r>
          </w:p>
        </w:tc>
      </w:tr>
      <w:tr w:rsidR="00117A43" w14:paraId="65F66BEF" w14:textId="77777777" w:rsidTr="00285A4B">
        <w:tc>
          <w:tcPr>
            <w:tcW w:w="4140" w:type="dxa"/>
          </w:tcPr>
          <w:p w14:paraId="077EE0F0" w14:textId="77777777" w:rsidR="00117A43" w:rsidRDefault="00117A43" w:rsidP="00F208D5">
            <w:pPr>
              <w:jc w:val="center"/>
              <w:rPr>
                <w:lang w:val="en-US"/>
              </w:rPr>
            </w:pPr>
            <w:r>
              <w:rPr>
                <w:lang w:val="en-US"/>
              </w:rPr>
              <w:lastRenderedPageBreak/>
              <w:t>2023</w:t>
            </w:r>
          </w:p>
        </w:tc>
        <w:tc>
          <w:tcPr>
            <w:tcW w:w="4156" w:type="dxa"/>
          </w:tcPr>
          <w:p w14:paraId="29881E12" w14:textId="115B3103" w:rsidR="00117A43" w:rsidRDefault="006B41DC" w:rsidP="00F208D5">
            <w:pPr>
              <w:jc w:val="center"/>
              <w:rPr>
                <w:lang w:val="en-US"/>
              </w:rPr>
            </w:pPr>
            <w:r>
              <w:rPr>
                <w:lang w:val="en-US"/>
              </w:rPr>
              <w:t>0.61</w:t>
            </w:r>
          </w:p>
        </w:tc>
      </w:tr>
      <w:tr w:rsidR="00117A43" w14:paraId="13A94E0F" w14:textId="77777777" w:rsidTr="00285A4B">
        <w:tc>
          <w:tcPr>
            <w:tcW w:w="4140" w:type="dxa"/>
          </w:tcPr>
          <w:p w14:paraId="39979008" w14:textId="77777777" w:rsidR="00117A43" w:rsidRDefault="00117A43" w:rsidP="00F208D5">
            <w:pPr>
              <w:jc w:val="center"/>
              <w:rPr>
                <w:lang w:val="en-US"/>
              </w:rPr>
            </w:pPr>
            <w:r>
              <w:rPr>
                <w:lang w:val="en-US"/>
              </w:rPr>
              <w:t>2024</w:t>
            </w:r>
          </w:p>
        </w:tc>
        <w:tc>
          <w:tcPr>
            <w:tcW w:w="4156" w:type="dxa"/>
          </w:tcPr>
          <w:p w14:paraId="067D6571" w14:textId="043991A4" w:rsidR="00117A43" w:rsidRDefault="006B41DC" w:rsidP="00F208D5">
            <w:pPr>
              <w:jc w:val="center"/>
              <w:rPr>
                <w:lang w:val="en-US"/>
              </w:rPr>
            </w:pPr>
            <w:r>
              <w:rPr>
                <w:lang w:val="en-US"/>
              </w:rPr>
              <w:t>0.76</w:t>
            </w:r>
          </w:p>
        </w:tc>
      </w:tr>
    </w:tbl>
    <w:p w14:paraId="1094F30A" w14:textId="77777777" w:rsidR="00EB32AA" w:rsidRDefault="00EB32AA" w:rsidP="00285A4B">
      <w:pPr>
        <w:rPr>
          <w:lang w:val="en-US"/>
        </w:rPr>
      </w:pPr>
    </w:p>
    <w:p w14:paraId="6E0673D6" w14:textId="0896C205" w:rsidR="002928BB" w:rsidRDefault="002928BB" w:rsidP="00285A4B">
      <w:pPr>
        <w:rPr>
          <w:lang w:val="en-US"/>
        </w:rPr>
      </w:pPr>
      <w:r>
        <w:rPr>
          <w:noProof/>
          <w:lang w:val="en-US"/>
        </w:rPr>
        <w:drawing>
          <wp:inline distT="0" distB="0" distL="0" distR="0" wp14:anchorId="1A9DF53D" wp14:editId="0E07EE3B">
            <wp:extent cx="5486400" cy="3200400"/>
            <wp:effectExtent l="0" t="0" r="0" b="0"/>
            <wp:docPr id="140956570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40E56E1" w14:textId="651C3F7A" w:rsidR="00EB32AA" w:rsidRDefault="00EB32AA" w:rsidP="00285A4B">
      <w:pPr>
        <w:jc w:val="center"/>
        <w:rPr>
          <w:lang w:val="en-US"/>
        </w:rPr>
      </w:pPr>
      <w:r>
        <w:rPr>
          <w:b/>
          <w:bCs/>
          <w:lang w:val="en-US"/>
        </w:rPr>
        <w:t xml:space="preserve">Figure: </w:t>
      </w:r>
      <w:r>
        <w:rPr>
          <w:lang w:val="en-US"/>
        </w:rPr>
        <w:t>Debt-to-Equity Illustrated (Source: Own)</w:t>
      </w:r>
    </w:p>
    <w:p w14:paraId="50F879F6" w14:textId="16F8EF34" w:rsidR="003C6489" w:rsidRPr="003C6489" w:rsidRDefault="003C6489" w:rsidP="00285A4B">
      <w:r w:rsidRPr="003C6489">
        <w:t>Between 2023 and 2024, the debt-to-equity ratio rose from 0.61 to 0.76. This implies that debt rather than equity accounts for a larger share of BP PLC's capital structure. To balance the need for high capital requirements and sensitivity to commodity price volatility, companies in the capital-intensive industry maintain moderate levels of leverage, ranging from 0.2 to 0.6 (Anderson, 2024). Therefore, in comparison to its competitors, BP p.l.c.'s high levels of debt are a sign of its significant financial risk exposure (EPICORP, 2024).</w:t>
      </w:r>
    </w:p>
    <w:p w14:paraId="4B169ADA" w14:textId="1AADA387" w:rsidR="00117A43" w:rsidRDefault="006B41DC" w:rsidP="00285A4B">
      <w:pPr>
        <w:rPr>
          <w:lang w:val="en-US"/>
        </w:rPr>
      </w:pPr>
      <w:r>
        <w:rPr>
          <w:b/>
          <w:bCs/>
          <w:lang w:val="en-US"/>
        </w:rPr>
        <w:t>Debt-to-Asset Ratio:</w:t>
      </w:r>
      <w:r w:rsidR="00117A43">
        <w:rPr>
          <w:b/>
          <w:bCs/>
          <w:lang w:val="en-US"/>
        </w:rPr>
        <w:t xml:space="preserve"> </w:t>
      </w:r>
      <w:r w:rsidR="00DA7DC1">
        <w:rPr>
          <w:lang w:val="en-US"/>
        </w:rPr>
        <w:t>This showcases the leverage used by a company to finance the acquisition of assets of a company.</w:t>
      </w:r>
    </w:p>
    <w:p w14:paraId="3D3F766F" w14:textId="4E67F2E0" w:rsidR="00117A43" w:rsidRDefault="00117A43" w:rsidP="00285A4B">
      <w:pPr>
        <w:rPr>
          <w:lang w:val="en-US"/>
        </w:rPr>
      </w:pPr>
      <w:r>
        <w:rPr>
          <w:lang w:val="en-US"/>
        </w:rPr>
        <w:t>Formula = (</w:t>
      </w:r>
      <w:r w:rsidR="006B41DC">
        <w:rPr>
          <w:lang w:val="en-US"/>
        </w:rPr>
        <w:t>Total Debt / Total Assets</w:t>
      </w:r>
      <w:r>
        <w:rPr>
          <w:lang w:val="en-US"/>
        </w:rPr>
        <w:t>)</w:t>
      </w:r>
    </w:p>
    <w:p w14:paraId="46AF66FA" w14:textId="77777777" w:rsidR="00117A43" w:rsidRDefault="00117A43"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40"/>
        <w:gridCol w:w="4156"/>
      </w:tblGrid>
      <w:tr w:rsidR="00117A43" w14:paraId="32A26118" w14:textId="77777777" w:rsidTr="00285A4B">
        <w:tc>
          <w:tcPr>
            <w:tcW w:w="4140" w:type="dxa"/>
          </w:tcPr>
          <w:p w14:paraId="520E58D0" w14:textId="77777777" w:rsidR="00117A43" w:rsidRPr="00A718A9" w:rsidRDefault="00117A43" w:rsidP="00F208D5">
            <w:pPr>
              <w:jc w:val="center"/>
              <w:rPr>
                <w:b/>
                <w:bCs/>
                <w:lang w:val="en-US"/>
              </w:rPr>
            </w:pPr>
            <w:r>
              <w:rPr>
                <w:b/>
                <w:bCs/>
                <w:lang w:val="en-US"/>
              </w:rPr>
              <w:t>Year</w:t>
            </w:r>
          </w:p>
        </w:tc>
        <w:tc>
          <w:tcPr>
            <w:tcW w:w="4156" w:type="dxa"/>
          </w:tcPr>
          <w:p w14:paraId="0B721528" w14:textId="77777777" w:rsidR="00117A43" w:rsidRPr="00A718A9" w:rsidRDefault="00117A43" w:rsidP="00F208D5">
            <w:pPr>
              <w:jc w:val="center"/>
              <w:rPr>
                <w:b/>
                <w:bCs/>
                <w:lang w:val="en-US"/>
              </w:rPr>
            </w:pPr>
            <w:r>
              <w:rPr>
                <w:b/>
                <w:bCs/>
                <w:lang w:val="en-US"/>
              </w:rPr>
              <w:t>Result</w:t>
            </w:r>
          </w:p>
        </w:tc>
      </w:tr>
      <w:tr w:rsidR="00117A43" w14:paraId="12E350C3" w14:textId="77777777" w:rsidTr="00285A4B">
        <w:tc>
          <w:tcPr>
            <w:tcW w:w="4140" w:type="dxa"/>
          </w:tcPr>
          <w:p w14:paraId="1A73AD16" w14:textId="77777777" w:rsidR="00117A43" w:rsidRDefault="00117A43" w:rsidP="00F208D5">
            <w:pPr>
              <w:jc w:val="center"/>
              <w:rPr>
                <w:lang w:val="en-US"/>
              </w:rPr>
            </w:pPr>
            <w:r>
              <w:rPr>
                <w:lang w:val="en-US"/>
              </w:rPr>
              <w:t>2023</w:t>
            </w:r>
          </w:p>
        </w:tc>
        <w:tc>
          <w:tcPr>
            <w:tcW w:w="4156" w:type="dxa"/>
          </w:tcPr>
          <w:p w14:paraId="62C3F6E3" w14:textId="1B85CAAF" w:rsidR="00117A43" w:rsidRDefault="006B41DC" w:rsidP="00F208D5">
            <w:pPr>
              <w:jc w:val="center"/>
              <w:rPr>
                <w:lang w:val="en-US"/>
              </w:rPr>
            </w:pPr>
            <w:r>
              <w:rPr>
                <w:lang w:val="en-US"/>
              </w:rPr>
              <w:t>0.19</w:t>
            </w:r>
          </w:p>
        </w:tc>
      </w:tr>
      <w:tr w:rsidR="00117A43" w14:paraId="1C65E07B" w14:textId="77777777" w:rsidTr="00285A4B">
        <w:tc>
          <w:tcPr>
            <w:tcW w:w="4140" w:type="dxa"/>
          </w:tcPr>
          <w:p w14:paraId="359E0AB4" w14:textId="77777777" w:rsidR="00117A43" w:rsidRDefault="00117A43" w:rsidP="00F208D5">
            <w:pPr>
              <w:jc w:val="center"/>
              <w:rPr>
                <w:lang w:val="en-US"/>
              </w:rPr>
            </w:pPr>
            <w:r>
              <w:rPr>
                <w:lang w:val="en-US"/>
              </w:rPr>
              <w:t>2024</w:t>
            </w:r>
          </w:p>
        </w:tc>
        <w:tc>
          <w:tcPr>
            <w:tcW w:w="4156" w:type="dxa"/>
          </w:tcPr>
          <w:p w14:paraId="0B0D6845" w14:textId="5277DD96" w:rsidR="00117A43" w:rsidRDefault="006B41DC" w:rsidP="00F208D5">
            <w:pPr>
              <w:jc w:val="center"/>
              <w:rPr>
                <w:lang w:val="en-US"/>
              </w:rPr>
            </w:pPr>
            <w:r>
              <w:rPr>
                <w:lang w:val="en-US"/>
              </w:rPr>
              <w:t>0.21</w:t>
            </w:r>
          </w:p>
        </w:tc>
      </w:tr>
    </w:tbl>
    <w:p w14:paraId="5449BA1E" w14:textId="77777777" w:rsidR="00EB32AA" w:rsidRDefault="00EB32AA" w:rsidP="00285A4B">
      <w:pPr>
        <w:rPr>
          <w:lang w:val="en-US"/>
        </w:rPr>
      </w:pPr>
    </w:p>
    <w:p w14:paraId="188538C1" w14:textId="49DF08BF" w:rsidR="002928BB" w:rsidRDefault="002928BB" w:rsidP="00285A4B">
      <w:pPr>
        <w:rPr>
          <w:lang w:val="en-US"/>
        </w:rPr>
      </w:pPr>
      <w:r>
        <w:rPr>
          <w:noProof/>
          <w:lang w:val="en-US"/>
        </w:rPr>
        <w:lastRenderedPageBreak/>
        <w:drawing>
          <wp:inline distT="0" distB="0" distL="0" distR="0" wp14:anchorId="0C5F6FEA" wp14:editId="54EC00A7">
            <wp:extent cx="5486400" cy="3200400"/>
            <wp:effectExtent l="0" t="0" r="0" b="0"/>
            <wp:docPr id="131176830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4ACF27D" w14:textId="011FEA38" w:rsidR="00EB32AA" w:rsidRDefault="00EB32AA" w:rsidP="00285A4B">
      <w:pPr>
        <w:jc w:val="center"/>
        <w:rPr>
          <w:lang w:val="en-US"/>
        </w:rPr>
      </w:pPr>
      <w:r>
        <w:rPr>
          <w:b/>
          <w:bCs/>
          <w:lang w:val="en-US"/>
        </w:rPr>
        <w:t xml:space="preserve">Figure: </w:t>
      </w:r>
      <w:r>
        <w:rPr>
          <w:lang w:val="en-US"/>
        </w:rPr>
        <w:t xml:space="preserve">Debt-to-Asset </w:t>
      </w:r>
      <w:r w:rsidR="00C80424">
        <w:rPr>
          <w:lang w:val="en-US"/>
        </w:rPr>
        <w:t xml:space="preserve">Ratio </w:t>
      </w:r>
      <w:r>
        <w:rPr>
          <w:lang w:val="en-US"/>
        </w:rPr>
        <w:t>Illustrated (Source: Own)</w:t>
      </w:r>
    </w:p>
    <w:p w14:paraId="6FE42CBC" w14:textId="77777777" w:rsidR="003C6489" w:rsidRPr="003C6489" w:rsidRDefault="003C6489" w:rsidP="00285A4B">
      <w:r w:rsidRPr="003C6489">
        <w:t>Between 2023 and 2024, the percentage of debt used to purchase assets rose from 19% to 21%. It is inferred that a very little bigger percentage of BP p.l.c.'s asset base is now financed by interest-bearing obligations due to the debt-to-asset ratio's minor increase. This implies that if problems increase across the industry, the company could have less flexibility in its balance sheet (</w:t>
      </w:r>
      <w:proofErr w:type="spellStart"/>
      <w:r w:rsidRPr="003C6489">
        <w:t>Kukharenko</w:t>
      </w:r>
      <w:proofErr w:type="spellEnd"/>
      <w:r w:rsidRPr="003C6489">
        <w:t>, 2016).</w:t>
      </w:r>
    </w:p>
    <w:p w14:paraId="187CABBA" w14:textId="615D14CA" w:rsidR="00117A43" w:rsidRPr="00F14FD7" w:rsidRDefault="009712FB" w:rsidP="00285A4B">
      <w:pPr>
        <w:pStyle w:val="Heading4"/>
        <w:rPr>
          <w:lang w:val="en-US"/>
        </w:rPr>
      </w:pPr>
      <w:r>
        <w:rPr>
          <w:lang w:val="en-US"/>
        </w:rPr>
        <w:t>I</w:t>
      </w:r>
      <w:r w:rsidR="007624F8">
        <w:rPr>
          <w:lang w:val="en-US"/>
        </w:rPr>
        <w:t>nvestor</w:t>
      </w:r>
      <w:r w:rsidR="00117A43">
        <w:rPr>
          <w:lang w:val="en-US"/>
        </w:rPr>
        <w:t xml:space="preserve"> Ratio</w:t>
      </w:r>
    </w:p>
    <w:p w14:paraId="627B567A" w14:textId="77777777" w:rsidR="003C6489" w:rsidRPr="003C6489" w:rsidRDefault="003C6489" w:rsidP="00285A4B">
      <w:r w:rsidRPr="003C6489">
        <w:t xml:space="preserve">Since investor ratios give precise information on the returns that shareholders receive as well as the market value of the company, they also directly influence shareholders' decision-making. </w:t>
      </w:r>
      <w:r w:rsidRPr="003C6489">
        <w:br/>
      </w:r>
      <w:r w:rsidRPr="003C6489">
        <w:rPr>
          <w:b/>
          <w:bCs/>
        </w:rPr>
        <w:t>Earnings per Share:</w:t>
      </w:r>
      <w:r w:rsidRPr="003C6489">
        <w:t xml:space="preserve"> This is one of the key metrics for a company's valuation since it shows how much net profit is accessible to each of the company's outstanding common shares.</w:t>
      </w:r>
    </w:p>
    <w:p w14:paraId="5C3D144D" w14:textId="60470DED" w:rsidR="00117A43" w:rsidRDefault="00117A43" w:rsidP="00285A4B">
      <w:pPr>
        <w:rPr>
          <w:lang w:val="en-US"/>
        </w:rPr>
      </w:pPr>
      <w:r>
        <w:rPr>
          <w:lang w:val="en-US"/>
        </w:rPr>
        <w:t>Formula = (</w:t>
      </w:r>
      <w:r w:rsidR="00BA5AFE">
        <w:rPr>
          <w:lang w:val="en-US"/>
        </w:rPr>
        <w:t>Net Profit / Total Shares Outstanding</w:t>
      </w:r>
      <w:r>
        <w:rPr>
          <w:lang w:val="en-US"/>
        </w:rPr>
        <w:t>)</w:t>
      </w:r>
    </w:p>
    <w:p w14:paraId="2E40A891" w14:textId="77777777" w:rsidR="00117A43" w:rsidRDefault="00117A43"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40"/>
        <w:gridCol w:w="4156"/>
      </w:tblGrid>
      <w:tr w:rsidR="00117A43" w14:paraId="30672120" w14:textId="77777777" w:rsidTr="00285A4B">
        <w:tc>
          <w:tcPr>
            <w:tcW w:w="4140" w:type="dxa"/>
          </w:tcPr>
          <w:p w14:paraId="018F7DF3" w14:textId="77777777" w:rsidR="00117A43" w:rsidRPr="00A718A9" w:rsidRDefault="00117A43" w:rsidP="00F208D5">
            <w:pPr>
              <w:jc w:val="center"/>
              <w:rPr>
                <w:b/>
                <w:bCs/>
                <w:lang w:val="en-US"/>
              </w:rPr>
            </w:pPr>
            <w:r>
              <w:rPr>
                <w:b/>
                <w:bCs/>
                <w:lang w:val="en-US"/>
              </w:rPr>
              <w:t>Year</w:t>
            </w:r>
          </w:p>
        </w:tc>
        <w:tc>
          <w:tcPr>
            <w:tcW w:w="4156" w:type="dxa"/>
          </w:tcPr>
          <w:p w14:paraId="78DF7A63" w14:textId="77777777" w:rsidR="00117A43" w:rsidRPr="00A718A9" w:rsidRDefault="00117A43" w:rsidP="00F208D5">
            <w:pPr>
              <w:jc w:val="center"/>
              <w:rPr>
                <w:b/>
                <w:bCs/>
                <w:lang w:val="en-US"/>
              </w:rPr>
            </w:pPr>
            <w:r>
              <w:rPr>
                <w:b/>
                <w:bCs/>
                <w:lang w:val="en-US"/>
              </w:rPr>
              <w:t>Result</w:t>
            </w:r>
          </w:p>
        </w:tc>
      </w:tr>
      <w:tr w:rsidR="00117A43" w14:paraId="0DA04696" w14:textId="77777777" w:rsidTr="00285A4B">
        <w:tc>
          <w:tcPr>
            <w:tcW w:w="4140" w:type="dxa"/>
          </w:tcPr>
          <w:p w14:paraId="7F6EA30F" w14:textId="77777777" w:rsidR="00117A43" w:rsidRDefault="00117A43" w:rsidP="00F208D5">
            <w:pPr>
              <w:jc w:val="center"/>
              <w:rPr>
                <w:lang w:val="en-US"/>
              </w:rPr>
            </w:pPr>
            <w:r>
              <w:rPr>
                <w:lang w:val="en-US"/>
              </w:rPr>
              <w:t>2023</w:t>
            </w:r>
          </w:p>
        </w:tc>
        <w:tc>
          <w:tcPr>
            <w:tcW w:w="4156" w:type="dxa"/>
          </w:tcPr>
          <w:p w14:paraId="52727FDE" w14:textId="38304410" w:rsidR="00117A43" w:rsidRDefault="00BA5AFE" w:rsidP="00F208D5">
            <w:pPr>
              <w:jc w:val="center"/>
              <w:rPr>
                <w:lang w:val="en-US"/>
              </w:rPr>
            </w:pPr>
            <w:r>
              <w:rPr>
                <w:lang w:val="en-US"/>
              </w:rPr>
              <w:t>87.78 Cents</w:t>
            </w:r>
          </w:p>
        </w:tc>
      </w:tr>
      <w:tr w:rsidR="00117A43" w14:paraId="03C478D5" w14:textId="77777777" w:rsidTr="00285A4B">
        <w:tc>
          <w:tcPr>
            <w:tcW w:w="4140" w:type="dxa"/>
          </w:tcPr>
          <w:p w14:paraId="58C0A149" w14:textId="77777777" w:rsidR="00117A43" w:rsidRDefault="00117A43" w:rsidP="00F208D5">
            <w:pPr>
              <w:jc w:val="center"/>
              <w:rPr>
                <w:lang w:val="en-US"/>
              </w:rPr>
            </w:pPr>
            <w:r>
              <w:rPr>
                <w:lang w:val="en-US"/>
              </w:rPr>
              <w:t>2024</w:t>
            </w:r>
          </w:p>
        </w:tc>
        <w:tc>
          <w:tcPr>
            <w:tcW w:w="4156" w:type="dxa"/>
          </w:tcPr>
          <w:p w14:paraId="70F86195" w14:textId="3578421B" w:rsidR="00117A43" w:rsidRDefault="00BA5AFE" w:rsidP="00F208D5">
            <w:pPr>
              <w:jc w:val="center"/>
              <w:rPr>
                <w:lang w:val="en-US"/>
              </w:rPr>
            </w:pPr>
            <w:r>
              <w:rPr>
                <w:lang w:val="en-US"/>
              </w:rPr>
              <w:t>2.38 Cents</w:t>
            </w:r>
          </w:p>
        </w:tc>
      </w:tr>
    </w:tbl>
    <w:p w14:paraId="1AD121CF" w14:textId="77777777" w:rsidR="00C80424" w:rsidRDefault="00C80424" w:rsidP="00285A4B">
      <w:pPr>
        <w:rPr>
          <w:lang w:val="en-US"/>
        </w:rPr>
      </w:pPr>
    </w:p>
    <w:p w14:paraId="049933ED" w14:textId="0469BAAE" w:rsidR="002928BB" w:rsidRDefault="002928BB" w:rsidP="00285A4B">
      <w:pPr>
        <w:rPr>
          <w:lang w:val="en-US"/>
        </w:rPr>
      </w:pPr>
      <w:r>
        <w:rPr>
          <w:noProof/>
          <w:lang w:val="en-US"/>
        </w:rPr>
        <w:lastRenderedPageBreak/>
        <w:drawing>
          <wp:inline distT="0" distB="0" distL="0" distR="0" wp14:anchorId="672B65CC" wp14:editId="3DF9B4F0">
            <wp:extent cx="5486400" cy="3200400"/>
            <wp:effectExtent l="0" t="0" r="0" b="0"/>
            <wp:docPr id="197774916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A5B475" w14:textId="5FAFBBDA" w:rsidR="00C80424" w:rsidRDefault="00C80424" w:rsidP="00285A4B">
      <w:pPr>
        <w:jc w:val="center"/>
        <w:rPr>
          <w:lang w:val="en-US"/>
        </w:rPr>
      </w:pPr>
      <w:r>
        <w:rPr>
          <w:b/>
          <w:bCs/>
          <w:lang w:val="en-US"/>
        </w:rPr>
        <w:t xml:space="preserve">Figure: </w:t>
      </w:r>
      <w:r>
        <w:rPr>
          <w:lang w:val="en-US"/>
        </w:rPr>
        <w:t>Earnings per Share Illustrated (Source: Own)</w:t>
      </w:r>
    </w:p>
    <w:p w14:paraId="235C45D8" w14:textId="77D35F5C" w:rsidR="00117A43" w:rsidRDefault="00A32B96" w:rsidP="00285A4B">
      <w:pPr>
        <w:rPr>
          <w:lang w:val="en-US"/>
        </w:rPr>
      </w:pPr>
      <w:r>
        <w:rPr>
          <w:lang w:val="en-US"/>
        </w:rPr>
        <w:t xml:space="preserve">Earnings per Share has fallen from 87.78 cents in 2023 to just 2.38 cents in 2024 which can be attributed to the collapse seen in net profit. </w:t>
      </w:r>
      <w:r w:rsidR="000477BC">
        <w:rPr>
          <w:lang w:val="en-US"/>
        </w:rPr>
        <w:t>Now, when earnings collapse in such a drastic manner, it reduces the earnings-based element of shareholder value and for this reason, there may be a downward pressure on BP’s share price, as well, if shareholders consider the downward pressure in earnings as something more than temporary (</w:t>
      </w:r>
      <w:proofErr w:type="spellStart"/>
      <w:r w:rsidR="000477BC">
        <w:rPr>
          <w:lang w:val="en-US"/>
        </w:rPr>
        <w:t>Avi</w:t>
      </w:r>
      <w:proofErr w:type="spellEnd"/>
      <w:r w:rsidR="000477BC">
        <w:rPr>
          <w:lang w:val="en-US"/>
        </w:rPr>
        <w:t>, 2023).</w:t>
      </w:r>
    </w:p>
    <w:p w14:paraId="25F0275E" w14:textId="0D85E137" w:rsidR="00117A43" w:rsidRPr="003C6489" w:rsidRDefault="00BA5AFE" w:rsidP="00285A4B">
      <w:pPr>
        <w:rPr>
          <w:b/>
          <w:bCs/>
        </w:rPr>
      </w:pPr>
      <w:r>
        <w:rPr>
          <w:b/>
          <w:bCs/>
          <w:lang w:val="en-US"/>
        </w:rPr>
        <w:t xml:space="preserve">Dividend </w:t>
      </w:r>
      <w:r w:rsidR="006E0F0A">
        <w:rPr>
          <w:b/>
          <w:bCs/>
          <w:lang w:val="en-US"/>
        </w:rPr>
        <w:t>Payments</w:t>
      </w:r>
      <w:r w:rsidR="00117A43">
        <w:rPr>
          <w:b/>
          <w:bCs/>
          <w:lang w:val="en-US"/>
        </w:rPr>
        <w:t>:</w:t>
      </w:r>
      <w:r w:rsidR="003C6489" w:rsidRPr="003C6489">
        <w:t xml:space="preserve"> This displays the total amount of dividends distributed to shareholders. These payments are typically directly related to a company's profitability. A company's dividend policy is based on its inability to pay large dividends when it is not profitable</w:t>
      </w:r>
      <w:r w:rsidR="00910125" w:rsidRPr="003C6489">
        <w:rPr>
          <w:lang w:val="en-US"/>
        </w:rPr>
        <w:t>.</w:t>
      </w:r>
    </w:p>
    <w:p w14:paraId="1FF50E6F" w14:textId="77777777" w:rsidR="00117A43" w:rsidRDefault="00117A43" w:rsidP="00285A4B">
      <w:pPr>
        <w:rPr>
          <w:b/>
          <w:bCs/>
          <w:lang w:val="en-US"/>
        </w:rPr>
      </w:pPr>
      <w:r w:rsidRPr="00A718A9">
        <w:rPr>
          <w:b/>
          <w:bCs/>
          <w:lang w:val="en-US"/>
        </w:rPr>
        <w:t>Results</w:t>
      </w:r>
      <w:r>
        <w:rPr>
          <w:b/>
          <w:bCs/>
          <w:lang w:val="en-US"/>
        </w:rPr>
        <w:t>:</w:t>
      </w:r>
    </w:p>
    <w:tbl>
      <w:tblPr>
        <w:tblStyle w:val="TableGrid"/>
        <w:tblW w:w="0" w:type="auto"/>
        <w:tblLook w:val="04A0" w:firstRow="1" w:lastRow="0" w:firstColumn="1" w:lastColumn="0" w:noHBand="0" w:noVBand="1"/>
      </w:tblPr>
      <w:tblGrid>
        <w:gridCol w:w="4138"/>
        <w:gridCol w:w="4158"/>
      </w:tblGrid>
      <w:tr w:rsidR="00117A43" w14:paraId="38637286" w14:textId="77777777" w:rsidTr="00285A4B">
        <w:tc>
          <w:tcPr>
            <w:tcW w:w="4138" w:type="dxa"/>
          </w:tcPr>
          <w:p w14:paraId="1737764B" w14:textId="77777777" w:rsidR="00117A43" w:rsidRPr="00A718A9" w:rsidRDefault="00117A43" w:rsidP="00F208D5">
            <w:pPr>
              <w:jc w:val="center"/>
              <w:rPr>
                <w:b/>
                <w:bCs/>
                <w:lang w:val="en-US"/>
              </w:rPr>
            </w:pPr>
            <w:r>
              <w:rPr>
                <w:b/>
                <w:bCs/>
                <w:lang w:val="en-US"/>
              </w:rPr>
              <w:t>Year</w:t>
            </w:r>
          </w:p>
        </w:tc>
        <w:tc>
          <w:tcPr>
            <w:tcW w:w="4158" w:type="dxa"/>
          </w:tcPr>
          <w:p w14:paraId="45C1D70A" w14:textId="77777777" w:rsidR="00117A43" w:rsidRPr="00A718A9" w:rsidRDefault="00117A43" w:rsidP="00F208D5">
            <w:pPr>
              <w:jc w:val="center"/>
              <w:rPr>
                <w:b/>
                <w:bCs/>
                <w:lang w:val="en-US"/>
              </w:rPr>
            </w:pPr>
            <w:r>
              <w:rPr>
                <w:b/>
                <w:bCs/>
                <w:lang w:val="en-US"/>
              </w:rPr>
              <w:t>Result</w:t>
            </w:r>
          </w:p>
        </w:tc>
      </w:tr>
      <w:tr w:rsidR="00117A43" w14:paraId="7917E4B0" w14:textId="77777777" w:rsidTr="00285A4B">
        <w:tc>
          <w:tcPr>
            <w:tcW w:w="4138" w:type="dxa"/>
          </w:tcPr>
          <w:p w14:paraId="5A2D5AFD" w14:textId="77777777" w:rsidR="00117A43" w:rsidRDefault="00117A43" w:rsidP="00F208D5">
            <w:pPr>
              <w:jc w:val="center"/>
              <w:rPr>
                <w:lang w:val="en-US"/>
              </w:rPr>
            </w:pPr>
            <w:r>
              <w:rPr>
                <w:lang w:val="en-US"/>
              </w:rPr>
              <w:t>2023</w:t>
            </w:r>
          </w:p>
        </w:tc>
        <w:tc>
          <w:tcPr>
            <w:tcW w:w="4158" w:type="dxa"/>
          </w:tcPr>
          <w:p w14:paraId="190893B9" w14:textId="4B0822F4" w:rsidR="00117A43" w:rsidRDefault="006E0F0A" w:rsidP="00F208D5">
            <w:pPr>
              <w:jc w:val="center"/>
              <w:rPr>
                <w:lang w:val="en-US"/>
              </w:rPr>
            </w:pPr>
            <w:r>
              <w:rPr>
                <w:lang w:val="en-US"/>
              </w:rPr>
              <w:t>$4,809 million</w:t>
            </w:r>
          </w:p>
        </w:tc>
      </w:tr>
      <w:tr w:rsidR="00117A43" w14:paraId="6AF013EA" w14:textId="77777777" w:rsidTr="00285A4B">
        <w:tc>
          <w:tcPr>
            <w:tcW w:w="4138" w:type="dxa"/>
          </w:tcPr>
          <w:p w14:paraId="24AD34E4" w14:textId="77777777" w:rsidR="00117A43" w:rsidRDefault="00117A43" w:rsidP="00F208D5">
            <w:pPr>
              <w:jc w:val="center"/>
              <w:rPr>
                <w:lang w:val="en-US"/>
              </w:rPr>
            </w:pPr>
            <w:r>
              <w:rPr>
                <w:lang w:val="en-US"/>
              </w:rPr>
              <w:t>2024</w:t>
            </w:r>
          </w:p>
        </w:tc>
        <w:tc>
          <w:tcPr>
            <w:tcW w:w="4158" w:type="dxa"/>
          </w:tcPr>
          <w:p w14:paraId="23D2D989" w14:textId="5416B2A3" w:rsidR="00117A43" w:rsidRDefault="006E0F0A" w:rsidP="00F208D5">
            <w:pPr>
              <w:jc w:val="center"/>
              <w:rPr>
                <w:lang w:val="en-US"/>
              </w:rPr>
            </w:pPr>
            <w:r>
              <w:rPr>
                <w:lang w:val="en-US"/>
              </w:rPr>
              <w:t>$5,003 million</w:t>
            </w:r>
          </w:p>
        </w:tc>
      </w:tr>
    </w:tbl>
    <w:p w14:paraId="21B4340B" w14:textId="77777777" w:rsidR="00C80424" w:rsidRDefault="00C80424" w:rsidP="00285A4B">
      <w:pPr>
        <w:rPr>
          <w:lang w:val="en-US"/>
        </w:rPr>
      </w:pPr>
    </w:p>
    <w:p w14:paraId="092F85D0" w14:textId="7F2D41F1" w:rsidR="002928BB" w:rsidRDefault="002928BB" w:rsidP="00285A4B">
      <w:pPr>
        <w:rPr>
          <w:lang w:val="en-US"/>
        </w:rPr>
      </w:pPr>
      <w:r>
        <w:rPr>
          <w:noProof/>
          <w:lang w:val="en-US"/>
        </w:rPr>
        <w:lastRenderedPageBreak/>
        <w:drawing>
          <wp:inline distT="0" distB="0" distL="0" distR="0" wp14:anchorId="0647C266" wp14:editId="3DB8E8DE">
            <wp:extent cx="5486400" cy="3200400"/>
            <wp:effectExtent l="0" t="0" r="0" b="0"/>
            <wp:docPr id="188494804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12671B1" w14:textId="4BDB8A1A" w:rsidR="00C80424" w:rsidRDefault="00C80424" w:rsidP="00285A4B">
      <w:pPr>
        <w:jc w:val="center"/>
        <w:rPr>
          <w:lang w:val="en-US"/>
        </w:rPr>
      </w:pPr>
      <w:r>
        <w:rPr>
          <w:b/>
          <w:bCs/>
          <w:lang w:val="en-US"/>
        </w:rPr>
        <w:t xml:space="preserve">Figure: </w:t>
      </w:r>
      <w:r>
        <w:rPr>
          <w:lang w:val="en-US"/>
        </w:rPr>
        <w:t>Dividend Payments Illustrated (Source: Own)</w:t>
      </w:r>
    </w:p>
    <w:p w14:paraId="087526E2" w14:textId="77777777" w:rsidR="00DA4547" w:rsidRPr="00DA4547" w:rsidRDefault="00DA4547" w:rsidP="00285A4B">
      <w:r w:rsidRPr="00DA4547">
        <w:t>Despite a 97.5% decline in income, the dividend payment amount increased from 4,809 million USD in 2023 to 5,003 million USD in 2024. It is attempting to convey that BP PLC is more concerned with maintaining dividend payment consistency than with reducing dividend payments. Although taking such activities is a common procedure for any large publicly traded company, it is always concerning when such actions are being taken in spite of a decline in earnings (Bragg, 2012).</w:t>
      </w:r>
    </w:p>
    <w:p w14:paraId="39839376" w14:textId="081DF50A" w:rsidR="00BF6207" w:rsidRDefault="00BF6207" w:rsidP="00285A4B">
      <w:pPr>
        <w:rPr>
          <w:lang w:val="en-US"/>
        </w:rPr>
      </w:pPr>
      <w:r>
        <w:rPr>
          <w:b/>
          <w:bCs/>
          <w:lang w:val="en-US"/>
        </w:rPr>
        <w:t xml:space="preserve">Target by the Company: </w:t>
      </w:r>
      <w:r>
        <w:rPr>
          <w:lang w:val="en-US"/>
        </w:rPr>
        <w:t xml:space="preserve">It is important to note that BP </w:t>
      </w:r>
      <w:proofErr w:type="spellStart"/>
      <w:r>
        <w:rPr>
          <w:lang w:val="en-US"/>
        </w:rPr>
        <w:t>p.l.c</w:t>
      </w:r>
      <w:proofErr w:type="spellEnd"/>
      <w:r>
        <w:rPr>
          <w:lang w:val="en-US"/>
        </w:rPr>
        <w:t xml:space="preserve"> has already set its target and laid it out in its 2024 strategic outlook by citing that it is now targeting a ROCE greater than 16% to be achieved at the end of 2027, net debt to be contained between 14-18 billion USD in the same time period and annual increment of dividend per ordinary share by at least 4% (BP p.l.c., 2025)</w:t>
      </w:r>
      <w:r w:rsidR="004828FE">
        <w:rPr>
          <w:lang w:val="en-US"/>
        </w:rPr>
        <w:t>.</w:t>
      </w:r>
      <w:r w:rsidR="0021450F">
        <w:rPr>
          <w:lang w:val="en-US"/>
        </w:rPr>
        <w:t xml:space="preserve"> So, while industry benchmarks may have helped the analysis undertaken and interpretation provided significantly, it will be even more important to consider the company’s own targets in different regards in the future</w:t>
      </w:r>
      <w:r w:rsidR="007A6D9B">
        <w:rPr>
          <w:lang w:val="en-US"/>
        </w:rPr>
        <w:t xml:space="preserve"> (La Rosa, 202</w:t>
      </w:r>
      <w:r w:rsidR="00285A4B">
        <w:rPr>
          <w:lang w:val="en-US"/>
        </w:rPr>
        <w:t>0)</w:t>
      </w:r>
    </w:p>
    <w:p w14:paraId="004E3157" w14:textId="77777777" w:rsidR="00285A4B" w:rsidRPr="00BF6207" w:rsidRDefault="00285A4B" w:rsidP="00285A4B">
      <w:pPr>
        <w:rPr>
          <w:lang w:val="en-US"/>
        </w:rPr>
      </w:pPr>
    </w:p>
    <w:p w14:paraId="114BF53E" w14:textId="4A7B5394" w:rsidR="00ED3279" w:rsidRPr="009712FB" w:rsidRDefault="009712FB" w:rsidP="009712FB">
      <w:pPr>
        <w:pStyle w:val="Heading3"/>
        <w:rPr>
          <w:rFonts w:ascii="Times New Roman" w:hAnsi="Times New Roman" w:cs="Times New Roman"/>
          <w:b/>
          <w:bCs/>
          <w:sz w:val="24"/>
          <w:szCs w:val="32"/>
          <w:lang w:val="en-US"/>
        </w:rPr>
      </w:pPr>
      <w:bookmarkStart w:id="9" w:name="_Toc224919052"/>
      <w:r w:rsidRPr="009712FB">
        <w:rPr>
          <w:rFonts w:ascii="Times New Roman" w:hAnsi="Times New Roman" w:cs="Times New Roman"/>
          <w:b/>
          <w:bCs/>
          <w:sz w:val="24"/>
          <w:szCs w:val="32"/>
        </w:rPr>
        <w:t xml:space="preserve">3.1.3. </w:t>
      </w:r>
      <w:r w:rsidR="00ED3279" w:rsidRPr="009712FB">
        <w:rPr>
          <w:rFonts w:ascii="Times New Roman" w:hAnsi="Times New Roman" w:cs="Times New Roman"/>
          <w:b/>
          <w:bCs/>
          <w:sz w:val="24"/>
          <w:szCs w:val="32"/>
        </w:rPr>
        <w:t>Critical Evaluation and Interpretation</w:t>
      </w:r>
      <w:bookmarkEnd w:id="9"/>
    </w:p>
    <w:p w14:paraId="027E6AC2" w14:textId="77777777" w:rsidR="00853518" w:rsidRPr="00853518" w:rsidRDefault="00DA4547" w:rsidP="00285A4B">
      <w:r w:rsidRPr="00DA4547">
        <w:t xml:space="preserve">Both operational and macroeconomic issues have contributed to the decline in BP P.L.C.'s financial performance and health. First, the worldwide refining margins are declining and the market dynamics are deteriorating. Additionally, because of the increase in refining capacity </w:t>
      </w:r>
      <w:r w:rsidRPr="00DA4547">
        <w:lastRenderedPageBreak/>
        <w:t>relative to the growth in demand, the price per barrel of oil has decreased from $25.8 to just $17.7 (Statista, 2025). Additionally, the company's incapacity to overcome power interruptions that impacted its refining capacity is one of the operational issues that contributed to the decline in the company's performance. Furthermore, the company's capital miscalculations and significant buyback procedures prevented it from strategically positioning itself even when the</w:t>
      </w:r>
      <w:r>
        <w:t xml:space="preserve"> </w:t>
      </w:r>
      <w:r w:rsidR="006770C7">
        <w:rPr>
          <w:lang w:val="en-US"/>
        </w:rPr>
        <w:t xml:space="preserve">company was undergoing severe financial </w:t>
      </w:r>
      <w:r w:rsidR="009C0E1F">
        <w:rPr>
          <w:lang w:val="en-US"/>
        </w:rPr>
        <w:t>distress</w:t>
      </w:r>
      <w:r w:rsidR="00BE0E18">
        <w:rPr>
          <w:lang w:val="en-US"/>
        </w:rPr>
        <w:t xml:space="preserve"> (</w:t>
      </w:r>
      <w:r w:rsidR="00BE0E18" w:rsidRPr="00985479">
        <w:t>BP p.l.c.</w:t>
      </w:r>
      <w:r w:rsidR="00BE0E18">
        <w:t>, 2025)</w:t>
      </w:r>
      <w:r w:rsidR="009C0E1F">
        <w:rPr>
          <w:lang w:val="en-US"/>
        </w:rPr>
        <w:t xml:space="preserve">. </w:t>
      </w:r>
      <w:r w:rsidR="00853518" w:rsidRPr="00853518">
        <w:t>From the standpoint of the industry, it is clear that the company has significantly underperformed its rivals. ExxonMobil, its nearest rival, outperformed BP P.L.C. with an earnings figure of $33.7 billion and a ROCE of 12.7% (ExxonMobil, 2025). Once more, it is clear that rivals like Shell, Chevron, and others have beaten BP P.L.C. in a comparable manner. All of these elements show how macro and microeconomic factors, such as market conditions and strategic deviations, have interacted to cause BP's recent underperformance (Al-Mana et al., 2020).</w:t>
      </w:r>
    </w:p>
    <w:p w14:paraId="3CA9EFDF" w14:textId="25E586F0" w:rsidR="00C73975" w:rsidRDefault="00853518" w:rsidP="00285A4B">
      <w:r w:rsidRPr="00853518">
        <w:t>Now that the ratio analysis for BP P.L.C. has been completed, a great deal of information about the company's general health and financial performance has been discovered. However, in terms of the company's overall performance and health as indicated by the ratio analysis, it is important to remember that this viewpoint does not fully represent the company's makeup. Instead, it is important to recognize that the overall use of ratio analysis has a great deal of inherent constraint. For example, ratio analysis cannot show some non-financial factors that affect a company's total financial performance (</w:t>
      </w:r>
      <w:proofErr w:type="spellStart"/>
      <w:r w:rsidRPr="00853518">
        <w:t>Daloopa</w:t>
      </w:r>
      <w:proofErr w:type="spellEnd"/>
      <w:r w:rsidRPr="00853518">
        <w:t>, 2024).</w:t>
      </w:r>
      <w:r>
        <w:t xml:space="preserve"> </w:t>
      </w:r>
      <w:r w:rsidRPr="00853518">
        <w:t>As far as BP P.L.C. is concerned, it is pertinent to note that the overall historical basis of ratio analysis cannot guarantee the replication of such performance in the future, thereby restricting the underpinning of the overall analysis for the company.</w:t>
      </w:r>
      <w:r>
        <w:t xml:space="preserve"> </w:t>
      </w:r>
      <w:r w:rsidRPr="00853518">
        <w:t>Furthermore, when geopolitical tensions rise and oil and gas corporations operate in a hostile and dangerous environment, industrial dynamics tend to produce significant sector-specific obstacles (Corporate Finance Institute, 2025). All of these have an impact on the financial performance of businesses that are comparable to BP P.L.C. The company's ratio analysis has not yet demonstrated these. Once more, the ratio study conducted has not provided an illustration of the non-financial aspects such managerial quality, technological skills, and regulatory interactions (</w:t>
      </w:r>
      <w:proofErr w:type="spellStart"/>
      <w:r w:rsidRPr="00853518">
        <w:t>Daloopa</w:t>
      </w:r>
      <w:proofErr w:type="spellEnd"/>
      <w:r w:rsidRPr="00853518">
        <w:t>, 2024).</w:t>
      </w:r>
      <w:r>
        <w:t xml:space="preserve"> </w:t>
      </w:r>
      <w:r w:rsidRPr="00853518">
        <w:t xml:space="preserve">Additionally, there is a chance that BP P.L.C. will overstate or understate its income statement and balance sheet, even though there isn't any solid proof to support this claim. However, because a company's financial statements can be greatly impacted by changes in how it recognizes its impairment charges, accounting policy distortions are frequent in businesses. These restrictions also include </w:t>
      </w:r>
      <w:r w:rsidRPr="00853518">
        <w:lastRenderedPageBreak/>
        <w:t>exposure to window dressing risk, sensitivity to variations in accounting policies implemented by various corporations, and reliance on historical accounting data (La Rosa, 2020).</w:t>
      </w:r>
    </w:p>
    <w:p w14:paraId="7176621A" w14:textId="77777777" w:rsidR="00285A4B" w:rsidRPr="00853518" w:rsidRDefault="00285A4B" w:rsidP="00285A4B"/>
    <w:p w14:paraId="623CEEAA" w14:textId="709710DA" w:rsidR="00ED3279" w:rsidRPr="009712FB" w:rsidRDefault="009712FB" w:rsidP="009712FB">
      <w:pPr>
        <w:pStyle w:val="Heading3"/>
        <w:rPr>
          <w:rFonts w:ascii="Times New Roman" w:hAnsi="Times New Roman" w:cs="Times New Roman"/>
          <w:b/>
          <w:bCs/>
          <w:sz w:val="24"/>
          <w:szCs w:val="32"/>
          <w:lang w:val="en-US"/>
        </w:rPr>
      </w:pPr>
      <w:bookmarkStart w:id="10" w:name="_Toc224919053"/>
      <w:r>
        <w:rPr>
          <w:rFonts w:ascii="Times New Roman" w:hAnsi="Times New Roman" w:cs="Times New Roman"/>
          <w:b/>
          <w:bCs/>
          <w:sz w:val="24"/>
          <w:szCs w:val="32"/>
          <w:lang w:val="en-US"/>
        </w:rPr>
        <w:t xml:space="preserve">3.1.4. </w:t>
      </w:r>
      <w:r w:rsidR="00ED3279" w:rsidRPr="009712FB">
        <w:rPr>
          <w:rFonts w:ascii="Times New Roman" w:hAnsi="Times New Roman" w:cs="Times New Roman"/>
          <w:b/>
          <w:bCs/>
          <w:sz w:val="24"/>
          <w:szCs w:val="32"/>
          <w:lang w:val="en-US"/>
        </w:rPr>
        <w:t>Recommendations for Improvements</w:t>
      </w:r>
      <w:bookmarkEnd w:id="10"/>
    </w:p>
    <w:p w14:paraId="5BB79EAE" w14:textId="3CABF7B5" w:rsidR="00ED3279" w:rsidRDefault="000A0336" w:rsidP="00285A4B">
      <w:pPr>
        <w:rPr>
          <w:lang w:val="en-US"/>
        </w:rPr>
      </w:pPr>
      <w:r>
        <w:rPr>
          <w:lang w:val="en-US"/>
        </w:rPr>
        <w:t xml:space="preserve">Now, based on all of the above analyses, the following recommendations are being made for BP </w:t>
      </w:r>
      <w:r w:rsidR="00CB2CC3">
        <w:rPr>
          <w:lang w:val="en-US"/>
        </w:rPr>
        <w:t>P.L.C.</w:t>
      </w:r>
      <w:r>
        <w:rPr>
          <w:lang w:val="en-US"/>
        </w:rPr>
        <w:t>’s improvements.</w:t>
      </w:r>
    </w:p>
    <w:p w14:paraId="225AC998" w14:textId="5CA5373A" w:rsidR="0025791B" w:rsidRDefault="005E32DB" w:rsidP="0025791B">
      <w:pPr>
        <w:pStyle w:val="ListParagraph"/>
        <w:numPr>
          <w:ilvl w:val="0"/>
          <w:numId w:val="5"/>
        </w:numPr>
        <w:rPr>
          <w:lang w:val="en-US"/>
        </w:rPr>
      </w:pPr>
      <w:r>
        <w:rPr>
          <w:lang w:val="en-US"/>
        </w:rPr>
        <w:t xml:space="preserve">BP </w:t>
      </w:r>
      <w:r w:rsidR="00363C9A">
        <w:rPr>
          <w:lang w:val="en-US"/>
        </w:rPr>
        <w:t>p.l.c.</w:t>
      </w:r>
      <w:r>
        <w:rPr>
          <w:lang w:val="en-US"/>
        </w:rPr>
        <w:t xml:space="preserve"> needs to prioritize improving its utilization and reliability of refining assets so that it can aim at reducing unplanned outages more resoundingly while moving refinery availability closer to the most effective practices found in peers in the sector. At the same time, the company needs to continue to pursue disciplined operating cost reductions through </w:t>
      </w:r>
      <w:proofErr w:type="spellStart"/>
      <w:r>
        <w:rPr>
          <w:lang w:val="en-US"/>
        </w:rPr>
        <w:t>organisational</w:t>
      </w:r>
      <w:proofErr w:type="spellEnd"/>
      <w:r>
        <w:rPr>
          <w:lang w:val="en-US"/>
        </w:rPr>
        <w:t xml:space="preserve"> streamlining, digitalization of activities and processes as well as procurement optimization for enhanced management (Al-Mana et al., 2020; Ewing and Thompson, 2016).</w:t>
      </w:r>
    </w:p>
    <w:p w14:paraId="5E2B085C" w14:textId="5E74B46A" w:rsidR="00900DED" w:rsidRDefault="00AC0AEA" w:rsidP="0025791B">
      <w:pPr>
        <w:pStyle w:val="ListParagraph"/>
        <w:numPr>
          <w:ilvl w:val="0"/>
          <w:numId w:val="5"/>
        </w:numPr>
        <w:rPr>
          <w:lang w:val="en-US"/>
        </w:rPr>
      </w:pPr>
      <w:r>
        <w:rPr>
          <w:lang w:val="en-US"/>
        </w:rPr>
        <w:t xml:space="preserve">The company must focus on restrengthening its balance sheet by </w:t>
      </w:r>
      <w:r w:rsidR="00A57C23">
        <w:rPr>
          <w:lang w:val="en-US"/>
        </w:rPr>
        <w:t xml:space="preserve">reducing its reliance on leverage and </w:t>
      </w:r>
      <w:r w:rsidR="00BA61C5">
        <w:rPr>
          <w:lang w:val="en-US"/>
        </w:rPr>
        <w:t>incorporating</w:t>
      </w:r>
      <w:r w:rsidR="00A57C23">
        <w:rPr>
          <w:lang w:val="en-US"/>
        </w:rPr>
        <w:t xml:space="preserve"> more equity to reduce its exposure to increased financial risks. </w:t>
      </w:r>
      <w:r w:rsidR="004E3792">
        <w:rPr>
          <w:lang w:val="en-US"/>
        </w:rPr>
        <w:t xml:space="preserve">In order to do so, the company must increase its cash cushion to at least $35 billion to achieve operational flexibility under current circumstances and overcome </w:t>
      </w:r>
      <w:r w:rsidR="00BA61C5">
        <w:rPr>
          <w:lang w:val="en-US"/>
        </w:rPr>
        <w:t xml:space="preserve">the </w:t>
      </w:r>
      <w:r w:rsidR="004E3792">
        <w:rPr>
          <w:lang w:val="en-US"/>
        </w:rPr>
        <w:t xml:space="preserve">current financial crisis resiliently. </w:t>
      </w:r>
    </w:p>
    <w:p w14:paraId="6C0F0673" w14:textId="07F36BBF" w:rsidR="00336877" w:rsidRDefault="00970418" w:rsidP="0025791B">
      <w:pPr>
        <w:pStyle w:val="ListParagraph"/>
        <w:numPr>
          <w:ilvl w:val="0"/>
          <w:numId w:val="5"/>
        </w:numPr>
        <w:rPr>
          <w:lang w:val="en-US"/>
        </w:rPr>
      </w:pPr>
      <w:r>
        <w:rPr>
          <w:lang w:val="en-US"/>
        </w:rPr>
        <w:t xml:space="preserve">Another recommendation for the company is to refocus its strategy </w:t>
      </w:r>
      <w:r w:rsidR="00192102">
        <w:rPr>
          <w:lang w:val="en-US"/>
        </w:rPr>
        <w:t>by implementing a strategy reset to achieve increased capital to reduce its overreliance on d</w:t>
      </w:r>
      <w:r w:rsidR="003E0BB1">
        <w:rPr>
          <w:lang w:val="en-US"/>
        </w:rPr>
        <w:t>ebt</w:t>
      </w:r>
      <w:r w:rsidR="00BA61C5">
        <w:rPr>
          <w:lang w:val="en-US"/>
        </w:rPr>
        <w:t>,</w:t>
      </w:r>
      <w:r w:rsidR="003E0BB1">
        <w:rPr>
          <w:lang w:val="en-US"/>
        </w:rPr>
        <w:t xml:space="preserve"> </w:t>
      </w:r>
      <w:r w:rsidR="00847763">
        <w:rPr>
          <w:lang w:val="en-US"/>
        </w:rPr>
        <w:t xml:space="preserve">as well as its transition investment to be more disciplined and reduce its investments to $1.5-2 billion annually instead of $5-7 billion annually. </w:t>
      </w:r>
      <w:r w:rsidR="007D559F">
        <w:rPr>
          <w:lang w:val="en-US"/>
        </w:rPr>
        <w:t>This will help the company to streamline its operations and investment strategies to ensure upstream in oil and gas</w:t>
      </w:r>
      <w:r w:rsidR="003D4C27">
        <w:rPr>
          <w:lang w:val="en-US"/>
        </w:rPr>
        <w:t xml:space="preserve"> (</w:t>
      </w:r>
      <w:r w:rsidR="003D4C27" w:rsidRPr="003D4C27">
        <w:t>Sustainability Magazine</w:t>
      </w:r>
      <w:r w:rsidR="003D4C27">
        <w:t>, 2025)</w:t>
      </w:r>
      <w:r w:rsidR="007D559F">
        <w:rPr>
          <w:lang w:val="en-US"/>
        </w:rPr>
        <w:t>.</w:t>
      </w:r>
    </w:p>
    <w:p w14:paraId="0C01BC04" w14:textId="2727C906" w:rsidR="009712FB" w:rsidRPr="00BA376A" w:rsidRDefault="00525481" w:rsidP="00BA376A">
      <w:pPr>
        <w:pStyle w:val="ListParagraph"/>
        <w:numPr>
          <w:ilvl w:val="0"/>
          <w:numId w:val="5"/>
        </w:numPr>
        <w:rPr>
          <w:lang w:val="en-US"/>
        </w:rPr>
      </w:pPr>
      <w:r>
        <w:rPr>
          <w:lang w:val="en-US"/>
        </w:rPr>
        <w:t xml:space="preserve">Management needs to set transparent medium-term performance targets including restoration of its ROCE metrics back to middle levels and at the same time, optimize production growth at a stabler rate. </w:t>
      </w:r>
      <w:r w:rsidR="001A36D7">
        <w:rPr>
          <w:lang w:val="en-US"/>
        </w:rPr>
        <w:t xml:space="preserve">At the same time, by linking these strategies to an effective framework of capital allocation, the management can focus on balancing dividends, reducing debts and increasing investments in more profitable projects as the company </w:t>
      </w:r>
      <w:r w:rsidR="003F5CD4">
        <w:rPr>
          <w:lang w:val="en-US"/>
        </w:rPr>
        <w:t xml:space="preserve">evolves (La Rosa, 2020; </w:t>
      </w:r>
      <w:proofErr w:type="spellStart"/>
      <w:r w:rsidR="003F5CD4">
        <w:rPr>
          <w:lang w:val="en-US"/>
        </w:rPr>
        <w:t>Malichova</w:t>
      </w:r>
      <w:proofErr w:type="spellEnd"/>
      <w:r w:rsidR="003F5CD4">
        <w:rPr>
          <w:lang w:val="en-US"/>
        </w:rPr>
        <w:t xml:space="preserve"> et al., 2018)</w:t>
      </w:r>
      <w:r w:rsidR="002F1E5A">
        <w:rPr>
          <w:lang w:val="en-US"/>
        </w:rPr>
        <w:t>.</w:t>
      </w:r>
    </w:p>
    <w:p w14:paraId="0D57220F" w14:textId="6E335877" w:rsidR="00FE4C0C" w:rsidRDefault="00FE4C0C" w:rsidP="00810F31">
      <w:pPr>
        <w:pStyle w:val="Heading2"/>
        <w:numPr>
          <w:ilvl w:val="1"/>
          <w:numId w:val="2"/>
        </w:numPr>
      </w:pPr>
      <w:bookmarkStart w:id="11" w:name="_Toc224919054"/>
      <w:r>
        <w:lastRenderedPageBreak/>
        <w:t xml:space="preserve">Part – 02: Investment Decision for Westward </w:t>
      </w:r>
      <w:r w:rsidR="00CB2CC3">
        <w:t>P.L.C.</w:t>
      </w:r>
      <w:bookmarkEnd w:id="11"/>
    </w:p>
    <w:p w14:paraId="57312E15" w14:textId="38938651" w:rsidR="00C21795" w:rsidRPr="009712FB" w:rsidRDefault="00C21795" w:rsidP="009712FB">
      <w:pPr>
        <w:pStyle w:val="Heading3"/>
        <w:numPr>
          <w:ilvl w:val="2"/>
          <w:numId w:val="2"/>
        </w:numPr>
        <w:rPr>
          <w:rFonts w:ascii="Times New Roman" w:hAnsi="Times New Roman" w:cs="Times New Roman"/>
          <w:b/>
          <w:bCs/>
          <w:sz w:val="24"/>
          <w:szCs w:val="28"/>
          <w:lang w:val="en-US"/>
        </w:rPr>
      </w:pPr>
      <w:bookmarkStart w:id="12" w:name="_Toc224919055"/>
      <w:r w:rsidRPr="009712FB">
        <w:rPr>
          <w:rFonts w:ascii="Times New Roman" w:hAnsi="Times New Roman" w:cs="Times New Roman"/>
          <w:b/>
          <w:bCs/>
          <w:sz w:val="24"/>
          <w:szCs w:val="28"/>
          <w:lang w:val="en-US"/>
        </w:rPr>
        <w:t>Project Overview and Investment Options</w:t>
      </w:r>
      <w:bookmarkEnd w:id="12"/>
    </w:p>
    <w:p w14:paraId="38CC0889" w14:textId="36270675" w:rsidR="00B032E3" w:rsidRPr="00B032E3" w:rsidRDefault="00B032E3" w:rsidP="00285A4B">
      <w:r w:rsidRPr="00B032E3">
        <w:t>According to the brief, Westward P.L.C. is a manufacturing company that makes high-quality curtains and is currently faced with three options for expansion that are mutually exclusive. Each of the three possibilities has a distinct focus and conclusion. The following are the three choices.</w:t>
      </w:r>
    </w:p>
    <w:p w14:paraId="40124E4E" w14:textId="77777777" w:rsidR="00B032E3" w:rsidRPr="00B032E3" w:rsidRDefault="00B032E3" w:rsidP="00285A4B">
      <w:pPr>
        <w:rPr>
          <w:lang w:val="en-US"/>
        </w:rPr>
      </w:pPr>
      <w:r w:rsidRPr="00B032E3">
        <w:t>The company can increase its retail reach by expanding its retail outlet under Option A, which calls for an initial investment of 600,000 pounds. This solution integrates the business, improving both its brand recognition and retail operations. For Option B to grow its online presence and sales, an initial investment of one million pounds is needed. The infrastructure for e-commerce will be established with the initial investment. The choice will allow the business to grow internationally and gain visibility online. Option C calls for an initial investment of 1,600,000 pounds, which the business can use to purchase specialized manufacturing equipment and other required items in order to create wooden and Roman blinds.</w:t>
      </w:r>
      <w:r>
        <w:t xml:space="preserve"> </w:t>
      </w:r>
      <w:r w:rsidRPr="00B032E3">
        <w:rPr>
          <w:lang w:val="en-US"/>
        </w:rPr>
        <w:t xml:space="preserve">In order to compare each project on a risk-adjusted basis, these cash-flow projects will serve as the foundation for using the numerous common capital-budgeting techniques (Carmichael, 2011; Pawlak and </w:t>
      </w:r>
      <w:proofErr w:type="spellStart"/>
      <w:r w:rsidRPr="00B032E3">
        <w:rPr>
          <w:lang w:val="en-US"/>
        </w:rPr>
        <w:t>Zarzecki</w:t>
      </w:r>
      <w:proofErr w:type="spellEnd"/>
      <w:r w:rsidRPr="00B032E3">
        <w:rPr>
          <w:lang w:val="en-US"/>
        </w:rPr>
        <w:t>, 2020).</w:t>
      </w:r>
    </w:p>
    <w:p w14:paraId="58A5525B" w14:textId="77777777" w:rsidR="00B032E3" w:rsidRDefault="00B032E3" w:rsidP="00285A4B">
      <w:pPr>
        <w:rPr>
          <w:lang w:val="en-US"/>
        </w:rPr>
      </w:pPr>
      <w:r w:rsidRPr="00B032E3">
        <w:rPr>
          <w:lang w:val="en-US"/>
        </w:rPr>
        <w:t>In order to successfully resolve the current predicament, the business must now choose amongst the three investment options. Investment appraisal techniques like NPV and IRR can be used to do this.</w:t>
      </w:r>
    </w:p>
    <w:p w14:paraId="742D2712" w14:textId="24D34907" w:rsidR="00C21795" w:rsidRPr="009712FB" w:rsidRDefault="009712FB" w:rsidP="00285A4B">
      <w:pPr>
        <w:rPr>
          <w:rFonts w:cs="Times New Roman"/>
          <w:b/>
          <w:bCs/>
          <w:szCs w:val="32"/>
          <w:lang w:val="en-US"/>
        </w:rPr>
      </w:pPr>
      <w:r>
        <w:rPr>
          <w:rFonts w:cs="Times New Roman"/>
          <w:b/>
          <w:bCs/>
          <w:szCs w:val="32"/>
          <w:lang w:val="en-US"/>
        </w:rPr>
        <w:t>S</w:t>
      </w:r>
      <w:r w:rsidR="00443F99" w:rsidRPr="009712FB">
        <w:rPr>
          <w:rFonts w:cs="Times New Roman"/>
          <w:b/>
          <w:bCs/>
          <w:szCs w:val="32"/>
          <w:lang w:val="en-US"/>
        </w:rPr>
        <w:t>uperiority of NPV as an Appraisal Method: Theoretical Foundation</w:t>
      </w:r>
    </w:p>
    <w:p w14:paraId="1697CF95" w14:textId="77777777" w:rsidR="00A65709" w:rsidRPr="00A65709" w:rsidRDefault="00A65709" w:rsidP="00285A4B">
      <w:r w:rsidRPr="00A65709">
        <w:t>Because it can show the value that a project adds to a company, net present value is one of the most often used evaluation techniques (CLFI, 2024). A manager finds it easier to understand the current projects when the results are expressed in pounds. Both the adoption of practitioners and scholarly consensus support it. Now, NPV's theoretical underpinnings provide justifications for why it is regarded as the best appraisal technique. They are explained in further detail below.</w:t>
      </w:r>
    </w:p>
    <w:p w14:paraId="1DC71F1E" w14:textId="77777777" w:rsidR="00A65709" w:rsidRPr="00A65709" w:rsidRDefault="00A65709" w:rsidP="00285A4B">
      <w:pPr>
        <w:rPr>
          <w:lang w:val="en-US"/>
        </w:rPr>
      </w:pPr>
      <w:r w:rsidRPr="00A65709">
        <w:rPr>
          <w:b/>
          <w:bCs/>
          <w:lang w:val="en-US"/>
        </w:rPr>
        <w:t xml:space="preserve">Time Value of Money: </w:t>
      </w:r>
      <w:r w:rsidRPr="00A65709">
        <w:rPr>
          <w:lang w:val="en-US"/>
        </w:rPr>
        <w:t>NPV makes use of the idea that money received in a year will not be worth the same as money received right now. In order to determine the present value of all the cash flows associated with a project, the approach discounts cash flows using a discount rate (</w:t>
      </w:r>
      <w:proofErr w:type="spellStart"/>
      <w:r w:rsidRPr="00A65709">
        <w:rPr>
          <w:lang w:val="en-US"/>
        </w:rPr>
        <w:t>Bosri</w:t>
      </w:r>
      <w:proofErr w:type="spellEnd"/>
      <w:r w:rsidRPr="00A65709">
        <w:rPr>
          <w:lang w:val="en-US"/>
        </w:rPr>
        <w:t>, 2016).</w:t>
      </w:r>
    </w:p>
    <w:p w14:paraId="3289D276" w14:textId="48FC9AB0" w:rsidR="007E6F2D" w:rsidRDefault="007E6F2D" w:rsidP="00285A4B">
      <w:pPr>
        <w:rPr>
          <w:lang w:val="en-US"/>
        </w:rPr>
      </w:pPr>
      <w:r>
        <w:rPr>
          <w:b/>
          <w:bCs/>
          <w:lang w:val="en-US"/>
        </w:rPr>
        <w:lastRenderedPageBreak/>
        <w:t xml:space="preserve">Absolute Value Creation Measurement: </w:t>
      </w:r>
      <w:r w:rsidR="00026DF6">
        <w:rPr>
          <w:lang w:val="en-US"/>
        </w:rPr>
        <w:t xml:space="preserve">One of the major features of NPV is </w:t>
      </w:r>
      <w:r w:rsidR="005F093E">
        <w:rPr>
          <w:lang w:val="en-US"/>
        </w:rPr>
        <w:t>that it produces the absolute value created through each of the projects</w:t>
      </w:r>
      <w:r w:rsidR="00BA61C5">
        <w:rPr>
          <w:lang w:val="en-US"/>
        </w:rPr>
        <w:t>,</w:t>
      </w:r>
      <w:r w:rsidR="005F093E">
        <w:rPr>
          <w:lang w:val="en-US"/>
        </w:rPr>
        <w:t xml:space="preserve"> which helps to understand how much value exactly is to be expected of any and all projects</w:t>
      </w:r>
      <w:r w:rsidR="003D4C27">
        <w:rPr>
          <w:lang w:val="en-US"/>
        </w:rPr>
        <w:t xml:space="preserve"> (</w:t>
      </w:r>
      <w:proofErr w:type="spellStart"/>
      <w:r w:rsidR="003D4C27" w:rsidRPr="003D4C27">
        <w:t>Bosri</w:t>
      </w:r>
      <w:proofErr w:type="spellEnd"/>
      <w:r w:rsidR="003D4C27">
        <w:t>, 2016)</w:t>
      </w:r>
      <w:r w:rsidR="005F093E">
        <w:rPr>
          <w:lang w:val="en-US"/>
        </w:rPr>
        <w:t xml:space="preserve">. </w:t>
      </w:r>
      <w:r w:rsidR="00EE17E6">
        <w:rPr>
          <w:lang w:val="en-US"/>
        </w:rPr>
        <w:t xml:space="preserve">For instance, </w:t>
      </w:r>
      <w:r w:rsidR="006E0C3A">
        <w:rPr>
          <w:lang w:val="en-US"/>
        </w:rPr>
        <w:t xml:space="preserve">a project having a positive NPV of 100,000 Pounds will imply that the project will add an additional 100,000 Pounds to the value of the </w:t>
      </w:r>
      <w:r w:rsidR="00BA61C5">
        <w:rPr>
          <w:lang w:val="en-US"/>
        </w:rPr>
        <w:t>firm's</w:t>
      </w:r>
      <w:r w:rsidR="00E91471">
        <w:rPr>
          <w:lang w:val="en-US"/>
        </w:rPr>
        <w:t xml:space="preserve"> standalone.</w:t>
      </w:r>
    </w:p>
    <w:p w14:paraId="56C5B8B9" w14:textId="6F2197B4" w:rsidR="007E6F2D" w:rsidRDefault="007E6F2D" w:rsidP="00285A4B">
      <w:pPr>
        <w:rPr>
          <w:lang w:val="en-US"/>
        </w:rPr>
      </w:pPr>
      <w:r>
        <w:rPr>
          <w:b/>
          <w:bCs/>
          <w:lang w:val="en-US"/>
        </w:rPr>
        <w:t>Consistent Ranking across Mutually Exclusive Projects:</w:t>
      </w:r>
      <w:r>
        <w:rPr>
          <w:lang w:val="en-US"/>
        </w:rPr>
        <w:t xml:space="preserve"> </w:t>
      </w:r>
      <w:r w:rsidR="00481688">
        <w:rPr>
          <w:lang w:val="en-US"/>
        </w:rPr>
        <w:t>As the value created by a project is the absolute value to be added to the firm’s overall value, NPV helps to rank the mutually exclusive projects effectively</w:t>
      </w:r>
      <w:r w:rsidR="003D4C27">
        <w:rPr>
          <w:lang w:val="en-US"/>
        </w:rPr>
        <w:t xml:space="preserve"> (</w:t>
      </w:r>
      <w:proofErr w:type="spellStart"/>
      <w:r w:rsidR="003D4C27" w:rsidRPr="003D4C27">
        <w:t>Bosri</w:t>
      </w:r>
      <w:proofErr w:type="spellEnd"/>
      <w:r w:rsidR="003D4C27">
        <w:t>, 2016)</w:t>
      </w:r>
      <w:r w:rsidR="00481688">
        <w:rPr>
          <w:lang w:val="en-US"/>
        </w:rPr>
        <w:t xml:space="preserve">. This is because appraisal methods such as IRR can </w:t>
      </w:r>
      <w:r w:rsidR="00BA61C5">
        <w:rPr>
          <w:lang w:val="en-US"/>
        </w:rPr>
        <w:t>produce</w:t>
      </w:r>
      <w:r w:rsidR="00481688">
        <w:rPr>
          <w:lang w:val="en-US"/>
        </w:rPr>
        <w:t xml:space="preserve"> conflicting rankings if projects produce different cash flows </w:t>
      </w:r>
      <w:r w:rsidR="00BA61C5">
        <w:rPr>
          <w:lang w:val="en-US"/>
        </w:rPr>
        <w:t>with</w:t>
      </w:r>
      <w:r w:rsidR="00481688">
        <w:rPr>
          <w:lang w:val="en-US"/>
        </w:rPr>
        <w:t xml:space="preserve"> different timing for the cash flows.</w:t>
      </w:r>
    </w:p>
    <w:p w14:paraId="4180E1BF" w14:textId="48F946D8" w:rsidR="00A65709" w:rsidRPr="00A65709" w:rsidRDefault="00A65709" w:rsidP="00285A4B">
      <w:r w:rsidRPr="00A65709">
        <w:rPr>
          <w:b/>
          <w:bCs/>
        </w:rPr>
        <w:t>Realistic Reinvestment Assumptions:</w:t>
      </w:r>
      <w:r w:rsidRPr="00A65709">
        <w:t xml:space="preserve"> One of the main differences between NPV and IRR is that the former assumes that all cash flows will be reinvested at the firm's cost of capital, while the latter assumes that all cash flows will be reinvested at the IRR, which is frequently highly unrealistic (Harris and El-</w:t>
      </w:r>
      <w:proofErr w:type="spellStart"/>
      <w:r w:rsidRPr="00A65709">
        <w:t>Massri</w:t>
      </w:r>
      <w:proofErr w:type="spellEnd"/>
      <w:r w:rsidRPr="00A65709">
        <w:t xml:space="preserve">, 2011; </w:t>
      </w:r>
      <w:proofErr w:type="spellStart"/>
      <w:r w:rsidRPr="00A65709">
        <w:t>Poggensee</w:t>
      </w:r>
      <w:proofErr w:type="spellEnd"/>
      <w:r w:rsidRPr="00A65709">
        <w:t xml:space="preserve"> and </w:t>
      </w:r>
      <w:proofErr w:type="spellStart"/>
      <w:r w:rsidRPr="00A65709">
        <w:t>Poggensee</w:t>
      </w:r>
      <w:proofErr w:type="spellEnd"/>
      <w:r w:rsidRPr="00A65709">
        <w:t>, 2021).</w:t>
      </w:r>
    </w:p>
    <w:p w14:paraId="50936F9E" w14:textId="337A61D7" w:rsidR="00365854" w:rsidRPr="009712FB" w:rsidRDefault="00365854" w:rsidP="009712FB">
      <w:pPr>
        <w:pStyle w:val="Heading3"/>
        <w:numPr>
          <w:ilvl w:val="2"/>
          <w:numId w:val="2"/>
        </w:numPr>
        <w:rPr>
          <w:rFonts w:ascii="Times New Roman" w:hAnsi="Times New Roman" w:cs="Times New Roman"/>
          <w:b/>
          <w:bCs/>
          <w:sz w:val="24"/>
          <w:szCs w:val="32"/>
          <w:lang w:val="en-US"/>
        </w:rPr>
      </w:pPr>
      <w:bookmarkStart w:id="13" w:name="_Toc224919056"/>
      <w:r w:rsidRPr="009712FB">
        <w:rPr>
          <w:rFonts w:ascii="Times New Roman" w:hAnsi="Times New Roman" w:cs="Times New Roman"/>
          <w:b/>
          <w:bCs/>
          <w:sz w:val="24"/>
          <w:szCs w:val="32"/>
          <w:lang w:val="en-US"/>
        </w:rPr>
        <w:t>Calculation of NPV for all the Options</w:t>
      </w:r>
      <w:bookmarkEnd w:id="13"/>
    </w:p>
    <w:p w14:paraId="57062E21" w14:textId="654F1E6A" w:rsidR="00A65709" w:rsidRPr="00A65709" w:rsidRDefault="00A65709" w:rsidP="00285A4B">
      <w:r w:rsidRPr="00A65709">
        <w:t>The method of calculating net present value (NPV) for a project is intricate, and it becomes much more so when factors like pre-tax cash flows and tax shield amounts are included. It is still, nevertheless, a comparatively easier procedure than figuring out the internal rate of return. The NPV for each of the three choices is now computed below.</w:t>
      </w:r>
    </w:p>
    <w:p w14:paraId="4C4AAB66" w14:textId="23249888" w:rsidR="00B806AC" w:rsidRDefault="00D522B9" w:rsidP="00285A4B">
      <w:pPr>
        <w:rPr>
          <w:b/>
          <w:bCs/>
          <w:lang w:val="en-US"/>
        </w:rPr>
      </w:pPr>
      <w:r>
        <w:rPr>
          <w:b/>
          <w:bCs/>
          <w:lang w:val="en-US"/>
        </w:rPr>
        <w:t xml:space="preserve">Calculation of NPV for </w:t>
      </w:r>
      <w:r w:rsidR="00B806AC">
        <w:rPr>
          <w:b/>
          <w:bCs/>
          <w:lang w:val="en-US"/>
        </w:rPr>
        <w:t>Option A</w:t>
      </w:r>
    </w:p>
    <w:tbl>
      <w:tblPr>
        <w:tblStyle w:val="TableGrid"/>
        <w:tblW w:w="8325" w:type="dxa"/>
        <w:tblInd w:w="-50" w:type="dxa"/>
        <w:tblLook w:val="04A0" w:firstRow="1" w:lastRow="0" w:firstColumn="1" w:lastColumn="0" w:noHBand="0" w:noVBand="1"/>
      </w:tblPr>
      <w:tblGrid>
        <w:gridCol w:w="1189"/>
        <w:gridCol w:w="1189"/>
        <w:gridCol w:w="1189"/>
        <w:gridCol w:w="1189"/>
        <w:gridCol w:w="1189"/>
        <w:gridCol w:w="1191"/>
        <w:gridCol w:w="1189"/>
      </w:tblGrid>
      <w:tr w:rsidR="00D522B9" w14:paraId="3EBC5D2C" w14:textId="77777777" w:rsidTr="00285A4B">
        <w:trPr>
          <w:trHeight w:val="1660"/>
        </w:trPr>
        <w:tc>
          <w:tcPr>
            <w:tcW w:w="1189" w:type="dxa"/>
          </w:tcPr>
          <w:p w14:paraId="679E3D8C" w14:textId="116FA335" w:rsidR="00D522B9" w:rsidRPr="00D46DD7" w:rsidRDefault="00D522B9" w:rsidP="00D522B9">
            <w:pPr>
              <w:jc w:val="center"/>
              <w:rPr>
                <w:b/>
                <w:bCs/>
                <w:lang w:val="en-US"/>
              </w:rPr>
            </w:pPr>
            <w:r>
              <w:rPr>
                <w:b/>
                <w:bCs/>
                <w:lang w:val="en-US"/>
              </w:rPr>
              <w:t>Year</w:t>
            </w:r>
          </w:p>
        </w:tc>
        <w:tc>
          <w:tcPr>
            <w:tcW w:w="1189" w:type="dxa"/>
          </w:tcPr>
          <w:p w14:paraId="3CAC075D" w14:textId="3E570011" w:rsidR="00D522B9" w:rsidRPr="00D46DD7" w:rsidRDefault="00D522B9" w:rsidP="00D522B9">
            <w:pPr>
              <w:jc w:val="center"/>
              <w:rPr>
                <w:b/>
                <w:bCs/>
                <w:lang w:val="en-US"/>
              </w:rPr>
            </w:pPr>
            <w:r>
              <w:rPr>
                <w:b/>
                <w:bCs/>
                <w:lang w:val="en-US"/>
              </w:rPr>
              <w:t>Pre-Tax CF (</w:t>
            </w:r>
            <w:r w:rsidRPr="00D46DD7">
              <w:rPr>
                <w:b/>
                <w:bCs/>
              </w:rPr>
              <w:t>£'000)</w:t>
            </w:r>
          </w:p>
        </w:tc>
        <w:tc>
          <w:tcPr>
            <w:tcW w:w="1189" w:type="dxa"/>
          </w:tcPr>
          <w:p w14:paraId="2EA35D04" w14:textId="65F611AE" w:rsidR="00D522B9" w:rsidRPr="00D46DD7" w:rsidRDefault="00D522B9" w:rsidP="00D522B9">
            <w:pPr>
              <w:jc w:val="center"/>
              <w:rPr>
                <w:b/>
                <w:bCs/>
                <w:lang w:val="en-US"/>
              </w:rPr>
            </w:pPr>
            <w:r>
              <w:rPr>
                <w:b/>
                <w:bCs/>
                <w:lang w:val="en-US"/>
              </w:rPr>
              <w:t>Tax Amount (25%) (</w:t>
            </w:r>
            <w:r w:rsidRPr="00D46DD7">
              <w:rPr>
                <w:b/>
                <w:bCs/>
              </w:rPr>
              <w:t>£'000)</w:t>
            </w:r>
          </w:p>
        </w:tc>
        <w:tc>
          <w:tcPr>
            <w:tcW w:w="1189" w:type="dxa"/>
          </w:tcPr>
          <w:p w14:paraId="4C344150" w14:textId="275D93AE" w:rsidR="00D522B9" w:rsidRPr="00D46DD7" w:rsidRDefault="00D522B9" w:rsidP="00D522B9">
            <w:pPr>
              <w:jc w:val="center"/>
              <w:rPr>
                <w:b/>
                <w:bCs/>
                <w:lang w:val="en-US"/>
              </w:rPr>
            </w:pPr>
            <w:r>
              <w:rPr>
                <w:b/>
                <w:bCs/>
                <w:lang w:val="en-US"/>
              </w:rPr>
              <w:t>Tax Shield (</w:t>
            </w:r>
            <w:r w:rsidRPr="00D46DD7">
              <w:rPr>
                <w:b/>
                <w:bCs/>
              </w:rPr>
              <w:t>£'000)</w:t>
            </w:r>
          </w:p>
        </w:tc>
        <w:tc>
          <w:tcPr>
            <w:tcW w:w="1189" w:type="dxa"/>
          </w:tcPr>
          <w:p w14:paraId="0BBA7242" w14:textId="68D67A1C" w:rsidR="00D522B9" w:rsidRPr="00D46DD7" w:rsidRDefault="00D522B9" w:rsidP="00D522B9">
            <w:pPr>
              <w:jc w:val="center"/>
              <w:rPr>
                <w:b/>
                <w:bCs/>
                <w:lang w:val="en-US"/>
              </w:rPr>
            </w:pPr>
            <w:r>
              <w:rPr>
                <w:b/>
                <w:bCs/>
                <w:lang w:val="en-US"/>
              </w:rPr>
              <w:t>ATCF (</w:t>
            </w:r>
            <w:r w:rsidRPr="00D46DD7">
              <w:rPr>
                <w:b/>
                <w:bCs/>
              </w:rPr>
              <w:t>£'000)</w:t>
            </w:r>
          </w:p>
        </w:tc>
        <w:tc>
          <w:tcPr>
            <w:tcW w:w="1191" w:type="dxa"/>
          </w:tcPr>
          <w:p w14:paraId="0ABDF970" w14:textId="2A8C1C14" w:rsidR="00D522B9" w:rsidRPr="00D46DD7" w:rsidRDefault="00D522B9" w:rsidP="00D522B9">
            <w:pPr>
              <w:jc w:val="center"/>
              <w:rPr>
                <w:b/>
                <w:bCs/>
                <w:lang w:val="en-US"/>
              </w:rPr>
            </w:pPr>
            <w:r>
              <w:rPr>
                <w:b/>
                <w:bCs/>
                <w:lang w:val="en-US"/>
              </w:rPr>
              <w:t>Discount Factor (6%)</w:t>
            </w:r>
          </w:p>
        </w:tc>
        <w:tc>
          <w:tcPr>
            <w:tcW w:w="1189" w:type="dxa"/>
          </w:tcPr>
          <w:p w14:paraId="4E3412A7" w14:textId="022A82DD" w:rsidR="00D522B9" w:rsidRPr="00D46DD7" w:rsidRDefault="00D522B9" w:rsidP="00D522B9">
            <w:pPr>
              <w:jc w:val="center"/>
              <w:rPr>
                <w:b/>
                <w:bCs/>
                <w:lang w:val="en-US"/>
              </w:rPr>
            </w:pPr>
            <w:r>
              <w:rPr>
                <w:b/>
                <w:bCs/>
                <w:lang w:val="en-US"/>
              </w:rPr>
              <w:t>PV (</w:t>
            </w:r>
            <w:r w:rsidRPr="00D46DD7">
              <w:rPr>
                <w:b/>
                <w:bCs/>
              </w:rPr>
              <w:t>£'000)</w:t>
            </w:r>
          </w:p>
        </w:tc>
      </w:tr>
      <w:tr w:rsidR="00B806AC" w14:paraId="3101A82B" w14:textId="77777777" w:rsidTr="00285A4B">
        <w:trPr>
          <w:trHeight w:val="440"/>
        </w:trPr>
        <w:tc>
          <w:tcPr>
            <w:tcW w:w="1189" w:type="dxa"/>
          </w:tcPr>
          <w:p w14:paraId="5B4F25EB" w14:textId="77777777" w:rsidR="00B806AC" w:rsidRDefault="00B806AC" w:rsidP="00F208D5">
            <w:pPr>
              <w:jc w:val="center"/>
              <w:rPr>
                <w:lang w:val="en-US"/>
              </w:rPr>
            </w:pPr>
            <w:r>
              <w:rPr>
                <w:lang w:val="en-US"/>
              </w:rPr>
              <w:t>0</w:t>
            </w:r>
          </w:p>
        </w:tc>
        <w:tc>
          <w:tcPr>
            <w:tcW w:w="1189" w:type="dxa"/>
          </w:tcPr>
          <w:p w14:paraId="066E8669" w14:textId="77777777" w:rsidR="00B806AC" w:rsidRDefault="00B806AC" w:rsidP="00F208D5">
            <w:pPr>
              <w:jc w:val="center"/>
              <w:rPr>
                <w:lang w:val="en-US"/>
              </w:rPr>
            </w:pPr>
            <w:r>
              <w:rPr>
                <w:lang w:val="en-US"/>
              </w:rPr>
              <w:t>(600)</w:t>
            </w:r>
          </w:p>
        </w:tc>
        <w:tc>
          <w:tcPr>
            <w:tcW w:w="1189" w:type="dxa"/>
          </w:tcPr>
          <w:p w14:paraId="59271C0C" w14:textId="77777777" w:rsidR="00B806AC" w:rsidRDefault="00B806AC" w:rsidP="00F208D5">
            <w:pPr>
              <w:jc w:val="center"/>
              <w:rPr>
                <w:lang w:val="en-US"/>
              </w:rPr>
            </w:pPr>
            <w:r>
              <w:rPr>
                <w:lang w:val="en-US"/>
              </w:rPr>
              <w:t>0</w:t>
            </w:r>
          </w:p>
        </w:tc>
        <w:tc>
          <w:tcPr>
            <w:tcW w:w="1189" w:type="dxa"/>
          </w:tcPr>
          <w:p w14:paraId="4C6BD126" w14:textId="77777777" w:rsidR="00B806AC" w:rsidRDefault="00B806AC" w:rsidP="00F208D5">
            <w:pPr>
              <w:jc w:val="center"/>
              <w:rPr>
                <w:lang w:val="en-US"/>
              </w:rPr>
            </w:pPr>
            <w:r>
              <w:rPr>
                <w:lang w:val="en-US"/>
              </w:rPr>
              <w:t>0</w:t>
            </w:r>
          </w:p>
        </w:tc>
        <w:tc>
          <w:tcPr>
            <w:tcW w:w="1189" w:type="dxa"/>
          </w:tcPr>
          <w:p w14:paraId="5F438202" w14:textId="77777777" w:rsidR="00B806AC" w:rsidRDefault="00B806AC" w:rsidP="00F208D5">
            <w:pPr>
              <w:jc w:val="center"/>
              <w:rPr>
                <w:lang w:val="en-US"/>
              </w:rPr>
            </w:pPr>
            <w:r>
              <w:rPr>
                <w:lang w:val="en-US"/>
              </w:rPr>
              <w:t>(600)</w:t>
            </w:r>
          </w:p>
        </w:tc>
        <w:tc>
          <w:tcPr>
            <w:tcW w:w="1191" w:type="dxa"/>
          </w:tcPr>
          <w:p w14:paraId="3BDF7373" w14:textId="77777777" w:rsidR="00B806AC" w:rsidRDefault="00B806AC" w:rsidP="00F208D5">
            <w:pPr>
              <w:jc w:val="center"/>
              <w:rPr>
                <w:lang w:val="en-US"/>
              </w:rPr>
            </w:pPr>
            <w:r>
              <w:rPr>
                <w:lang w:val="en-US"/>
              </w:rPr>
              <w:t>1.00</w:t>
            </w:r>
          </w:p>
        </w:tc>
        <w:tc>
          <w:tcPr>
            <w:tcW w:w="1189" w:type="dxa"/>
          </w:tcPr>
          <w:p w14:paraId="065CCBC3" w14:textId="77777777" w:rsidR="00B806AC" w:rsidRDefault="00B806AC" w:rsidP="00F208D5">
            <w:pPr>
              <w:jc w:val="center"/>
              <w:rPr>
                <w:lang w:val="en-US"/>
              </w:rPr>
            </w:pPr>
            <w:r>
              <w:rPr>
                <w:lang w:val="en-US"/>
              </w:rPr>
              <w:t>(600)</w:t>
            </w:r>
          </w:p>
        </w:tc>
      </w:tr>
      <w:tr w:rsidR="00B806AC" w14:paraId="078F26DC" w14:textId="77777777" w:rsidTr="00285A4B">
        <w:trPr>
          <w:trHeight w:val="440"/>
        </w:trPr>
        <w:tc>
          <w:tcPr>
            <w:tcW w:w="1189" w:type="dxa"/>
          </w:tcPr>
          <w:p w14:paraId="279D5988" w14:textId="77777777" w:rsidR="00B806AC" w:rsidRDefault="00B806AC" w:rsidP="00F208D5">
            <w:pPr>
              <w:jc w:val="center"/>
              <w:rPr>
                <w:lang w:val="en-US"/>
              </w:rPr>
            </w:pPr>
            <w:r>
              <w:rPr>
                <w:lang w:val="en-US"/>
              </w:rPr>
              <w:t>1</w:t>
            </w:r>
          </w:p>
        </w:tc>
        <w:tc>
          <w:tcPr>
            <w:tcW w:w="1189" w:type="dxa"/>
          </w:tcPr>
          <w:p w14:paraId="5A807D10" w14:textId="77777777" w:rsidR="00B806AC" w:rsidRDefault="00B806AC" w:rsidP="00F208D5">
            <w:pPr>
              <w:jc w:val="center"/>
              <w:rPr>
                <w:lang w:val="en-US"/>
              </w:rPr>
            </w:pPr>
            <w:r>
              <w:rPr>
                <w:lang w:val="en-US"/>
              </w:rPr>
              <w:t>200</w:t>
            </w:r>
          </w:p>
        </w:tc>
        <w:tc>
          <w:tcPr>
            <w:tcW w:w="1189" w:type="dxa"/>
          </w:tcPr>
          <w:p w14:paraId="0E4AB3AB" w14:textId="77777777" w:rsidR="00B806AC" w:rsidRDefault="00B806AC" w:rsidP="00F208D5">
            <w:pPr>
              <w:jc w:val="center"/>
              <w:rPr>
                <w:lang w:val="en-US"/>
              </w:rPr>
            </w:pPr>
            <w:r>
              <w:rPr>
                <w:lang w:val="en-US"/>
              </w:rPr>
              <w:t>(50)</w:t>
            </w:r>
          </w:p>
        </w:tc>
        <w:tc>
          <w:tcPr>
            <w:tcW w:w="1189" w:type="dxa"/>
          </w:tcPr>
          <w:p w14:paraId="62DB6D54" w14:textId="77777777" w:rsidR="00B806AC" w:rsidRDefault="00B806AC" w:rsidP="00F208D5">
            <w:pPr>
              <w:jc w:val="center"/>
              <w:rPr>
                <w:lang w:val="en-US"/>
              </w:rPr>
            </w:pPr>
            <w:r>
              <w:rPr>
                <w:lang w:val="en-US"/>
              </w:rPr>
              <w:t>30</w:t>
            </w:r>
          </w:p>
        </w:tc>
        <w:tc>
          <w:tcPr>
            <w:tcW w:w="1189" w:type="dxa"/>
          </w:tcPr>
          <w:p w14:paraId="16FE10ED" w14:textId="77777777" w:rsidR="00B806AC" w:rsidRDefault="00B806AC" w:rsidP="00F208D5">
            <w:pPr>
              <w:jc w:val="center"/>
              <w:rPr>
                <w:lang w:val="en-US"/>
              </w:rPr>
            </w:pPr>
            <w:r>
              <w:rPr>
                <w:lang w:val="en-US"/>
              </w:rPr>
              <w:t>180</w:t>
            </w:r>
          </w:p>
        </w:tc>
        <w:tc>
          <w:tcPr>
            <w:tcW w:w="1191" w:type="dxa"/>
          </w:tcPr>
          <w:p w14:paraId="2BDC0CAC" w14:textId="77777777" w:rsidR="00B806AC" w:rsidRDefault="00B806AC" w:rsidP="00F208D5">
            <w:pPr>
              <w:jc w:val="center"/>
              <w:rPr>
                <w:lang w:val="en-US"/>
              </w:rPr>
            </w:pPr>
            <w:r>
              <w:rPr>
                <w:lang w:val="en-US"/>
              </w:rPr>
              <w:t>0.9434</w:t>
            </w:r>
          </w:p>
        </w:tc>
        <w:tc>
          <w:tcPr>
            <w:tcW w:w="1189" w:type="dxa"/>
          </w:tcPr>
          <w:p w14:paraId="33DEDB48" w14:textId="77777777" w:rsidR="00B806AC" w:rsidRDefault="00B806AC" w:rsidP="00F208D5">
            <w:pPr>
              <w:jc w:val="center"/>
              <w:rPr>
                <w:lang w:val="en-US"/>
              </w:rPr>
            </w:pPr>
            <w:r>
              <w:rPr>
                <w:lang w:val="en-US"/>
              </w:rPr>
              <w:t>169.81</w:t>
            </w:r>
          </w:p>
        </w:tc>
      </w:tr>
      <w:tr w:rsidR="00B806AC" w14:paraId="32FE938C" w14:textId="77777777" w:rsidTr="00285A4B">
        <w:trPr>
          <w:trHeight w:val="440"/>
        </w:trPr>
        <w:tc>
          <w:tcPr>
            <w:tcW w:w="1189" w:type="dxa"/>
          </w:tcPr>
          <w:p w14:paraId="19D28743" w14:textId="77777777" w:rsidR="00B806AC" w:rsidRDefault="00B806AC" w:rsidP="00F208D5">
            <w:pPr>
              <w:jc w:val="center"/>
              <w:rPr>
                <w:lang w:val="en-US"/>
              </w:rPr>
            </w:pPr>
            <w:r>
              <w:rPr>
                <w:lang w:val="en-US"/>
              </w:rPr>
              <w:t>2</w:t>
            </w:r>
          </w:p>
        </w:tc>
        <w:tc>
          <w:tcPr>
            <w:tcW w:w="1189" w:type="dxa"/>
          </w:tcPr>
          <w:p w14:paraId="3C9BD7CD" w14:textId="77777777" w:rsidR="00B806AC" w:rsidRDefault="00B806AC" w:rsidP="00F208D5">
            <w:pPr>
              <w:jc w:val="center"/>
              <w:rPr>
                <w:lang w:val="en-US"/>
              </w:rPr>
            </w:pPr>
            <w:r>
              <w:rPr>
                <w:lang w:val="en-US"/>
              </w:rPr>
              <w:t>400</w:t>
            </w:r>
          </w:p>
        </w:tc>
        <w:tc>
          <w:tcPr>
            <w:tcW w:w="1189" w:type="dxa"/>
          </w:tcPr>
          <w:p w14:paraId="41B2B1BC" w14:textId="77777777" w:rsidR="00B806AC" w:rsidRDefault="00B806AC" w:rsidP="00F208D5">
            <w:pPr>
              <w:jc w:val="center"/>
              <w:rPr>
                <w:lang w:val="en-US"/>
              </w:rPr>
            </w:pPr>
            <w:r>
              <w:rPr>
                <w:lang w:val="en-US"/>
              </w:rPr>
              <w:t>(100)</w:t>
            </w:r>
          </w:p>
        </w:tc>
        <w:tc>
          <w:tcPr>
            <w:tcW w:w="1189" w:type="dxa"/>
          </w:tcPr>
          <w:p w14:paraId="7F59401A" w14:textId="77777777" w:rsidR="00B806AC" w:rsidRDefault="00B806AC" w:rsidP="00F208D5">
            <w:pPr>
              <w:jc w:val="center"/>
              <w:rPr>
                <w:lang w:val="en-US"/>
              </w:rPr>
            </w:pPr>
            <w:r>
              <w:rPr>
                <w:lang w:val="en-US"/>
              </w:rPr>
              <w:t>30</w:t>
            </w:r>
          </w:p>
        </w:tc>
        <w:tc>
          <w:tcPr>
            <w:tcW w:w="1189" w:type="dxa"/>
          </w:tcPr>
          <w:p w14:paraId="1DFD183D" w14:textId="77777777" w:rsidR="00B806AC" w:rsidRDefault="00B806AC" w:rsidP="00F208D5">
            <w:pPr>
              <w:jc w:val="center"/>
              <w:rPr>
                <w:lang w:val="en-US"/>
              </w:rPr>
            </w:pPr>
            <w:r>
              <w:rPr>
                <w:lang w:val="en-US"/>
              </w:rPr>
              <w:t>330</w:t>
            </w:r>
          </w:p>
        </w:tc>
        <w:tc>
          <w:tcPr>
            <w:tcW w:w="1191" w:type="dxa"/>
          </w:tcPr>
          <w:p w14:paraId="11979A21" w14:textId="77777777" w:rsidR="00B806AC" w:rsidRDefault="00B806AC" w:rsidP="00F208D5">
            <w:pPr>
              <w:jc w:val="center"/>
              <w:rPr>
                <w:lang w:val="en-US"/>
              </w:rPr>
            </w:pPr>
            <w:r>
              <w:rPr>
                <w:lang w:val="en-US"/>
              </w:rPr>
              <w:t>0.8900</w:t>
            </w:r>
          </w:p>
        </w:tc>
        <w:tc>
          <w:tcPr>
            <w:tcW w:w="1189" w:type="dxa"/>
          </w:tcPr>
          <w:p w14:paraId="00009FC9" w14:textId="77777777" w:rsidR="00B806AC" w:rsidRDefault="00B806AC" w:rsidP="00F208D5">
            <w:pPr>
              <w:jc w:val="center"/>
              <w:rPr>
                <w:lang w:val="en-US"/>
              </w:rPr>
            </w:pPr>
            <w:r>
              <w:rPr>
                <w:lang w:val="en-US"/>
              </w:rPr>
              <w:t>293.70</w:t>
            </w:r>
          </w:p>
        </w:tc>
      </w:tr>
      <w:tr w:rsidR="00B806AC" w14:paraId="6E51F9E0" w14:textId="77777777" w:rsidTr="00285A4B">
        <w:trPr>
          <w:trHeight w:val="426"/>
        </w:trPr>
        <w:tc>
          <w:tcPr>
            <w:tcW w:w="1189" w:type="dxa"/>
          </w:tcPr>
          <w:p w14:paraId="6B6F3E2C" w14:textId="77777777" w:rsidR="00B806AC" w:rsidRDefault="00B806AC" w:rsidP="00F208D5">
            <w:pPr>
              <w:jc w:val="center"/>
              <w:rPr>
                <w:lang w:val="en-US"/>
              </w:rPr>
            </w:pPr>
            <w:r>
              <w:rPr>
                <w:lang w:val="en-US"/>
              </w:rPr>
              <w:t>3</w:t>
            </w:r>
          </w:p>
        </w:tc>
        <w:tc>
          <w:tcPr>
            <w:tcW w:w="1189" w:type="dxa"/>
          </w:tcPr>
          <w:p w14:paraId="25B0FD38" w14:textId="77777777" w:rsidR="00B806AC" w:rsidRDefault="00B806AC" w:rsidP="00F208D5">
            <w:pPr>
              <w:jc w:val="center"/>
              <w:rPr>
                <w:lang w:val="en-US"/>
              </w:rPr>
            </w:pPr>
            <w:r>
              <w:rPr>
                <w:lang w:val="en-US"/>
              </w:rPr>
              <w:t>500</w:t>
            </w:r>
          </w:p>
        </w:tc>
        <w:tc>
          <w:tcPr>
            <w:tcW w:w="1189" w:type="dxa"/>
          </w:tcPr>
          <w:p w14:paraId="11EF2217" w14:textId="77777777" w:rsidR="00B806AC" w:rsidRDefault="00B806AC" w:rsidP="00F208D5">
            <w:pPr>
              <w:jc w:val="center"/>
              <w:rPr>
                <w:lang w:val="en-US"/>
              </w:rPr>
            </w:pPr>
            <w:r>
              <w:rPr>
                <w:lang w:val="en-US"/>
              </w:rPr>
              <w:t>(125)</w:t>
            </w:r>
          </w:p>
        </w:tc>
        <w:tc>
          <w:tcPr>
            <w:tcW w:w="1189" w:type="dxa"/>
          </w:tcPr>
          <w:p w14:paraId="1DFB908B" w14:textId="77777777" w:rsidR="00B806AC" w:rsidRDefault="00B806AC" w:rsidP="00F208D5">
            <w:pPr>
              <w:jc w:val="center"/>
              <w:rPr>
                <w:lang w:val="en-US"/>
              </w:rPr>
            </w:pPr>
            <w:r>
              <w:rPr>
                <w:lang w:val="en-US"/>
              </w:rPr>
              <w:t>30</w:t>
            </w:r>
          </w:p>
        </w:tc>
        <w:tc>
          <w:tcPr>
            <w:tcW w:w="1189" w:type="dxa"/>
          </w:tcPr>
          <w:p w14:paraId="56E4E336" w14:textId="77777777" w:rsidR="00B806AC" w:rsidRDefault="00B806AC" w:rsidP="00F208D5">
            <w:pPr>
              <w:jc w:val="center"/>
              <w:rPr>
                <w:lang w:val="en-US"/>
              </w:rPr>
            </w:pPr>
            <w:r>
              <w:rPr>
                <w:lang w:val="en-US"/>
              </w:rPr>
              <w:t>405</w:t>
            </w:r>
          </w:p>
        </w:tc>
        <w:tc>
          <w:tcPr>
            <w:tcW w:w="1191" w:type="dxa"/>
          </w:tcPr>
          <w:p w14:paraId="25ED69BB" w14:textId="77777777" w:rsidR="00B806AC" w:rsidRDefault="00B806AC" w:rsidP="00F208D5">
            <w:pPr>
              <w:jc w:val="center"/>
              <w:rPr>
                <w:lang w:val="en-US"/>
              </w:rPr>
            </w:pPr>
            <w:r>
              <w:rPr>
                <w:lang w:val="en-US"/>
              </w:rPr>
              <w:t>0.8396</w:t>
            </w:r>
          </w:p>
        </w:tc>
        <w:tc>
          <w:tcPr>
            <w:tcW w:w="1189" w:type="dxa"/>
          </w:tcPr>
          <w:p w14:paraId="1FFDFFFB" w14:textId="77777777" w:rsidR="00B806AC" w:rsidRDefault="00B806AC" w:rsidP="00F208D5">
            <w:pPr>
              <w:jc w:val="center"/>
              <w:rPr>
                <w:lang w:val="en-US"/>
              </w:rPr>
            </w:pPr>
            <w:r>
              <w:rPr>
                <w:lang w:val="en-US"/>
              </w:rPr>
              <w:t>340.04</w:t>
            </w:r>
          </w:p>
        </w:tc>
      </w:tr>
      <w:tr w:rsidR="00B806AC" w14:paraId="031FDB16" w14:textId="77777777" w:rsidTr="00285A4B">
        <w:trPr>
          <w:trHeight w:val="440"/>
        </w:trPr>
        <w:tc>
          <w:tcPr>
            <w:tcW w:w="1189" w:type="dxa"/>
          </w:tcPr>
          <w:p w14:paraId="59EC0155" w14:textId="77777777" w:rsidR="00B806AC" w:rsidRDefault="00B806AC" w:rsidP="00F208D5">
            <w:pPr>
              <w:jc w:val="center"/>
              <w:rPr>
                <w:lang w:val="en-US"/>
              </w:rPr>
            </w:pPr>
            <w:r>
              <w:rPr>
                <w:lang w:val="en-US"/>
              </w:rPr>
              <w:t>4</w:t>
            </w:r>
          </w:p>
        </w:tc>
        <w:tc>
          <w:tcPr>
            <w:tcW w:w="1189" w:type="dxa"/>
          </w:tcPr>
          <w:p w14:paraId="4DFBF691" w14:textId="77777777" w:rsidR="00B806AC" w:rsidRDefault="00B806AC" w:rsidP="00F208D5">
            <w:pPr>
              <w:jc w:val="center"/>
              <w:rPr>
                <w:lang w:val="en-US"/>
              </w:rPr>
            </w:pPr>
            <w:r>
              <w:rPr>
                <w:lang w:val="en-US"/>
              </w:rPr>
              <w:t>700</w:t>
            </w:r>
          </w:p>
        </w:tc>
        <w:tc>
          <w:tcPr>
            <w:tcW w:w="1189" w:type="dxa"/>
          </w:tcPr>
          <w:p w14:paraId="562EE69A" w14:textId="77777777" w:rsidR="00B806AC" w:rsidRDefault="00B806AC" w:rsidP="00F208D5">
            <w:pPr>
              <w:jc w:val="center"/>
              <w:rPr>
                <w:lang w:val="en-US"/>
              </w:rPr>
            </w:pPr>
            <w:r>
              <w:rPr>
                <w:lang w:val="en-US"/>
              </w:rPr>
              <w:t>(175)</w:t>
            </w:r>
          </w:p>
        </w:tc>
        <w:tc>
          <w:tcPr>
            <w:tcW w:w="1189" w:type="dxa"/>
          </w:tcPr>
          <w:p w14:paraId="60517830" w14:textId="77777777" w:rsidR="00B806AC" w:rsidRDefault="00B806AC" w:rsidP="00F208D5">
            <w:pPr>
              <w:jc w:val="center"/>
              <w:rPr>
                <w:lang w:val="en-US"/>
              </w:rPr>
            </w:pPr>
            <w:r>
              <w:rPr>
                <w:lang w:val="en-US"/>
              </w:rPr>
              <w:t>30</w:t>
            </w:r>
          </w:p>
        </w:tc>
        <w:tc>
          <w:tcPr>
            <w:tcW w:w="1189" w:type="dxa"/>
          </w:tcPr>
          <w:p w14:paraId="307CA5E6" w14:textId="77777777" w:rsidR="00B806AC" w:rsidRDefault="00B806AC" w:rsidP="00F208D5">
            <w:pPr>
              <w:jc w:val="center"/>
              <w:rPr>
                <w:lang w:val="en-US"/>
              </w:rPr>
            </w:pPr>
            <w:r>
              <w:rPr>
                <w:lang w:val="en-US"/>
              </w:rPr>
              <w:t>555</w:t>
            </w:r>
          </w:p>
        </w:tc>
        <w:tc>
          <w:tcPr>
            <w:tcW w:w="1191" w:type="dxa"/>
          </w:tcPr>
          <w:p w14:paraId="38F547F0" w14:textId="77777777" w:rsidR="00B806AC" w:rsidRDefault="00B806AC" w:rsidP="00F208D5">
            <w:pPr>
              <w:jc w:val="center"/>
              <w:rPr>
                <w:lang w:val="en-US"/>
              </w:rPr>
            </w:pPr>
            <w:r>
              <w:rPr>
                <w:lang w:val="en-US"/>
              </w:rPr>
              <w:t>0.7921</w:t>
            </w:r>
          </w:p>
        </w:tc>
        <w:tc>
          <w:tcPr>
            <w:tcW w:w="1189" w:type="dxa"/>
          </w:tcPr>
          <w:p w14:paraId="34D5A4CB" w14:textId="77777777" w:rsidR="00B806AC" w:rsidRDefault="00B806AC" w:rsidP="00F208D5">
            <w:pPr>
              <w:jc w:val="center"/>
              <w:rPr>
                <w:lang w:val="en-US"/>
              </w:rPr>
            </w:pPr>
            <w:r>
              <w:rPr>
                <w:lang w:val="en-US"/>
              </w:rPr>
              <w:t>439.62</w:t>
            </w:r>
          </w:p>
        </w:tc>
      </w:tr>
      <w:tr w:rsidR="00B806AC" w14:paraId="4DB35C12" w14:textId="77777777" w:rsidTr="00285A4B">
        <w:trPr>
          <w:trHeight w:val="440"/>
        </w:trPr>
        <w:tc>
          <w:tcPr>
            <w:tcW w:w="7136" w:type="dxa"/>
            <w:gridSpan w:val="6"/>
          </w:tcPr>
          <w:p w14:paraId="7FCA593B" w14:textId="77777777" w:rsidR="00B806AC" w:rsidRPr="009608C4" w:rsidRDefault="00B806AC" w:rsidP="00F208D5">
            <w:pPr>
              <w:jc w:val="center"/>
              <w:rPr>
                <w:b/>
                <w:bCs/>
                <w:lang w:val="en-US"/>
              </w:rPr>
            </w:pPr>
            <w:r>
              <w:rPr>
                <w:b/>
                <w:bCs/>
                <w:lang w:val="en-US"/>
              </w:rPr>
              <w:t>N</w:t>
            </w:r>
            <w:r w:rsidRPr="009608C4">
              <w:rPr>
                <w:b/>
                <w:bCs/>
                <w:lang w:val="en-US"/>
              </w:rPr>
              <w:t>PV</w:t>
            </w:r>
          </w:p>
        </w:tc>
        <w:tc>
          <w:tcPr>
            <w:tcW w:w="1189" w:type="dxa"/>
          </w:tcPr>
          <w:p w14:paraId="10CE1975" w14:textId="0E0434B9" w:rsidR="00B806AC" w:rsidRPr="009608C4" w:rsidRDefault="00B806AC" w:rsidP="00F208D5">
            <w:pPr>
              <w:jc w:val="center"/>
              <w:rPr>
                <w:b/>
                <w:bCs/>
                <w:lang w:val="en-US"/>
              </w:rPr>
            </w:pPr>
            <w:r w:rsidRPr="00D46DD7">
              <w:rPr>
                <w:b/>
                <w:bCs/>
              </w:rPr>
              <w:t>£</w:t>
            </w:r>
            <w:r w:rsidRPr="009608C4">
              <w:rPr>
                <w:b/>
                <w:bCs/>
                <w:lang w:val="en-US"/>
              </w:rPr>
              <w:t>643</w:t>
            </w:r>
            <w:r>
              <w:rPr>
                <w:b/>
                <w:bCs/>
                <w:lang w:val="en-US"/>
              </w:rPr>
              <w:t>,</w:t>
            </w:r>
            <w:r w:rsidRPr="009608C4">
              <w:rPr>
                <w:b/>
                <w:bCs/>
                <w:lang w:val="en-US"/>
              </w:rPr>
              <w:t>1</w:t>
            </w:r>
            <w:r>
              <w:rPr>
                <w:b/>
                <w:bCs/>
                <w:lang w:val="en-US"/>
              </w:rPr>
              <w:t>65</w:t>
            </w:r>
          </w:p>
        </w:tc>
      </w:tr>
    </w:tbl>
    <w:p w14:paraId="0AB3CA94" w14:textId="77777777" w:rsidR="00285A4B" w:rsidRDefault="00285A4B" w:rsidP="00285A4B">
      <w:pPr>
        <w:ind w:firstLine="720"/>
        <w:rPr>
          <w:b/>
          <w:bCs/>
          <w:lang w:val="en-US"/>
        </w:rPr>
      </w:pPr>
    </w:p>
    <w:p w14:paraId="5B2011C4" w14:textId="659E7322" w:rsidR="00D522B9" w:rsidRDefault="00D522B9" w:rsidP="00285A4B">
      <w:pPr>
        <w:rPr>
          <w:b/>
          <w:bCs/>
          <w:lang w:val="en-US"/>
        </w:rPr>
      </w:pPr>
      <w:r>
        <w:rPr>
          <w:b/>
          <w:bCs/>
          <w:lang w:val="en-US"/>
        </w:rPr>
        <w:lastRenderedPageBreak/>
        <w:t>Calculation of NPV for Option B</w:t>
      </w:r>
    </w:p>
    <w:tbl>
      <w:tblPr>
        <w:tblStyle w:val="TableGrid"/>
        <w:tblW w:w="8503" w:type="dxa"/>
        <w:tblInd w:w="-20" w:type="dxa"/>
        <w:tblLook w:val="04A0" w:firstRow="1" w:lastRow="0" w:firstColumn="1" w:lastColumn="0" w:noHBand="0" w:noVBand="1"/>
      </w:tblPr>
      <w:tblGrid>
        <w:gridCol w:w="1214"/>
        <w:gridCol w:w="1214"/>
        <w:gridCol w:w="1214"/>
        <w:gridCol w:w="1214"/>
        <w:gridCol w:w="1214"/>
        <w:gridCol w:w="1219"/>
        <w:gridCol w:w="1214"/>
      </w:tblGrid>
      <w:tr w:rsidR="00D522B9" w14:paraId="67D4E49E" w14:textId="77777777" w:rsidTr="00285A4B">
        <w:trPr>
          <w:trHeight w:val="2479"/>
        </w:trPr>
        <w:tc>
          <w:tcPr>
            <w:tcW w:w="1214" w:type="dxa"/>
          </w:tcPr>
          <w:p w14:paraId="4D62A8C4" w14:textId="72BFACF4" w:rsidR="00D522B9" w:rsidRPr="00D46DD7" w:rsidRDefault="00D522B9" w:rsidP="00D522B9">
            <w:pPr>
              <w:jc w:val="center"/>
              <w:rPr>
                <w:b/>
                <w:bCs/>
                <w:lang w:val="en-US"/>
              </w:rPr>
            </w:pPr>
            <w:r>
              <w:rPr>
                <w:b/>
                <w:bCs/>
                <w:lang w:val="en-US"/>
              </w:rPr>
              <w:t>Year</w:t>
            </w:r>
          </w:p>
        </w:tc>
        <w:tc>
          <w:tcPr>
            <w:tcW w:w="1214" w:type="dxa"/>
          </w:tcPr>
          <w:p w14:paraId="5CF14696" w14:textId="431A4E0B" w:rsidR="00D522B9" w:rsidRPr="00D46DD7" w:rsidRDefault="00D522B9" w:rsidP="00D522B9">
            <w:pPr>
              <w:jc w:val="center"/>
              <w:rPr>
                <w:b/>
                <w:bCs/>
                <w:lang w:val="en-US"/>
              </w:rPr>
            </w:pPr>
            <w:r>
              <w:rPr>
                <w:b/>
                <w:bCs/>
                <w:lang w:val="en-US"/>
              </w:rPr>
              <w:t>Pre-Tax CF (</w:t>
            </w:r>
            <w:r w:rsidRPr="00D46DD7">
              <w:rPr>
                <w:b/>
                <w:bCs/>
              </w:rPr>
              <w:t>£'000)</w:t>
            </w:r>
          </w:p>
        </w:tc>
        <w:tc>
          <w:tcPr>
            <w:tcW w:w="1214" w:type="dxa"/>
          </w:tcPr>
          <w:p w14:paraId="2F2DCB19" w14:textId="65C44AAD" w:rsidR="00D522B9" w:rsidRPr="00D46DD7" w:rsidRDefault="00D522B9" w:rsidP="00D522B9">
            <w:pPr>
              <w:jc w:val="center"/>
              <w:rPr>
                <w:b/>
                <w:bCs/>
                <w:lang w:val="en-US"/>
              </w:rPr>
            </w:pPr>
            <w:r>
              <w:rPr>
                <w:b/>
                <w:bCs/>
                <w:lang w:val="en-US"/>
              </w:rPr>
              <w:t>Tax Amount (25%) (</w:t>
            </w:r>
            <w:r w:rsidRPr="00D46DD7">
              <w:rPr>
                <w:b/>
                <w:bCs/>
              </w:rPr>
              <w:t>£'000)</w:t>
            </w:r>
          </w:p>
        </w:tc>
        <w:tc>
          <w:tcPr>
            <w:tcW w:w="1214" w:type="dxa"/>
          </w:tcPr>
          <w:p w14:paraId="0AD5596C" w14:textId="44E4F121" w:rsidR="00D522B9" w:rsidRPr="00D46DD7" w:rsidRDefault="00D522B9" w:rsidP="00D522B9">
            <w:pPr>
              <w:jc w:val="center"/>
              <w:rPr>
                <w:b/>
                <w:bCs/>
                <w:lang w:val="en-US"/>
              </w:rPr>
            </w:pPr>
            <w:r>
              <w:rPr>
                <w:b/>
                <w:bCs/>
                <w:lang w:val="en-US"/>
              </w:rPr>
              <w:t>Tax Shield (</w:t>
            </w:r>
            <w:r w:rsidRPr="00D46DD7">
              <w:rPr>
                <w:b/>
                <w:bCs/>
              </w:rPr>
              <w:t>£'000)</w:t>
            </w:r>
          </w:p>
        </w:tc>
        <w:tc>
          <w:tcPr>
            <w:tcW w:w="1214" w:type="dxa"/>
          </w:tcPr>
          <w:p w14:paraId="35D447D2" w14:textId="038D1682" w:rsidR="00D522B9" w:rsidRPr="00D46DD7" w:rsidRDefault="00D522B9" w:rsidP="00D522B9">
            <w:pPr>
              <w:jc w:val="center"/>
              <w:rPr>
                <w:b/>
                <w:bCs/>
                <w:lang w:val="en-US"/>
              </w:rPr>
            </w:pPr>
            <w:r>
              <w:rPr>
                <w:b/>
                <w:bCs/>
                <w:lang w:val="en-US"/>
              </w:rPr>
              <w:t>ATCF (</w:t>
            </w:r>
            <w:r w:rsidRPr="00D46DD7">
              <w:rPr>
                <w:b/>
                <w:bCs/>
              </w:rPr>
              <w:t>£'000)</w:t>
            </w:r>
          </w:p>
        </w:tc>
        <w:tc>
          <w:tcPr>
            <w:tcW w:w="1219" w:type="dxa"/>
          </w:tcPr>
          <w:p w14:paraId="2BD416FC" w14:textId="191E2DA9" w:rsidR="00D522B9" w:rsidRPr="00D46DD7" w:rsidRDefault="00D522B9" w:rsidP="00D522B9">
            <w:pPr>
              <w:jc w:val="center"/>
              <w:rPr>
                <w:b/>
                <w:bCs/>
                <w:lang w:val="en-US"/>
              </w:rPr>
            </w:pPr>
            <w:r>
              <w:rPr>
                <w:b/>
                <w:bCs/>
                <w:lang w:val="en-US"/>
              </w:rPr>
              <w:t>Discount Factor (6%)</w:t>
            </w:r>
          </w:p>
        </w:tc>
        <w:tc>
          <w:tcPr>
            <w:tcW w:w="1214" w:type="dxa"/>
          </w:tcPr>
          <w:p w14:paraId="66F1DDBF" w14:textId="327BC0C7" w:rsidR="00D522B9" w:rsidRPr="00D46DD7" w:rsidRDefault="00D522B9" w:rsidP="00D522B9">
            <w:pPr>
              <w:jc w:val="center"/>
              <w:rPr>
                <w:b/>
                <w:bCs/>
                <w:lang w:val="en-US"/>
              </w:rPr>
            </w:pPr>
            <w:r>
              <w:rPr>
                <w:b/>
                <w:bCs/>
                <w:lang w:val="en-US"/>
              </w:rPr>
              <w:t>PV (</w:t>
            </w:r>
            <w:r w:rsidRPr="00D46DD7">
              <w:rPr>
                <w:b/>
                <w:bCs/>
              </w:rPr>
              <w:t>£'000)</w:t>
            </w:r>
          </w:p>
        </w:tc>
      </w:tr>
      <w:tr w:rsidR="00B806AC" w14:paraId="45A68267" w14:textId="77777777" w:rsidTr="00285A4B">
        <w:trPr>
          <w:trHeight w:val="657"/>
        </w:trPr>
        <w:tc>
          <w:tcPr>
            <w:tcW w:w="1214" w:type="dxa"/>
          </w:tcPr>
          <w:p w14:paraId="6D537862" w14:textId="77777777" w:rsidR="00B806AC" w:rsidRDefault="00B806AC" w:rsidP="00F208D5">
            <w:pPr>
              <w:jc w:val="center"/>
              <w:rPr>
                <w:lang w:val="en-US"/>
              </w:rPr>
            </w:pPr>
            <w:r>
              <w:rPr>
                <w:lang w:val="en-US"/>
              </w:rPr>
              <w:t>0</w:t>
            </w:r>
          </w:p>
        </w:tc>
        <w:tc>
          <w:tcPr>
            <w:tcW w:w="1214" w:type="dxa"/>
          </w:tcPr>
          <w:p w14:paraId="363E3286" w14:textId="77777777" w:rsidR="00B806AC" w:rsidRDefault="00B806AC" w:rsidP="00F208D5">
            <w:pPr>
              <w:jc w:val="center"/>
              <w:rPr>
                <w:lang w:val="en-US"/>
              </w:rPr>
            </w:pPr>
            <w:r>
              <w:rPr>
                <w:lang w:val="en-US"/>
              </w:rPr>
              <w:t>(1,000)</w:t>
            </w:r>
          </w:p>
        </w:tc>
        <w:tc>
          <w:tcPr>
            <w:tcW w:w="1214" w:type="dxa"/>
          </w:tcPr>
          <w:p w14:paraId="0B252051" w14:textId="77777777" w:rsidR="00B806AC" w:rsidRDefault="00B806AC" w:rsidP="00F208D5">
            <w:pPr>
              <w:jc w:val="center"/>
              <w:rPr>
                <w:lang w:val="en-US"/>
              </w:rPr>
            </w:pPr>
            <w:r>
              <w:rPr>
                <w:lang w:val="en-US"/>
              </w:rPr>
              <w:t>0</w:t>
            </w:r>
          </w:p>
        </w:tc>
        <w:tc>
          <w:tcPr>
            <w:tcW w:w="1214" w:type="dxa"/>
          </w:tcPr>
          <w:p w14:paraId="2A556A8A" w14:textId="77777777" w:rsidR="00B806AC" w:rsidRDefault="00B806AC" w:rsidP="00F208D5">
            <w:pPr>
              <w:jc w:val="center"/>
              <w:rPr>
                <w:lang w:val="en-US"/>
              </w:rPr>
            </w:pPr>
            <w:r>
              <w:rPr>
                <w:lang w:val="en-US"/>
              </w:rPr>
              <w:t>0</w:t>
            </w:r>
          </w:p>
        </w:tc>
        <w:tc>
          <w:tcPr>
            <w:tcW w:w="1214" w:type="dxa"/>
          </w:tcPr>
          <w:p w14:paraId="29E502EE" w14:textId="77777777" w:rsidR="00B806AC" w:rsidRDefault="00B806AC" w:rsidP="00F208D5">
            <w:pPr>
              <w:jc w:val="center"/>
              <w:rPr>
                <w:lang w:val="en-US"/>
              </w:rPr>
            </w:pPr>
            <w:r>
              <w:rPr>
                <w:lang w:val="en-US"/>
              </w:rPr>
              <w:t>(1,000)</w:t>
            </w:r>
          </w:p>
        </w:tc>
        <w:tc>
          <w:tcPr>
            <w:tcW w:w="1219" w:type="dxa"/>
          </w:tcPr>
          <w:p w14:paraId="51AE3349" w14:textId="77777777" w:rsidR="00B806AC" w:rsidRDefault="00B806AC" w:rsidP="00F208D5">
            <w:pPr>
              <w:jc w:val="center"/>
              <w:rPr>
                <w:lang w:val="en-US"/>
              </w:rPr>
            </w:pPr>
            <w:r>
              <w:rPr>
                <w:lang w:val="en-US"/>
              </w:rPr>
              <w:t>1.00</w:t>
            </w:r>
          </w:p>
        </w:tc>
        <w:tc>
          <w:tcPr>
            <w:tcW w:w="1214" w:type="dxa"/>
          </w:tcPr>
          <w:p w14:paraId="22F254A8" w14:textId="77777777" w:rsidR="00B806AC" w:rsidRDefault="00B806AC" w:rsidP="00F208D5">
            <w:pPr>
              <w:jc w:val="center"/>
              <w:rPr>
                <w:lang w:val="en-US"/>
              </w:rPr>
            </w:pPr>
            <w:r>
              <w:rPr>
                <w:lang w:val="en-US"/>
              </w:rPr>
              <w:t>(1,000)</w:t>
            </w:r>
          </w:p>
        </w:tc>
      </w:tr>
      <w:tr w:rsidR="00B806AC" w14:paraId="4879D384" w14:textId="77777777" w:rsidTr="00285A4B">
        <w:trPr>
          <w:trHeight w:val="657"/>
        </w:trPr>
        <w:tc>
          <w:tcPr>
            <w:tcW w:w="1214" w:type="dxa"/>
          </w:tcPr>
          <w:p w14:paraId="1FE58D4D" w14:textId="77777777" w:rsidR="00B806AC" w:rsidRDefault="00B806AC" w:rsidP="00F208D5">
            <w:pPr>
              <w:jc w:val="center"/>
              <w:rPr>
                <w:lang w:val="en-US"/>
              </w:rPr>
            </w:pPr>
            <w:r>
              <w:rPr>
                <w:lang w:val="en-US"/>
              </w:rPr>
              <w:t>1</w:t>
            </w:r>
          </w:p>
        </w:tc>
        <w:tc>
          <w:tcPr>
            <w:tcW w:w="1214" w:type="dxa"/>
          </w:tcPr>
          <w:p w14:paraId="446A7B52" w14:textId="77777777" w:rsidR="00B806AC" w:rsidRDefault="00B806AC" w:rsidP="00F208D5">
            <w:pPr>
              <w:jc w:val="center"/>
              <w:rPr>
                <w:lang w:val="en-US"/>
              </w:rPr>
            </w:pPr>
            <w:r>
              <w:rPr>
                <w:lang w:val="en-US"/>
              </w:rPr>
              <w:t>400</w:t>
            </w:r>
          </w:p>
        </w:tc>
        <w:tc>
          <w:tcPr>
            <w:tcW w:w="1214" w:type="dxa"/>
          </w:tcPr>
          <w:p w14:paraId="4409C30B" w14:textId="77777777" w:rsidR="00B806AC" w:rsidRDefault="00B806AC" w:rsidP="00F208D5">
            <w:pPr>
              <w:jc w:val="center"/>
              <w:rPr>
                <w:lang w:val="en-US"/>
              </w:rPr>
            </w:pPr>
            <w:r>
              <w:rPr>
                <w:lang w:val="en-US"/>
              </w:rPr>
              <w:t>(100)</w:t>
            </w:r>
          </w:p>
        </w:tc>
        <w:tc>
          <w:tcPr>
            <w:tcW w:w="1214" w:type="dxa"/>
          </w:tcPr>
          <w:p w14:paraId="458C570F" w14:textId="77777777" w:rsidR="00B806AC" w:rsidRDefault="00B806AC" w:rsidP="00F208D5">
            <w:pPr>
              <w:jc w:val="center"/>
              <w:rPr>
                <w:lang w:val="en-US"/>
              </w:rPr>
            </w:pPr>
            <w:r>
              <w:rPr>
                <w:lang w:val="en-US"/>
              </w:rPr>
              <w:t>50</w:t>
            </w:r>
          </w:p>
        </w:tc>
        <w:tc>
          <w:tcPr>
            <w:tcW w:w="1214" w:type="dxa"/>
          </w:tcPr>
          <w:p w14:paraId="33F4C107" w14:textId="77777777" w:rsidR="00B806AC" w:rsidRDefault="00B806AC" w:rsidP="00F208D5">
            <w:pPr>
              <w:jc w:val="center"/>
              <w:rPr>
                <w:lang w:val="en-US"/>
              </w:rPr>
            </w:pPr>
            <w:r>
              <w:rPr>
                <w:lang w:val="en-US"/>
              </w:rPr>
              <w:t>350</w:t>
            </w:r>
          </w:p>
        </w:tc>
        <w:tc>
          <w:tcPr>
            <w:tcW w:w="1219" w:type="dxa"/>
          </w:tcPr>
          <w:p w14:paraId="4F9DF692" w14:textId="77777777" w:rsidR="00B806AC" w:rsidRDefault="00B806AC" w:rsidP="00F208D5">
            <w:pPr>
              <w:jc w:val="center"/>
              <w:rPr>
                <w:lang w:val="en-US"/>
              </w:rPr>
            </w:pPr>
            <w:r>
              <w:rPr>
                <w:lang w:val="en-US"/>
              </w:rPr>
              <w:t>0.9434</w:t>
            </w:r>
          </w:p>
        </w:tc>
        <w:tc>
          <w:tcPr>
            <w:tcW w:w="1214" w:type="dxa"/>
          </w:tcPr>
          <w:p w14:paraId="7A090E63" w14:textId="77777777" w:rsidR="00B806AC" w:rsidRDefault="00B806AC" w:rsidP="00F208D5">
            <w:pPr>
              <w:jc w:val="center"/>
              <w:rPr>
                <w:lang w:val="en-US"/>
              </w:rPr>
            </w:pPr>
            <w:r>
              <w:rPr>
                <w:lang w:val="en-US"/>
              </w:rPr>
              <w:t>330.19</w:t>
            </w:r>
          </w:p>
        </w:tc>
      </w:tr>
      <w:tr w:rsidR="00B806AC" w14:paraId="66F4E396" w14:textId="77777777" w:rsidTr="00285A4B">
        <w:trPr>
          <w:trHeight w:val="635"/>
        </w:trPr>
        <w:tc>
          <w:tcPr>
            <w:tcW w:w="1214" w:type="dxa"/>
          </w:tcPr>
          <w:p w14:paraId="04B449FF" w14:textId="77777777" w:rsidR="00B806AC" w:rsidRDefault="00B806AC" w:rsidP="00F208D5">
            <w:pPr>
              <w:jc w:val="center"/>
              <w:rPr>
                <w:lang w:val="en-US"/>
              </w:rPr>
            </w:pPr>
            <w:r>
              <w:rPr>
                <w:lang w:val="en-US"/>
              </w:rPr>
              <w:t>2</w:t>
            </w:r>
          </w:p>
        </w:tc>
        <w:tc>
          <w:tcPr>
            <w:tcW w:w="1214" w:type="dxa"/>
          </w:tcPr>
          <w:p w14:paraId="1387635A" w14:textId="77777777" w:rsidR="00B806AC" w:rsidRDefault="00B806AC" w:rsidP="00F208D5">
            <w:pPr>
              <w:jc w:val="center"/>
              <w:rPr>
                <w:lang w:val="en-US"/>
              </w:rPr>
            </w:pPr>
            <w:r>
              <w:rPr>
                <w:lang w:val="en-US"/>
              </w:rPr>
              <w:t>450</w:t>
            </w:r>
          </w:p>
        </w:tc>
        <w:tc>
          <w:tcPr>
            <w:tcW w:w="1214" w:type="dxa"/>
          </w:tcPr>
          <w:p w14:paraId="4BFB3183" w14:textId="77777777" w:rsidR="00B806AC" w:rsidRDefault="00B806AC" w:rsidP="00F208D5">
            <w:pPr>
              <w:jc w:val="center"/>
              <w:rPr>
                <w:lang w:val="en-US"/>
              </w:rPr>
            </w:pPr>
            <w:r>
              <w:rPr>
                <w:lang w:val="en-US"/>
              </w:rPr>
              <w:t>(112.5)</w:t>
            </w:r>
          </w:p>
        </w:tc>
        <w:tc>
          <w:tcPr>
            <w:tcW w:w="1214" w:type="dxa"/>
          </w:tcPr>
          <w:p w14:paraId="7EA742CE" w14:textId="77777777" w:rsidR="00B806AC" w:rsidRDefault="00B806AC" w:rsidP="00F208D5">
            <w:pPr>
              <w:jc w:val="center"/>
              <w:rPr>
                <w:lang w:val="en-US"/>
              </w:rPr>
            </w:pPr>
            <w:r>
              <w:rPr>
                <w:lang w:val="en-US"/>
              </w:rPr>
              <w:t>50</w:t>
            </w:r>
          </w:p>
        </w:tc>
        <w:tc>
          <w:tcPr>
            <w:tcW w:w="1214" w:type="dxa"/>
          </w:tcPr>
          <w:p w14:paraId="71BADF54" w14:textId="77777777" w:rsidR="00B806AC" w:rsidRDefault="00B806AC" w:rsidP="00F208D5">
            <w:pPr>
              <w:jc w:val="center"/>
              <w:rPr>
                <w:lang w:val="en-US"/>
              </w:rPr>
            </w:pPr>
            <w:r>
              <w:rPr>
                <w:lang w:val="en-US"/>
              </w:rPr>
              <w:t>387.5</w:t>
            </w:r>
          </w:p>
        </w:tc>
        <w:tc>
          <w:tcPr>
            <w:tcW w:w="1219" w:type="dxa"/>
          </w:tcPr>
          <w:p w14:paraId="29169B85" w14:textId="77777777" w:rsidR="00B806AC" w:rsidRDefault="00B806AC" w:rsidP="00F208D5">
            <w:pPr>
              <w:jc w:val="center"/>
              <w:rPr>
                <w:lang w:val="en-US"/>
              </w:rPr>
            </w:pPr>
            <w:r>
              <w:rPr>
                <w:lang w:val="en-US"/>
              </w:rPr>
              <w:t>0.8900</w:t>
            </w:r>
          </w:p>
        </w:tc>
        <w:tc>
          <w:tcPr>
            <w:tcW w:w="1214" w:type="dxa"/>
          </w:tcPr>
          <w:p w14:paraId="6358F67C" w14:textId="77777777" w:rsidR="00B806AC" w:rsidRDefault="00B806AC" w:rsidP="00F208D5">
            <w:pPr>
              <w:jc w:val="center"/>
              <w:rPr>
                <w:lang w:val="en-US"/>
              </w:rPr>
            </w:pPr>
            <w:r>
              <w:rPr>
                <w:lang w:val="en-US"/>
              </w:rPr>
              <w:t>344.88</w:t>
            </w:r>
          </w:p>
        </w:tc>
      </w:tr>
      <w:tr w:rsidR="00B806AC" w14:paraId="48BE23EE" w14:textId="77777777" w:rsidTr="00285A4B">
        <w:trPr>
          <w:trHeight w:val="657"/>
        </w:trPr>
        <w:tc>
          <w:tcPr>
            <w:tcW w:w="1214" w:type="dxa"/>
          </w:tcPr>
          <w:p w14:paraId="5BCBEAF3" w14:textId="77777777" w:rsidR="00B806AC" w:rsidRDefault="00B806AC" w:rsidP="00F208D5">
            <w:pPr>
              <w:jc w:val="center"/>
              <w:rPr>
                <w:lang w:val="en-US"/>
              </w:rPr>
            </w:pPr>
            <w:r>
              <w:rPr>
                <w:lang w:val="en-US"/>
              </w:rPr>
              <w:t>3</w:t>
            </w:r>
          </w:p>
        </w:tc>
        <w:tc>
          <w:tcPr>
            <w:tcW w:w="1214" w:type="dxa"/>
          </w:tcPr>
          <w:p w14:paraId="390156FA" w14:textId="77777777" w:rsidR="00B806AC" w:rsidRDefault="00B806AC" w:rsidP="00F208D5">
            <w:pPr>
              <w:jc w:val="center"/>
              <w:rPr>
                <w:lang w:val="en-US"/>
              </w:rPr>
            </w:pPr>
            <w:r>
              <w:rPr>
                <w:lang w:val="en-US"/>
              </w:rPr>
              <w:t>720</w:t>
            </w:r>
          </w:p>
        </w:tc>
        <w:tc>
          <w:tcPr>
            <w:tcW w:w="1214" w:type="dxa"/>
          </w:tcPr>
          <w:p w14:paraId="0372817A" w14:textId="77777777" w:rsidR="00B806AC" w:rsidRDefault="00B806AC" w:rsidP="00F208D5">
            <w:pPr>
              <w:jc w:val="center"/>
              <w:rPr>
                <w:lang w:val="en-US"/>
              </w:rPr>
            </w:pPr>
            <w:r>
              <w:rPr>
                <w:lang w:val="en-US"/>
              </w:rPr>
              <w:t>(180)</w:t>
            </w:r>
          </w:p>
        </w:tc>
        <w:tc>
          <w:tcPr>
            <w:tcW w:w="1214" w:type="dxa"/>
          </w:tcPr>
          <w:p w14:paraId="5ADDD1D4" w14:textId="77777777" w:rsidR="00B806AC" w:rsidRDefault="00B806AC" w:rsidP="00F208D5">
            <w:pPr>
              <w:jc w:val="center"/>
              <w:rPr>
                <w:lang w:val="en-US"/>
              </w:rPr>
            </w:pPr>
            <w:r>
              <w:rPr>
                <w:lang w:val="en-US"/>
              </w:rPr>
              <w:t>50</w:t>
            </w:r>
          </w:p>
        </w:tc>
        <w:tc>
          <w:tcPr>
            <w:tcW w:w="1214" w:type="dxa"/>
          </w:tcPr>
          <w:p w14:paraId="0AC787D0" w14:textId="77777777" w:rsidR="00B806AC" w:rsidRDefault="00B806AC" w:rsidP="00F208D5">
            <w:pPr>
              <w:jc w:val="center"/>
              <w:rPr>
                <w:lang w:val="en-US"/>
              </w:rPr>
            </w:pPr>
            <w:r>
              <w:rPr>
                <w:lang w:val="en-US"/>
              </w:rPr>
              <w:t>590</w:t>
            </w:r>
          </w:p>
        </w:tc>
        <w:tc>
          <w:tcPr>
            <w:tcW w:w="1219" w:type="dxa"/>
          </w:tcPr>
          <w:p w14:paraId="23B1E937" w14:textId="77777777" w:rsidR="00B806AC" w:rsidRDefault="00B806AC" w:rsidP="00F208D5">
            <w:pPr>
              <w:jc w:val="center"/>
              <w:rPr>
                <w:lang w:val="en-US"/>
              </w:rPr>
            </w:pPr>
            <w:r>
              <w:rPr>
                <w:lang w:val="en-US"/>
              </w:rPr>
              <w:t>0.8396</w:t>
            </w:r>
          </w:p>
        </w:tc>
        <w:tc>
          <w:tcPr>
            <w:tcW w:w="1214" w:type="dxa"/>
          </w:tcPr>
          <w:p w14:paraId="7B4CB4B9" w14:textId="77777777" w:rsidR="00B806AC" w:rsidRDefault="00B806AC" w:rsidP="00F208D5">
            <w:pPr>
              <w:jc w:val="center"/>
              <w:rPr>
                <w:lang w:val="en-US"/>
              </w:rPr>
            </w:pPr>
            <w:r>
              <w:rPr>
                <w:lang w:val="en-US"/>
              </w:rPr>
              <w:t>495.36</w:t>
            </w:r>
          </w:p>
        </w:tc>
      </w:tr>
      <w:tr w:rsidR="00B806AC" w14:paraId="6810C603" w14:textId="77777777" w:rsidTr="00285A4B">
        <w:trPr>
          <w:trHeight w:val="657"/>
        </w:trPr>
        <w:tc>
          <w:tcPr>
            <w:tcW w:w="1214" w:type="dxa"/>
          </w:tcPr>
          <w:p w14:paraId="41752BB7" w14:textId="77777777" w:rsidR="00B806AC" w:rsidRDefault="00B806AC" w:rsidP="00F208D5">
            <w:pPr>
              <w:jc w:val="center"/>
              <w:rPr>
                <w:lang w:val="en-US"/>
              </w:rPr>
            </w:pPr>
            <w:r>
              <w:rPr>
                <w:lang w:val="en-US"/>
              </w:rPr>
              <w:t>4</w:t>
            </w:r>
          </w:p>
        </w:tc>
        <w:tc>
          <w:tcPr>
            <w:tcW w:w="1214" w:type="dxa"/>
          </w:tcPr>
          <w:p w14:paraId="471AE58B" w14:textId="77777777" w:rsidR="00B806AC" w:rsidRDefault="00B806AC" w:rsidP="00F208D5">
            <w:pPr>
              <w:jc w:val="center"/>
              <w:rPr>
                <w:lang w:val="en-US"/>
              </w:rPr>
            </w:pPr>
            <w:r>
              <w:rPr>
                <w:lang w:val="en-US"/>
              </w:rPr>
              <w:t>980</w:t>
            </w:r>
          </w:p>
        </w:tc>
        <w:tc>
          <w:tcPr>
            <w:tcW w:w="1214" w:type="dxa"/>
          </w:tcPr>
          <w:p w14:paraId="6DE4EC12" w14:textId="77777777" w:rsidR="00B806AC" w:rsidRDefault="00B806AC" w:rsidP="00F208D5">
            <w:pPr>
              <w:jc w:val="center"/>
              <w:rPr>
                <w:lang w:val="en-US"/>
              </w:rPr>
            </w:pPr>
            <w:r>
              <w:rPr>
                <w:lang w:val="en-US"/>
              </w:rPr>
              <w:t>(245)</w:t>
            </w:r>
          </w:p>
        </w:tc>
        <w:tc>
          <w:tcPr>
            <w:tcW w:w="1214" w:type="dxa"/>
          </w:tcPr>
          <w:p w14:paraId="024161EF" w14:textId="77777777" w:rsidR="00B806AC" w:rsidRDefault="00B806AC" w:rsidP="00F208D5">
            <w:pPr>
              <w:jc w:val="center"/>
              <w:rPr>
                <w:lang w:val="en-US"/>
              </w:rPr>
            </w:pPr>
            <w:r>
              <w:rPr>
                <w:lang w:val="en-US"/>
              </w:rPr>
              <w:t>50</w:t>
            </w:r>
          </w:p>
        </w:tc>
        <w:tc>
          <w:tcPr>
            <w:tcW w:w="1214" w:type="dxa"/>
          </w:tcPr>
          <w:p w14:paraId="2156B6D0" w14:textId="77777777" w:rsidR="00B806AC" w:rsidRDefault="00B806AC" w:rsidP="00F208D5">
            <w:pPr>
              <w:jc w:val="center"/>
              <w:rPr>
                <w:lang w:val="en-US"/>
              </w:rPr>
            </w:pPr>
            <w:r>
              <w:rPr>
                <w:lang w:val="en-US"/>
              </w:rPr>
              <w:t>785</w:t>
            </w:r>
          </w:p>
        </w:tc>
        <w:tc>
          <w:tcPr>
            <w:tcW w:w="1219" w:type="dxa"/>
          </w:tcPr>
          <w:p w14:paraId="16B00AC1" w14:textId="77777777" w:rsidR="00B806AC" w:rsidRDefault="00B806AC" w:rsidP="00F208D5">
            <w:pPr>
              <w:jc w:val="center"/>
              <w:rPr>
                <w:lang w:val="en-US"/>
              </w:rPr>
            </w:pPr>
            <w:r>
              <w:rPr>
                <w:lang w:val="en-US"/>
              </w:rPr>
              <w:t>0.7921</w:t>
            </w:r>
          </w:p>
        </w:tc>
        <w:tc>
          <w:tcPr>
            <w:tcW w:w="1214" w:type="dxa"/>
          </w:tcPr>
          <w:p w14:paraId="7A9959A3" w14:textId="77777777" w:rsidR="00B806AC" w:rsidRDefault="00B806AC" w:rsidP="00F208D5">
            <w:pPr>
              <w:jc w:val="center"/>
              <w:rPr>
                <w:lang w:val="en-US"/>
              </w:rPr>
            </w:pPr>
            <w:r>
              <w:rPr>
                <w:lang w:val="en-US"/>
              </w:rPr>
              <w:t>621.80</w:t>
            </w:r>
          </w:p>
        </w:tc>
      </w:tr>
      <w:tr w:rsidR="00B806AC" w14:paraId="6D52D4AD" w14:textId="77777777" w:rsidTr="00285A4B">
        <w:trPr>
          <w:trHeight w:val="635"/>
        </w:trPr>
        <w:tc>
          <w:tcPr>
            <w:tcW w:w="7289" w:type="dxa"/>
            <w:gridSpan w:val="6"/>
          </w:tcPr>
          <w:p w14:paraId="154E3F05" w14:textId="77777777" w:rsidR="00B806AC" w:rsidRPr="009608C4" w:rsidRDefault="00B806AC" w:rsidP="00F208D5">
            <w:pPr>
              <w:jc w:val="center"/>
              <w:rPr>
                <w:b/>
                <w:bCs/>
                <w:lang w:val="en-US"/>
              </w:rPr>
            </w:pPr>
            <w:r>
              <w:rPr>
                <w:b/>
                <w:bCs/>
                <w:lang w:val="en-US"/>
              </w:rPr>
              <w:t>N</w:t>
            </w:r>
            <w:r w:rsidRPr="009608C4">
              <w:rPr>
                <w:b/>
                <w:bCs/>
                <w:lang w:val="en-US"/>
              </w:rPr>
              <w:t>PV</w:t>
            </w:r>
          </w:p>
        </w:tc>
        <w:tc>
          <w:tcPr>
            <w:tcW w:w="1214" w:type="dxa"/>
          </w:tcPr>
          <w:p w14:paraId="75D451CB" w14:textId="47CB0D96" w:rsidR="00B806AC" w:rsidRPr="009608C4" w:rsidRDefault="00B806AC" w:rsidP="00F208D5">
            <w:pPr>
              <w:jc w:val="center"/>
              <w:rPr>
                <w:b/>
                <w:bCs/>
                <w:lang w:val="en-US"/>
              </w:rPr>
            </w:pPr>
            <w:r w:rsidRPr="00D46DD7">
              <w:rPr>
                <w:b/>
                <w:bCs/>
              </w:rPr>
              <w:t>£</w:t>
            </w:r>
            <w:r>
              <w:rPr>
                <w:b/>
                <w:bCs/>
                <w:lang w:val="en-US"/>
              </w:rPr>
              <w:t>792,228</w:t>
            </w:r>
          </w:p>
        </w:tc>
      </w:tr>
    </w:tbl>
    <w:p w14:paraId="363158C3" w14:textId="223EFA95" w:rsidR="00D522B9" w:rsidRDefault="00D522B9" w:rsidP="00285A4B">
      <w:pPr>
        <w:spacing w:before="240"/>
        <w:rPr>
          <w:b/>
          <w:bCs/>
          <w:lang w:val="en-US"/>
        </w:rPr>
      </w:pPr>
      <w:r>
        <w:rPr>
          <w:b/>
          <w:bCs/>
          <w:lang w:val="en-US"/>
        </w:rPr>
        <w:t>Calculation of NPV for Option – C</w:t>
      </w:r>
    </w:p>
    <w:tbl>
      <w:tblPr>
        <w:tblStyle w:val="TableGrid"/>
        <w:tblW w:w="8281" w:type="dxa"/>
        <w:tblInd w:w="27" w:type="dxa"/>
        <w:tblLook w:val="04A0" w:firstRow="1" w:lastRow="0" w:firstColumn="1" w:lastColumn="0" w:noHBand="0" w:noVBand="1"/>
      </w:tblPr>
      <w:tblGrid>
        <w:gridCol w:w="1183"/>
        <w:gridCol w:w="1183"/>
        <w:gridCol w:w="1183"/>
        <w:gridCol w:w="1183"/>
        <w:gridCol w:w="1183"/>
        <w:gridCol w:w="1183"/>
        <w:gridCol w:w="1183"/>
      </w:tblGrid>
      <w:tr w:rsidR="00B806AC" w14:paraId="027A9CE8" w14:textId="77777777" w:rsidTr="00285A4B">
        <w:trPr>
          <w:trHeight w:val="1677"/>
        </w:trPr>
        <w:tc>
          <w:tcPr>
            <w:tcW w:w="1183" w:type="dxa"/>
          </w:tcPr>
          <w:p w14:paraId="64B176B7" w14:textId="77777777" w:rsidR="00B806AC" w:rsidRPr="00D46DD7" w:rsidRDefault="00B806AC" w:rsidP="00F208D5">
            <w:pPr>
              <w:jc w:val="center"/>
              <w:rPr>
                <w:b/>
                <w:bCs/>
                <w:lang w:val="en-US"/>
              </w:rPr>
            </w:pPr>
            <w:r>
              <w:rPr>
                <w:b/>
                <w:bCs/>
                <w:lang w:val="en-US"/>
              </w:rPr>
              <w:t>Year</w:t>
            </w:r>
          </w:p>
        </w:tc>
        <w:tc>
          <w:tcPr>
            <w:tcW w:w="1183" w:type="dxa"/>
          </w:tcPr>
          <w:p w14:paraId="07242872" w14:textId="651FE777" w:rsidR="00B806AC" w:rsidRPr="00D46DD7" w:rsidRDefault="00B806AC" w:rsidP="00F208D5">
            <w:pPr>
              <w:jc w:val="center"/>
              <w:rPr>
                <w:b/>
                <w:bCs/>
                <w:lang w:val="en-US"/>
              </w:rPr>
            </w:pPr>
            <w:r>
              <w:rPr>
                <w:b/>
                <w:bCs/>
                <w:lang w:val="en-US"/>
              </w:rPr>
              <w:t>Pre-Tax CF</w:t>
            </w:r>
            <w:r w:rsidR="00D522B9">
              <w:rPr>
                <w:b/>
                <w:bCs/>
                <w:lang w:val="en-US"/>
              </w:rPr>
              <w:t xml:space="preserve"> </w:t>
            </w:r>
            <w:r>
              <w:rPr>
                <w:b/>
                <w:bCs/>
                <w:lang w:val="en-US"/>
              </w:rPr>
              <w:t>(</w:t>
            </w:r>
            <w:r w:rsidRPr="00D46DD7">
              <w:rPr>
                <w:b/>
                <w:bCs/>
              </w:rPr>
              <w:t>£'000)</w:t>
            </w:r>
          </w:p>
        </w:tc>
        <w:tc>
          <w:tcPr>
            <w:tcW w:w="1183" w:type="dxa"/>
          </w:tcPr>
          <w:p w14:paraId="1130485A" w14:textId="764FB2B4" w:rsidR="00B806AC" w:rsidRPr="00D46DD7" w:rsidRDefault="00B806AC" w:rsidP="00F208D5">
            <w:pPr>
              <w:jc w:val="center"/>
              <w:rPr>
                <w:b/>
                <w:bCs/>
                <w:lang w:val="en-US"/>
              </w:rPr>
            </w:pPr>
            <w:r>
              <w:rPr>
                <w:b/>
                <w:bCs/>
                <w:lang w:val="en-US"/>
              </w:rPr>
              <w:t>Tax Amount (25%) (</w:t>
            </w:r>
            <w:r w:rsidRPr="00D46DD7">
              <w:rPr>
                <w:b/>
                <w:bCs/>
              </w:rPr>
              <w:t>£'000)</w:t>
            </w:r>
          </w:p>
        </w:tc>
        <w:tc>
          <w:tcPr>
            <w:tcW w:w="1183" w:type="dxa"/>
          </w:tcPr>
          <w:p w14:paraId="04545B3F" w14:textId="77777777" w:rsidR="00B806AC" w:rsidRPr="00D46DD7" w:rsidRDefault="00B806AC" w:rsidP="00F208D5">
            <w:pPr>
              <w:jc w:val="center"/>
              <w:rPr>
                <w:b/>
                <w:bCs/>
                <w:lang w:val="en-US"/>
              </w:rPr>
            </w:pPr>
            <w:r>
              <w:rPr>
                <w:b/>
                <w:bCs/>
                <w:lang w:val="en-US"/>
              </w:rPr>
              <w:t>Tax Shield (</w:t>
            </w:r>
            <w:r w:rsidRPr="00D46DD7">
              <w:rPr>
                <w:b/>
                <w:bCs/>
              </w:rPr>
              <w:t>£'000)</w:t>
            </w:r>
          </w:p>
        </w:tc>
        <w:tc>
          <w:tcPr>
            <w:tcW w:w="1183" w:type="dxa"/>
          </w:tcPr>
          <w:p w14:paraId="333D3C5B" w14:textId="09A02748" w:rsidR="00B806AC" w:rsidRPr="00D46DD7" w:rsidRDefault="00B806AC" w:rsidP="00F208D5">
            <w:pPr>
              <w:jc w:val="center"/>
              <w:rPr>
                <w:b/>
                <w:bCs/>
                <w:lang w:val="en-US"/>
              </w:rPr>
            </w:pPr>
            <w:r>
              <w:rPr>
                <w:b/>
                <w:bCs/>
                <w:lang w:val="en-US"/>
              </w:rPr>
              <w:t>ATCF (</w:t>
            </w:r>
            <w:r w:rsidRPr="00D46DD7">
              <w:rPr>
                <w:b/>
                <w:bCs/>
              </w:rPr>
              <w:t>£'000)</w:t>
            </w:r>
          </w:p>
        </w:tc>
        <w:tc>
          <w:tcPr>
            <w:tcW w:w="1183" w:type="dxa"/>
          </w:tcPr>
          <w:p w14:paraId="4F4138F0" w14:textId="0C0412D2" w:rsidR="00B806AC" w:rsidRPr="00D46DD7" w:rsidRDefault="00B806AC" w:rsidP="00F208D5">
            <w:pPr>
              <w:jc w:val="center"/>
              <w:rPr>
                <w:b/>
                <w:bCs/>
                <w:lang w:val="en-US"/>
              </w:rPr>
            </w:pPr>
            <w:r>
              <w:rPr>
                <w:b/>
                <w:bCs/>
                <w:lang w:val="en-US"/>
              </w:rPr>
              <w:t>Discount Factor (6%)</w:t>
            </w:r>
          </w:p>
        </w:tc>
        <w:tc>
          <w:tcPr>
            <w:tcW w:w="1183" w:type="dxa"/>
          </w:tcPr>
          <w:p w14:paraId="63EC7CBF" w14:textId="1D7C8612" w:rsidR="00B806AC" w:rsidRPr="00B806AC" w:rsidRDefault="00B806AC" w:rsidP="00B806AC">
            <w:pPr>
              <w:jc w:val="center"/>
              <w:rPr>
                <w:b/>
                <w:bCs/>
              </w:rPr>
            </w:pPr>
            <w:r>
              <w:rPr>
                <w:b/>
                <w:bCs/>
                <w:lang w:val="en-US"/>
              </w:rPr>
              <w:t>PV (</w:t>
            </w:r>
            <w:r w:rsidRPr="00D46DD7">
              <w:rPr>
                <w:b/>
                <w:bCs/>
              </w:rPr>
              <w:t>£'000)</w:t>
            </w:r>
          </w:p>
        </w:tc>
      </w:tr>
      <w:tr w:rsidR="00B806AC" w14:paraId="19F9624B" w14:textId="77777777" w:rsidTr="00285A4B">
        <w:trPr>
          <w:trHeight w:val="445"/>
        </w:trPr>
        <w:tc>
          <w:tcPr>
            <w:tcW w:w="1183" w:type="dxa"/>
          </w:tcPr>
          <w:p w14:paraId="34E22AE0" w14:textId="77777777" w:rsidR="00B806AC" w:rsidRDefault="00B806AC" w:rsidP="00F208D5">
            <w:pPr>
              <w:jc w:val="center"/>
              <w:rPr>
                <w:lang w:val="en-US"/>
              </w:rPr>
            </w:pPr>
            <w:r>
              <w:rPr>
                <w:lang w:val="en-US"/>
              </w:rPr>
              <w:t>0</w:t>
            </w:r>
          </w:p>
        </w:tc>
        <w:tc>
          <w:tcPr>
            <w:tcW w:w="1183" w:type="dxa"/>
          </w:tcPr>
          <w:p w14:paraId="6393AEDD" w14:textId="77777777" w:rsidR="00B806AC" w:rsidRDefault="00B806AC" w:rsidP="00F208D5">
            <w:pPr>
              <w:jc w:val="center"/>
              <w:rPr>
                <w:lang w:val="en-US"/>
              </w:rPr>
            </w:pPr>
            <w:r>
              <w:rPr>
                <w:lang w:val="en-US"/>
              </w:rPr>
              <w:t>(1,600)</w:t>
            </w:r>
          </w:p>
        </w:tc>
        <w:tc>
          <w:tcPr>
            <w:tcW w:w="1183" w:type="dxa"/>
          </w:tcPr>
          <w:p w14:paraId="33A83CD0" w14:textId="77777777" w:rsidR="00B806AC" w:rsidRDefault="00B806AC" w:rsidP="00F208D5">
            <w:pPr>
              <w:jc w:val="center"/>
              <w:rPr>
                <w:lang w:val="en-US"/>
              </w:rPr>
            </w:pPr>
            <w:r>
              <w:rPr>
                <w:lang w:val="en-US"/>
              </w:rPr>
              <w:t>0</w:t>
            </w:r>
          </w:p>
        </w:tc>
        <w:tc>
          <w:tcPr>
            <w:tcW w:w="1183" w:type="dxa"/>
          </w:tcPr>
          <w:p w14:paraId="5831B9F3" w14:textId="77777777" w:rsidR="00B806AC" w:rsidRDefault="00B806AC" w:rsidP="00F208D5">
            <w:pPr>
              <w:jc w:val="center"/>
              <w:rPr>
                <w:lang w:val="en-US"/>
              </w:rPr>
            </w:pPr>
            <w:r>
              <w:rPr>
                <w:lang w:val="en-US"/>
              </w:rPr>
              <w:t>0</w:t>
            </w:r>
          </w:p>
        </w:tc>
        <w:tc>
          <w:tcPr>
            <w:tcW w:w="1183" w:type="dxa"/>
          </w:tcPr>
          <w:p w14:paraId="06B77693" w14:textId="77777777" w:rsidR="00B806AC" w:rsidRDefault="00B806AC" w:rsidP="00F208D5">
            <w:pPr>
              <w:jc w:val="center"/>
              <w:rPr>
                <w:lang w:val="en-US"/>
              </w:rPr>
            </w:pPr>
            <w:r>
              <w:rPr>
                <w:lang w:val="en-US"/>
              </w:rPr>
              <w:t>(1,600)</w:t>
            </w:r>
          </w:p>
        </w:tc>
        <w:tc>
          <w:tcPr>
            <w:tcW w:w="1183" w:type="dxa"/>
          </w:tcPr>
          <w:p w14:paraId="474C89F8" w14:textId="77777777" w:rsidR="00B806AC" w:rsidRDefault="00B806AC" w:rsidP="00F208D5">
            <w:pPr>
              <w:jc w:val="center"/>
              <w:rPr>
                <w:lang w:val="en-US"/>
              </w:rPr>
            </w:pPr>
            <w:r>
              <w:rPr>
                <w:lang w:val="en-US"/>
              </w:rPr>
              <w:t>1.00</w:t>
            </w:r>
          </w:p>
        </w:tc>
        <w:tc>
          <w:tcPr>
            <w:tcW w:w="1183" w:type="dxa"/>
          </w:tcPr>
          <w:p w14:paraId="5E55BB25" w14:textId="77777777" w:rsidR="00B806AC" w:rsidRDefault="00B806AC" w:rsidP="00F208D5">
            <w:pPr>
              <w:jc w:val="center"/>
              <w:rPr>
                <w:lang w:val="en-US"/>
              </w:rPr>
            </w:pPr>
            <w:r>
              <w:rPr>
                <w:lang w:val="en-US"/>
              </w:rPr>
              <w:t>(1,600)</w:t>
            </w:r>
          </w:p>
        </w:tc>
      </w:tr>
      <w:tr w:rsidR="00B806AC" w14:paraId="73D961E6" w14:textId="77777777" w:rsidTr="00285A4B">
        <w:trPr>
          <w:trHeight w:val="445"/>
        </w:trPr>
        <w:tc>
          <w:tcPr>
            <w:tcW w:w="1183" w:type="dxa"/>
          </w:tcPr>
          <w:p w14:paraId="0F3CA7A6" w14:textId="77777777" w:rsidR="00B806AC" w:rsidRDefault="00B806AC" w:rsidP="00F208D5">
            <w:pPr>
              <w:jc w:val="center"/>
              <w:rPr>
                <w:lang w:val="en-US"/>
              </w:rPr>
            </w:pPr>
            <w:r>
              <w:rPr>
                <w:lang w:val="en-US"/>
              </w:rPr>
              <w:t>1</w:t>
            </w:r>
          </w:p>
        </w:tc>
        <w:tc>
          <w:tcPr>
            <w:tcW w:w="1183" w:type="dxa"/>
          </w:tcPr>
          <w:p w14:paraId="24F83AF6" w14:textId="77777777" w:rsidR="00B806AC" w:rsidRDefault="00B806AC" w:rsidP="00F208D5">
            <w:pPr>
              <w:jc w:val="center"/>
              <w:rPr>
                <w:lang w:val="en-US"/>
              </w:rPr>
            </w:pPr>
            <w:r>
              <w:rPr>
                <w:lang w:val="en-US"/>
              </w:rPr>
              <w:t>450</w:t>
            </w:r>
          </w:p>
        </w:tc>
        <w:tc>
          <w:tcPr>
            <w:tcW w:w="1183" w:type="dxa"/>
          </w:tcPr>
          <w:p w14:paraId="61FAB6EC" w14:textId="77777777" w:rsidR="00B806AC" w:rsidRDefault="00B806AC" w:rsidP="00F208D5">
            <w:pPr>
              <w:jc w:val="center"/>
              <w:rPr>
                <w:lang w:val="en-US"/>
              </w:rPr>
            </w:pPr>
            <w:r>
              <w:rPr>
                <w:lang w:val="en-US"/>
              </w:rPr>
              <w:t>(112.5)</w:t>
            </w:r>
          </w:p>
        </w:tc>
        <w:tc>
          <w:tcPr>
            <w:tcW w:w="1183" w:type="dxa"/>
          </w:tcPr>
          <w:p w14:paraId="6A48677B" w14:textId="77777777" w:rsidR="00B806AC" w:rsidRDefault="00B806AC" w:rsidP="00F208D5">
            <w:pPr>
              <w:jc w:val="center"/>
              <w:rPr>
                <w:lang w:val="en-US"/>
              </w:rPr>
            </w:pPr>
            <w:r>
              <w:rPr>
                <w:lang w:val="en-US"/>
              </w:rPr>
              <w:t>80</w:t>
            </w:r>
          </w:p>
        </w:tc>
        <w:tc>
          <w:tcPr>
            <w:tcW w:w="1183" w:type="dxa"/>
          </w:tcPr>
          <w:p w14:paraId="76B6BB2A" w14:textId="77777777" w:rsidR="00B806AC" w:rsidRDefault="00B806AC" w:rsidP="00F208D5">
            <w:pPr>
              <w:jc w:val="center"/>
              <w:rPr>
                <w:lang w:val="en-US"/>
              </w:rPr>
            </w:pPr>
            <w:r>
              <w:rPr>
                <w:lang w:val="en-US"/>
              </w:rPr>
              <w:t>417.5</w:t>
            </w:r>
          </w:p>
        </w:tc>
        <w:tc>
          <w:tcPr>
            <w:tcW w:w="1183" w:type="dxa"/>
          </w:tcPr>
          <w:p w14:paraId="5B372029" w14:textId="77777777" w:rsidR="00B806AC" w:rsidRDefault="00B806AC" w:rsidP="00F208D5">
            <w:pPr>
              <w:jc w:val="center"/>
              <w:rPr>
                <w:lang w:val="en-US"/>
              </w:rPr>
            </w:pPr>
            <w:r>
              <w:rPr>
                <w:lang w:val="en-US"/>
              </w:rPr>
              <w:t>0.9434</w:t>
            </w:r>
          </w:p>
        </w:tc>
        <w:tc>
          <w:tcPr>
            <w:tcW w:w="1183" w:type="dxa"/>
          </w:tcPr>
          <w:p w14:paraId="6CD99FEE" w14:textId="77777777" w:rsidR="00B806AC" w:rsidRDefault="00B806AC" w:rsidP="00F208D5">
            <w:pPr>
              <w:jc w:val="center"/>
              <w:rPr>
                <w:lang w:val="en-US"/>
              </w:rPr>
            </w:pPr>
            <w:r>
              <w:rPr>
                <w:lang w:val="en-US"/>
              </w:rPr>
              <w:t>393.87</w:t>
            </w:r>
          </w:p>
        </w:tc>
      </w:tr>
      <w:tr w:rsidR="00B806AC" w14:paraId="5D0B9AFC" w14:textId="77777777" w:rsidTr="00285A4B">
        <w:trPr>
          <w:trHeight w:val="445"/>
        </w:trPr>
        <w:tc>
          <w:tcPr>
            <w:tcW w:w="1183" w:type="dxa"/>
          </w:tcPr>
          <w:p w14:paraId="758D98E1" w14:textId="77777777" w:rsidR="00B806AC" w:rsidRDefault="00B806AC" w:rsidP="00F208D5">
            <w:pPr>
              <w:jc w:val="center"/>
              <w:rPr>
                <w:lang w:val="en-US"/>
              </w:rPr>
            </w:pPr>
            <w:r>
              <w:rPr>
                <w:lang w:val="en-US"/>
              </w:rPr>
              <w:t>2</w:t>
            </w:r>
          </w:p>
        </w:tc>
        <w:tc>
          <w:tcPr>
            <w:tcW w:w="1183" w:type="dxa"/>
          </w:tcPr>
          <w:p w14:paraId="542EF855" w14:textId="77777777" w:rsidR="00B806AC" w:rsidRDefault="00B806AC" w:rsidP="00F208D5">
            <w:pPr>
              <w:jc w:val="center"/>
              <w:rPr>
                <w:lang w:val="en-US"/>
              </w:rPr>
            </w:pPr>
            <w:r>
              <w:rPr>
                <w:lang w:val="en-US"/>
              </w:rPr>
              <w:t>700</w:t>
            </w:r>
          </w:p>
        </w:tc>
        <w:tc>
          <w:tcPr>
            <w:tcW w:w="1183" w:type="dxa"/>
          </w:tcPr>
          <w:p w14:paraId="28F9B3D1" w14:textId="77777777" w:rsidR="00B806AC" w:rsidRDefault="00B806AC" w:rsidP="00F208D5">
            <w:pPr>
              <w:jc w:val="center"/>
              <w:rPr>
                <w:lang w:val="en-US"/>
              </w:rPr>
            </w:pPr>
            <w:r>
              <w:rPr>
                <w:lang w:val="en-US"/>
              </w:rPr>
              <w:t>(175)</w:t>
            </w:r>
          </w:p>
        </w:tc>
        <w:tc>
          <w:tcPr>
            <w:tcW w:w="1183" w:type="dxa"/>
          </w:tcPr>
          <w:p w14:paraId="0E7411BA" w14:textId="77777777" w:rsidR="00B806AC" w:rsidRDefault="00B806AC" w:rsidP="00F208D5">
            <w:pPr>
              <w:jc w:val="center"/>
              <w:rPr>
                <w:lang w:val="en-US"/>
              </w:rPr>
            </w:pPr>
            <w:r>
              <w:rPr>
                <w:lang w:val="en-US"/>
              </w:rPr>
              <w:t>80</w:t>
            </w:r>
          </w:p>
        </w:tc>
        <w:tc>
          <w:tcPr>
            <w:tcW w:w="1183" w:type="dxa"/>
          </w:tcPr>
          <w:p w14:paraId="15D8B3E9" w14:textId="77777777" w:rsidR="00B806AC" w:rsidRDefault="00B806AC" w:rsidP="00F208D5">
            <w:pPr>
              <w:jc w:val="center"/>
              <w:rPr>
                <w:lang w:val="en-US"/>
              </w:rPr>
            </w:pPr>
            <w:r>
              <w:rPr>
                <w:lang w:val="en-US"/>
              </w:rPr>
              <w:t>605</w:t>
            </w:r>
          </w:p>
        </w:tc>
        <w:tc>
          <w:tcPr>
            <w:tcW w:w="1183" w:type="dxa"/>
          </w:tcPr>
          <w:p w14:paraId="357AB2FC" w14:textId="77777777" w:rsidR="00B806AC" w:rsidRDefault="00B806AC" w:rsidP="00F208D5">
            <w:pPr>
              <w:jc w:val="center"/>
              <w:rPr>
                <w:lang w:val="en-US"/>
              </w:rPr>
            </w:pPr>
            <w:r>
              <w:rPr>
                <w:lang w:val="en-US"/>
              </w:rPr>
              <w:t>0.8900</w:t>
            </w:r>
          </w:p>
        </w:tc>
        <w:tc>
          <w:tcPr>
            <w:tcW w:w="1183" w:type="dxa"/>
          </w:tcPr>
          <w:p w14:paraId="3F313002" w14:textId="77777777" w:rsidR="00B806AC" w:rsidRDefault="00B806AC" w:rsidP="00F208D5">
            <w:pPr>
              <w:jc w:val="center"/>
              <w:rPr>
                <w:lang w:val="en-US"/>
              </w:rPr>
            </w:pPr>
            <w:r>
              <w:rPr>
                <w:lang w:val="en-US"/>
              </w:rPr>
              <w:t>538.45</w:t>
            </w:r>
          </w:p>
        </w:tc>
      </w:tr>
      <w:tr w:rsidR="00B806AC" w14:paraId="2C772D94" w14:textId="77777777" w:rsidTr="00285A4B">
        <w:trPr>
          <w:trHeight w:val="430"/>
        </w:trPr>
        <w:tc>
          <w:tcPr>
            <w:tcW w:w="1183" w:type="dxa"/>
          </w:tcPr>
          <w:p w14:paraId="2145A2B8" w14:textId="77777777" w:rsidR="00B806AC" w:rsidRDefault="00B806AC" w:rsidP="00F208D5">
            <w:pPr>
              <w:jc w:val="center"/>
              <w:rPr>
                <w:lang w:val="en-US"/>
              </w:rPr>
            </w:pPr>
            <w:r>
              <w:rPr>
                <w:lang w:val="en-US"/>
              </w:rPr>
              <w:t>3</w:t>
            </w:r>
          </w:p>
        </w:tc>
        <w:tc>
          <w:tcPr>
            <w:tcW w:w="1183" w:type="dxa"/>
          </w:tcPr>
          <w:p w14:paraId="07803946" w14:textId="77777777" w:rsidR="00B806AC" w:rsidRDefault="00B806AC" w:rsidP="00F208D5">
            <w:pPr>
              <w:jc w:val="center"/>
              <w:rPr>
                <w:lang w:val="en-US"/>
              </w:rPr>
            </w:pPr>
            <w:r>
              <w:rPr>
                <w:lang w:val="en-US"/>
              </w:rPr>
              <w:t>900</w:t>
            </w:r>
          </w:p>
        </w:tc>
        <w:tc>
          <w:tcPr>
            <w:tcW w:w="1183" w:type="dxa"/>
          </w:tcPr>
          <w:p w14:paraId="5D21F065" w14:textId="77777777" w:rsidR="00B806AC" w:rsidRDefault="00B806AC" w:rsidP="00F208D5">
            <w:pPr>
              <w:jc w:val="center"/>
              <w:rPr>
                <w:lang w:val="en-US"/>
              </w:rPr>
            </w:pPr>
            <w:r>
              <w:rPr>
                <w:lang w:val="en-US"/>
              </w:rPr>
              <w:t>(225)</w:t>
            </w:r>
          </w:p>
        </w:tc>
        <w:tc>
          <w:tcPr>
            <w:tcW w:w="1183" w:type="dxa"/>
          </w:tcPr>
          <w:p w14:paraId="7A1034D8" w14:textId="77777777" w:rsidR="00B806AC" w:rsidRDefault="00B806AC" w:rsidP="00F208D5">
            <w:pPr>
              <w:jc w:val="center"/>
              <w:rPr>
                <w:lang w:val="en-US"/>
              </w:rPr>
            </w:pPr>
            <w:r>
              <w:rPr>
                <w:lang w:val="en-US"/>
              </w:rPr>
              <w:t>80</w:t>
            </w:r>
          </w:p>
        </w:tc>
        <w:tc>
          <w:tcPr>
            <w:tcW w:w="1183" w:type="dxa"/>
          </w:tcPr>
          <w:p w14:paraId="5AC840B9" w14:textId="77777777" w:rsidR="00B806AC" w:rsidRDefault="00B806AC" w:rsidP="00F208D5">
            <w:pPr>
              <w:jc w:val="center"/>
              <w:rPr>
                <w:lang w:val="en-US"/>
              </w:rPr>
            </w:pPr>
            <w:r>
              <w:rPr>
                <w:lang w:val="en-US"/>
              </w:rPr>
              <w:t>755</w:t>
            </w:r>
          </w:p>
        </w:tc>
        <w:tc>
          <w:tcPr>
            <w:tcW w:w="1183" w:type="dxa"/>
          </w:tcPr>
          <w:p w14:paraId="4F67D598" w14:textId="77777777" w:rsidR="00B806AC" w:rsidRDefault="00B806AC" w:rsidP="00F208D5">
            <w:pPr>
              <w:jc w:val="center"/>
              <w:rPr>
                <w:lang w:val="en-US"/>
              </w:rPr>
            </w:pPr>
            <w:r>
              <w:rPr>
                <w:lang w:val="en-US"/>
              </w:rPr>
              <w:t>0.8396</w:t>
            </w:r>
          </w:p>
        </w:tc>
        <w:tc>
          <w:tcPr>
            <w:tcW w:w="1183" w:type="dxa"/>
          </w:tcPr>
          <w:p w14:paraId="5D7A00A2" w14:textId="77777777" w:rsidR="00B806AC" w:rsidRDefault="00B806AC" w:rsidP="00F208D5">
            <w:pPr>
              <w:jc w:val="center"/>
              <w:rPr>
                <w:lang w:val="en-US"/>
              </w:rPr>
            </w:pPr>
            <w:r>
              <w:rPr>
                <w:lang w:val="en-US"/>
              </w:rPr>
              <w:t>633.90</w:t>
            </w:r>
          </w:p>
        </w:tc>
      </w:tr>
      <w:tr w:rsidR="00B806AC" w14:paraId="5BE553DF" w14:textId="77777777" w:rsidTr="00285A4B">
        <w:trPr>
          <w:trHeight w:val="445"/>
        </w:trPr>
        <w:tc>
          <w:tcPr>
            <w:tcW w:w="1183" w:type="dxa"/>
          </w:tcPr>
          <w:p w14:paraId="731C61BA" w14:textId="77777777" w:rsidR="00B806AC" w:rsidRDefault="00B806AC" w:rsidP="00F208D5">
            <w:pPr>
              <w:jc w:val="center"/>
              <w:rPr>
                <w:lang w:val="en-US"/>
              </w:rPr>
            </w:pPr>
            <w:r>
              <w:rPr>
                <w:lang w:val="en-US"/>
              </w:rPr>
              <w:t>4</w:t>
            </w:r>
          </w:p>
        </w:tc>
        <w:tc>
          <w:tcPr>
            <w:tcW w:w="1183" w:type="dxa"/>
          </w:tcPr>
          <w:p w14:paraId="22DE0A0B" w14:textId="77777777" w:rsidR="00B806AC" w:rsidRDefault="00B806AC" w:rsidP="00F208D5">
            <w:pPr>
              <w:jc w:val="center"/>
              <w:rPr>
                <w:lang w:val="en-US"/>
              </w:rPr>
            </w:pPr>
            <w:r>
              <w:rPr>
                <w:lang w:val="en-US"/>
              </w:rPr>
              <w:t>1,200</w:t>
            </w:r>
          </w:p>
        </w:tc>
        <w:tc>
          <w:tcPr>
            <w:tcW w:w="1183" w:type="dxa"/>
          </w:tcPr>
          <w:p w14:paraId="3B340A02" w14:textId="77777777" w:rsidR="00B806AC" w:rsidRDefault="00B806AC" w:rsidP="00F208D5">
            <w:pPr>
              <w:jc w:val="center"/>
              <w:rPr>
                <w:lang w:val="en-US"/>
              </w:rPr>
            </w:pPr>
            <w:r>
              <w:rPr>
                <w:lang w:val="en-US"/>
              </w:rPr>
              <w:t>(300)</w:t>
            </w:r>
          </w:p>
        </w:tc>
        <w:tc>
          <w:tcPr>
            <w:tcW w:w="1183" w:type="dxa"/>
          </w:tcPr>
          <w:p w14:paraId="5670C98A" w14:textId="77777777" w:rsidR="00B806AC" w:rsidRDefault="00B806AC" w:rsidP="00F208D5">
            <w:pPr>
              <w:jc w:val="center"/>
              <w:rPr>
                <w:lang w:val="en-US"/>
              </w:rPr>
            </w:pPr>
            <w:r>
              <w:rPr>
                <w:lang w:val="en-US"/>
              </w:rPr>
              <w:t>80</w:t>
            </w:r>
          </w:p>
        </w:tc>
        <w:tc>
          <w:tcPr>
            <w:tcW w:w="1183" w:type="dxa"/>
          </w:tcPr>
          <w:p w14:paraId="3FF092AB" w14:textId="77777777" w:rsidR="00B806AC" w:rsidRDefault="00B806AC" w:rsidP="00F208D5">
            <w:pPr>
              <w:jc w:val="center"/>
              <w:rPr>
                <w:lang w:val="en-US"/>
              </w:rPr>
            </w:pPr>
            <w:r>
              <w:rPr>
                <w:lang w:val="en-US"/>
              </w:rPr>
              <w:t>980</w:t>
            </w:r>
          </w:p>
        </w:tc>
        <w:tc>
          <w:tcPr>
            <w:tcW w:w="1183" w:type="dxa"/>
          </w:tcPr>
          <w:p w14:paraId="0B37744E" w14:textId="77777777" w:rsidR="00B806AC" w:rsidRDefault="00B806AC" w:rsidP="00F208D5">
            <w:pPr>
              <w:jc w:val="center"/>
              <w:rPr>
                <w:lang w:val="en-US"/>
              </w:rPr>
            </w:pPr>
            <w:r>
              <w:rPr>
                <w:lang w:val="en-US"/>
              </w:rPr>
              <w:t>0.7921</w:t>
            </w:r>
          </w:p>
        </w:tc>
        <w:tc>
          <w:tcPr>
            <w:tcW w:w="1183" w:type="dxa"/>
          </w:tcPr>
          <w:p w14:paraId="69758111" w14:textId="77777777" w:rsidR="00B806AC" w:rsidRDefault="00B806AC" w:rsidP="00F208D5">
            <w:pPr>
              <w:jc w:val="center"/>
              <w:rPr>
                <w:lang w:val="en-US"/>
              </w:rPr>
            </w:pPr>
            <w:r>
              <w:rPr>
                <w:lang w:val="en-US"/>
              </w:rPr>
              <w:t>776.26</w:t>
            </w:r>
          </w:p>
        </w:tc>
      </w:tr>
      <w:tr w:rsidR="00B806AC" w14:paraId="4A15B7D8" w14:textId="77777777" w:rsidTr="00285A4B">
        <w:trPr>
          <w:trHeight w:val="445"/>
        </w:trPr>
        <w:tc>
          <w:tcPr>
            <w:tcW w:w="7098" w:type="dxa"/>
            <w:gridSpan w:val="6"/>
          </w:tcPr>
          <w:p w14:paraId="19FAB677" w14:textId="77777777" w:rsidR="00B806AC" w:rsidRPr="009608C4" w:rsidRDefault="00B806AC" w:rsidP="00F208D5">
            <w:pPr>
              <w:jc w:val="center"/>
              <w:rPr>
                <w:b/>
                <w:bCs/>
                <w:lang w:val="en-US"/>
              </w:rPr>
            </w:pPr>
            <w:r>
              <w:rPr>
                <w:b/>
                <w:bCs/>
                <w:lang w:val="en-US"/>
              </w:rPr>
              <w:t>N</w:t>
            </w:r>
            <w:r w:rsidRPr="009608C4">
              <w:rPr>
                <w:b/>
                <w:bCs/>
                <w:lang w:val="en-US"/>
              </w:rPr>
              <w:t>PV</w:t>
            </w:r>
          </w:p>
        </w:tc>
        <w:tc>
          <w:tcPr>
            <w:tcW w:w="1183" w:type="dxa"/>
          </w:tcPr>
          <w:p w14:paraId="4236C44E" w14:textId="5F79D956" w:rsidR="00B806AC" w:rsidRPr="009608C4" w:rsidRDefault="00B806AC" w:rsidP="00F208D5">
            <w:pPr>
              <w:jc w:val="center"/>
              <w:rPr>
                <w:b/>
                <w:bCs/>
                <w:lang w:val="en-US"/>
              </w:rPr>
            </w:pPr>
            <w:r w:rsidRPr="00D46DD7">
              <w:rPr>
                <w:b/>
                <w:bCs/>
              </w:rPr>
              <w:t>£</w:t>
            </w:r>
            <w:r>
              <w:rPr>
                <w:b/>
                <w:bCs/>
                <w:lang w:val="en-US"/>
              </w:rPr>
              <w:t>742,475</w:t>
            </w:r>
          </w:p>
        </w:tc>
      </w:tr>
    </w:tbl>
    <w:p w14:paraId="18D7EB8D" w14:textId="4EA85551" w:rsidR="00A65709" w:rsidRPr="00A65709" w:rsidRDefault="00A65709" w:rsidP="00285A4B">
      <w:pPr>
        <w:spacing w:before="240"/>
        <w:rPr>
          <w:b/>
          <w:bCs/>
        </w:rPr>
      </w:pPr>
      <w:r w:rsidRPr="00A65709">
        <w:rPr>
          <w:b/>
          <w:bCs/>
        </w:rPr>
        <w:t xml:space="preserve">NPV Recommendation: </w:t>
      </w:r>
      <w:r w:rsidRPr="00A65709">
        <w:t xml:space="preserve">The NPV method's decision rule states that, in a mutually exclusive scenario, the project with the highest net present value should be chosen, even when the three options available to Westward P.L.C. have different starting investment requirements. In light </w:t>
      </w:r>
      <w:r w:rsidRPr="00A65709">
        <w:lastRenderedPageBreak/>
        <w:t>of this, Option B, which has the largest net present value (NPV) at £792,228, is the most appealing and acceptable project in question. Once more, Option B makes the most sense in terms of capital allocation due to the capital demand. As a result, the NPV findings show that all three of the projects are financially feasible because they all provide positive numbers; nevertheless, Option B should be chosen since it has the greatest NPV (</w:t>
      </w:r>
      <w:proofErr w:type="spellStart"/>
      <w:r w:rsidRPr="00A65709">
        <w:t>Bosri</w:t>
      </w:r>
      <w:proofErr w:type="spellEnd"/>
      <w:r w:rsidRPr="00A65709">
        <w:t>, 2016).</w:t>
      </w:r>
    </w:p>
    <w:p w14:paraId="7BC37EA4" w14:textId="2E7432CD" w:rsidR="00A216D4" w:rsidRDefault="00A216D4" w:rsidP="00285A4B">
      <w:pPr>
        <w:rPr>
          <w:rFonts w:cs="Times New Roman"/>
          <w:b/>
          <w:bCs/>
          <w:szCs w:val="32"/>
          <w:lang w:val="en-US"/>
        </w:rPr>
      </w:pPr>
      <w:r w:rsidRPr="009712FB">
        <w:rPr>
          <w:rFonts w:cs="Times New Roman"/>
          <w:b/>
          <w:bCs/>
          <w:szCs w:val="32"/>
          <w:lang w:val="en-US"/>
        </w:rPr>
        <w:t xml:space="preserve">Calculation of </w:t>
      </w:r>
      <w:r>
        <w:rPr>
          <w:rFonts w:cs="Times New Roman"/>
          <w:b/>
          <w:bCs/>
          <w:szCs w:val="32"/>
          <w:lang w:val="en-US"/>
        </w:rPr>
        <w:t>ARR</w:t>
      </w:r>
      <w:r w:rsidRPr="009712FB">
        <w:rPr>
          <w:rFonts w:cs="Times New Roman"/>
          <w:b/>
          <w:bCs/>
          <w:szCs w:val="32"/>
          <w:lang w:val="en-US"/>
        </w:rPr>
        <w:t xml:space="preserve"> for all the Options</w:t>
      </w:r>
    </w:p>
    <w:p w14:paraId="2954E4A0" w14:textId="4D617712" w:rsidR="00A216D4" w:rsidRDefault="00A216D4" w:rsidP="00285A4B">
      <w:pPr>
        <w:rPr>
          <w:lang w:val="en-US"/>
        </w:rPr>
      </w:pPr>
      <w:r>
        <w:rPr>
          <w:lang w:val="en-US"/>
        </w:rPr>
        <w:t>The formula to calculate ARR is = (Average Annual Accounting Profit / Initial Investment) * 100. Now, the ARR for all the options are calculated below.</w:t>
      </w:r>
    </w:p>
    <w:p w14:paraId="3FBC50F6" w14:textId="014A4804" w:rsidR="00A216D4" w:rsidRDefault="00A216D4" w:rsidP="00285A4B">
      <w:pPr>
        <w:rPr>
          <w:b/>
          <w:bCs/>
          <w:lang w:val="en-US"/>
        </w:rPr>
      </w:pPr>
      <w:r>
        <w:rPr>
          <w:b/>
          <w:bCs/>
          <w:lang w:val="en-US"/>
        </w:rPr>
        <w:t>Option A:</w:t>
      </w:r>
    </w:p>
    <w:p w14:paraId="7960504C" w14:textId="367B75D6" w:rsidR="00A216D4" w:rsidRDefault="00A216D4" w:rsidP="00285A4B">
      <w:r>
        <w:rPr>
          <w:lang w:val="en-US"/>
        </w:rPr>
        <w:t xml:space="preserve">Given, initial investment = </w:t>
      </w:r>
      <w:r w:rsidRPr="00A216D4">
        <w:t>£</w:t>
      </w:r>
      <w:r>
        <w:t>600,000</w:t>
      </w:r>
    </w:p>
    <w:p w14:paraId="5B05948D" w14:textId="4E33F4EB" w:rsidR="00A216D4" w:rsidRDefault="00A216D4" w:rsidP="00285A4B">
      <w:r>
        <w:t xml:space="preserve">Total after-tax profit over 4 years = (200,000 – 50,000) + (400,000 – 100,000) + (500,000 – 125,000) + (700,000 – 175,000) = </w:t>
      </w:r>
      <w:r w:rsidRPr="00A216D4">
        <w:t>£</w:t>
      </w:r>
      <w:r>
        <w:t>1,400,000</w:t>
      </w:r>
    </w:p>
    <w:p w14:paraId="0729EDA7" w14:textId="6357862A" w:rsidR="00A216D4" w:rsidRDefault="00A216D4" w:rsidP="00285A4B">
      <w:r>
        <w:t xml:space="preserve">Average annual profit = </w:t>
      </w:r>
      <w:r w:rsidRPr="00A216D4">
        <w:t>£</w:t>
      </w:r>
      <w:r>
        <w:t xml:space="preserve">1,400,000 / 4 = </w:t>
      </w:r>
      <w:r w:rsidRPr="00A216D4">
        <w:t>£</w:t>
      </w:r>
      <w:r>
        <w:t>350,000</w:t>
      </w:r>
    </w:p>
    <w:p w14:paraId="3FD8D4EF" w14:textId="084FE108" w:rsidR="00A216D4" w:rsidRDefault="00A216D4" w:rsidP="00285A4B">
      <w:pPr>
        <w:rPr>
          <w:b/>
          <w:bCs/>
        </w:rPr>
      </w:pPr>
      <w:r>
        <w:t>Thus, ARR = (</w:t>
      </w:r>
      <w:r w:rsidRPr="00A216D4">
        <w:t>£</w:t>
      </w:r>
      <w:r>
        <w:t xml:space="preserve">350,000 / 600,000) * 100 = </w:t>
      </w:r>
      <w:r>
        <w:rPr>
          <w:b/>
          <w:bCs/>
        </w:rPr>
        <w:t>58.33</w:t>
      </w:r>
      <w:r w:rsidRPr="00A216D4">
        <w:rPr>
          <w:b/>
          <w:bCs/>
        </w:rPr>
        <w:t>%</w:t>
      </w:r>
    </w:p>
    <w:p w14:paraId="5EED44E6" w14:textId="282FE0FC" w:rsidR="00A216D4" w:rsidRDefault="00A216D4" w:rsidP="00285A4B">
      <w:pPr>
        <w:rPr>
          <w:b/>
          <w:bCs/>
          <w:lang w:val="en-US"/>
        </w:rPr>
      </w:pPr>
      <w:r>
        <w:rPr>
          <w:b/>
          <w:bCs/>
          <w:lang w:val="en-US"/>
        </w:rPr>
        <w:t>Option B:</w:t>
      </w:r>
    </w:p>
    <w:p w14:paraId="4F7908FD" w14:textId="56886244" w:rsidR="00A216D4" w:rsidRDefault="00A216D4" w:rsidP="00285A4B">
      <w:r>
        <w:rPr>
          <w:lang w:val="en-US"/>
        </w:rPr>
        <w:t xml:space="preserve">Given, initial investment = </w:t>
      </w:r>
      <w:r w:rsidRPr="00A216D4">
        <w:t>£</w:t>
      </w:r>
      <w:r>
        <w:t>1,000,000</w:t>
      </w:r>
    </w:p>
    <w:p w14:paraId="715ABF27" w14:textId="6B555486" w:rsidR="00A216D4" w:rsidRDefault="00A216D4" w:rsidP="00285A4B">
      <w:r>
        <w:t xml:space="preserve">Total after-tax profit over 4 years = (400,000 – 100,000) + (450,000 – 112,500) + (720,000 – 180,000) + (980,000 – 245,000) = </w:t>
      </w:r>
      <w:r w:rsidRPr="00A216D4">
        <w:t>£</w:t>
      </w:r>
      <w:r>
        <w:t>1,912,500</w:t>
      </w:r>
    </w:p>
    <w:p w14:paraId="416434ED" w14:textId="2559172E" w:rsidR="00A216D4" w:rsidRDefault="00A216D4" w:rsidP="00285A4B">
      <w:r>
        <w:t xml:space="preserve">Average annual profit = </w:t>
      </w:r>
      <w:r w:rsidRPr="00A216D4">
        <w:t>£</w:t>
      </w:r>
      <w:r>
        <w:t xml:space="preserve">1,912,500 / 4 = </w:t>
      </w:r>
      <w:r w:rsidRPr="00A216D4">
        <w:t>£</w:t>
      </w:r>
      <w:r w:rsidR="00676BEE">
        <w:t>478,125</w:t>
      </w:r>
    </w:p>
    <w:p w14:paraId="3C4F4862" w14:textId="318159AF" w:rsidR="00A216D4" w:rsidRPr="00A216D4" w:rsidRDefault="00A216D4" w:rsidP="00285A4B">
      <w:pPr>
        <w:rPr>
          <w:lang w:val="en-US"/>
        </w:rPr>
      </w:pPr>
      <w:r>
        <w:t>Thus, ARR = (</w:t>
      </w:r>
      <w:r w:rsidRPr="00A216D4">
        <w:t>£</w:t>
      </w:r>
      <w:r>
        <w:t xml:space="preserve">382,500 / 1,000,000) * 100 = </w:t>
      </w:r>
      <w:r w:rsidR="00676BEE">
        <w:rPr>
          <w:b/>
          <w:bCs/>
        </w:rPr>
        <w:t>47.81</w:t>
      </w:r>
      <w:r w:rsidRPr="00A216D4">
        <w:rPr>
          <w:b/>
          <w:bCs/>
        </w:rPr>
        <w:t>%</w:t>
      </w:r>
    </w:p>
    <w:p w14:paraId="6200AD57" w14:textId="03370DFF" w:rsidR="00A216D4" w:rsidRDefault="00A216D4" w:rsidP="00285A4B">
      <w:pPr>
        <w:rPr>
          <w:b/>
          <w:bCs/>
          <w:lang w:val="en-US"/>
        </w:rPr>
      </w:pPr>
      <w:r>
        <w:rPr>
          <w:b/>
          <w:bCs/>
          <w:lang w:val="en-US"/>
        </w:rPr>
        <w:t>Option C:</w:t>
      </w:r>
    </w:p>
    <w:p w14:paraId="4F06E01C" w14:textId="378509D3" w:rsidR="00A216D4" w:rsidRDefault="00A216D4" w:rsidP="00285A4B">
      <w:r>
        <w:rPr>
          <w:lang w:val="en-US"/>
        </w:rPr>
        <w:t xml:space="preserve">Given, initial investment = </w:t>
      </w:r>
      <w:r w:rsidRPr="00A216D4">
        <w:t>£</w:t>
      </w:r>
      <w:r>
        <w:t>1,600,000</w:t>
      </w:r>
    </w:p>
    <w:p w14:paraId="55D07587" w14:textId="2A67744C" w:rsidR="00A216D4" w:rsidRDefault="00A216D4" w:rsidP="00285A4B">
      <w:r>
        <w:t xml:space="preserve">Total after-tax profit over 4 years = (450,000 – 112,500) + (700,000 – 175,000) + (900,000 – 225,000) + (1,200,000 – 300,000) = </w:t>
      </w:r>
      <w:r w:rsidRPr="00A216D4">
        <w:t>£</w:t>
      </w:r>
      <w:r w:rsidR="00676BEE">
        <w:t>2,437</w:t>
      </w:r>
      <w:r>
        <w:t>,500</w:t>
      </w:r>
    </w:p>
    <w:p w14:paraId="39399057" w14:textId="68FC7954" w:rsidR="00A216D4" w:rsidRDefault="00A216D4" w:rsidP="00285A4B">
      <w:r>
        <w:t xml:space="preserve">Average annual profit = </w:t>
      </w:r>
      <w:r w:rsidRPr="00A216D4">
        <w:t>£</w:t>
      </w:r>
      <w:r w:rsidR="00676BEE">
        <w:t>2,437</w:t>
      </w:r>
      <w:r>
        <w:t>,</w:t>
      </w:r>
      <w:r w:rsidR="00676BEE">
        <w:t>5</w:t>
      </w:r>
      <w:r>
        <w:t xml:space="preserve">00 / 4 = </w:t>
      </w:r>
      <w:r w:rsidRPr="00A216D4">
        <w:t>£</w:t>
      </w:r>
      <w:r w:rsidR="00676BEE">
        <w:t>609</w:t>
      </w:r>
      <w:r>
        <w:t>,</w:t>
      </w:r>
      <w:r w:rsidR="00676BEE">
        <w:t>375</w:t>
      </w:r>
    </w:p>
    <w:p w14:paraId="57E8B53F" w14:textId="48AA7F52" w:rsidR="00A216D4" w:rsidRPr="00A216D4" w:rsidRDefault="00A216D4" w:rsidP="00285A4B">
      <w:pPr>
        <w:rPr>
          <w:lang w:val="en-US"/>
        </w:rPr>
      </w:pPr>
      <w:r>
        <w:t>Thus, ARR = (</w:t>
      </w:r>
      <w:r w:rsidRPr="00A216D4">
        <w:t>£</w:t>
      </w:r>
      <w:r w:rsidR="00676BEE">
        <w:t>609</w:t>
      </w:r>
      <w:r>
        <w:t>,</w:t>
      </w:r>
      <w:r w:rsidR="00676BEE">
        <w:t>375</w:t>
      </w:r>
      <w:r>
        <w:t xml:space="preserve"> / </w:t>
      </w:r>
      <w:r w:rsidR="00676BEE">
        <w:t>1,</w:t>
      </w:r>
      <w:r>
        <w:t xml:space="preserve">600,000) * 100 = </w:t>
      </w:r>
      <w:r w:rsidR="00676BEE">
        <w:rPr>
          <w:b/>
          <w:bCs/>
        </w:rPr>
        <w:t>38.08</w:t>
      </w:r>
      <w:r w:rsidRPr="00A216D4">
        <w:rPr>
          <w:b/>
          <w:bCs/>
        </w:rPr>
        <w:t>%</w:t>
      </w:r>
    </w:p>
    <w:p w14:paraId="3AD0060F" w14:textId="4A24AB11" w:rsidR="00BC294C" w:rsidRDefault="00BC294C" w:rsidP="009712FB">
      <w:pPr>
        <w:pStyle w:val="Heading3"/>
        <w:numPr>
          <w:ilvl w:val="2"/>
          <w:numId w:val="2"/>
        </w:numPr>
        <w:rPr>
          <w:rFonts w:ascii="Times New Roman" w:hAnsi="Times New Roman" w:cs="Times New Roman"/>
          <w:b/>
          <w:bCs/>
          <w:sz w:val="24"/>
          <w:szCs w:val="32"/>
          <w:lang w:val="en-US"/>
        </w:rPr>
      </w:pPr>
      <w:bookmarkStart w:id="14" w:name="_Toc224919057"/>
      <w:r>
        <w:rPr>
          <w:rFonts w:ascii="Times New Roman" w:hAnsi="Times New Roman" w:cs="Times New Roman"/>
          <w:b/>
          <w:bCs/>
          <w:sz w:val="24"/>
          <w:szCs w:val="32"/>
          <w:lang w:val="en-US"/>
        </w:rPr>
        <w:lastRenderedPageBreak/>
        <w:t>Payback Period</w:t>
      </w:r>
      <w:bookmarkEnd w:id="14"/>
    </w:p>
    <w:p w14:paraId="1F0110C7" w14:textId="7EEA7B7E" w:rsidR="002C6A3E" w:rsidRDefault="00CB5159" w:rsidP="00285A4B">
      <w:pPr>
        <w:rPr>
          <w:lang w:val="en-US"/>
        </w:rPr>
      </w:pPr>
      <w:r>
        <w:rPr>
          <w:lang w:val="en-US"/>
        </w:rPr>
        <w:t>The use of Payback Period is also quite popular in practice as it helps to indicate the time required to retrieve the initial investment that managers can use to evaluate the riskiness of a project (Oral, 2016). Now, based on the after-tax cash flows calculated for NPV, the payback periods are calculated below.</w:t>
      </w:r>
    </w:p>
    <w:p w14:paraId="02A33F4A" w14:textId="77777777" w:rsidR="00CB5159" w:rsidRDefault="00CB5159" w:rsidP="00285A4B">
      <w:pPr>
        <w:rPr>
          <w:b/>
          <w:bCs/>
          <w:lang w:val="en-US"/>
        </w:rPr>
      </w:pPr>
      <w:r w:rsidRPr="00CB5159">
        <w:rPr>
          <w:b/>
          <w:bCs/>
          <w:lang w:val="en-US"/>
        </w:rPr>
        <w:t>Payback of Option A:</w:t>
      </w:r>
    </w:p>
    <w:tbl>
      <w:tblPr>
        <w:tblStyle w:val="TableGrid"/>
        <w:tblW w:w="0" w:type="auto"/>
        <w:tblLook w:val="04A0" w:firstRow="1" w:lastRow="0" w:firstColumn="1" w:lastColumn="0" w:noHBand="0" w:noVBand="1"/>
      </w:tblPr>
      <w:tblGrid>
        <w:gridCol w:w="2724"/>
        <w:gridCol w:w="2760"/>
        <w:gridCol w:w="2812"/>
      </w:tblGrid>
      <w:tr w:rsidR="00CB5159" w14:paraId="402CD0B5" w14:textId="77777777" w:rsidTr="00285A4B">
        <w:tc>
          <w:tcPr>
            <w:tcW w:w="2724" w:type="dxa"/>
          </w:tcPr>
          <w:p w14:paraId="3460C9C7" w14:textId="068F5357" w:rsidR="00CB5159" w:rsidRDefault="00CB5159" w:rsidP="00CB5159">
            <w:pPr>
              <w:jc w:val="center"/>
              <w:rPr>
                <w:b/>
                <w:bCs/>
                <w:lang w:val="en-US"/>
              </w:rPr>
            </w:pPr>
            <w:r>
              <w:rPr>
                <w:b/>
                <w:bCs/>
                <w:lang w:val="en-US"/>
              </w:rPr>
              <w:t>Year</w:t>
            </w:r>
          </w:p>
        </w:tc>
        <w:tc>
          <w:tcPr>
            <w:tcW w:w="2760" w:type="dxa"/>
          </w:tcPr>
          <w:p w14:paraId="0029A8D2" w14:textId="1E092CE2" w:rsidR="00CB5159" w:rsidRDefault="00CB5159" w:rsidP="00CB5159">
            <w:pPr>
              <w:jc w:val="center"/>
              <w:rPr>
                <w:b/>
                <w:bCs/>
                <w:lang w:val="en-US"/>
              </w:rPr>
            </w:pPr>
            <w:r>
              <w:rPr>
                <w:b/>
                <w:bCs/>
                <w:lang w:val="en-US"/>
              </w:rPr>
              <w:t>Cash Flows</w:t>
            </w:r>
          </w:p>
        </w:tc>
        <w:tc>
          <w:tcPr>
            <w:tcW w:w="2812" w:type="dxa"/>
          </w:tcPr>
          <w:p w14:paraId="593E2561" w14:textId="460829FD" w:rsidR="00CB5159" w:rsidRDefault="00CB5159" w:rsidP="00CB5159">
            <w:pPr>
              <w:jc w:val="center"/>
              <w:rPr>
                <w:b/>
                <w:bCs/>
                <w:lang w:val="en-US"/>
              </w:rPr>
            </w:pPr>
            <w:r>
              <w:rPr>
                <w:b/>
                <w:bCs/>
                <w:lang w:val="en-US"/>
              </w:rPr>
              <w:t>Cumulative Cash Flows</w:t>
            </w:r>
          </w:p>
        </w:tc>
      </w:tr>
      <w:tr w:rsidR="00CB5159" w14:paraId="49B7CA5A" w14:textId="77777777" w:rsidTr="00285A4B">
        <w:tc>
          <w:tcPr>
            <w:tcW w:w="2724" w:type="dxa"/>
          </w:tcPr>
          <w:p w14:paraId="124F8925" w14:textId="423F9F9C" w:rsidR="00CB5159" w:rsidRPr="00CB5159" w:rsidRDefault="00CB5159" w:rsidP="00CB5159">
            <w:pPr>
              <w:jc w:val="center"/>
              <w:rPr>
                <w:lang w:val="en-US"/>
              </w:rPr>
            </w:pPr>
            <w:r w:rsidRPr="00CB5159">
              <w:rPr>
                <w:lang w:val="en-US"/>
              </w:rPr>
              <w:t>1</w:t>
            </w:r>
          </w:p>
        </w:tc>
        <w:tc>
          <w:tcPr>
            <w:tcW w:w="2760" w:type="dxa"/>
          </w:tcPr>
          <w:p w14:paraId="104D1EAB" w14:textId="2F9ED726" w:rsidR="00CB5159" w:rsidRPr="00CB5159" w:rsidRDefault="00CB5159" w:rsidP="00CB5159">
            <w:pPr>
              <w:jc w:val="center"/>
              <w:rPr>
                <w:lang w:val="en-US"/>
              </w:rPr>
            </w:pPr>
            <w:r>
              <w:rPr>
                <w:lang w:val="en-US"/>
              </w:rPr>
              <w:t>180,000</w:t>
            </w:r>
          </w:p>
        </w:tc>
        <w:tc>
          <w:tcPr>
            <w:tcW w:w="2812" w:type="dxa"/>
          </w:tcPr>
          <w:p w14:paraId="799E51DF" w14:textId="21B9F054" w:rsidR="00CB5159" w:rsidRPr="00CB5159" w:rsidRDefault="00CB5159" w:rsidP="00CB5159">
            <w:pPr>
              <w:jc w:val="center"/>
              <w:rPr>
                <w:lang w:val="en-US"/>
              </w:rPr>
            </w:pPr>
            <w:r>
              <w:rPr>
                <w:lang w:val="en-US"/>
              </w:rPr>
              <w:t>180,000</w:t>
            </w:r>
          </w:p>
        </w:tc>
      </w:tr>
      <w:tr w:rsidR="00CB5159" w14:paraId="4E26F1BE" w14:textId="77777777" w:rsidTr="00285A4B">
        <w:tc>
          <w:tcPr>
            <w:tcW w:w="2724" w:type="dxa"/>
          </w:tcPr>
          <w:p w14:paraId="2ADABFBB" w14:textId="1DDAEF34" w:rsidR="00CB5159" w:rsidRPr="00CB5159" w:rsidRDefault="00CB5159" w:rsidP="00CB5159">
            <w:pPr>
              <w:jc w:val="center"/>
              <w:rPr>
                <w:lang w:val="en-US"/>
              </w:rPr>
            </w:pPr>
            <w:r w:rsidRPr="00CB5159">
              <w:rPr>
                <w:lang w:val="en-US"/>
              </w:rPr>
              <w:t>2</w:t>
            </w:r>
          </w:p>
        </w:tc>
        <w:tc>
          <w:tcPr>
            <w:tcW w:w="2760" w:type="dxa"/>
          </w:tcPr>
          <w:p w14:paraId="24FA2507" w14:textId="2742DEE5" w:rsidR="00CB5159" w:rsidRPr="00CB5159" w:rsidRDefault="00CB5159" w:rsidP="00CB5159">
            <w:pPr>
              <w:jc w:val="center"/>
              <w:rPr>
                <w:lang w:val="en-US"/>
              </w:rPr>
            </w:pPr>
            <w:r>
              <w:rPr>
                <w:lang w:val="en-US"/>
              </w:rPr>
              <w:t>330,000</w:t>
            </w:r>
          </w:p>
        </w:tc>
        <w:tc>
          <w:tcPr>
            <w:tcW w:w="2812" w:type="dxa"/>
          </w:tcPr>
          <w:p w14:paraId="2B6B4AF2" w14:textId="4E03E602" w:rsidR="00CB5159" w:rsidRPr="00CB5159" w:rsidRDefault="00CB5159" w:rsidP="00CB5159">
            <w:pPr>
              <w:jc w:val="center"/>
              <w:rPr>
                <w:lang w:val="en-US"/>
              </w:rPr>
            </w:pPr>
            <w:r>
              <w:rPr>
                <w:lang w:val="en-US"/>
              </w:rPr>
              <w:t>510,000</w:t>
            </w:r>
          </w:p>
        </w:tc>
      </w:tr>
      <w:tr w:rsidR="00CB5159" w14:paraId="38347043" w14:textId="77777777" w:rsidTr="00285A4B">
        <w:tc>
          <w:tcPr>
            <w:tcW w:w="2724" w:type="dxa"/>
          </w:tcPr>
          <w:p w14:paraId="4714D8F8" w14:textId="731754F6" w:rsidR="00CB5159" w:rsidRPr="00CB5159" w:rsidRDefault="00CB5159" w:rsidP="00CB5159">
            <w:pPr>
              <w:jc w:val="center"/>
              <w:rPr>
                <w:lang w:val="en-US"/>
              </w:rPr>
            </w:pPr>
            <w:r w:rsidRPr="00CB5159">
              <w:rPr>
                <w:lang w:val="en-US"/>
              </w:rPr>
              <w:t>3</w:t>
            </w:r>
          </w:p>
        </w:tc>
        <w:tc>
          <w:tcPr>
            <w:tcW w:w="2760" w:type="dxa"/>
          </w:tcPr>
          <w:p w14:paraId="05D47EDC" w14:textId="2D3E3B74" w:rsidR="00CB5159" w:rsidRPr="00CB5159" w:rsidRDefault="00CB5159" w:rsidP="00CB5159">
            <w:pPr>
              <w:jc w:val="center"/>
              <w:rPr>
                <w:lang w:val="en-US"/>
              </w:rPr>
            </w:pPr>
            <w:r>
              <w:rPr>
                <w:lang w:val="en-US"/>
              </w:rPr>
              <w:t>405,000</w:t>
            </w:r>
          </w:p>
        </w:tc>
        <w:tc>
          <w:tcPr>
            <w:tcW w:w="2812" w:type="dxa"/>
          </w:tcPr>
          <w:p w14:paraId="44136C74" w14:textId="4DC4A5A7" w:rsidR="00CB5159" w:rsidRPr="00CB5159" w:rsidRDefault="00CB5159" w:rsidP="00CB5159">
            <w:pPr>
              <w:jc w:val="center"/>
              <w:rPr>
                <w:lang w:val="en-US"/>
              </w:rPr>
            </w:pPr>
            <w:r>
              <w:rPr>
                <w:lang w:val="en-US"/>
              </w:rPr>
              <w:t>915,000</w:t>
            </w:r>
          </w:p>
        </w:tc>
      </w:tr>
      <w:tr w:rsidR="00CB5159" w14:paraId="7999989B" w14:textId="77777777" w:rsidTr="00285A4B">
        <w:tc>
          <w:tcPr>
            <w:tcW w:w="2724" w:type="dxa"/>
          </w:tcPr>
          <w:p w14:paraId="4EC3972D" w14:textId="61234E9C" w:rsidR="00CB5159" w:rsidRPr="00CB5159" w:rsidRDefault="00CB5159" w:rsidP="00CB5159">
            <w:pPr>
              <w:jc w:val="center"/>
              <w:rPr>
                <w:lang w:val="en-US"/>
              </w:rPr>
            </w:pPr>
            <w:r w:rsidRPr="00CB5159">
              <w:rPr>
                <w:lang w:val="en-US"/>
              </w:rPr>
              <w:t>4</w:t>
            </w:r>
          </w:p>
        </w:tc>
        <w:tc>
          <w:tcPr>
            <w:tcW w:w="2760" w:type="dxa"/>
          </w:tcPr>
          <w:p w14:paraId="408B7536" w14:textId="1AAA068E" w:rsidR="00CB5159" w:rsidRPr="00CB5159" w:rsidRDefault="00CB5159" w:rsidP="00CB5159">
            <w:pPr>
              <w:jc w:val="center"/>
              <w:rPr>
                <w:lang w:val="en-US"/>
              </w:rPr>
            </w:pPr>
            <w:r>
              <w:rPr>
                <w:lang w:val="en-US"/>
              </w:rPr>
              <w:t>555,000</w:t>
            </w:r>
          </w:p>
        </w:tc>
        <w:tc>
          <w:tcPr>
            <w:tcW w:w="2812" w:type="dxa"/>
          </w:tcPr>
          <w:p w14:paraId="411C669E" w14:textId="3C809F36" w:rsidR="00CB5159" w:rsidRPr="00CB5159" w:rsidRDefault="00CB5159" w:rsidP="00CB5159">
            <w:pPr>
              <w:jc w:val="center"/>
              <w:rPr>
                <w:lang w:val="en-US"/>
              </w:rPr>
            </w:pPr>
            <w:r>
              <w:rPr>
                <w:lang w:val="en-US"/>
              </w:rPr>
              <w:t>14,70,000</w:t>
            </w:r>
          </w:p>
        </w:tc>
      </w:tr>
    </w:tbl>
    <w:p w14:paraId="515CA3A1" w14:textId="1B6E070B" w:rsidR="0009109F" w:rsidRDefault="0009109F" w:rsidP="00285A4B">
      <w:pPr>
        <w:rPr>
          <w:lang w:val="en-US"/>
        </w:rPr>
      </w:pPr>
      <w:r>
        <w:rPr>
          <w:lang w:val="en-US"/>
        </w:rPr>
        <w:t>Now, payback period = Years Before Break-Even + (Unrecovered Amount / Cash Flow in recovered Year)</w:t>
      </w:r>
    </w:p>
    <w:p w14:paraId="6B50DE76" w14:textId="7E7BA069" w:rsidR="0009109F" w:rsidRDefault="0009109F" w:rsidP="00285A4B">
      <w:pPr>
        <w:rPr>
          <w:lang w:val="en-US"/>
        </w:rPr>
      </w:pPr>
      <w:r>
        <w:rPr>
          <w:lang w:val="en-US"/>
        </w:rPr>
        <w:tab/>
      </w:r>
      <w:r>
        <w:rPr>
          <w:lang w:val="en-US"/>
        </w:rPr>
        <w:tab/>
        <w:t xml:space="preserve">           = 2 + (90,000 / 405,000)</w:t>
      </w:r>
    </w:p>
    <w:p w14:paraId="2D04CFAF" w14:textId="61FFDCAA" w:rsidR="0009109F" w:rsidRDefault="0009109F" w:rsidP="00285A4B">
      <w:pPr>
        <w:rPr>
          <w:lang w:val="en-US"/>
        </w:rPr>
      </w:pPr>
      <w:r>
        <w:rPr>
          <w:lang w:val="en-US"/>
        </w:rPr>
        <w:tab/>
      </w:r>
      <w:r>
        <w:rPr>
          <w:lang w:val="en-US"/>
        </w:rPr>
        <w:tab/>
        <w:t xml:space="preserve">           = </w:t>
      </w:r>
      <w:r w:rsidRPr="0009109F">
        <w:rPr>
          <w:b/>
          <w:bCs/>
          <w:lang w:val="en-US"/>
        </w:rPr>
        <w:t>2.22 Years</w:t>
      </w:r>
    </w:p>
    <w:p w14:paraId="6B993ED1" w14:textId="1C78E0BE" w:rsidR="0009109F" w:rsidRDefault="0009109F" w:rsidP="00285A4B">
      <w:pPr>
        <w:rPr>
          <w:b/>
          <w:bCs/>
          <w:lang w:val="en-US"/>
        </w:rPr>
      </w:pPr>
      <w:r w:rsidRPr="00CB5159">
        <w:rPr>
          <w:b/>
          <w:bCs/>
          <w:lang w:val="en-US"/>
        </w:rPr>
        <w:t xml:space="preserve">Payback of Option </w:t>
      </w:r>
      <w:r>
        <w:rPr>
          <w:b/>
          <w:bCs/>
          <w:lang w:val="en-US"/>
        </w:rPr>
        <w:t>B</w:t>
      </w:r>
      <w:r w:rsidRPr="00CB5159">
        <w:rPr>
          <w:b/>
          <w:bCs/>
          <w:lang w:val="en-US"/>
        </w:rPr>
        <w:t>:</w:t>
      </w:r>
    </w:p>
    <w:tbl>
      <w:tblPr>
        <w:tblStyle w:val="TableGrid"/>
        <w:tblW w:w="0" w:type="auto"/>
        <w:tblLook w:val="04A0" w:firstRow="1" w:lastRow="0" w:firstColumn="1" w:lastColumn="0" w:noHBand="0" w:noVBand="1"/>
      </w:tblPr>
      <w:tblGrid>
        <w:gridCol w:w="2724"/>
        <w:gridCol w:w="2760"/>
        <w:gridCol w:w="2812"/>
      </w:tblGrid>
      <w:tr w:rsidR="0009109F" w14:paraId="64918E27" w14:textId="77777777" w:rsidTr="00285A4B">
        <w:tc>
          <w:tcPr>
            <w:tcW w:w="2724" w:type="dxa"/>
          </w:tcPr>
          <w:p w14:paraId="710BCF49" w14:textId="77777777" w:rsidR="0009109F" w:rsidRDefault="0009109F" w:rsidP="009345FE">
            <w:pPr>
              <w:jc w:val="center"/>
              <w:rPr>
                <w:b/>
                <w:bCs/>
                <w:lang w:val="en-US"/>
              </w:rPr>
            </w:pPr>
            <w:r>
              <w:rPr>
                <w:b/>
                <w:bCs/>
                <w:lang w:val="en-US"/>
              </w:rPr>
              <w:t>Year</w:t>
            </w:r>
          </w:p>
        </w:tc>
        <w:tc>
          <w:tcPr>
            <w:tcW w:w="2760" w:type="dxa"/>
          </w:tcPr>
          <w:p w14:paraId="6D1C0AFE" w14:textId="77777777" w:rsidR="0009109F" w:rsidRDefault="0009109F" w:rsidP="009345FE">
            <w:pPr>
              <w:jc w:val="center"/>
              <w:rPr>
                <w:b/>
                <w:bCs/>
                <w:lang w:val="en-US"/>
              </w:rPr>
            </w:pPr>
            <w:r>
              <w:rPr>
                <w:b/>
                <w:bCs/>
                <w:lang w:val="en-US"/>
              </w:rPr>
              <w:t>Cash Flows</w:t>
            </w:r>
          </w:p>
        </w:tc>
        <w:tc>
          <w:tcPr>
            <w:tcW w:w="2812" w:type="dxa"/>
          </w:tcPr>
          <w:p w14:paraId="67DEACA1" w14:textId="77777777" w:rsidR="0009109F" w:rsidRDefault="0009109F" w:rsidP="009345FE">
            <w:pPr>
              <w:jc w:val="center"/>
              <w:rPr>
                <w:b/>
                <w:bCs/>
                <w:lang w:val="en-US"/>
              </w:rPr>
            </w:pPr>
            <w:r>
              <w:rPr>
                <w:b/>
                <w:bCs/>
                <w:lang w:val="en-US"/>
              </w:rPr>
              <w:t>Cumulative Cash Flows</w:t>
            </w:r>
          </w:p>
        </w:tc>
      </w:tr>
      <w:tr w:rsidR="0009109F" w14:paraId="51FD3C9E" w14:textId="77777777" w:rsidTr="00285A4B">
        <w:tc>
          <w:tcPr>
            <w:tcW w:w="2724" w:type="dxa"/>
          </w:tcPr>
          <w:p w14:paraId="3F075D10" w14:textId="77777777" w:rsidR="0009109F" w:rsidRPr="00CB5159" w:rsidRDefault="0009109F" w:rsidP="0009109F">
            <w:pPr>
              <w:jc w:val="center"/>
              <w:rPr>
                <w:lang w:val="en-US"/>
              </w:rPr>
            </w:pPr>
            <w:r w:rsidRPr="00CB5159">
              <w:rPr>
                <w:lang w:val="en-US"/>
              </w:rPr>
              <w:t>1</w:t>
            </w:r>
          </w:p>
        </w:tc>
        <w:tc>
          <w:tcPr>
            <w:tcW w:w="2760" w:type="dxa"/>
          </w:tcPr>
          <w:p w14:paraId="188A0210" w14:textId="10A778B7" w:rsidR="0009109F" w:rsidRPr="00CB5159" w:rsidRDefault="0009109F" w:rsidP="0009109F">
            <w:pPr>
              <w:jc w:val="center"/>
              <w:rPr>
                <w:lang w:val="en-US"/>
              </w:rPr>
            </w:pPr>
            <w:r>
              <w:rPr>
                <w:lang w:val="en-US"/>
              </w:rPr>
              <w:t>350,000</w:t>
            </w:r>
          </w:p>
        </w:tc>
        <w:tc>
          <w:tcPr>
            <w:tcW w:w="2812" w:type="dxa"/>
          </w:tcPr>
          <w:p w14:paraId="017DCBBA" w14:textId="1FCC2533" w:rsidR="0009109F" w:rsidRPr="00CB5159" w:rsidRDefault="0009109F" w:rsidP="0009109F">
            <w:pPr>
              <w:jc w:val="center"/>
              <w:rPr>
                <w:lang w:val="en-US"/>
              </w:rPr>
            </w:pPr>
            <w:r>
              <w:rPr>
                <w:lang w:val="en-US"/>
              </w:rPr>
              <w:t>350,000</w:t>
            </w:r>
          </w:p>
        </w:tc>
      </w:tr>
      <w:tr w:rsidR="0009109F" w14:paraId="640BCC4E" w14:textId="77777777" w:rsidTr="00285A4B">
        <w:tc>
          <w:tcPr>
            <w:tcW w:w="2724" w:type="dxa"/>
          </w:tcPr>
          <w:p w14:paraId="7B0B4D04" w14:textId="77777777" w:rsidR="0009109F" w:rsidRPr="00CB5159" w:rsidRDefault="0009109F" w:rsidP="0009109F">
            <w:pPr>
              <w:jc w:val="center"/>
              <w:rPr>
                <w:lang w:val="en-US"/>
              </w:rPr>
            </w:pPr>
            <w:r w:rsidRPr="00CB5159">
              <w:rPr>
                <w:lang w:val="en-US"/>
              </w:rPr>
              <w:t>2</w:t>
            </w:r>
          </w:p>
        </w:tc>
        <w:tc>
          <w:tcPr>
            <w:tcW w:w="2760" w:type="dxa"/>
          </w:tcPr>
          <w:p w14:paraId="7B969307" w14:textId="7CA46312" w:rsidR="0009109F" w:rsidRPr="00CB5159" w:rsidRDefault="0009109F" w:rsidP="0009109F">
            <w:pPr>
              <w:jc w:val="center"/>
              <w:rPr>
                <w:lang w:val="en-US"/>
              </w:rPr>
            </w:pPr>
            <w:r>
              <w:rPr>
                <w:lang w:val="en-US"/>
              </w:rPr>
              <w:t>387,500</w:t>
            </w:r>
          </w:p>
        </w:tc>
        <w:tc>
          <w:tcPr>
            <w:tcW w:w="2812" w:type="dxa"/>
          </w:tcPr>
          <w:p w14:paraId="5A93680E" w14:textId="1F46936D" w:rsidR="0009109F" w:rsidRPr="00CB5159" w:rsidRDefault="0009109F" w:rsidP="0009109F">
            <w:pPr>
              <w:jc w:val="center"/>
              <w:rPr>
                <w:lang w:val="en-US"/>
              </w:rPr>
            </w:pPr>
            <w:r>
              <w:rPr>
                <w:lang w:val="en-US"/>
              </w:rPr>
              <w:t>737,500</w:t>
            </w:r>
          </w:p>
        </w:tc>
      </w:tr>
      <w:tr w:rsidR="0009109F" w14:paraId="140072CC" w14:textId="77777777" w:rsidTr="00285A4B">
        <w:tc>
          <w:tcPr>
            <w:tcW w:w="2724" w:type="dxa"/>
          </w:tcPr>
          <w:p w14:paraId="33A9C9C4" w14:textId="77777777" w:rsidR="0009109F" w:rsidRPr="00CB5159" w:rsidRDefault="0009109F" w:rsidP="0009109F">
            <w:pPr>
              <w:jc w:val="center"/>
              <w:rPr>
                <w:lang w:val="en-US"/>
              </w:rPr>
            </w:pPr>
            <w:r w:rsidRPr="00CB5159">
              <w:rPr>
                <w:lang w:val="en-US"/>
              </w:rPr>
              <w:t>3</w:t>
            </w:r>
          </w:p>
        </w:tc>
        <w:tc>
          <w:tcPr>
            <w:tcW w:w="2760" w:type="dxa"/>
          </w:tcPr>
          <w:p w14:paraId="13AE4098" w14:textId="6D93E1F9" w:rsidR="0009109F" w:rsidRPr="00CB5159" w:rsidRDefault="0009109F" w:rsidP="0009109F">
            <w:pPr>
              <w:jc w:val="center"/>
              <w:rPr>
                <w:lang w:val="en-US"/>
              </w:rPr>
            </w:pPr>
            <w:r>
              <w:rPr>
                <w:lang w:val="en-US"/>
              </w:rPr>
              <w:t>590,000</w:t>
            </w:r>
          </w:p>
        </w:tc>
        <w:tc>
          <w:tcPr>
            <w:tcW w:w="2812" w:type="dxa"/>
          </w:tcPr>
          <w:p w14:paraId="1EF0B946" w14:textId="794F2D90" w:rsidR="0009109F" w:rsidRPr="00CB5159" w:rsidRDefault="0009109F" w:rsidP="0009109F">
            <w:pPr>
              <w:jc w:val="center"/>
              <w:rPr>
                <w:lang w:val="en-US"/>
              </w:rPr>
            </w:pPr>
            <w:r>
              <w:rPr>
                <w:lang w:val="en-US"/>
              </w:rPr>
              <w:t>13,27,500</w:t>
            </w:r>
          </w:p>
        </w:tc>
      </w:tr>
      <w:tr w:rsidR="0009109F" w14:paraId="02BB6C85" w14:textId="77777777" w:rsidTr="00285A4B">
        <w:tc>
          <w:tcPr>
            <w:tcW w:w="2724" w:type="dxa"/>
          </w:tcPr>
          <w:p w14:paraId="7040B0B5" w14:textId="77777777" w:rsidR="0009109F" w:rsidRPr="00CB5159" w:rsidRDefault="0009109F" w:rsidP="0009109F">
            <w:pPr>
              <w:jc w:val="center"/>
              <w:rPr>
                <w:lang w:val="en-US"/>
              </w:rPr>
            </w:pPr>
            <w:r w:rsidRPr="00CB5159">
              <w:rPr>
                <w:lang w:val="en-US"/>
              </w:rPr>
              <w:t>4</w:t>
            </w:r>
          </w:p>
        </w:tc>
        <w:tc>
          <w:tcPr>
            <w:tcW w:w="2760" w:type="dxa"/>
          </w:tcPr>
          <w:p w14:paraId="7CC7FD39" w14:textId="4B15A8E3" w:rsidR="0009109F" w:rsidRPr="00CB5159" w:rsidRDefault="0009109F" w:rsidP="0009109F">
            <w:pPr>
              <w:jc w:val="center"/>
              <w:rPr>
                <w:lang w:val="en-US"/>
              </w:rPr>
            </w:pPr>
            <w:r>
              <w:rPr>
                <w:lang w:val="en-US"/>
              </w:rPr>
              <w:t>785,000</w:t>
            </w:r>
          </w:p>
        </w:tc>
        <w:tc>
          <w:tcPr>
            <w:tcW w:w="2812" w:type="dxa"/>
          </w:tcPr>
          <w:p w14:paraId="1F4A5C16" w14:textId="17E01702" w:rsidR="0009109F" w:rsidRPr="00CB5159" w:rsidRDefault="0009109F" w:rsidP="0009109F">
            <w:pPr>
              <w:jc w:val="center"/>
              <w:rPr>
                <w:lang w:val="en-US"/>
              </w:rPr>
            </w:pPr>
            <w:r>
              <w:rPr>
                <w:lang w:val="en-US"/>
              </w:rPr>
              <w:t>21,12,500</w:t>
            </w:r>
          </w:p>
        </w:tc>
      </w:tr>
    </w:tbl>
    <w:p w14:paraId="6B3EEA74" w14:textId="77777777" w:rsidR="0009109F" w:rsidRDefault="0009109F" w:rsidP="00285A4B">
      <w:pPr>
        <w:rPr>
          <w:lang w:val="en-US"/>
        </w:rPr>
      </w:pPr>
      <w:r>
        <w:rPr>
          <w:lang w:val="en-US"/>
        </w:rPr>
        <w:t>Now, payback period = Years Before Break-Even + (Unrecovered Amount / Cash Flow in recovered Year)</w:t>
      </w:r>
    </w:p>
    <w:p w14:paraId="67B55090" w14:textId="092BD3E6" w:rsidR="0009109F" w:rsidRDefault="0009109F" w:rsidP="00285A4B">
      <w:pPr>
        <w:rPr>
          <w:lang w:val="en-US"/>
        </w:rPr>
      </w:pPr>
      <w:r>
        <w:rPr>
          <w:lang w:val="en-US"/>
        </w:rPr>
        <w:tab/>
      </w:r>
      <w:r>
        <w:rPr>
          <w:lang w:val="en-US"/>
        </w:rPr>
        <w:tab/>
        <w:t xml:space="preserve">           = 2 + (262,500 / 590,000)</w:t>
      </w:r>
    </w:p>
    <w:p w14:paraId="471D3527" w14:textId="2832DECB" w:rsidR="0009109F" w:rsidRDefault="0009109F" w:rsidP="00285A4B">
      <w:pPr>
        <w:rPr>
          <w:b/>
          <w:bCs/>
          <w:lang w:val="en-US"/>
        </w:rPr>
      </w:pPr>
      <w:r>
        <w:rPr>
          <w:lang w:val="en-US"/>
        </w:rPr>
        <w:tab/>
      </w:r>
      <w:r>
        <w:rPr>
          <w:lang w:val="en-US"/>
        </w:rPr>
        <w:tab/>
        <w:t xml:space="preserve">           = </w:t>
      </w:r>
      <w:r w:rsidRPr="0009109F">
        <w:rPr>
          <w:b/>
          <w:bCs/>
          <w:lang w:val="en-US"/>
        </w:rPr>
        <w:t>2.</w:t>
      </w:r>
      <w:r>
        <w:rPr>
          <w:b/>
          <w:bCs/>
          <w:lang w:val="en-US"/>
        </w:rPr>
        <w:t>44</w:t>
      </w:r>
      <w:r w:rsidRPr="0009109F">
        <w:rPr>
          <w:b/>
          <w:bCs/>
          <w:lang w:val="en-US"/>
        </w:rPr>
        <w:t xml:space="preserve"> Years</w:t>
      </w:r>
    </w:p>
    <w:p w14:paraId="5A86A5D6" w14:textId="4BFA6833" w:rsidR="0009109F" w:rsidRDefault="0009109F" w:rsidP="00285A4B">
      <w:pPr>
        <w:rPr>
          <w:b/>
          <w:bCs/>
          <w:lang w:val="en-US"/>
        </w:rPr>
      </w:pPr>
      <w:r w:rsidRPr="00CB5159">
        <w:rPr>
          <w:b/>
          <w:bCs/>
          <w:lang w:val="en-US"/>
        </w:rPr>
        <w:t xml:space="preserve">Payback of Option </w:t>
      </w:r>
      <w:r>
        <w:rPr>
          <w:b/>
          <w:bCs/>
          <w:lang w:val="en-US"/>
        </w:rPr>
        <w:t>C</w:t>
      </w:r>
      <w:r w:rsidRPr="00CB5159">
        <w:rPr>
          <w:b/>
          <w:bCs/>
          <w:lang w:val="en-US"/>
        </w:rPr>
        <w:t>:</w:t>
      </w:r>
    </w:p>
    <w:tbl>
      <w:tblPr>
        <w:tblStyle w:val="TableGrid"/>
        <w:tblW w:w="0" w:type="auto"/>
        <w:tblLook w:val="04A0" w:firstRow="1" w:lastRow="0" w:firstColumn="1" w:lastColumn="0" w:noHBand="0" w:noVBand="1"/>
      </w:tblPr>
      <w:tblGrid>
        <w:gridCol w:w="2724"/>
        <w:gridCol w:w="2760"/>
        <w:gridCol w:w="2812"/>
      </w:tblGrid>
      <w:tr w:rsidR="0009109F" w14:paraId="5353E967" w14:textId="77777777" w:rsidTr="00285A4B">
        <w:tc>
          <w:tcPr>
            <w:tcW w:w="2724" w:type="dxa"/>
          </w:tcPr>
          <w:p w14:paraId="7A94F0F5" w14:textId="77777777" w:rsidR="0009109F" w:rsidRDefault="0009109F" w:rsidP="009345FE">
            <w:pPr>
              <w:jc w:val="center"/>
              <w:rPr>
                <w:b/>
                <w:bCs/>
                <w:lang w:val="en-US"/>
              </w:rPr>
            </w:pPr>
            <w:r>
              <w:rPr>
                <w:b/>
                <w:bCs/>
                <w:lang w:val="en-US"/>
              </w:rPr>
              <w:t>Year</w:t>
            </w:r>
          </w:p>
        </w:tc>
        <w:tc>
          <w:tcPr>
            <w:tcW w:w="2760" w:type="dxa"/>
          </w:tcPr>
          <w:p w14:paraId="3EECEEA0" w14:textId="77777777" w:rsidR="0009109F" w:rsidRDefault="0009109F" w:rsidP="009345FE">
            <w:pPr>
              <w:jc w:val="center"/>
              <w:rPr>
                <w:b/>
                <w:bCs/>
                <w:lang w:val="en-US"/>
              </w:rPr>
            </w:pPr>
            <w:r>
              <w:rPr>
                <w:b/>
                <w:bCs/>
                <w:lang w:val="en-US"/>
              </w:rPr>
              <w:t>Cash Flows</w:t>
            </w:r>
          </w:p>
        </w:tc>
        <w:tc>
          <w:tcPr>
            <w:tcW w:w="2812" w:type="dxa"/>
          </w:tcPr>
          <w:p w14:paraId="228B4146" w14:textId="77777777" w:rsidR="0009109F" w:rsidRDefault="0009109F" w:rsidP="009345FE">
            <w:pPr>
              <w:jc w:val="center"/>
              <w:rPr>
                <w:b/>
                <w:bCs/>
                <w:lang w:val="en-US"/>
              </w:rPr>
            </w:pPr>
            <w:r>
              <w:rPr>
                <w:b/>
                <w:bCs/>
                <w:lang w:val="en-US"/>
              </w:rPr>
              <w:t>Cumulative Cash Flows</w:t>
            </w:r>
          </w:p>
        </w:tc>
      </w:tr>
      <w:tr w:rsidR="0009109F" w14:paraId="512C8186" w14:textId="77777777" w:rsidTr="00285A4B">
        <w:tc>
          <w:tcPr>
            <w:tcW w:w="2724" w:type="dxa"/>
          </w:tcPr>
          <w:p w14:paraId="552DFF7D" w14:textId="77777777" w:rsidR="0009109F" w:rsidRPr="00CB5159" w:rsidRDefault="0009109F" w:rsidP="0009109F">
            <w:pPr>
              <w:jc w:val="center"/>
              <w:rPr>
                <w:lang w:val="en-US"/>
              </w:rPr>
            </w:pPr>
            <w:r w:rsidRPr="00CB5159">
              <w:rPr>
                <w:lang w:val="en-US"/>
              </w:rPr>
              <w:t>1</w:t>
            </w:r>
          </w:p>
        </w:tc>
        <w:tc>
          <w:tcPr>
            <w:tcW w:w="2760" w:type="dxa"/>
          </w:tcPr>
          <w:p w14:paraId="60AF4DE7" w14:textId="005C7731" w:rsidR="0009109F" w:rsidRPr="00CB5159" w:rsidRDefault="0009109F" w:rsidP="0009109F">
            <w:pPr>
              <w:jc w:val="center"/>
              <w:rPr>
                <w:lang w:val="en-US"/>
              </w:rPr>
            </w:pPr>
            <w:r>
              <w:rPr>
                <w:lang w:val="en-US"/>
              </w:rPr>
              <w:t>417,500</w:t>
            </w:r>
          </w:p>
        </w:tc>
        <w:tc>
          <w:tcPr>
            <w:tcW w:w="2812" w:type="dxa"/>
          </w:tcPr>
          <w:p w14:paraId="404C7B8C" w14:textId="37BF89AE" w:rsidR="0009109F" w:rsidRPr="00CB5159" w:rsidRDefault="0009109F" w:rsidP="0009109F">
            <w:pPr>
              <w:jc w:val="center"/>
              <w:rPr>
                <w:lang w:val="en-US"/>
              </w:rPr>
            </w:pPr>
            <w:r>
              <w:rPr>
                <w:lang w:val="en-US"/>
              </w:rPr>
              <w:t>417,500</w:t>
            </w:r>
          </w:p>
        </w:tc>
      </w:tr>
      <w:tr w:rsidR="0009109F" w14:paraId="26507323" w14:textId="77777777" w:rsidTr="00285A4B">
        <w:tc>
          <w:tcPr>
            <w:tcW w:w="2724" w:type="dxa"/>
          </w:tcPr>
          <w:p w14:paraId="3371DF73" w14:textId="77777777" w:rsidR="0009109F" w:rsidRPr="00CB5159" w:rsidRDefault="0009109F" w:rsidP="0009109F">
            <w:pPr>
              <w:jc w:val="center"/>
              <w:rPr>
                <w:lang w:val="en-US"/>
              </w:rPr>
            </w:pPr>
            <w:r w:rsidRPr="00CB5159">
              <w:rPr>
                <w:lang w:val="en-US"/>
              </w:rPr>
              <w:t>2</w:t>
            </w:r>
          </w:p>
        </w:tc>
        <w:tc>
          <w:tcPr>
            <w:tcW w:w="2760" w:type="dxa"/>
          </w:tcPr>
          <w:p w14:paraId="32961C97" w14:textId="728CE1C9" w:rsidR="0009109F" w:rsidRPr="00CB5159" w:rsidRDefault="0009109F" w:rsidP="0009109F">
            <w:pPr>
              <w:jc w:val="center"/>
              <w:rPr>
                <w:lang w:val="en-US"/>
              </w:rPr>
            </w:pPr>
            <w:r>
              <w:rPr>
                <w:lang w:val="en-US"/>
              </w:rPr>
              <w:t>605,000</w:t>
            </w:r>
          </w:p>
        </w:tc>
        <w:tc>
          <w:tcPr>
            <w:tcW w:w="2812" w:type="dxa"/>
          </w:tcPr>
          <w:p w14:paraId="43D39037" w14:textId="354416C4" w:rsidR="0009109F" w:rsidRPr="00CB5159" w:rsidRDefault="0009109F" w:rsidP="0009109F">
            <w:pPr>
              <w:jc w:val="center"/>
              <w:rPr>
                <w:lang w:val="en-US"/>
              </w:rPr>
            </w:pPr>
            <w:r>
              <w:rPr>
                <w:lang w:val="en-US"/>
              </w:rPr>
              <w:t>10,22,500</w:t>
            </w:r>
          </w:p>
        </w:tc>
      </w:tr>
      <w:tr w:rsidR="0009109F" w14:paraId="3DDD97DD" w14:textId="77777777" w:rsidTr="00285A4B">
        <w:tc>
          <w:tcPr>
            <w:tcW w:w="2724" w:type="dxa"/>
          </w:tcPr>
          <w:p w14:paraId="775DC16E" w14:textId="77777777" w:rsidR="0009109F" w:rsidRPr="00CB5159" w:rsidRDefault="0009109F" w:rsidP="0009109F">
            <w:pPr>
              <w:jc w:val="center"/>
              <w:rPr>
                <w:lang w:val="en-US"/>
              </w:rPr>
            </w:pPr>
            <w:r w:rsidRPr="00CB5159">
              <w:rPr>
                <w:lang w:val="en-US"/>
              </w:rPr>
              <w:lastRenderedPageBreak/>
              <w:t>3</w:t>
            </w:r>
          </w:p>
        </w:tc>
        <w:tc>
          <w:tcPr>
            <w:tcW w:w="2760" w:type="dxa"/>
          </w:tcPr>
          <w:p w14:paraId="62D2903F" w14:textId="1A11A98A" w:rsidR="0009109F" w:rsidRPr="00CB5159" w:rsidRDefault="0009109F" w:rsidP="0009109F">
            <w:pPr>
              <w:jc w:val="center"/>
              <w:rPr>
                <w:lang w:val="en-US"/>
              </w:rPr>
            </w:pPr>
            <w:r>
              <w:rPr>
                <w:lang w:val="en-US"/>
              </w:rPr>
              <w:t>755,000</w:t>
            </w:r>
          </w:p>
        </w:tc>
        <w:tc>
          <w:tcPr>
            <w:tcW w:w="2812" w:type="dxa"/>
          </w:tcPr>
          <w:p w14:paraId="42F4A152" w14:textId="5A00C682" w:rsidR="0009109F" w:rsidRPr="00CB5159" w:rsidRDefault="00F32FE3" w:rsidP="0009109F">
            <w:pPr>
              <w:jc w:val="center"/>
              <w:rPr>
                <w:lang w:val="en-US"/>
              </w:rPr>
            </w:pPr>
            <w:r>
              <w:rPr>
                <w:lang w:val="en-US"/>
              </w:rPr>
              <w:t>17,77,500</w:t>
            </w:r>
          </w:p>
        </w:tc>
      </w:tr>
      <w:tr w:rsidR="0009109F" w14:paraId="4302CAF8" w14:textId="77777777" w:rsidTr="00285A4B">
        <w:tc>
          <w:tcPr>
            <w:tcW w:w="2724" w:type="dxa"/>
          </w:tcPr>
          <w:p w14:paraId="7917C14A" w14:textId="77777777" w:rsidR="0009109F" w:rsidRPr="00CB5159" w:rsidRDefault="0009109F" w:rsidP="0009109F">
            <w:pPr>
              <w:jc w:val="center"/>
              <w:rPr>
                <w:lang w:val="en-US"/>
              </w:rPr>
            </w:pPr>
            <w:r w:rsidRPr="00CB5159">
              <w:rPr>
                <w:lang w:val="en-US"/>
              </w:rPr>
              <w:t>4</w:t>
            </w:r>
          </w:p>
        </w:tc>
        <w:tc>
          <w:tcPr>
            <w:tcW w:w="2760" w:type="dxa"/>
          </w:tcPr>
          <w:p w14:paraId="1F5F2314" w14:textId="48511DD9" w:rsidR="0009109F" w:rsidRPr="00CB5159" w:rsidRDefault="0009109F" w:rsidP="0009109F">
            <w:pPr>
              <w:jc w:val="center"/>
              <w:rPr>
                <w:lang w:val="en-US"/>
              </w:rPr>
            </w:pPr>
            <w:r>
              <w:rPr>
                <w:lang w:val="en-US"/>
              </w:rPr>
              <w:t>980,000</w:t>
            </w:r>
          </w:p>
        </w:tc>
        <w:tc>
          <w:tcPr>
            <w:tcW w:w="2812" w:type="dxa"/>
          </w:tcPr>
          <w:p w14:paraId="1FD17F06" w14:textId="42DF1DCA" w:rsidR="0009109F" w:rsidRPr="00CB5159" w:rsidRDefault="00F32FE3" w:rsidP="0009109F">
            <w:pPr>
              <w:jc w:val="center"/>
              <w:rPr>
                <w:lang w:val="en-US"/>
              </w:rPr>
            </w:pPr>
            <w:r>
              <w:rPr>
                <w:lang w:val="en-US"/>
              </w:rPr>
              <w:t>27,57,500</w:t>
            </w:r>
          </w:p>
        </w:tc>
      </w:tr>
    </w:tbl>
    <w:p w14:paraId="5D315200" w14:textId="77777777" w:rsidR="0009109F" w:rsidRDefault="0009109F" w:rsidP="00285A4B">
      <w:pPr>
        <w:rPr>
          <w:lang w:val="en-US"/>
        </w:rPr>
      </w:pPr>
      <w:r>
        <w:rPr>
          <w:lang w:val="en-US"/>
        </w:rPr>
        <w:t>Now, payback period = Years Before Break-Even + (Unrecovered Amount / Cash Flow in recovered Year)</w:t>
      </w:r>
    </w:p>
    <w:p w14:paraId="4823B5E6" w14:textId="73AA73AE" w:rsidR="0009109F" w:rsidRDefault="0009109F" w:rsidP="00285A4B">
      <w:pPr>
        <w:rPr>
          <w:lang w:val="en-US"/>
        </w:rPr>
      </w:pPr>
      <w:r>
        <w:rPr>
          <w:lang w:val="en-US"/>
        </w:rPr>
        <w:tab/>
      </w:r>
      <w:r>
        <w:rPr>
          <w:lang w:val="en-US"/>
        </w:rPr>
        <w:tab/>
        <w:t xml:space="preserve">           = 2 + (</w:t>
      </w:r>
      <w:r w:rsidR="00F32FE3">
        <w:rPr>
          <w:lang w:val="en-US"/>
        </w:rPr>
        <w:t>577,500</w:t>
      </w:r>
      <w:r>
        <w:rPr>
          <w:lang w:val="en-US"/>
        </w:rPr>
        <w:t xml:space="preserve"> / </w:t>
      </w:r>
      <w:r w:rsidR="00F32FE3">
        <w:rPr>
          <w:lang w:val="en-US"/>
        </w:rPr>
        <w:t>755,000</w:t>
      </w:r>
      <w:r>
        <w:rPr>
          <w:lang w:val="en-US"/>
        </w:rPr>
        <w:t>)</w:t>
      </w:r>
    </w:p>
    <w:p w14:paraId="3235F1B6" w14:textId="533C2BF3" w:rsidR="0009109F" w:rsidRDefault="0009109F" w:rsidP="00285A4B">
      <w:pPr>
        <w:rPr>
          <w:b/>
          <w:bCs/>
          <w:lang w:val="en-US"/>
        </w:rPr>
      </w:pPr>
      <w:r>
        <w:rPr>
          <w:lang w:val="en-US"/>
        </w:rPr>
        <w:tab/>
      </w:r>
      <w:r>
        <w:rPr>
          <w:lang w:val="en-US"/>
        </w:rPr>
        <w:tab/>
        <w:t xml:space="preserve">           = </w:t>
      </w:r>
      <w:r w:rsidRPr="0009109F">
        <w:rPr>
          <w:b/>
          <w:bCs/>
          <w:lang w:val="en-US"/>
        </w:rPr>
        <w:t>2</w:t>
      </w:r>
      <w:r w:rsidR="00F32FE3">
        <w:rPr>
          <w:b/>
          <w:bCs/>
          <w:lang w:val="en-US"/>
        </w:rPr>
        <w:t>.76</w:t>
      </w:r>
      <w:r w:rsidRPr="0009109F">
        <w:rPr>
          <w:b/>
          <w:bCs/>
          <w:lang w:val="en-US"/>
        </w:rPr>
        <w:t xml:space="preserve"> Years</w:t>
      </w:r>
    </w:p>
    <w:p w14:paraId="49FCDB70" w14:textId="034A1941" w:rsidR="002F2751" w:rsidRDefault="002F2751" w:rsidP="00285A4B">
      <w:pPr>
        <w:rPr>
          <w:lang w:val="en-US"/>
        </w:rPr>
      </w:pPr>
      <w:r>
        <w:rPr>
          <w:b/>
          <w:bCs/>
          <w:lang w:val="en-US"/>
        </w:rPr>
        <w:t xml:space="preserve">Comparison: </w:t>
      </w:r>
      <w:r>
        <w:rPr>
          <w:lang w:val="en-US"/>
        </w:rPr>
        <w:t xml:space="preserve">The above results suggest that Option A will recover the initial invested amount the fasted out of the three while Option C will recover the initial invested amount </w:t>
      </w:r>
      <w:r w:rsidR="009A1BAE">
        <w:rPr>
          <w:lang w:val="en-US"/>
        </w:rPr>
        <w:t xml:space="preserve">in the longest period of time </w:t>
      </w:r>
      <w:r>
        <w:rPr>
          <w:lang w:val="en-US"/>
        </w:rPr>
        <w:t>out of the available options</w:t>
      </w:r>
      <w:r w:rsidR="003A5992">
        <w:rPr>
          <w:lang w:val="en-US"/>
        </w:rPr>
        <w:t xml:space="preserve"> with Option B sitting in the middle of the two. However, it is Option B that has the highest NPV.</w:t>
      </w:r>
    </w:p>
    <w:p w14:paraId="4CB78603" w14:textId="77777777" w:rsidR="00285A4B" w:rsidRPr="002F2751" w:rsidRDefault="00285A4B" w:rsidP="00285A4B">
      <w:pPr>
        <w:rPr>
          <w:lang w:val="en-US"/>
        </w:rPr>
      </w:pPr>
    </w:p>
    <w:p w14:paraId="066E3C97" w14:textId="2096232C" w:rsidR="00365854" w:rsidRPr="009712FB" w:rsidRDefault="00365854" w:rsidP="009712FB">
      <w:pPr>
        <w:pStyle w:val="Heading3"/>
        <w:numPr>
          <w:ilvl w:val="2"/>
          <w:numId w:val="2"/>
        </w:numPr>
        <w:rPr>
          <w:rFonts w:ascii="Times New Roman" w:hAnsi="Times New Roman" w:cs="Times New Roman"/>
          <w:b/>
          <w:bCs/>
          <w:sz w:val="24"/>
          <w:szCs w:val="32"/>
          <w:lang w:val="en-US"/>
        </w:rPr>
      </w:pPr>
      <w:bookmarkStart w:id="15" w:name="_Toc224919058"/>
      <w:r w:rsidRPr="009712FB">
        <w:rPr>
          <w:rFonts w:ascii="Times New Roman" w:hAnsi="Times New Roman" w:cs="Times New Roman"/>
          <w:b/>
          <w:bCs/>
          <w:sz w:val="24"/>
          <w:szCs w:val="32"/>
          <w:lang w:val="en-US"/>
        </w:rPr>
        <w:t>Calculation of IRR for Option B</w:t>
      </w:r>
      <w:bookmarkEnd w:id="15"/>
    </w:p>
    <w:p w14:paraId="4E172341" w14:textId="3C4E7784" w:rsidR="00365854" w:rsidRDefault="00AE72C4" w:rsidP="00285A4B">
      <w:pPr>
        <w:rPr>
          <w:lang w:val="en-US"/>
        </w:rPr>
      </w:pPr>
      <w:r w:rsidRPr="00AE72C4">
        <w:rPr>
          <w:b/>
          <w:bCs/>
          <w:lang w:val="en-US"/>
        </w:rPr>
        <w:t xml:space="preserve">Trial – 01: </w:t>
      </w:r>
      <w:r w:rsidRPr="00AE72C4">
        <w:rPr>
          <w:lang w:val="en-US"/>
        </w:rPr>
        <w:t>6% Discount Rate</w:t>
      </w:r>
    </w:p>
    <w:tbl>
      <w:tblPr>
        <w:tblStyle w:val="TableGrid"/>
        <w:tblpPr w:leftFromText="180" w:rightFromText="180" w:vertAnchor="text" w:horzAnchor="page" w:tblpX="2026" w:tblpY="22"/>
        <w:tblW w:w="0" w:type="auto"/>
        <w:tblLook w:val="04A0" w:firstRow="1" w:lastRow="0" w:firstColumn="1" w:lastColumn="0" w:noHBand="0" w:noVBand="1"/>
      </w:tblPr>
      <w:tblGrid>
        <w:gridCol w:w="2096"/>
        <w:gridCol w:w="2096"/>
        <w:gridCol w:w="2096"/>
        <w:gridCol w:w="2096"/>
      </w:tblGrid>
      <w:tr w:rsidR="00AE72C4" w:rsidRPr="00AE72C4" w14:paraId="067AC095" w14:textId="77777777" w:rsidTr="00285A4B">
        <w:trPr>
          <w:trHeight w:val="1360"/>
        </w:trPr>
        <w:tc>
          <w:tcPr>
            <w:tcW w:w="2096" w:type="dxa"/>
          </w:tcPr>
          <w:p w14:paraId="64A1D4F8" w14:textId="77777777" w:rsidR="00AE72C4" w:rsidRPr="00AE72C4" w:rsidRDefault="00AE72C4" w:rsidP="00285A4B">
            <w:pPr>
              <w:rPr>
                <w:b/>
                <w:bCs/>
                <w:lang w:val="en-US"/>
              </w:rPr>
            </w:pPr>
            <w:r w:rsidRPr="00AE72C4">
              <w:rPr>
                <w:b/>
                <w:bCs/>
                <w:lang w:val="en-US"/>
              </w:rPr>
              <w:t>Year</w:t>
            </w:r>
          </w:p>
        </w:tc>
        <w:tc>
          <w:tcPr>
            <w:tcW w:w="2096" w:type="dxa"/>
          </w:tcPr>
          <w:p w14:paraId="2F7415B9" w14:textId="178361D6" w:rsidR="00AE72C4" w:rsidRPr="00AE72C4" w:rsidRDefault="001048C1" w:rsidP="00285A4B">
            <w:pPr>
              <w:jc w:val="center"/>
              <w:rPr>
                <w:b/>
                <w:bCs/>
                <w:lang w:val="en-US"/>
              </w:rPr>
            </w:pPr>
            <w:r>
              <w:rPr>
                <w:b/>
                <w:bCs/>
                <w:lang w:val="en-US"/>
              </w:rPr>
              <w:t xml:space="preserve">ATCF </w:t>
            </w:r>
            <w:r w:rsidR="00AE72C4" w:rsidRPr="00AE72C4">
              <w:rPr>
                <w:b/>
                <w:bCs/>
              </w:rPr>
              <w:t>(£'000)</w:t>
            </w:r>
          </w:p>
        </w:tc>
        <w:tc>
          <w:tcPr>
            <w:tcW w:w="2096" w:type="dxa"/>
          </w:tcPr>
          <w:p w14:paraId="137215B4" w14:textId="22490530" w:rsidR="00AE72C4" w:rsidRPr="00AE72C4" w:rsidRDefault="00AE72C4" w:rsidP="00285A4B">
            <w:pPr>
              <w:jc w:val="center"/>
              <w:rPr>
                <w:b/>
                <w:bCs/>
                <w:lang w:val="en-US"/>
              </w:rPr>
            </w:pPr>
            <w:r w:rsidRPr="00AE72C4">
              <w:rPr>
                <w:b/>
                <w:bCs/>
                <w:lang w:val="en-US"/>
              </w:rPr>
              <w:t xml:space="preserve">Discount Factor </w:t>
            </w:r>
            <w:r w:rsidR="001048C1">
              <w:rPr>
                <w:b/>
                <w:bCs/>
                <w:lang w:val="en-US"/>
              </w:rPr>
              <w:t>(</w:t>
            </w:r>
            <w:r w:rsidRPr="00AE72C4">
              <w:rPr>
                <w:b/>
                <w:bCs/>
                <w:lang w:val="en-US"/>
              </w:rPr>
              <w:t>6%</w:t>
            </w:r>
            <w:r w:rsidR="001048C1">
              <w:rPr>
                <w:b/>
                <w:bCs/>
                <w:lang w:val="en-US"/>
              </w:rPr>
              <w:t>)</w:t>
            </w:r>
          </w:p>
        </w:tc>
        <w:tc>
          <w:tcPr>
            <w:tcW w:w="2096" w:type="dxa"/>
          </w:tcPr>
          <w:p w14:paraId="1AB75669" w14:textId="77777777" w:rsidR="00AE72C4" w:rsidRPr="00AE72C4" w:rsidRDefault="00AE72C4" w:rsidP="00285A4B">
            <w:pPr>
              <w:jc w:val="center"/>
              <w:rPr>
                <w:b/>
                <w:bCs/>
                <w:lang w:val="en-US"/>
              </w:rPr>
            </w:pPr>
            <w:r w:rsidRPr="00AE72C4">
              <w:rPr>
                <w:b/>
                <w:bCs/>
                <w:lang w:val="en-US"/>
              </w:rPr>
              <w:t xml:space="preserve">Present Value </w:t>
            </w:r>
            <w:r w:rsidRPr="00AE72C4">
              <w:rPr>
                <w:b/>
                <w:bCs/>
              </w:rPr>
              <w:t>(£'000)</w:t>
            </w:r>
          </w:p>
        </w:tc>
      </w:tr>
      <w:tr w:rsidR="00AE72C4" w:rsidRPr="00AE72C4" w14:paraId="62919488" w14:textId="77777777" w:rsidTr="00285A4B">
        <w:trPr>
          <w:trHeight w:val="680"/>
        </w:trPr>
        <w:tc>
          <w:tcPr>
            <w:tcW w:w="2096" w:type="dxa"/>
          </w:tcPr>
          <w:p w14:paraId="2E3ABDB7" w14:textId="77777777" w:rsidR="00AE72C4" w:rsidRPr="00AE72C4" w:rsidRDefault="00AE72C4" w:rsidP="00285A4B">
            <w:pPr>
              <w:rPr>
                <w:lang w:val="en-US"/>
              </w:rPr>
            </w:pPr>
            <w:r w:rsidRPr="00AE72C4">
              <w:rPr>
                <w:lang w:val="en-US"/>
              </w:rPr>
              <w:t>0</w:t>
            </w:r>
          </w:p>
        </w:tc>
        <w:tc>
          <w:tcPr>
            <w:tcW w:w="2096" w:type="dxa"/>
          </w:tcPr>
          <w:p w14:paraId="1E8CE80E" w14:textId="77777777" w:rsidR="00AE72C4" w:rsidRPr="00AE72C4" w:rsidRDefault="00AE72C4" w:rsidP="00285A4B">
            <w:pPr>
              <w:rPr>
                <w:lang w:val="en-US"/>
              </w:rPr>
            </w:pPr>
            <w:r w:rsidRPr="00AE72C4">
              <w:rPr>
                <w:lang w:val="en-US"/>
              </w:rPr>
              <w:t>(1,000)</w:t>
            </w:r>
          </w:p>
        </w:tc>
        <w:tc>
          <w:tcPr>
            <w:tcW w:w="2096" w:type="dxa"/>
          </w:tcPr>
          <w:p w14:paraId="1EAF1B02" w14:textId="77777777" w:rsidR="00AE72C4" w:rsidRPr="00AE72C4" w:rsidRDefault="00AE72C4" w:rsidP="00285A4B">
            <w:pPr>
              <w:rPr>
                <w:lang w:val="en-US"/>
              </w:rPr>
            </w:pPr>
            <w:r w:rsidRPr="00AE72C4">
              <w:rPr>
                <w:lang w:val="en-US"/>
              </w:rPr>
              <w:t>1.00</w:t>
            </w:r>
          </w:p>
        </w:tc>
        <w:tc>
          <w:tcPr>
            <w:tcW w:w="2096" w:type="dxa"/>
          </w:tcPr>
          <w:p w14:paraId="3EABDEDD" w14:textId="37BEAD81" w:rsidR="00AE72C4" w:rsidRPr="00AE72C4" w:rsidRDefault="00AE72C4" w:rsidP="00285A4B">
            <w:pPr>
              <w:rPr>
                <w:lang w:val="en-US"/>
              </w:rPr>
            </w:pPr>
            <w:r w:rsidRPr="00AE72C4">
              <w:rPr>
                <w:lang w:val="en-US"/>
              </w:rPr>
              <w:t>(1,</w:t>
            </w:r>
            <w:r w:rsidR="00AB27C2">
              <w:rPr>
                <w:lang w:val="en-US"/>
              </w:rPr>
              <w:t>0</w:t>
            </w:r>
            <w:r w:rsidRPr="00AE72C4">
              <w:rPr>
                <w:lang w:val="en-US"/>
              </w:rPr>
              <w:t>00)</w:t>
            </w:r>
          </w:p>
        </w:tc>
      </w:tr>
      <w:tr w:rsidR="00AE72C4" w:rsidRPr="00AE72C4" w14:paraId="74E9649A" w14:textId="77777777" w:rsidTr="00285A4B">
        <w:trPr>
          <w:trHeight w:val="702"/>
        </w:trPr>
        <w:tc>
          <w:tcPr>
            <w:tcW w:w="2096" w:type="dxa"/>
          </w:tcPr>
          <w:p w14:paraId="05FC13DB" w14:textId="77777777" w:rsidR="00AE72C4" w:rsidRPr="00AE72C4" w:rsidRDefault="00AE72C4" w:rsidP="00285A4B">
            <w:pPr>
              <w:rPr>
                <w:lang w:val="en-US"/>
              </w:rPr>
            </w:pPr>
            <w:r w:rsidRPr="00AE72C4">
              <w:rPr>
                <w:lang w:val="en-US"/>
              </w:rPr>
              <w:t>1</w:t>
            </w:r>
          </w:p>
        </w:tc>
        <w:tc>
          <w:tcPr>
            <w:tcW w:w="2096" w:type="dxa"/>
          </w:tcPr>
          <w:p w14:paraId="329261FF" w14:textId="77777777" w:rsidR="00AE72C4" w:rsidRPr="00AE72C4" w:rsidRDefault="00AE72C4" w:rsidP="00285A4B">
            <w:pPr>
              <w:rPr>
                <w:lang w:val="en-US"/>
              </w:rPr>
            </w:pPr>
            <w:r w:rsidRPr="00AE72C4">
              <w:rPr>
                <w:lang w:val="en-US"/>
              </w:rPr>
              <w:t>350</w:t>
            </w:r>
          </w:p>
        </w:tc>
        <w:tc>
          <w:tcPr>
            <w:tcW w:w="2096" w:type="dxa"/>
          </w:tcPr>
          <w:p w14:paraId="34C63846" w14:textId="77777777" w:rsidR="00AE72C4" w:rsidRPr="00AE72C4" w:rsidRDefault="00AE72C4" w:rsidP="00285A4B">
            <w:pPr>
              <w:rPr>
                <w:lang w:val="en-US"/>
              </w:rPr>
            </w:pPr>
            <w:r w:rsidRPr="00AE72C4">
              <w:rPr>
                <w:lang w:val="en-US"/>
              </w:rPr>
              <w:t>0.9434</w:t>
            </w:r>
          </w:p>
        </w:tc>
        <w:tc>
          <w:tcPr>
            <w:tcW w:w="2096" w:type="dxa"/>
          </w:tcPr>
          <w:p w14:paraId="33699798" w14:textId="77777777" w:rsidR="00AE72C4" w:rsidRPr="00AE72C4" w:rsidRDefault="00AE72C4" w:rsidP="00285A4B">
            <w:pPr>
              <w:rPr>
                <w:lang w:val="en-US"/>
              </w:rPr>
            </w:pPr>
            <w:r w:rsidRPr="00AE72C4">
              <w:rPr>
                <w:lang w:val="en-US"/>
              </w:rPr>
              <w:t>393.87</w:t>
            </w:r>
          </w:p>
        </w:tc>
      </w:tr>
      <w:tr w:rsidR="00AE72C4" w:rsidRPr="00AE72C4" w14:paraId="30155574" w14:textId="77777777" w:rsidTr="00285A4B">
        <w:trPr>
          <w:trHeight w:val="702"/>
        </w:trPr>
        <w:tc>
          <w:tcPr>
            <w:tcW w:w="2096" w:type="dxa"/>
          </w:tcPr>
          <w:p w14:paraId="38C5659A" w14:textId="77777777" w:rsidR="00AE72C4" w:rsidRPr="00AE72C4" w:rsidRDefault="00AE72C4" w:rsidP="00285A4B">
            <w:pPr>
              <w:rPr>
                <w:lang w:val="en-US"/>
              </w:rPr>
            </w:pPr>
            <w:r w:rsidRPr="00AE72C4">
              <w:rPr>
                <w:lang w:val="en-US"/>
              </w:rPr>
              <w:t>2</w:t>
            </w:r>
          </w:p>
        </w:tc>
        <w:tc>
          <w:tcPr>
            <w:tcW w:w="2096" w:type="dxa"/>
          </w:tcPr>
          <w:p w14:paraId="07D78FF4" w14:textId="77777777" w:rsidR="00AE72C4" w:rsidRPr="00AE72C4" w:rsidRDefault="00AE72C4" w:rsidP="00285A4B">
            <w:pPr>
              <w:rPr>
                <w:lang w:val="en-US"/>
              </w:rPr>
            </w:pPr>
            <w:r w:rsidRPr="00AE72C4">
              <w:rPr>
                <w:lang w:val="en-US"/>
              </w:rPr>
              <w:t>387.5</w:t>
            </w:r>
          </w:p>
        </w:tc>
        <w:tc>
          <w:tcPr>
            <w:tcW w:w="2096" w:type="dxa"/>
          </w:tcPr>
          <w:p w14:paraId="73BA304C" w14:textId="77777777" w:rsidR="00AE72C4" w:rsidRPr="00AE72C4" w:rsidRDefault="00AE72C4" w:rsidP="00285A4B">
            <w:pPr>
              <w:rPr>
                <w:lang w:val="en-US"/>
              </w:rPr>
            </w:pPr>
            <w:r w:rsidRPr="00AE72C4">
              <w:rPr>
                <w:lang w:val="en-US"/>
              </w:rPr>
              <w:t>0.8900</w:t>
            </w:r>
          </w:p>
        </w:tc>
        <w:tc>
          <w:tcPr>
            <w:tcW w:w="2096" w:type="dxa"/>
          </w:tcPr>
          <w:p w14:paraId="48DBB757" w14:textId="77777777" w:rsidR="00AE72C4" w:rsidRPr="00AE72C4" w:rsidRDefault="00AE72C4" w:rsidP="00285A4B">
            <w:pPr>
              <w:rPr>
                <w:lang w:val="en-US"/>
              </w:rPr>
            </w:pPr>
            <w:r w:rsidRPr="00AE72C4">
              <w:rPr>
                <w:lang w:val="en-US"/>
              </w:rPr>
              <w:t>538.45</w:t>
            </w:r>
          </w:p>
        </w:tc>
      </w:tr>
      <w:tr w:rsidR="00AE72C4" w:rsidRPr="00AE72C4" w14:paraId="460CBFC5" w14:textId="77777777" w:rsidTr="00285A4B">
        <w:trPr>
          <w:trHeight w:val="702"/>
        </w:trPr>
        <w:tc>
          <w:tcPr>
            <w:tcW w:w="2096" w:type="dxa"/>
          </w:tcPr>
          <w:p w14:paraId="3D7C1C9B" w14:textId="77777777" w:rsidR="00AE72C4" w:rsidRPr="00AE72C4" w:rsidRDefault="00AE72C4" w:rsidP="00285A4B">
            <w:pPr>
              <w:rPr>
                <w:lang w:val="en-US"/>
              </w:rPr>
            </w:pPr>
            <w:r w:rsidRPr="00AE72C4">
              <w:rPr>
                <w:lang w:val="en-US"/>
              </w:rPr>
              <w:t>3</w:t>
            </w:r>
          </w:p>
        </w:tc>
        <w:tc>
          <w:tcPr>
            <w:tcW w:w="2096" w:type="dxa"/>
          </w:tcPr>
          <w:p w14:paraId="5D623B80" w14:textId="77777777" w:rsidR="00AE72C4" w:rsidRPr="00AE72C4" w:rsidRDefault="00AE72C4" w:rsidP="00285A4B">
            <w:pPr>
              <w:rPr>
                <w:lang w:val="en-US"/>
              </w:rPr>
            </w:pPr>
            <w:r w:rsidRPr="00AE72C4">
              <w:rPr>
                <w:lang w:val="en-US"/>
              </w:rPr>
              <w:t>590</w:t>
            </w:r>
          </w:p>
        </w:tc>
        <w:tc>
          <w:tcPr>
            <w:tcW w:w="2096" w:type="dxa"/>
          </w:tcPr>
          <w:p w14:paraId="1C918B7F" w14:textId="77777777" w:rsidR="00AE72C4" w:rsidRPr="00AE72C4" w:rsidRDefault="00AE72C4" w:rsidP="00285A4B">
            <w:pPr>
              <w:rPr>
                <w:lang w:val="en-US"/>
              </w:rPr>
            </w:pPr>
            <w:r w:rsidRPr="00AE72C4">
              <w:rPr>
                <w:lang w:val="en-US"/>
              </w:rPr>
              <w:t>0.8396</w:t>
            </w:r>
          </w:p>
        </w:tc>
        <w:tc>
          <w:tcPr>
            <w:tcW w:w="2096" w:type="dxa"/>
          </w:tcPr>
          <w:p w14:paraId="16A1537E" w14:textId="77777777" w:rsidR="00AE72C4" w:rsidRPr="00AE72C4" w:rsidRDefault="00AE72C4" w:rsidP="00285A4B">
            <w:pPr>
              <w:rPr>
                <w:lang w:val="en-US"/>
              </w:rPr>
            </w:pPr>
            <w:r w:rsidRPr="00AE72C4">
              <w:rPr>
                <w:lang w:val="en-US"/>
              </w:rPr>
              <w:t>633.90</w:t>
            </w:r>
          </w:p>
        </w:tc>
      </w:tr>
      <w:tr w:rsidR="00AE72C4" w:rsidRPr="00AE72C4" w14:paraId="0FAB8503" w14:textId="77777777" w:rsidTr="00285A4B">
        <w:trPr>
          <w:trHeight w:val="702"/>
        </w:trPr>
        <w:tc>
          <w:tcPr>
            <w:tcW w:w="2096" w:type="dxa"/>
          </w:tcPr>
          <w:p w14:paraId="7225CED7" w14:textId="77777777" w:rsidR="00AE72C4" w:rsidRPr="00AE72C4" w:rsidRDefault="00AE72C4" w:rsidP="00285A4B">
            <w:pPr>
              <w:rPr>
                <w:lang w:val="en-US"/>
              </w:rPr>
            </w:pPr>
            <w:r w:rsidRPr="00AE72C4">
              <w:rPr>
                <w:lang w:val="en-US"/>
              </w:rPr>
              <w:t>4</w:t>
            </w:r>
          </w:p>
        </w:tc>
        <w:tc>
          <w:tcPr>
            <w:tcW w:w="2096" w:type="dxa"/>
          </w:tcPr>
          <w:p w14:paraId="2F7D0BFD" w14:textId="77777777" w:rsidR="00AE72C4" w:rsidRPr="00AE72C4" w:rsidRDefault="00AE72C4" w:rsidP="00285A4B">
            <w:pPr>
              <w:rPr>
                <w:lang w:val="en-US"/>
              </w:rPr>
            </w:pPr>
            <w:r w:rsidRPr="00AE72C4">
              <w:rPr>
                <w:lang w:val="en-US"/>
              </w:rPr>
              <w:t>785</w:t>
            </w:r>
          </w:p>
        </w:tc>
        <w:tc>
          <w:tcPr>
            <w:tcW w:w="2096" w:type="dxa"/>
          </w:tcPr>
          <w:p w14:paraId="6B41A261" w14:textId="77777777" w:rsidR="00AE72C4" w:rsidRPr="00AE72C4" w:rsidRDefault="00AE72C4" w:rsidP="00285A4B">
            <w:pPr>
              <w:rPr>
                <w:lang w:val="en-US"/>
              </w:rPr>
            </w:pPr>
            <w:r w:rsidRPr="00AE72C4">
              <w:rPr>
                <w:lang w:val="en-US"/>
              </w:rPr>
              <w:t>0.7921</w:t>
            </w:r>
          </w:p>
        </w:tc>
        <w:tc>
          <w:tcPr>
            <w:tcW w:w="2096" w:type="dxa"/>
          </w:tcPr>
          <w:p w14:paraId="4FFF494A" w14:textId="77777777" w:rsidR="00AE72C4" w:rsidRPr="00AE72C4" w:rsidRDefault="00AE72C4" w:rsidP="00285A4B">
            <w:pPr>
              <w:rPr>
                <w:lang w:val="en-US"/>
              </w:rPr>
            </w:pPr>
            <w:r w:rsidRPr="00AE72C4">
              <w:rPr>
                <w:lang w:val="en-US"/>
              </w:rPr>
              <w:t>776.26</w:t>
            </w:r>
          </w:p>
        </w:tc>
      </w:tr>
      <w:tr w:rsidR="00354932" w:rsidRPr="00AE72C4" w14:paraId="77C71E43" w14:textId="77777777" w:rsidTr="00285A4B">
        <w:trPr>
          <w:trHeight w:val="680"/>
        </w:trPr>
        <w:tc>
          <w:tcPr>
            <w:tcW w:w="6288" w:type="dxa"/>
            <w:gridSpan w:val="3"/>
          </w:tcPr>
          <w:p w14:paraId="6CC9F993" w14:textId="0453DF6E" w:rsidR="00354932" w:rsidRPr="00AE72C4" w:rsidRDefault="00354932" w:rsidP="00285A4B">
            <w:pPr>
              <w:jc w:val="center"/>
              <w:rPr>
                <w:b/>
                <w:bCs/>
                <w:lang w:val="en-US"/>
              </w:rPr>
            </w:pPr>
            <w:r w:rsidRPr="00354932">
              <w:rPr>
                <w:b/>
                <w:bCs/>
                <w:lang w:val="en-US"/>
              </w:rPr>
              <w:t>Net Present Value</w:t>
            </w:r>
          </w:p>
        </w:tc>
        <w:tc>
          <w:tcPr>
            <w:tcW w:w="2096" w:type="dxa"/>
          </w:tcPr>
          <w:p w14:paraId="1B787903" w14:textId="2B5FE1BF" w:rsidR="00354932" w:rsidRPr="00AE72C4" w:rsidRDefault="00354932" w:rsidP="00285A4B">
            <w:pPr>
              <w:jc w:val="center"/>
              <w:rPr>
                <w:b/>
                <w:bCs/>
                <w:lang w:val="en-US"/>
              </w:rPr>
            </w:pPr>
            <w:r w:rsidRPr="00354932">
              <w:rPr>
                <w:b/>
                <w:bCs/>
              </w:rPr>
              <w:t>£</w:t>
            </w:r>
            <w:r w:rsidRPr="00354932">
              <w:rPr>
                <w:b/>
                <w:bCs/>
                <w:lang w:val="en-US"/>
              </w:rPr>
              <w:t>792,228</w:t>
            </w:r>
          </w:p>
        </w:tc>
      </w:tr>
    </w:tbl>
    <w:p w14:paraId="474C2D8A" w14:textId="77777777" w:rsidR="00285A4B" w:rsidRDefault="00285A4B" w:rsidP="00285A4B">
      <w:pPr>
        <w:rPr>
          <w:b/>
          <w:bCs/>
          <w:lang w:val="en-US"/>
        </w:rPr>
      </w:pPr>
    </w:p>
    <w:p w14:paraId="3C72569F" w14:textId="77777777" w:rsidR="00285A4B" w:rsidRDefault="00285A4B" w:rsidP="00285A4B">
      <w:pPr>
        <w:rPr>
          <w:b/>
          <w:bCs/>
          <w:lang w:val="en-US"/>
        </w:rPr>
      </w:pPr>
    </w:p>
    <w:p w14:paraId="6F1E0A82" w14:textId="77777777" w:rsidR="00285A4B" w:rsidRDefault="00285A4B" w:rsidP="00285A4B">
      <w:pPr>
        <w:rPr>
          <w:b/>
          <w:bCs/>
          <w:lang w:val="en-US"/>
        </w:rPr>
      </w:pPr>
    </w:p>
    <w:p w14:paraId="270D5A33" w14:textId="77777777" w:rsidR="00285A4B" w:rsidRDefault="00285A4B" w:rsidP="00285A4B">
      <w:pPr>
        <w:rPr>
          <w:b/>
          <w:bCs/>
          <w:lang w:val="en-US"/>
        </w:rPr>
      </w:pPr>
    </w:p>
    <w:p w14:paraId="247C76DC" w14:textId="77777777" w:rsidR="00285A4B" w:rsidRDefault="00285A4B" w:rsidP="00285A4B">
      <w:pPr>
        <w:rPr>
          <w:b/>
          <w:bCs/>
          <w:lang w:val="en-US"/>
        </w:rPr>
      </w:pPr>
    </w:p>
    <w:p w14:paraId="59586CC5" w14:textId="77777777" w:rsidR="00285A4B" w:rsidRDefault="00285A4B" w:rsidP="00285A4B">
      <w:pPr>
        <w:rPr>
          <w:b/>
          <w:bCs/>
          <w:lang w:val="en-US"/>
        </w:rPr>
      </w:pPr>
    </w:p>
    <w:p w14:paraId="49950A7B" w14:textId="77777777" w:rsidR="00285A4B" w:rsidRDefault="00285A4B" w:rsidP="00285A4B">
      <w:pPr>
        <w:rPr>
          <w:b/>
          <w:bCs/>
          <w:lang w:val="en-US"/>
        </w:rPr>
      </w:pPr>
    </w:p>
    <w:p w14:paraId="61410992" w14:textId="77777777" w:rsidR="00285A4B" w:rsidRDefault="00285A4B" w:rsidP="00285A4B">
      <w:pPr>
        <w:rPr>
          <w:b/>
          <w:bCs/>
          <w:lang w:val="en-US"/>
        </w:rPr>
      </w:pPr>
    </w:p>
    <w:p w14:paraId="378A107A" w14:textId="77777777" w:rsidR="00285A4B" w:rsidRDefault="00285A4B" w:rsidP="00285A4B">
      <w:pPr>
        <w:rPr>
          <w:b/>
          <w:bCs/>
          <w:lang w:val="en-US"/>
        </w:rPr>
      </w:pPr>
    </w:p>
    <w:p w14:paraId="0C68AECC" w14:textId="77777777" w:rsidR="00285A4B" w:rsidRDefault="00285A4B" w:rsidP="00285A4B">
      <w:pPr>
        <w:rPr>
          <w:b/>
          <w:bCs/>
          <w:lang w:val="en-US"/>
        </w:rPr>
      </w:pPr>
    </w:p>
    <w:p w14:paraId="3DA08819" w14:textId="77777777" w:rsidR="00285A4B" w:rsidRDefault="00285A4B" w:rsidP="00285A4B">
      <w:pPr>
        <w:rPr>
          <w:b/>
          <w:bCs/>
          <w:lang w:val="en-US"/>
        </w:rPr>
      </w:pPr>
    </w:p>
    <w:p w14:paraId="44AD8141" w14:textId="77777777" w:rsidR="00285A4B" w:rsidRDefault="00285A4B" w:rsidP="00285A4B">
      <w:pPr>
        <w:rPr>
          <w:b/>
          <w:bCs/>
          <w:lang w:val="en-US"/>
        </w:rPr>
      </w:pPr>
    </w:p>
    <w:p w14:paraId="0F20643B" w14:textId="77777777" w:rsidR="00285A4B" w:rsidRDefault="00285A4B" w:rsidP="00285A4B">
      <w:pPr>
        <w:rPr>
          <w:b/>
          <w:bCs/>
          <w:lang w:val="en-US"/>
        </w:rPr>
      </w:pPr>
    </w:p>
    <w:p w14:paraId="7AD268EF" w14:textId="4F446D42" w:rsidR="00AE72C4" w:rsidRPr="00AE72C4" w:rsidRDefault="00AE72C4" w:rsidP="00285A4B">
      <w:pPr>
        <w:rPr>
          <w:lang w:val="en-US"/>
        </w:rPr>
      </w:pPr>
      <w:r w:rsidRPr="00AE72C4">
        <w:rPr>
          <w:b/>
          <w:bCs/>
          <w:lang w:val="en-US"/>
        </w:rPr>
        <w:lastRenderedPageBreak/>
        <w:t xml:space="preserve">Trial – 02: </w:t>
      </w:r>
      <w:r>
        <w:rPr>
          <w:lang w:val="en-US"/>
        </w:rPr>
        <w:t>35</w:t>
      </w:r>
      <w:r w:rsidRPr="00AE72C4">
        <w:rPr>
          <w:lang w:val="en-US"/>
        </w:rPr>
        <w:t>% Discount Rate</w:t>
      </w:r>
    </w:p>
    <w:tbl>
      <w:tblPr>
        <w:tblStyle w:val="TableGrid"/>
        <w:tblW w:w="8264" w:type="dxa"/>
        <w:tblInd w:w="655" w:type="dxa"/>
        <w:tblLook w:val="04A0" w:firstRow="1" w:lastRow="0" w:firstColumn="1" w:lastColumn="0" w:noHBand="0" w:noVBand="1"/>
      </w:tblPr>
      <w:tblGrid>
        <w:gridCol w:w="2066"/>
        <w:gridCol w:w="2066"/>
        <w:gridCol w:w="2066"/>
        <w:gridCol w:w="2066"/>
      </w:tblGrid>
      <w:tr w:rsidR="004304F1" w:rsidRPr="00AE72C4" w14:paraId="5FE2B188" w14:textId="77777777" w:rsidTr="00285A4B">
        <w:trPr>
          <w:trHeight w:val="845"/>
        </w:trPr>
        <w:tc>
          <w:tcPr>
            <w:tcW w:w="2066" w:type="dxa"/>
          </w:tcPr>
          <w:p w14:paraId="75109CB2" w14:textId="1B1B2AE7" w:rsidR="004304F1" w:rsidRPr="00AE72C4" w:rsidRDefault="004304F1" w:rsidP="00285A4B">
            <w:pPr>
              <w:rPr>
                <w:b/>
                <w:bCs/>
                <w:lang w:val="en-US"/>
              </w:rPr>
            </w:pPr>
            <w:r w:rsidRPr="00AE72C4">
              <w:rPr>
                <w:b/>
                <w:bCs/>
                <w:lang w:val="en-US"/>
              </w:rPr>
              <w:t>Year</w:t>
            </w:r>
          </w:p>
        </w:tc>
        <w:tc>
          <w:tcPr>
            <w:tcW w:w="2066" w:type="dxa"/>
          </w:tcPr>
          <w:p w14:paraId="19584CE1" w14:textId="2CBF85D7" w:rsidR="004304F1" w:rsidRPr="00AE72C4" w:rsidRDefault="004304F1" w:rsidP="00285A4B">
            <w:pPr>
              <w:jc w:val="center"/>
              <w:rPr>
                <w:b/>
                <w:bCs/>
                <w:lang w:val="en-US"/>
              </w:rPr>
            </w:pPr>
            <w:r>
              <w:rPr>
                <w:b/>
                <w:bCs/>
                <w:lang w:val="en-US"/>
              </w:rPr>
              <w:t xml:space="preserve">ATCF </w:t>
            </w:r>
            <w:r w:rsidRPr="00AE72C4">
              <w:rPr>
                <w:b/>
                <w:bCs/>
              </w:rPr>
              <w:t>(£'000)</w:t>
            </w:r>
          </w:p>
        </w:tc>
        <w:tc>
          <w:tcPr>
            <w:tcW w:w="2066" w:type="dxa"/>
          </w:tcPr>
          <w:p w14:paraId="6B8A2316" w14:textId="6E198271" w:rsidR="004304F1" w:rsidRPr="00AE72C4" w:rsidRDefault="004304F1" w:rsidP="00285A4B">
            <w:pPr>
              <w:jc w:val="center"/>
              <w:rPr>
                <w:b/>
                <w:bCs/>
                <w:lang w:val="en-US"/>
              </w:rPr>
            </w:pPr>
            <w:r w:rsidRPr="00AE72C4">
              <w:rPr>
                <w:b/>
                <w:bCs/>
                <w:lang w:val="en-US"/>
              </w:rPr>
              <w:t xml:space="preserve">Discount Factor </w:t>
            </w:r>
            <w:r>
              <w:rPr>
                <w:b/>
                <w:bCs/>
                <w:lang w:val="en-US"/>
              </w:rPr>
              <w:t>(</w:t>
            </w:r>
            <w:r w:rsidR="007B209C">
              <w:rPr>
                <w:b/>
                <w:bCs/>
                <w:lang w:val="en-US"/>
              </w:rPr>
              <w:t>35</w:t>
            </w:r>
            <w:r w:rsidRPr="00AE72C4">
              <w:rPr>
                <w:b/>
                <w:bCs/>
                <w:lang w:val="en-US"/>
              </w:rPr>
              <w:t>%</w:t>
            </w:r>
            <w:r>
              <w:rPr>
                <w:b/>
                <w:bCs/>
                <w:lang w:val="en-US"/>
              </w:rPr>
              <w:t>)</w:t>
            </w:r>
          </w:p>
        </w:tc>
        <w:tc>
          <w:tcPr>
            <w:tcW w:w="2066" w:type="dxa"/>
          </w:tcPr>
          <w:p w14:paraId="2D70EA8B" w14:textId="644EBA5D" w:rsidR="004304F1" w:rsidRPr="00AE72C4" w:rsidRDefault="004304F1" w:rsidP="00285A4B">
            <w:pPr>
              <w:jc w:val="center"/>
              <w:rPr>
                <w:b/>
                <w:bCs/>
                <w:lang w:val="en-US"/>
              </w:rPr>
            </w:pPr>
            <w:r w:rsidRPr="00AE72C4">
              <w:rPr>
                <w:b/>
                <w:bCs/>
                <w:lang w:val="en-US"/>
              </w:rPr>
              <w:t xml:space="preserve">Present Value </w:t>
            </w:r>
            <w:r w:rsidRPr="00AE72C4">
              <w:rPr>
                <w:b/>
                <w:bCs/>
              </w:rPr>
              <w:t>(£'000)</w:t>
            </w:r>
          </w:p>
        </w:tc>
      </w:tr>
      <w:tr w:rsidR="00AE72C4" w:rsidRPr="00AE72C4" w14:paraId="52908B20" w14:textId="77777777" w:rsidTr="00285A4B">
        <w:trPr>
          <w:trHeight w:val="422"/>
        </w:trPr>
        <w:tc>
          <w:tcPr>
            <w:tcW w:w="2066" w:type="dxa"/>
          </w:tcPr>
          <w:p w14:paraId="16C1A2D9" w14:textId="77777777" w:rsidR="00AE72C4" w:rsidRPr="00AE72C4" w:rsidRDefault="00AE72C4" w:rsidP="00285A4B">
            <w:pPr>
              <w:rPr>
                <w:lang w:val="en-US"/>
              </w:rPr>
            </w:pPr>
            <w:r w:rsidRPr="00AE72C4">
              <w:rPr>
                <w:lang w:val="en-US"/>
              </w:rPr>
              <w:t>0</w:t>
            </w:r>
          </w:p>
        </w:tc>
        <w:tc>
          <w:tcPr>
            <w:tcW w:w="2066" w:type="dxa"/>
          </w:tcPr>
          <w:p w14:paraId="1D911CA6" w14:textId="77777777" w:rsidR="00AE72C4" w:rsidRPr="00AE72C4" w:rsidRDefault="00AE72C4" w:rsidP="00285A4B">
            <w:pPr>
              <w:jc w:val="center"/>
              <w:rPr>
                <w:lang w:val="en-US"/>
              </w:rPr>
            </w:pPr>
            <w:r w:rsidRPr="00AE72C4">
              <w:rPr>
                <w:lang w:val="en-US"/>
              </w:rPr>
              <w:t>(1,000)</w:t>
            </w:r>
          </w:p>
        </w:tc>
        <w:tc>
          <w:tcPr>
            <w:tcW w:w="2066" w:type="dxa"/>
          </w:tcPr>
          <w:p w14:paraId="6304E086" w14:textId="77777777" w:rsidR="00AE72C4" w:rsidRPr="00AE72C4" w:rsidRDefault="00AE72C4" w:rsidP="00285A4B">
            <w:pPr>
              <w:rPr>
                <w:lang w:val="en-US"/>
              </w:rPr>
            </w:pPr>
            <w:r w:rsidRPr="00AE72C4">
              <w:rPr>
                <w:lang w:val="en-US"/>
              </w:rPr>
              <w:t>1.00</w:t>
            </w:r>
          </w:p>
        </w:tc>
        <w:tc>
          <w:tcPr>
            <w:tcW w:w="2066" w:type="dxa"/>
          </w:tcPr>
          <w:p w14:paraId="4D2654D0" w14:textId="01B8D046" w:rsidR="00AE72C4" w:rsidRPr="00AE72C4" w:rsidRDefault="006821D5" w:rsidP="00285A4B">
            <w:pPr>
              <w:jc w:val="center"/>
              <w:rPr>
                <w:lang w:val="en-US"/>
              </w:rPr>
            </w:pPr>
            <w:r>
              <w:rPr>
                <w:lang w:val="en-US"/>
              </w:rPr>
              <w:t>(</w:t>
            </w:r>
            <w:r w:rsidR="00AE72C4" w:rsidRPr="00AE72C4">
              <w:rPr>
                <w:lang w:val="en-US"/>
              </w:rPr>
              <w:t>1,000)</w:t>
            </w:r>
          </w:p>
        </w:tc>
      </w:tr>
      <w:tr w:rsidR="00AE72C4" w:rsidRPr="00AE72C4" w14:paraId="7E44D034" w14:textId="77777777" w:rsidTr="00285A4B">
        <w:trPr>
          <w:trHeight w:val="437"/>
        </w:trPr>
        <w:tc>
          <w:tcPr>
            <w:tcW w:w="2066" w:type="dxa"/>
          </w:tcPr>
          <w:p w14:paraId="0E36231E" w14:textId="77777777" w:rsidR="00AE72C4" w:rsidRPr="00AE72C4" w:rsidRDefault="00AE72C4" w:rsidP="00285A4B">
            <w:pPr>
              <w:rPr>
                <w:lang w:val="en-US"/>
              </w:rPr>
            </w:pPr>
            <w:r w:rsidRPr="00AE72C4">
              <w:rPr>
                <w:lang w:val="en-US"/>
              </w:rPr>
              <w:t>1</w:t>
            </w:r>
          </w:p>
        </w:tc>
        <w:tc>
          <w:tcPr>
            <w:tcW w:w="2066" w:type="dxa"/>
          </w:tcPr>
          <w:p w14:paraId="4DEDFD3B" w14:textId="77777777" w:rsidR="00AE72C4" w:rsidRPr="00AE72C4" w:rsidRDefault="00AE72C4" w:rsidP="00285A4B">
            <w:pPr>
              <w:rPr>
                <w:lang w:val="en-US"/>
              </w:rPr>
            </w:pPr>
            <w:r w:rsidRPr="00AE72C4">
              <w:rPr>
                <w:lang w:val="en-US"/>
              </w:rPr>
              <w:t>350</w:t>
            </w:r>
          </w:p>
        </w:tc>
        <w:tc>
          <w:tcPr>
            <w:tcW w:w="2066" w:type="dxa"/>
          </w:tcPr>
          <w:p w14:paraId="3E189747" w14:textId="7FCE601D" w:rsidR="00AE72C4" w:rsidRPr="00AE72C4" w:rsidRDefault="006821D5" w:rsidP="00285A4B">
            <w:pPr>
              <w:jc w:val="center"/>
              <w:rPr>
                <w:lang w:val="en-US"/>
              </w:rPr>
            </w:pPr>
            <w:r>
              <w:rPr>
                <w:lang w:val="en-US"/>
              </w:rPr>
              <w:t>0.7407</w:t>
            </w:r>
          </w:p>
        </w:tc>
        <w:tc>
          <w:tcPr>
            <w:tcW w:w="2066" w:type="dxa"/>
          </w:tcPr>
          <w:p w14:paraId="50704646" w14:textId="7F2BDE92" w:rsidR="00AE72C4" w:rsidRPr="00AE72C4" w:rsidRDefault="006821D5" w:rsidP="00285A4B">
            <w:pPr>
              <w:jc w:val="center"/>
              <w:rPr>
                <w:lang w:val="en-US"/>
              </w:rPr>
            </w:pPr>
            <w:r>
              <w:rPr>
                <w:lang w:val="en-US"/>
              </w:rPr>
              <w:t>259.26</w:t>
            </w:r>
          </w:p>
        </w:tc>
      </w:tr>
      <w:tr w:rsidR="00AE72C4" w:rsidRPr="00AE72C4" w14:paraId="281D6A3A" w14:textId="77777777" w:rsidTr="00285A4B">
        <w:trPr>
          <w:trHeight w:val="437"/>
        </w:trPr>
        <w:tc>
          <w:tcPr>
            <w:tcW w:w="2066" w:type="dxa"/>
          </w:tcPr>
          <w:p w14:paraId="30F466DC" w14:textId="77777777" w:rsidR="00AE72C4" w:rsidRPr="00AE72C4" w:rsidRDefault="00AE72C4" w:rsidP="00285A4B">
            <w:pPr>
              <w:rPr>
                <w:lang w:val="en-US"/>
              </w:rPr>
            </w:pPr>
            <w:r w:rsidRPr="00AE72C4">
              <w:rPr>
                <w:lang w:val="en-US"/>
              </w:rPr>
              <w:t>2</w:t>
            </w:r>
          </w:p>
        </w:tc>
        <w:tc>
          <w:tcPr>
            <w:tcW w:w="2066" w:type="dxa"/>
          </w:tcPr>
          <w:p w14:paraId="2B1AC517" w14:textId="77777777" w:rsidR="00AE72C4" w:rsidRPr="00AE72C4" w:rsidRDefault="00AE72C4" w:rsidP="00285A4B">
            <w:pPr>
              <w:rPr>
                <w:lang w:val="en-US"/>
              </w:rPr>
            </w:pPr>
            <w:r w:rsidRPr="00AE72C4">
              <w:rPr>
                <w:lang w:val="en-US"/>
              </w:rPr>
              <w:t>387.5</w:t>
            </w:r>
          </w:p>
        </w:tc>
        <w:tc>
          <w:tcPr>
            <w:tcW w:w="2066" w:type="dxa"/>
          </w:tcPr>
          <w:p w14:paraId="3D07BB8D" w14:textId="4D17056C" w:rsidR="00AE72C4" w:rsidRPr="00AE72C4" w:rsidRDefault="006821D5" w:rsidP="00285A4B">
            <w:pPr>
              <w:jc w:val="center"/>
              <w:rPr>
                <w:lang w:val="en-US"/>
              </w:rPr>
            </w:pPr>
            <w:r>
              <w:rPr>
                <w:lang w:val="en-US"/>
              </w:rPr>
              <w:t>0.5487</w:t>
            </w:r>
          </w:p>
        </w:tc>
        <w:tc>
          <w:tcPr>
            <w:tcW w:w="2066" w:type="dxa"/>
          </w:tcPr>
          <w:p w14:paraId="6CB2F2E7" w14:textId="771FA7FF" w:rsidR="00AE72C4" w:rsidRPr="00AE72C4" w:rsidRDefault="006821D5" w:rsidP="00285A4B">
            <w:pPr>
              <w:jc w:val="center"/>
              <w:rPr>
                <w:lang w:val="en-US"/>
              </w:rPr>
            </w:pPr>
            <w:r>
              <w:rPr>
                <w:lang w:val="en-US"/>
              </w:rPr>
              <w:t>212.62</w:t>
            </w:r>
          </w:p>
        </w:tc>
      </w:tr>
      <w:tr w:rsidR="00AE72C4" w:rsidRPr="00AE72C4" w14:paraId="3D5C55E8" w14:textId="77777777" w:rsidTr="00285A4B">
        <w:trPr>
          <w:trHeight w:val="437"/>
        </w:trPr>
        <w:tc>
          <w:tcPr>
            <w:tcW w:w="2066" w:type="dxa"/>
          </w:tcPr>
          <w:p w14:paraId="0B80F28A" w14:textId="77777777" w:rsidR="00AE72C4" w:rsidRPr="00AE72C4" w:rsidRDefault="00AE72C4" w:rsidP="00285A4B">
            <w:pPr>
              <w:rPr>
                <w:lang w:val="en-US"/>
              </w:rPr>
            </w:pPr>
            <w:r w:rsidRPr="00AE72C4">
              <w:rPr>
                <w:lang w:val="en-US"/>
              </w:rPr>
              <w:t>3</w:t>
            </w:r>
          </w:p>
        </w:tc>
        <w:tc>
          <w:tcPr>
            <w:tcW w:w="2066" w:type="dxa"/>
          </w:tcPr>
          <w:p w14:paraId="6CE545D6" w14:textId="77777777" w:rsidR="00AE72C4" w:rsidRPr="00AE72C4" w:rsidRDefault="00AE72C4" w:rsidP="00285A4B">
            <w:pPr>
              <w:rPr>
                <w:lang w:val="en-US"/>
              </w:rPr>
            </w:pPr>
            <w:r w:rsidRPr="00AE72C4">
              <w:rPr>
                <w:lang w:val="en-US"/>
              </w:rPr>
              <w:t>590</w:t>
            </w:r>
          </w:p>
        </w:tc>
        <w:tc>
          <w:tcPr>
            <w:tcW w:w="2066" w:type="dxa"/>
          </w:tcPr>
          <w:p w14:paraId="32B51B4E" w14:textId="574A923B" w:rsidR="00AE72C4" w:rsidRPr="00AE72C4" w:rsidRDefault="006821D5" w:rsidP="00285A4B">
            <w:pPr>
              <w:jc w:val="center"/>
              <w:rPr>
                <w:lang w:val="en-US"/>
              </w:rPr>
            </w:pPr>
            <w:r>
              <w:rPr>
                <w:lang w:val="en-US"/>
              </w:rPr>
              <w:t>0.4064</w:t>
            </w:r>
          </w:p>
        </w:tc>
        <w:tc>
          <w:tcPr>
            <w:tcW w:w="2066" w:type="dxa"/>
          </w:tcPr>
          <w:p w14:paraId="68E53CDA" w14:textId="2C63632F" w:rsidR="00AE72C4" w:rsidRPr="00AE72C4" w:rsidRDefault="006821D5" w:rsidP="00285A4B">
            <w:pPr>
              <w:jc w:val="center"/>
              <w:rPr>
                <w:lang w:val="en-US"/>
              </w:rPr>
            </w:pPr>
            <w:r>
              <w:rPr>
                <w:lang w:val="en-US"/>
              </w:rPr>
              <w:t>239.78</w:t>
            </w:r>
          </w:p>
        </w:tc>
      </w:tr>
      <w:tr w:rsidR="00AE72C4" w:rsidRPr="00AE72C4" w14:paraId="366A9342" w14:textId="77777777" w:rsidTr="00285A4B">
        <w:trPr>
          <w:trHeight w:val="437"/>
        </w:trPr>
        <w:tc>
          <w:tcPr>
            <w:tcW w:w="2066" w:type="dxa"/>
          </w:tcPr>
          <w:p w14:paraId="1A586F8A" w14:textId="77777777" w:rsidR="00AE72C4" w:rsidRPr="00AE72C4" w:rsidRDefault="00AE72C4" w:rsidP="00285A4B">
            <w:pPr>
              <w:rPr>
                <w:lang w:val="en-US"/>
              </w:rPr>
            </w:pPr>
            <w:r w:rsidRPr="00AE72C4">
              <w:rPr>
                <w:lang w:val="en-US"/>
              </w:rPr>
              <w:t>4</w:t>
            </w:r>
          </w:p>
        </w:tc>
        <w:tc>
          <w:tcPr>
            <w:tcW w:w="2066" w:type="dxa"/>
          </w:tcPr>
          <w:p w14:paraId="4DBBB4D5" w14:textId="77777777" w:rsidR="00AE72C4" w:rsidRPr="00AE72C4" w:rsidRDefault="00AE72C4" w:rsidP="00285A4B">
            <w:pPr>
              <w:rPr>
                <w:lang w:val="en-US"/>
              </w:rPr>
            </w:pPr>
            <w:r w:rsidRPr="00AE72C4">
              <w:rPr>
                <w:lang w:val="en-US"/>
              </w:rPr>
              <w:t>785</w:t>
            </w:r>
          </w:p>
        </w:tc>
        <w:tc>
          <w:tcPr>
            <w:tcW w:w="2066" w:type="dxa"/>
          </w:tcPr>
          <w:p w14:paraId="351535F5" w14:textId="102C2AAD" w:rsidR="00AE72C4" w:rsidRPr="00AE72C4" w:rsidRDefault="006821D5" w:rsidP="00285A4B">
            <w:pPr>
              <w:jc w:val="center"/>
              <w:rPr>
                <w:lang w:val="en-US"/>
              </w:rPr>
            </w:pPr>
            <w:r>
              <w:rPr>
                <w:lang w:val="en-US"/>
              </w:rPr>
              <w:t>0.3011</w:t>
            </w:r>
          </w:p>
        </w:tc>
        <w:tc>
          <w:tcPr>
            <w:tcW w:w="2066" w:type="dxa"/>
          </w:tcPr>
          <w:p w14:paraId="09C3C509" w14:textId="04F82A54" w:rsidR="00AE72C4" w:rsidRPr="00AE72C4" w:rsidRDefault="006821D5" w:rsidP="00285A4B">
            <w:pPr>
              <w:jc w:val="center"/>
              <w:rPr>
                <w:lang w:val="en-US"/>
              </w:rPr>
            </w:pPr>
            <w:r>
              <w:rPr>
                <w:lang w:val="en-US"/>
              </w:rPr>
              <w:t>236.36</w:t>
            </w:r>
          </w:p>
        </w:tc>
      </w:tr>
      <w:tr w:rsidR="00354932" w:rsidRPr="00AE72C4" w14:paraId="28CDABEE" w14:textId="77777777" w:rsidTr="00285A4B">
        <w:trPr>
          <w:trHeight w:val="437"/>
        </w:trPr>
        <w:tc>
          <w:tcPr>
            <w:tcW w:w="6198" w:type="dxa"/>
            <w:gridSpan w:val="3"/>
          </w:tcPr>
          <w:p w14:paraId="5C30ABF1" w14:textId="0FFC83A8" w:rsidR="00354932" w:rsidRPr="00AE72C4" w:rsidRDefault="00354932" w:rsidP="00285A4B">
            <w:pPr>
              <w:jc w:val="center"/>
              <w:rPr>
                <w:b/>
                <w:bCs/>
                <w:lang w:val="en-US"/>
              </w:rPr>
            </w:pPr>
            <w:r>
              <w:rPr>
                <w:b/>
                <w:bCs/>
                <w:lang w:val="en-US"/>
              </w:rPr>
              <w:t>Net Present Value</w:t>
            </w:r>
          </w:p>
        </w:tc>
        <w:tc>
          <w:tcPr>
            <w:tcW w:w="2066" w:type="dxa"/>
          </w:tcPr>
          <w:p w14:paraId="524128F9" w14:textId="4FDFCFB1" w:rsidR="00354932" w:rsidRPr="00AE72C4" w:rsidRDefault="006821D5" w:rsidP="00285A4B">
            <w:pPr>
              <w:jc w:val="center"/>
              <w:rPr>
                <w:b/>
                <w:bCs/>
                <w:lang w:val="en-US"/>
              </w:rPr>
            </w:pPr>
            <w:r>
              <w:rPr>
                <w:b/>
                <w:bCs/>
              </w:rPr>
              <w:t>(</w:t>
            </w:r>
            <w:r w:rsidR="001048C1" w:rsidRPr="00354932">
              <w:rPr>
                <w:b/>
                <w:bCs/>
              </w:rPr>
              <w:t>£</w:t>
            </w:r>
            <w:r>
              <w:rPr>
                <w:b/>
                <w:bCs/>
              </w:rPr>
              <w:t>51,9</w:t>
            </w:r>
            <w:r w:rsidR="00742B86">
              <w:rPr>
                <w:b/>
                <w:bCs/>
              </w:rPr>
              <w:t>80)</w:t>
            </w:r>
          </w:p>
        </w:tc>
      </w:tr>
    </w:tbl>
    <w:p w14:paraId="4E81AF1E" w14:textId="77777777" w:rsidR="00285A4B" w:rsidRDefault="00285A4B" w:rsidP="00285A4B">
      <w:pPr>
        <w:rPr>
          <w:lang w:val="en-US"/>
        </w:rPr>
      </w:pPr>
    </w:p>
    <w:p w14:paraId="44481136" w14:textId="4E452AA4" w:rsidR="00BF6559" w:rsidRDefault="00AE72C4" w:rsidP="00285A4B">
      <w:pPr>
        <w:rPr>
          <w:lang w:val="en-US"/>
        </w:rPr>
      </w:pPr>
      <w:r w:rsidRPr="00AE72C4">
        <w:rPr>
          <w:lang w:val="en-US"/>
        </w:rPr>
        <w:t>Hence, IRR is</w:t>
      </w:r>
      <w:r w:rsidR="00BF6559">
        <w:rPr>
          <w:lang w:val="en-US"/>
        </w:rPr>
        <w:t>:</w:t>
      </w:r>
      <w:r w:rsidRPr="00AE72C4">
        <w:rPr>
          <w:lang w:val="en-US"/>
        </w:rPr>
        <w:t xml:space="preserve"> </w:t>
      </w:r>
    </w:p>
    <w:p w14:paraId="0E76F69C" w14:textId="0377D14A" w:rsidR="00BF6559" w:rsidRDefault="00AE72C4" w:rsidP="00285A4B">
      <w:pPr>
        <w:rPr>
          <w:lang w:val="en-US"/>
        </w:rPr>
      </w:pPr>
      <w:r w:rsidRPr="00AE72C4">
        <w:rPr>
          <w:lang w:val="en-US"/>
        </w:rPr>
        <w:t>= 6% + [(792,228 / (792,228 – (-</w:t>
      </w:r>
      <w:r w:rsidR="00BF6559">
        <w:rPr>
          <w:lang w:val="en-US"/>
        </w:rPr>
        <w:t>51,980</w:t>
      </w:r>
      <w:r w:rsidRPr="00AE72C4">
        <w:rPr>
          <w:lang w:val="en-US"/>
        </w:rPr>
        <w:t>)] * (</w:t>
      </w:r>
      <w:r w:rsidR="00BF6559">
        <w:rPr>
          <w:lang w:val="en-US"/>
        </w:rPr>
        <w:t>35</w:t>
      </w:r>
      <w:r w:rsidRPr="00AE72C4">
        <w:rPr>
          <w:lang w:val="en-US"/>
        </w:rPr>
        <w:t xml:space="preserve">% - 6%) </w:t>
      </w:r>
    </w:p>
    <w:p w14:paraId="3DE0DB89" w14:textId="5B53ECD0" w:rsidR="00AE72C4" w:rsidRDefault="00AE72C4" w:rsidP="00285A4B">
      <w:pPr>
        <w:rPr>
          <w:b/>
          <w:bCs/>
          <w:lang w:val="en-US"/>
        </w:rPr>
      </w:pPr>
      <w:r w:rsidRPr="00AE72C4">
        <w:rPr>
          <w:lang w:val="en-US"/>
        </w:rPr>
        <w:t xml:space="preserve">= </w:t>
      </w:r>
      <w:r w:rsidRPr="00AE72C4">
        <w:rPr>
          <w:b/>
          <w:bCs/>
          <w:lang w:val="en-US"/>
        </w:rPr>
        <w:t>3</w:t>
      </w:r>
      <w:r w:rsidR="00BF6559">
        <w:rPr>
          <w:b/>
          <w:bCs/>
          <w:lang w:val="en-US"/>
        </w:rPr>
        <w:t>3.21%</w:t>
      </w:r>
    </w:p>
    <w:p w14:paraId="21DF1828" w14:textId="49C75C88" w:rsidR="00B46B87" w:rsidRDefault="00B46B87" w:rsidP="00285A4B">
      <w:pPr>
        <w:rPr>
          <w:lang w:val="en-US"/>
        </w:rPr>
      </w:pPr>
      <w:r>
        <w:rPr>
          <w:lang w:val="en-US"/>
        </w:rPr>
        <w:t>Thus, the internal rate of return of Option B is 33.21%</w:t>
      </w:r>
      <w:r w:rsidR="00D039AA">
        <w:rPr>
          <w:lang w:val="en-US"/>
        </w:rPr>
        <w:t xml:space="preserve"> and it is substantially higher than given cost of capital of 6%.</w:t>
      </w:r>
    </w:p>
    <w:p w14:paraId="00359D0F" w14:textId="77777777" w:rsidR="00285A4B" w:rsidRPr="00B46B87" w:rsidRDefault="00285A4B" w:rsidP="00285A4B">
      <w:pPr>
        <w:ind w:left="720"/>
        <w:rPr>
          <w:lang w:val="en-US"/>
        </w:rPr>
      </w:pPr>
    </w:p>
    <w:p w14:paraId="4BEB4127" w14:textId="071CA961" w:rsidR="00365854" w:rsidRPr="009712FB" w:rsidRDefault="00365854" w:rsidP="009712FB">
      <w:pPr>
        <w:pStyle w:val="Heading3"/>
        <w:numPr>
          <w:ilvl w:val="2"/>
          <w:numId w:val="2"/>
        </w:numPr>
        <w:rPr>
          <w:rFonts w:ascii="Times New Roman" w:hAnsi="Times New Roman" w:cs="Times New Roman"/>
          <w:b/>
          <w:bCs/>
          <w:sz w:val="24"/>
          <w:szCs w:val="32"/>
          <w:lang w:val="en-US"/>
        </w:rPr>
      </w:pPr>
      <w:bookmarkStart w:id="16" w:name="_Toc224919059"/>
      <w:r w:rsidRPr="009712FB">
        <w:rPr>
          <w:rFonts w:ascii="Times New Roman" w:hAnsi="Times New Roman" w:cs="Times New Roman"/>
          <w:b/>
          <w:bCs/>
          <w:sz w:val="24"/>
          <w:szCs w:val="32"/>
          <w:lang w:val="en-US"/>
        </w:rPr>
        <w:t>Interpretation of Results for Management</w:t>
      </w:r>
      <w:bookmarkEnd w:id="16"/>
    </w:p>
    <w:p w14:paraId="579D86F4" w14:textId="6D4B2423" w:rsidR="000052DC" w:rsidRPr="000052DC" w:rsidRDefault="000052DC" w:rsidP="00285A4B">
      <w:r w:rsidRPr="000052DC">
        <w:t>First off, as Option B has produced the highest NPV for the company's resources, it has the highest NPV of any other option. This indicates that Option B will have the most potential to increase the company's fortune. Once more, from the standpoint of internal rate of return, the computed 33.21% IRR is more than 27% more than the 6% cost of capital. Even if the projected cash flows continue to fall short of projections, the expected return from an IRR perspective is significantly higher than the cost of capital, which can serve as a sizable risk buffer for the business (Wang, 2021).</w:t>
      </w:r>
    </w:p>
    <w:p w14:paraId="46FA3B89" w14:textId="77777777" w:rsidR="000052DC" w:rsidRPr="000052DC" w:rsidRDefault="000052DC" w:rsidP="00285A4B">
      <w:r w:rsidRPr="000052DC">
        <w:t>Once more, this option will still be beneficial for Westward P.L.C. to proceed with even if the cash flows are not consistent by a significant margin. The NPV of 792,228 pounds indicates that this specific project will add around 79% of the initial capital outlay to the company's worth in proportion to the initial investment of 1 million pounds, making the venture very profitable (</w:t>
      </w:r>
      <w:proofErr w:type="spellStart"/>
      <w:r w:rsidRPr="000052DC">
        <w:t>Bosri</w:t>
      </w:r>
      <w:proofErr w:type="spellEnd"/>
      <w:r w:rsidRPr="000052DC">
        <w:t>, 2016).</w:t>
      </w:r>
    </w:p>
    <w:p w14:paraId="4E5E3B08" w14:textId="35E52803" w:rsidR="000052DC" w:rsidRPr="000052DC" w:rsidRDefault="000052DC" w:rsidP="00285A4B">
      <w:r w:rsidRPr="000052DC">
        <w:lastRenderedPageBreak/>
        <w:t>All things considered, the business might choose between the NPV and IRR methods since both have produced extremely beneficial outcomes. NPV is still a good alternative to rely on and make a wise investment selection to create the most wealth using the 1,000,000 pounds of investments, even though IRR has significant restrictions for its uses (Yan and Zhang, 2022).</w:t>
      </w:r>
    </w:p>
    <w:p w14:paraId="7382E9B9" w14:textId="679AF280" w:rsidR="00365854" w:rsidRPr="009712FB" w:rsidRDefault="00365854" w:rsidP="00285A4B">
      <w:pPr>
        <w:rPr>
          <w:rFonts w:cs="Times New Roman"/>
          <w:b/>
          <w:bCs/>
          <w:szCs w:val="32"/>
          <w:lang w:val="en-US"/>
        </w:rPr>
      </w:pPr>
      <w:r w:rsidRPr="009712FB">
        <w:rPr>
          <w:rFonts w:cs="Times New Roman"/>
          <w:b/>
          <w:bCs/>
          <w:szCs w:val="32"/>
          <w:lang w:val="en-US"/>
        </w:rPr>
        <w:t>Reasoning for Continued Popularity of Non-Discounting Methods</w:t>
      </w:r>
    </w:p>
    <w:p w14:paraId="1FD4FC99" w14:textId="77777777" w:rsidR="000052DC" w:rsidRPr="000052DC" w:rsidRDefault="000052DC" w:rsidP="00285A4B">
      <w:r w:rsidRPr="000052DC">
        <w:t xml:space="preserve">Non-discounting approaches are still quite popular for a few reasons, even though discounted appraisal techniques like NPV, IRR, and discounted payback periods are the most useful for every investor thinking about any kind of project. They are listed below. </w:t>
      </w:r>
      <w:r w:rsidRPr="000052DC">
        <w:br/>
        <w:t>The ease of use and comprehension of these techniques, which surpass investors' expectations, is one of the main causes. Since payback period, accounting rate of return, and other non-discounting methods are simple to compute and apply to projects, many managers continue to find them trustworthy when screening investment opportunities in their early stages because these methods and tools are typically simpler to use and convey to the relevant stakeholders (Harris and El-</w:t>
      </w:r>
      <w:proofErr w:type="spellStart"/>
      <w:r w:rsidRPr="000052DC">
        <w:t>Massri</w:t>
      </w:r>
      <w:proofErr w:type="spellEnd"/>
      <w:r w:rsidRPr="000052DC">
        <w:t>, 2011).</w:t>
      </w:r>
    </w:p>
    <w:p w14:paraId="1190930D" w14:textId="77777777" w:rsidR="000052DC" w:rsidRPr="000052DC" w:rsidRDefault="000052DC" w:rsidP="00285A4B">
      <w:r w:rsidRPr="000052DC">
        <w:t>Second, even though NPV and IRR are reliable assessment techniques, they don't show how long it will take to recover the initial capital. Therefore, depending only on discounting techniques can make managing liquidity risk extremely challenging (</w:t>
      </w:r>
      <w:proofErr w:type="spellStart"/>
      <w:r w:rsidRPr="000052DC">
        <w:t>Lanjewar</w:t>
      </w:r>
      <w:proofErr w:type="spellEnd"/>
      <w:r w:rsidRPr="000052DC">
        <w:t xml:space="preserve"> and Bansal, 2021). Because of their accessibility and capacity to convert project feasibility into the amount of time needed to recoup initial inputs, non-discounting techniques like payback period continue to be widely used.</w:t>
      </w:r>
    </w:p>
    <w:p w14:paraId="24648E04" w14:textId="68B1EA72" w:rsidR="000052DC" w:rsidRDefault="000052DC" w:rsidP="00285A4B">
      <w:r w:rsidRPr="000052DC">
        <w:t>Finally, sophisticated assumptions are not needed to make an investment decision when using non-discounting procedures. This is due to the fact that discounted approaches, like NPV and IRR, involve assumptions in the decision-making process and make it more difficult to arrive at a wise choice. Because of this, investors primarily rely on the non-discounting methods to screen and eliminate unsuitable and irrelevant proposals before using the discounted methods to determine a project's eventual viability.</w:t>
      </w:r>
    </w:p>
    <w:p w14:paraId="0C7C0E67" w14:textId="77777777" w:rsidR="00285A4B" w:rsidRPr="000052DC" w:rsidRDefault="00285A4B" w:rsidP="00285A4B"/>
    <w:p w14:paraId="3781A5B6" w14:textId="463716E7" w:rsidR="00365854" w:rsidRPr="00810F31" w:rsidRDefault="00365854" w:rsidP="00810F31">
      <w:pPr>
        <w:pStyle w:val="Heading3"/>
        <w:numPr>
          <w:ilvl w:val="2"/>
          <w:numId w:val="2"/>
        </w:numPr>
        <w:rPr>
          <w:rFonts w:ascii="Times New Roman" w:hAnsi="Times New Roman" w:cs="Times New Roman"/>
          <w:b/>
          <w:bCs/>
          <w:sz w:val="24"/>
          <w:szCs w:val="32"/>
        </w:rPr>
      </w:pPr>
      <w:bookmarkStart w:id="17" w:name="_Toc224919060"/>
      <w:r w:rsidRPr="00810F31">
        <w:rPr>
          <w:rFonts w:ascii="Times New Roman" w:hAnsi="Times New Roman" w:cs="Times New Roman"/>
          <w:b/>
          <w:bCs/>
          <w:sz w:val="24"/>
          <w:szCs w:val="32"/>
        </w:rPr>
        <w:t>Additional Factors to Consider for Investment Decisions</w:t>
      </w:r>
      <w:bookmarkEnd w:id="17"/>
    </w:p>
    <w:p w14:paraId="5E0DABBD" w14:textId="0D033A3C" w:rsidR="000B51F7" w:rsidRPr="00CF457B" w:rsidRDefault="00CF457B" w:rsidP="00285A4B">
      <w:r w:rsidRPr="00CF457B">
        <w:t xml:space="preserve">Making wise choices and allocating resources to the best mix of risk and reward are crucial since investment decisions can have a substantial impact on a company's operational sustainability. For this reason, it is essential to take other considerations into account while </w:t>
      </w:r>
      <w:r w:rsidRPr="00CF457B">
        <w:lastRenderedPageBreak/>
        <w:t xml:space="preserve">making investing selections. The following are these extra considerations. </w:t>
      </w:r>
      <w:r w:rsidRPr="00CF457B">
        <w:br/>
        <w:t>Assessing the strategic alignment of projects with the company's competitive posture is one of the most crucial aspects of investment decisions, since poor decisions may result in the projects' long-term unsustainability (</w:t>
      </w:r>
      <w:proofErr w:type="spellStart"/>
      <w:r w:rsidRPr="00CF457B">
        <w:t>Jagongo</w:t>
      </w:r>
      <w:proofErr w:type="spellEnd"/>
      <w:r w:rsidRPr="00CF457B">
        <w:t xml:space="preserve"> and </w:t>
      </w:r>
      <w:proofErr w:type="spellStart"/>
      <w:r w:rsidRPr="00CF457B">
        <w:t>Mutswenje</w:t>
      </w:r>
      <w:proofErr w:type="spellEnd"/>
      <w:r w:rsidRPr="00CF457B">
        <w:t xml:space="preserve">, 2014). For example, Tesla's utilization of </w:t>
      </w:r>
      <w:proofErr w:type="spellStart"/>
      <w:r w:rsidRPr="00CF457B">
        <w:t>Gigafactories</w:t>
      </w:r>
      <w:proofErr w:type="spellEnd"/>
      <w:r w:rsidRPr="00CF457B">
        <w:t xml:space="preserve"> is supported by the company's capacity to vertically integrate its operations. Therefore, even though the underlying risks are significant, investment in such projects remains strategically aligned</w:t>
      </w:r>
      <w:r>
        <w:t xml:space="preserve"> with </w:t>
      </w:r>
      <w:r w:rsidR="004F1C1F">
        <w:rPr>
          <w:lang w:val="en-US"/>
        </w:rPr>
        <w:t>the capital requirement.</w:t>
      </w:r>
    </w:p>
    <w:p w14:paraId="03490A2D" w14:textId="0E4149FB" w:rsidR="005B6D82" w:rsidRDefault="00FC6F40" w:rsidP="00285A4B">
      <w:r w:rsidRPr="00FC6F40">
        <w:t xml:space="preserve">Lack of flexibility can cost thousands or millions of pounds if projects cannot be expanded, abandoned, delayed, or modified, which is why having options is becoming more and more crucial (Abdul Kareem et al., 2023). In this sense, the significance of these adaptabilities is demonstrated by Amazon's </w:t>
      </w:r>
      <w:proofErr w:type="spellStart"/>
      <w:r w:rsidRPr="00FC6F40">
        <w:t>fulfillment</w:t>
      </w:r>
      <w:proofErr w:type="spellEnd"/>
      <w:r w:rsidRPr="00FC6F40">
        <w:t xml:space="preserve"> network expansion effort. </w:t>
      </w:r>
      <w:r w:rsidRPr="00FC6F40">
        <w:br/>
        <w:t>Overall, these qualitative considerations show that the project with the highest NPV may not be chosen just because of its lucrativeness due to higher profitability and rather strategic fit, flexibility and acceptable risk levels may be considered before committing to an investment project (</w:t>
      </w:r>
      <w:proofErr w:type="spellStart"/>
      <w:r w:rsidRPr="00FC6F40">
        <w:t>Poggensee</w:t>
      </w:r>
      <w:proofErr w:type="spellEnd"/>
      <w:r w:rsidRPr="00FC6F40">
        <w:t xml:space="preserve"> and </w:t>
      </w:r>
      <w:proofErr w:type="spellStart"/>
      <w:r w:rsidRPr="00FC6F40">
        <w:t>Poggensee</w:t>
      </w:r>
      <w:proofErr w:type="spellEnd"/>
      <w:r w:rsidRPr="00FC6F40">
        <w:t>, 2021).</w:t>
      </w:r>
    </w:p>
    <w:p w14:paraId="79BFDD60" w14:textId="77777777" w:rsidR="00285A4B" w:rsidRPr="00FC6F40" w:rsidRDefault="00285A4B" w:rsidP="00285A4B"/>
    <w:p w14:paraId="6713F131" w14:textId="1DCF48A0" w:rsidR="00365854" w:rsidRPr="00810F31" w:rsidRDefault="00365854" w:rsidP="00810F31">
      <w:pPr>
        <w:pStyle w:val="Heading3"/>
        <w:numPr>
          <w:ilvl w:val="2"/>
          <w:numId w:val="2"/>
        </w:numPr>
        <w:rPr>
          <w:rFonts w:ascii="Times New Roman" w:hAnsi="Times New Roman" w:cs="Times New Roman"/>
          <w:b/>
          <w:bCs/>
          <w:sz w:val="24"/>
          <w:szCs w:val="32"/>
        </w:rPr>
      </w:pPr>
      <w:bookmarkStart w:id="18" w:name="_Toc224919061"/>
      <w:r w:rsidRPr="00810F31">
        <w:rPr>
          <w:rFonts w:ascii="Times New Roman" w:hAnsi="Times New Roman" w:cs="Times New Roman"/>
          <w:b/>
          <w:bCs/>
          <w:sz w:val="24"/>
          <w:szCs w:val="32"/>
        </w:rPr>
        <w:t>Capital Rationing Analysis</w:t>
      </w:r>
      <w:bookmarkEnd w:id="18"/>
    </w:p>
    <w:p w14:paraId="6B660FAA" w14:textId="2FA42144" w:rsidR="00FC6F40" w:rsidRPr="00FC6F40" w:rsidRDefault="00FC6F40" w:rsidP="00285A4B">
      <w:r w:rsidRPr="00FC6F40">
        <w:t>The practice of allocating resources to the best initiatives when a business has a lot of projects to invest in but lacks the funds to do so is known as capital rationing. In this sense, capital rationing is carried out using the profitability index of all accessible projects, wherein the risk-to-reward principle is used to evaluate the projects to which investments are allocated (</w:t>
      </w:r>
      <w:proofErr w:type="spellStart"/>
      <w:r w:rsidRPr="00FC6F40">
        <w:t>Brüggen</w:t>
      </w:r>
      <w:proofErr w:type="spellEnd"/>
      <w:r w:rsidRPr="00FC6F40">
        <w:t xml:space="preserve"> and </w:t>
      </w:r>
      <w:proofErr w:type="spellStart"/>
      <w:r w:rsidRPr="00FC6F40">
        <w:t>Luft</w:t>
      </w:r>
      <w:proofErr w:type="spellEnd"/>
      <w:r w:rsidRPr="00FC6F40">
        <w:t>, 2011). To help Westward P.L.C. decide, the profitability index of the three options is computed below.</w:t>
      </w:r>
    </w:p>
    <w:p w14:paraId="52224E17" w14:textId="0B35B3C1" w:rsidR="003A5340" w:rsidRDefault="003A5340" w:rsidP="00285A4B">
      <w:pPr>
        <w:rPr>
          <w:lang w:val="en-US"/>
        </w:rPr>
      </w:pPr>
      <w:r>
        <w:rPr>
          <w:b/>
          <w:bCs/>
          <w:lang w:val="en-US"/>
        </w:rPr>
        <w:t xml:space="preserve">Option A: </w:t>
      </w:r>
      <w:r w:rsidR="00B22808">
        <w:rPr>
          <w:lang w:val="en-US"/>
        </w:rPr>
        <w:t>(1</w:t>
      </w:r>
      <w:r w:rsidR="00D81F44">
        <w:rPr>
          <w:lang w:val="en-US"/>
        </w:rPr>
        <w:t>,</w:t>
      </w:r>
      <w:r w:rsidR="00B22808">
        <w:rPr>
          <w:lang w:val="en-US"/>
        </w:rPr>
        <w:t>243</w:t>
      </w:r>
      <w:r w:rsidR="00D81F44">
        <w:rPr>
          <w:lang w:val="en-US"/>
        </w:rPr>
        <w:t>,</w:t>
      </w:r>
      <w:r w:rsidR="00B22808">
        <w:rPr>
          <w:lang w:val="en-US"/>
        </w:rPr>
        <w:t>170 / 600,000) = 2.07</w:t>
      </w:r>
    </w:p>
    <w:p w14:paraId="3B97172C" w14:textId="201A8D7B" w:rsidR="003A5340" w:rsidRPr="003A5340" w:rsidRDefault="003A5340" w:rsidP="00285A4B">
      <w:pPr>
        <w:rPr>
          <w:lang w:val="en-US"/>
        </w:rPr>
      </w:pPr>
      <w:r>
        <w:rPr>
          <w:b/>
          <w:bCs/>
          <w:lang w:val="en-US"/>
        </w:rPr>
        <w:t xml:space="preserve">Option B: </w:t>
      </w:r>
      <w:r w:rsidR="00B22808">
        <w:rPr>
          <w:lang w:val="en-US"/>
        </w:rPr>
        <w:t>(1,792,230 / 1,000,000) = 1.79</w:t>
      </w:r>
    </w:p>
    <w:p w14:paraId="08A84E36" w14:textId="31B88BA4" w:rsidR="003A5340" w:rsidRPr="003A5340" w:rsidRDefault="003A5340" w:rsidP="00285A4B">
      <w:pPr>
        <w:rPr>
          <w:lang w:val="en-US"/>
        </w:rPr>
      </w:pPr>
      <w:r>
        <w:rPr>
          <w:b/>
          <w:bCs/>
          <w:lang w:val="en-US"/>
        </w:rPr>
        <w:t xml:space="preserve">Option C: </w:t>
      </w:r>
      <w:r w:rsidR="00B22808">
        <w:rPr>
          <w:lang w:val="en-US"/>
        </w:rPr>
        <w:t>(2,342,480 / 1,600,000) = 1.46</w:t>
      </w:r>
    </w:p>
    <w:p w14:paraId="5711BD4F" w14:textId="79703B4D" w:rsidR="00FC6F40" w:rsidRPr="00FC6F40" w:rsidRDefault="00FC6F40" w:rsidP="00285A4B">
      <w:r w:rsidRPr="00FC6F40">
        <w:t>Although the three projects are technically listed as mutually exclusive in the brief, it is assumed that they are divisible in order to show how a company can divide a limited budget among several projects because the available budget is too large for any of the projects (</w:t>
      </w:r>
      <w:proofErr w:type="spellStart"/>
      <w:r w:rsidRPr="00FC6F40">
        <w:t>Brüggen</w:t>
      </w:r>
      <w:proofErr w:type="spellEnd"/>
      <w:r w:rsidRPr="00FC6F40">
        <w:t xml:space="preserve"> and </w:t>
      </w:r>
      <w:proofErr w:type="spellStart"/>
      <w:r w:rsidRPr="00FC6F40">
        <w:t>Luft</w:t>
      </w:r>
      <w:proofErr w:type="spellEnd"/>
      <w:r w:rsidRPr="00FC6F40">
        <w:t>, 2011). The corporation should allocate funds in accordance with the profitability index and the 2,500,000 pounds budget.</w:t>
      </w:r>
    </w:p>
    <w:p w14:paraId="3F8053B2" w14:textId="5417327E" w:rsidR="006A325B" w:rsidRDefault="006A325B" w:rsidP="00285A4B">
      <w:pPr>
        <w:pStyle w:val="ListParagraph"/>
        <w:numPr>
          <w:ilvl w:val="0"/>
          <w:numId w:val="6"/>
        </w:numPr>
        <w:ind w:left="360"/>
        <w:rPr>
          <w:b/>
          <w:bCs/>
          <w:lang w:val="en-US"/>
        </w:rPr>
      </w:pPr>
      <w:r w:rsidRPr="006A325B">
        <w:rPr>
          <w:b/>
          <w:bCs/>
          <w:lang w:val="en-US"/>
        </w:rPr>
        <w:lastRenderedPageBreak/>
        <w:t>Invest 100% in Option A</w:t>
      </w:r>
    </w:p>
    <w:p w14:paraId="30DF27E0" w14:textId="1025C530" w:rsidR="006A325B" w:rsidRPr="006A325B" w:rsidRDefault="006A325B" w:rsidP="00285A4B">
      <w:pPr>
        <w:pStyle w:val="ListParagraph"/>
        <w:numPr>
          <w:ilvl w:val="1"/>
          <w:numId w:val="5"/>
        </w:numPr>
        <w:ind w:left="720"/>
        <w:rPr>
          <w:b/>
          <w:bCs/>
          <w:lang w:val="en-US"/>
        </w:rPr>
      </w:pPr>
      <w:r>
        <w:rPr>
          <w:lang w:val="en-US"/>
        </w:rPr>
        <w:t>This leaves the company with 1,900,000 Pounds of budget.</w:t>
      </w:r>
    </w:p>
    <w:p w14:paraId="663DD374" w14:textId="104F0122" w:rsidR="006A325B" w:rsidRDefault="006A325B" w:rsidP="00285A4B">
      <w:pPr>
        <w:pStyle w:val="ListParagraph"/>
        <w:numPr>
          <w:ilvl w:val="0"/>
          <w:numId w:val="6"/>
        </w:numPr>
        <w:ind w:left="360"/>
        <w:rPr>
          <w:b/>
          <w:bCs/>
          <w:lang w:val="en-US"/>
        </w:rPr>
      </w:pPr>
      <w:r>
        <w:rPr>
          <w:b/>
          <w:bCs/>
          <w:lang w:val="en-US"/>
        </w:rPr>
        <w:t>Invest 100% in Option B</w:t>
      </w:r>
    </w:p>
    <w:p w14:paraId="6F85AD3F" w14:textId="7E13D497" w:rsidR="006A325B" w:rsidRPr="006A325B" w:rsidRDefault="006A325B" w:rsidP="00285A4B">
      <w:pPr>
        <w:pStyle w:val="ListParagraph"/>
        <w:numPr>
          <w:ilvl w:val="0"/>
          <w:numId w:val="5"/>
        </w:numPr>
        <w:ind w:left="720"/>
        <w:rPr>
          <w:b/>
          <w:bCs/>
          <w:lang w:val="en-US"/>
        </w:rPr>
      </w:pPr>
      <w:r>
        <w:rPr>
          <w:lang w:val="en-US"/>
        </w:rPr>
        <w:t>This leaves the company with 900,000 Pounds of budget.</w:t>
      </w:r>
    </w:p>
    <w:p w14:paraId="778F8768" w14:textId="2A043790" w:rsidR="006A325B" w:rsidRDefault="006A325B" w:rsidP="00285A4B">
      <w:pPr>
        <w:pStyle w:val="ListParagraph"/>
        <w:numPr>
          <w:ilvl w:val="0"/>
          <w:numId w:val="6"/>
        </w:numPr>
        <w:ind w:left="360"/>
        <w:rPr>
          <w:b/>
          <w:bCs/>
          <w:lang w:val="en-US"/>
        </w:rPr>
      </w:pPr>
      <w:r>
        <w:rPr>
          <w:b/>
          <w:bCs/>
          <w:lang w:val="en-US"/>
        </w:rPr>
        <w:t>Invest 56.25% in Option C</w:t>
      </w:r>
    </w:p>
    <w:p w14:paraId="0AB143C9" w14:textId="396C5091" w:rsidR="009736F1" w:rsidRPr="009736F1" w:rsidRDefault="006A325B" w:rsidP="00285A4B">
      <w:pPr>
        <w:pStyle w:val="ListParagraph"/>
        <w:numPr>
          <w:ilvl w:val="0"/>
          <w:numId w:val="5"/>
        </w:numPr>
        <w:ind w:left="720"/>
        <w:rPr>
          <w:b/>
          <w:bCs/>
          <w:lang w:val="en-US"/>
        </w:rPr>
      </w:pPr>
      <w:r>
        <w:rPr>
          <w:lang w:val="en-US"/>
        </w:rPr>
        <w:t xml:space="preserve">This leaves the company with no budget at all, but invests all of the company’s budget based on </w:t>
      </w:r>
      <w:r w:rsidR="006C7633">
        <w:rPr>
          <w:lang w:val="en-US"/>
        </w:rPr>
        <w:t xml:space="preserve">the </w:t>
      </w:r>
      <w:r>
        <w:rPr>
          <w:lang w:val="en-US"/>
        </w:rPr>
        <w:t>profitability of the projects.</w:t>
      </w:r>
    </w:p>
    <w:p w14:paraId="0FB3CE56" w14:textId="32A7FA23" w:rsidR="006A325B" w:rsidRDefault="009736F1" w:rsidP="00285A4B">
      <w:pPr>
        <w:rPr>
          <w:lang w:val="en-US"/>
        </w:rPr>
      </w:pPr>
      <w:r>
        <w:rPr>
          <w:lang w:val="en-US"/>
        </w:rPr>
        <w:t xml:space="preserve">Based on the above allocation, Westward </w:t>
      </w:r>
      <w:r w:rsidR="00CB2CC3">
        <w:rPr>
          <w:lang w:val="en-US"/>
        </w:rPr>
        <w:t>P.L.C.</w:t>
      </w:r>
      <w:r>
        <w:rPr>
          <w:lang w:val="en-US"/>
        </w:rPr>
        <w:t xml:space="preserve"> can expect to achieve a profitability of (643,170 + 792,230 + 417,645) = 1,853,045 Pounds on an investment of 2,500,000 Pounds.</w:t>
      </w:r>
      <w:r w:rsidR="006A325B" w:rsidRPr="009736F1">
        <w:rPr>
          <w:lang w:val="en-US"/>
        </w:rPr>
        <w:t xml:space="preserve"> </w:t>
      </w:r>
    </w:p>
    <w:p w14:paraId="46EC961A" w14:textId="3B86196E" w:rsidR="00375D96" w:rsidRDefault="00375D96" w:rsidP="00285A4B">
      <w:pPr>
        <w:rPr>
          <w:lang w:val="en-US"/>
        </w:rPr>
      </w:pPr>
      <w:r>
        <w:rPr>
          <w:lang w:val="en-US"/>
        </w:rPr>
        <w:t>However, if the original assumption of the projects being mutually exclusive stands at 6% cost of capital, then Option B still remains to be the preferred single project due to its higher net present value.</w:t>
      </w:r>
    </w:p>
    <w:p w14:paraId="228A566A" w14:textId="77777777" w:rsidR="00285A4B" w:rsidRPr="009736F1" w:rsidRDefault="00285A4B" w:rsidP="00285A4B">
      <w:pPr>
        <w:rPr>
          <w:b/>
          <w:bCs/>
          <w:lang w:val="en-US"/>
        </w:rPr>
      </w:pPr>
    </w:p>
    <w:p w14:paraId="7019430D" w14:textId="26CBE3E0" w:rsidR="00365854" w:rsidRPr="00810F31" w:rsidRDefault="00365854" w:rsidP="00285A4B">
      <w:pPr>
        <w:pStyle w:val="Heading3"/>
        <w:numPr>
          <w:ilvl w:val="2"/>
          <w:numId w:val="6"/>
        </w:numPr>
        <w:ind w:left="720"/>
        <w:rPr>
          <w:rFonts w:ascii="Times New Roman" w:hAnsi="Times New Roman" w:cs="Times New Roman"/>
          <w:b/>
          <w:bCs/>
          <w:sz w:val="24"/>
          <w:szCs w:val="32"/>
        </w:rPr>
      </w:pPr>
      <w:bookmarkStart w:id="19" w:name="_Toc224919062"/>
      <w:r w:rsidRPr="00810F31">
        <w:rPr>
          <w:rFonts w:ascii="Times New Roman" w:hAnsi="Times New Roman" w:cs="Times New Roman"/>
          <w:b/>
          <w:bCs/>
          <w:sz w:val="24"/>
          <w:szCs w:val="32"/>
        </w:rPr>
        <w:t>Sources of Finances for Investment Program</w:t>
      </w:r>
      <w:bookmarkEnd w:id="19"/>
    </w:p>
    <w:p w14:paraId="1CB45D63" w14:textId="77777777" w:rsidR="00285A4B" w:rsidRDefault="00AE10BF" w:rsidP="00285A4B">
      <w:r w:rsidRPr="00AE10BF">
        <w:t xml:space="preserve">Westward P.L.C. has a number of possibilities for obtaining funding to support the investment program. These sources include debt financing, such as bank loans, and equity financing, such as retained earnings and the issuance of additional shares. Now, each of these choices has pros and cons of its own. Below is a summary of them. </w:t>
      </w:r>
    </w:p>
    <w:p w14:paraId="25BB2CD6" w14:textId="4E6F50B7" w:rsidR="00AE10BF" w:rsidRPr="00AE10BF" w:rsidRDefault="00AE10BF" w:rsidP="00285A4B">
      <w:r w:rsidRPr="00AE10BF">
        <w:rPr>
          <w:b/>
          <w:bCs/>
        </w:rPr>
        <w:t>Retained Earnings:</w:t>
      </w:r>
      <w:r w:rsidRPr="00AE10BF">
        <w:t xml:space="preserve"> These are an organization's total profits that can be used to finance upcoming initiatives. These days, this is one of the easiest ways for a business to get money. The flexibility to employ easily accessible assets immediately and the absence of expenses like marketing fees, underwriting, etc. are the primary benefits in this case.</w:t>
      </w:r>
    </w:p>
    <w:p w14:paraId="277EE2C2" w14:textId="77777777" w:rsidR="00AE10BF" w:rsidRPr="00AE10BF" w:rsidRDefault="00AE10BF" w:rsidP="00285A4B">
      <w:r w:rsidRPr="00AE10BF">
        <w:t>But it has its own of problems. Among these difficulties is the restricted supply of these finances, which prevents the business from taking on large-scale initiatives. Retained earnings, however, are limited, and if a company withholds a sizable portion of profits without providing a convincing explanation, shareholders may become unhappy, which could have an effect on the share price (Harris and El-</w:t>
      </w:r>
      <w:proofErr w:type="spellStart"/>
      <w:r w:rsidRPr="00AE10BF">
        <w:t>Massri</w:t>
      </w:r>
      <w:proofErr w:type="spellEnd"/>
      <w:r w:rsidRPr="00AE10BF">
        <w:t>, 2011).</w:t>
      </w:r>
    </w:p>
    <w:p w14:paraId="52C93A53" w14:textId="2B2F66D8" w:rsidR="00B91167" w:rsidRPr="00AE10BF" w:rsidRDefault="00AE10BF" w:rsidP="00285A4B">
      <w:r w:rsidRPr="00AE10BF">
        <w:rPr>
          <w:b/>
          <w:bCs/>
          <w:lang w:val="en-US"/>
        </w:rPr>
        <w:t xml:space="preserve">New Share Issuance: </w:t>
      </w:r>
      <w:r w:rsidRPr="00AE10BF">
        <w:rPr>
          <w:lang w:val="en-US"/>
        </w:rPr>
        <w:t xml:space="preserve">PLCs frequently utilize this method to raise additional capital for a business by issuing newer shares to the general public. The company's ability to spend cash for as long as it works without having to repay it is one of its main advantages. Additionally, since firms are not required to pay dividends like they are interest payments, there is still freedom in </w:t>
      </w:r>
      <w:r w:rsidRPr="00AE10BF">
        <w:rPr>
          <w:lang w:val="en-US"/>
        </w:rPr>
        <w:lastRenderedPageBreak/>
        <w:t>dividend payments. However, there are other difficulties. One of them is the dilution of current shareholders' ownership in the event that the business issues additional shares, which results in a dilution of both ownership and control.</w:t>
      </w:r>
      <w:r>
        <w:rPr>
          <w:b/>
          <w:bCs/>
          <w:lang w:val="en-US"/>
        </w:rPr>
        <w:t xml:space="preserve"> </w:t>
      </w:r>
      <w:r w:rsidRPr="00AE10BF">
        <w:t>Additionally, a variety of expenses are involved, including floating charges like underwriting, marketing, and professional fees. Once more, the public must be made aware of the issuing of new shares, even though shareholders may disagree with this (Preferred CFO, 2024).</w:t>
      </w:r>
    </w:p>
    <w:p w14:paraId="4E22877C" w14:textId="1F786DB3" w:rsidR="00B91167" w:rsidRDefault="00F302C7" w:rsidP="00285A4B">
      <w:pPr>
        <w:rPr>
          <w:lang w:val="en-US"/>
        </w:rPr>
      </w:pPr>
      <w:r>
        <w:rPr>
          <w:b/>
          <w:bCs/>
          <w:lang w:val="en-US"/>
        </w:rPr>
        <w:t>Bank Loans</w:t>
      </w:r>
      <w:r w:rsidR="00B91167">
        <w:rPr>
          <w:b/>
          <w:bCs/>
          <w:lang w:val="en-US"/>
        </w:rPr>
        <w:t>:</w:t>
      </w:r>
      <w:r w:rsidR="00B91167">
        <w:rPr>
          <w:lang w:val="en-US"/>
        </w:rPr>
        <w:t xml:space="preserve"> </w:t>
      </w:r>
      <w:r w:rsidR="00AE10BF" w:rsidRPr="00AE10BF">
        <w:t xml:space="preserve">Bank Loans: One of the easiest ways for a business to obtain outside funding is by taking out a loan from a financial institution that covers the project's funding needs. The main benefit of borrowing money is that it gives the business access to a substantial amount of capital by spreading out the lenders from which it obtains loans. Additionally, the corporation can efficiently arrange and pay the principal and interest amounts because each loan has a time limit. Once more, tax shielding for interests </w:t>
      </w:r>
      <w:r w:rsidR="00021CDD" w:rsidRPr="00AE10BF">
        <w:t>lowers</w:t>
      </w:r>
      <w:r w:rsidR="00AE10BF" w:rsidRPr="00AE10BF">
        <w:t xml:space="preserve"> the total cost of financing (Settle, 2024).</w:t>
      </w:r>
      <w:r w:rsidR="00021CDD">
        <w:t xml:space="preserve"> </w:t>
      </w:r>
      <w:r w:rsidR="0032718D">
        <w:rPr>
          <w:lang w:val="en-US"/>
        </w:rPr>
        <w:t xml:space="preserve">However, the major challenge of using such debt sources is that the company runs into financial risks if </w:t>
      </w:r>
      <w:r w:rsidR="006C7633">
        <w:rPr>
          <w:lang w:val="en-US"/>
        </w:rPr>
        <w:t>it</w:t>
      </w:r>
      <w:r w:rsidR="0032718D">
        <w:rPr>
          <w:lang w:val="en-US"/>
        </w:rPr>
        <w:t xml:space="preserve"> is not able to pay the principal and interest amount back to the lender. </w:t>
      </w:r>
      <w:r w:rsidR="003567BA">
        <w:rPr>
          <w:lang w:val="en-US"/>
        </w:rPr>
        <w:t>In addition, the arrangement of bank loans can involve different fees including arrangement and legal fees which can also contribute to the cost of capital of borrowing from a bank (Carmichael, 2011).</w:t>
      </w:r>
    </w:p>
    <w:p w14:paraId="6A15311C" w14:textId="77777777" w:rsidR="00285A4B" w:rsidRPr="00AE10BF" w:rsidRDefault="00285A4B" w:rsidP="00285A4B"/>
    <w:p w14:paraId="6A14A39C" w14:textId="77777777" w:rsidR="00810F31" w:rsidRDefault="00810F31">
      <w:pPr>
        <w:jc w:val="left"/>
        <w:rPr>
          <w:rFonts w:eastAsiaTheme="majorEastAsia" w:cstheme="majorBidi"/>
          <w:b/>
          <w:color w:val="2F5496" w:themeColor="accent1" w:themeShade="BF"/>
          <w:sz w:val="32"/>
          <w:szCs w:val="50"/>
          <w:lang w:val="en-US"/>
        </w:rPr>
      </w:pPr>
      <w:r>
        <w:rPr>
          <w:lang w:val="en-US"/>
        </w:rPr>
        <w:br w:type="page"/>
      </w:r>
    </w:p>
    <w:p w14:paraId="06F28D1E" w14:textId="4760DD3F" w:rsidR="00FE4C0C" w:rsidRDefault="00691209" w:rsidP="00285A4B">
      <w:pPr>
        <w:pStyle w:val="Heading1"/>
        <w:rPr>
          <w:lang w:val="en-US"/>
        </w:rPr>
      </w:pPr>
      <w:bookmarkStart w:id="20" w:name="_Toc224919063"/>
      <w:r>
        <w:rPr>
          <w:lang w:val="en-US"/>
        </w:rPr>
        <w:lastRenderedPageBreak/>
        <w:t>Conclusion</w:t>
      </w:r>
      <w:bookmarkEnd w:id="20"/>
    </w:p>
    <w:p w14:paraId="322C6475" w14:textId="4A09EB25" w:rsidR="00FE21DB" w:rsidRDefault="00CD7C71" w:rsidP="00CD7C71">
      <w:pPr>
        <w:spacing w:after="0"/>
      </w:pPr>
      <w:r w:rsidRPr="00CD7C71">
        <w:rPr>
          <w:rFonts w:eastAsia="Times New Roman" w:cs="Times New Roman"/>
          <w:kern w:val="0"/>
          <w:szCs w:val="24"/>
          <w:lang w:eastAsia="en-GB"/>
          <w14:ligatures w14:val="none"/>
        </w:rPr>
        <w:t>The significance of conducting systematic performance review and capital allocation techniques has been emphasized in this thorough financial study. For example, an analysis of BP P.L.C.'s financial ratios revealed that the company is experiencing operational underperformance due to a sharp decline in profitability. Everything is experiencing a major decline, including return on equity and net profitability. These downturns have not, however, occurred overnight. Instead, as operational performance and profitability have decreased, these downturns have resulted from the company's accumulated suffering. Once more, it goes beyond the company's profits. Instead, other ratios like gearing and leverage have also demonstrated deteriorating performance. Westward P.L.C.'s investment appraisal is included in section two</w:t>
      </w:r>
      <w:r>
        <w:rPr>
          <w:rFonts w:eastAsia="Times New Roman" w:cs="Times New Roman"/>
          <w:kern w:val="0"/>
          <w:szCs w:val="24"/>
          <w:lang w:eastAsia="en-GB"/>
          <w14:ligatures w14:val="none"/>
        </w:rPr>
        <w:t xml:space="preserve"> </w:t>
      </w:r>
      <w:r w:rsidRPr="00CD7C71">
        <w:t>has emphasized the significance of conducting investment appraisals and provided theoretical support for the widespread use of non-discounting techniques. Furthermore, capital rationing has received a lot of attention, demonstrating how Westward P.L.C. may optimize its resources for maximum performance. Finally, this paper has emphasized two of the many imperatives of financial management. This research has conducted significant analysis and theoretical basis to get at the results, from predicting value for Westward P.L.C. for future investment ideas to evaluating historical performance for BP P.L.C. utilizing ratio analysis.</w:t>
      </w:r>
    </w:p>
    <w:p w14:paraId="798EBA76" w14:textId="739440C4" w:rsidR="00285A4B" w:rsidRDefault="00285A4B" w:rsidP="00CD7C71">
      <w:pPr>
        <w:spacing w:after="0"/>
      </w:pPr>
    </w:p>
    <w:p w14:paraId="1985A1CE" w14:textId="369D2664" w:rsidR="00285A4B" w:rsidRDefault="00285A4B" w:rsidP="00CD7C71">
      <w:pPr>
        <w:spacing w:after="0"/>
      </w:pPr>
    </w:p>
    <w:p w14:paraId="45D699E7" w14:textId="54DB0902" w:rsidR="00285A4B" w:rsidRDefault="00285A4B" w:rsidP="00CD7C71">
      <w:pPr>
        <w:spacing w:after="0"/>
      </w:pPr>
    </w:p>
    <w:p w14:paraId="71F5869D" w14:textId="0FE41991" w:rsidR="00285A4B" w:rsidRDefault="00285A4B">
      <w:pPr>
        <w:spacing w:line="278" w:lineRule="auto"/>
        <w:jc w:val="left"/>
        <w:rPr>
          <w:rFonts w:eastAsia="Times New Roman" w:cs="Times New Roman"/>
          <w:kern w:val="0"/>
          <w:szCs w:val="24"/>
          <w:lang w:eastAsia="en-GB"/>
          <w14:ligatures w14:val="none"/>
        </w:rPr>
      </w:pPr>
      <w:r>
        <w:rPr>
          <w:rFonts w:eastAsia="Times New Roman" w:cs="Times New Roman"/>
          <w:kern w:val="0"/>
          <w:szCs w:val="24"/>
          <w:lang w:eastAsia="en-GB"/>
          <w14:ligatures w14:val="none"/>
        </w:rPr>
        <w:br w:type="page"/>
      </w:r>
    </w:p>
    <w:p w14:paraId="3CB578BD" w14:textId="7CD49346" w:rsidR="00285A4B" w:rsidRDefault="00285A4B" w:rsidP="00285A4B">
      <w:pPr>
        <w:pStyle w:val="Heading1"/>
        <w:numPr>
          <w:ilvl w:val="0"/>
          <w:numId w:val="0"/>
        </w:numPr>
        <w:ind w:left="360"/>
        <w:rPr>
          <w:rFonts w:eastAsia="Times New Roman"/>
          <w:lang w:eastAsia="en-GB"/>
        </w:rPr>
      </w:pPr>
      <w:bookmarkStart w:id="21" w:name="_Toc224919064"/>
      <w:r>
        <w:rPr>
          <w:rFonts w:eastAsia="Times New Roman"/>
          <w:lang w:eastAsia="en-GB"/>
        </w:rPr>
        <w:lastRenderedPageBreak/>
        <w:t>References</w:t>
      </w:r>
      <w:bookmarkEnd w:id="21"/>
    </w:p>
    <w:p w14:paraId="0222E589" w14:textId="66B68E27" w:rsidR="00285A4B" w:rsidRDefault="00285A4B" w:rsidP="00285A4B">
      <w:pPr>
        <w:rPr>
          <w:lang w:eastAsia="en-GB"/>
        </w:rPr>
      </w:pPr>
    </w:p>
    <w:p w14:paraId="04785D37" w14:textId="52606E72" w:rsidR="00285A4B" w:rsidRDefault="00285A4B" w:rsidP="00285A4B">
      <w:pPr>
        <w:rPr>
          <w:lang w:eastAsia="en-GB"/>
        </w:rPr>
      </w:pPr>
      <w:r>
        <w:rPr>
          <w:lang w:eastAsia="en-GB"/>
        </w:rPr>
        <w:t>Please see the attached file for the whole reference list.</w:t>
      </w:r>
    </w:p>
    <w:bookmarkStart w:id="22" w:name="_MON_1835531253"/>
    <w:bookmarkEnd w:id="22"/>
    <w:p w14:paraId="50C39F80" w14:textId="796EDE54" w:rsidR="00285A4B" w:rsidRDefault="00285A4B" w:rsidP="00285A4B">
      <w:pPr>
        <w:rPr>
          <w:lang w:eastAsia="en-GB"/>
        </w:rPr>
      </w:pPr>
      <w:r>
        <w:rPr>
          <w:lang w:eastAsia="en-GB"/>
        </w:rPr>
        <w:object w:dxaOrig="9030" w:dyaOrig="574" w14:anchorId="46BAC75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2.25pt;height:28.5pt" o:ole="">
            <v:imagedata r:id="rId19" o:title=""/>
          </v:shape>
          <o:OLEObject Type="Embed" ProgID="Word.Document.12" ShapeID="_x0000_i1025" DrawAspect="Content" ObjectID="_1835531793" r:id="rId20">
            <o:FieldCodes>\s</o:FieldCodes>
          </o:OLEObject>
        </w:object>
      </w:r>
      <w:bookmarkStart w:id="23" w:name="_MON_1835531281"/>
      <w:bookmarkEnd w:id="23"/>
      <w:r w:rsidR="004A31C5">
        <w:rPr>
          <w:lang w:eastAsia="en-GB"/>
        </w:rPr>
        <w:object w:dxaOrig="1543" w:dyaOrig="995" w14:anchorId="0C2FA259">
          <v:shape id="_x0000_i1026" type="#_x0000_t75" style="width:77.25pt;height:49.5pt" o:ole="">
            <v:imagedata r:id="rId21" o:title=""/>
          </v:shape>
          <o:OLEObject Type="Embed" ProgID="Word.Document.12" ShapeID="_x0000_i1026" DrawAspect="Icon" ObjectID="_1835531794" r:id="rId22">
            <o:FieldCodes>\s</o:FieldCodes>
          </o:OLEObject>
        </w:object>
      </w:r>
    </w:p>
    <w:p w14:paraId="303380A2" w14:textId="42DA8617" w:rsidR="00285A4B" w:rsidRDefault="00285A4B" w:rsidP="00285A4B">
      <w:pPr>
        <w:rPr>
          <w:lang w:eastAsia="en-GB"/>
        </w:rPr>
      </w:pPr>
    </w:p>
    <w:p w14:paraId="545705E2" w14:textId="29898DAA" w:rsidR="00285A4B" w:rsidRDefault="00285A4B">
      <w:pPr>
        <w:spacing w:line="278" w:lineRule="auto"/>
        <w:jc w:val="left"/>
        <w:rPr>
          <w:rFonts w:eastAsia="Times New Roman" w:cs="Times New Roman"/>
          <w:kern w:val="0"/>
          <w:szCs w:val="24"/>
          <w:lang w:eastAsia="en-GB"/>
          <w14:ligatures w14:val="none"/>
        </w:rPr>
      </w:pPr>
      <w:r>
        <w:rPr>
          <w:rFonts w:eastAsia="Times New Roman" w:cs="Times New Roman"/>
          <w:kern w:val="0"/>
          <w:szCs w:val="24"/>
          <w:lang w:eastAsia="en-GB"/>
          <w14:ligatures w14:val="none"/>
        </w:rPr>
        <w:br w:type="page"/>
      </w:r>
    </w:p>
    <w:p w14:paraId="1D0C6F14" w14:textId="566F161B" w:rsidR="00285A4B" w:rsidRDefault="00285A4B" w:rsidP="00285A4B">
      <w:pPr>
        <w:pStyle w:val="Heading1"/>
        <w:numPr>
          <w:ilvl w:val="0"/>
          <w:numId w:val="0"/>
        </w:numPr>
        <w:ind w:left="360"/>
        <w:rPr>
          <w:rFonts w:eastAsia="Times New Roman"/>
          <w:lang w:eastAsia="en-GB"/>
        </w:rPr>
      </w:pPr>
      <w:bookmarkStart w:id="24" w:name="_Toc224919065"/>
      <w:r>
        <w:rPr>
          <w:rFonts w:eastAsia="Times New Roman"/>
          <w:lang w:eastAsia="en-GB"/>
        </w:rPr>
        <w:lastRenderedPageBreak/>
        <w:t>Appendix</w:t>
      </w:r>
      <w:bookmarkEnd w:id="24"/>
    </w:p>
    <w:p w14:paraId="7EB00044" w14:textId="7900F07B" w:rsidR="00285A4B" w:rsidRDefault="00285A4B" w:rsidP="00285A4B">
      <w:pPr>
        <w:rPr>
          <w:lang w:eastAsia="en-GB"/>
        </w:rPr>
      </w:pPr>
    </w:p>
    <w:p w14:paraId="5A33FF90" w14:textId="6E01F034" w:rsidR="00285A4B" w:rsidRDefault="00285A4B" w:rsidP="00285A4B">
      <w:pPr>
        <w:rPr>
          <w:lang w:eastAsia="en-GB"/>
        </w:rPr>
      </w:pPr>
      <w:r>
        <w:rPr>
          <w:lang w:eastAsia="en-GB"/>
        </w:rPr>
        <w:t>Please see the attached file for the appendix.</w:t>
      </w:r>
    </w:p>
    <w:p w14:paraId="34168F74" w14:textId="608A16DA" w:rsidR="00285A4B" w:rsidRDefault="00285A4B" w:rsidP="00285A4B">
      <w:pPr>
        <w:rPr>
          <w:lang w:eastAsia="en-GB"/>
        </w:rPr>
      </w:pPr>
    </w:p>
    <w:bookmarkStart w:id="25" w:name="_MON_1835531335"/>
    <w:bookmarkEnd w:id="25"/>
    <w:p w14:paraId="2C9B8E80" w14:textId="55408D41" w:rsidR="00285A4B" w:rsidRDefault="004A31C5" w:rsidP="00285A4B">
      <w:pPr>
        <w:rPr>
          <w:lang w:eastAsia="en-GB"/>
        </w:rPr>
      </w:pPr>
      <w:r>
        <w:rPr>
          <w:lang w:eastAsia="en-GB"/>
        </w:rPr>
        <w:object w:dxaOrig="1543" w:dyaOrig="995" w14:anchorId="67C0472C">
          <v:shape id="_x0000_i1027" type="#_x0000_t75" style="width:77.25pt;height:49.5pt" o:ole="">
            <v:imagedata r:id="rId23" o:title=""/>
          </v:shape>
          <o:OLEObject Type="Embed" ProgID="Word.Document.12" ShapeID="_x0000_i1027" DrawAspect="Icon" ObjectID="_1835531795" r:id="rId24">
            <o:FieldCodes>\s</o:FieldCodes>
          </o:OLEObject>
        </w:object>
      </w:r>
    </w:p>
    <w:p w14:paraId="4CEBDA71" w14:textId="77777777" w:rsidR="00285A4B" w:rsidRPr="00CD7C71" w:rsidRDefault="00285A4B" w:rsidP="00285A4B">
      <w:pPr>
        <w:rPr>
          <w:lang w:eastAsia="en-GB"/>
        </w:rPr>
      </w:pPr>
    </w:p>
    <w:sectPr w:rsidR="00285A4B" w:rsidRPr="00CD7C71" w:rsidSect="00285A4B">
      <w:footerReference w:type="default" r:id="rId25"/>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ED6EC9" w14:textId="77777777" w:rsidR="00D419ED" w:rsidRDefault="00D419ED" w:rsidP="00FE4C0C">
      <w:pPr>
        <w:spacing w:after="0" w:line="240" w:lineRule="auto"/>
      </w:pPr>
      <w:r>
        <w:separator/>
      </w:r>
    </w:p>
  </w:endnote>
  <w:endnote w:type="continuationSeparator" w:id="0">
    <w:p w14:paraId="1ACA4B2A" w14:textId="77777777" w:rsidR="00D419ED" w:rsidRDefault="00D419ED" w:rsidP="00FE4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9862026"/>
      <w:docPartObj>
        <w:docPartGallery w:val="Page Numbers (Bottom of Page)"/>
        <w:docPartUnique/>
      </w:docPartObj>
    </w:sdtPr>
    <w:sdtEndPr/>
    <w:sdtContent>
      <w:p w14:paraId="5DC5C172" w14:textId="08D92D5C" w:rsidR="00285A4B" w:rsidRDefault="00285A4B" w:rsidP="00285A4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36E6E" w14:textId="77777777" w:rsidR="00D419ED" w:rsidRDefault="00D419ED" w:rsidP="00FE4C0C">
      <w:pPr>
        <w:spacing w:after="0" w:line="240" w:lineRule="auto"/>
      </w:pPr>
      <w:r>
        <w:separator/>
      </w:r>
    </w:p>
  </w:footnote>
  <w:footnote w:type="continuationSeparator" w:id="0">
    <w:p w14:paraId="66D8933B" w14:textId="77777777" w:rsidR="00D419ED" w:rsidRDefault="00D419ED" w:rsidP="00FE4C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F045C"/>
    <w:multiLevelType w:val="multilevel"/>
    <w:tmpl w:val="F364F264"/>
    <w:lvl w:ilvl="0">
      <w:start w:val="3"/>
      <w:numFmt w:val="decimal"/>
      <w:lvlText w:val="%1"/>
      <w:lvlJc w:val="left"/>
      <w:pPr>
        <w:ind w:left="660" w:hanging="660"/>
      </w:pPr>
      <w:rPr>
        <w:rFonts w:hint="default"/>
      </w:rPr>
    </w:lvl>
    <w:lvl w:ilvl="1">
      <w:start w:val="1"/>
      <w:numFmt w:val="decimal"/>
      <w:lvlText w:val="%1.%2"/>
      <w:lvlJc w:val="left"/>
      <w:pPr>
        <w:ind w:left="900" w:hanging="6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2040" w:hanging="1080"/>
      </w:pPr>
      <w:rPr>
        <w:rFonts w:hint="default"/>
      </w:rPr>
    </w:lvl>
    <w:lvl w:ilvl="5">
      <w:start w:val="1"/>
      <w:numFmt w:val="decimal"/>
      <w:lvlText w:val="%1.%2.%3.%4.%5.%6"/>
      <w:lvlJc w:val="left"/>
      <w:pPr>
        <w:ind w:left="2280" w:hanging="1080"/>
      </w:pPr>
      <w:rPr>
        <w:rFonts w:hint="default"/>
      </w:rPr>
    </w:lvl>
    <w:lvl w:ilvl="6">
      <w:start w:val="1"/>
      <w:numFmt w:val="decimal"/>
      <w:lvlText w:val="%1.%2.%3.%4.%5.%6.%7"/>
      <w:lvlJc w:val="left"/>
      <w:pPr>
        <w:ind w:left="2880" w:hanging="1440"/>
      </w:pPr>
      <w:rPr>
        <w:rFonts w:hint="default"/>
      </w:rPr>
    </w:lvl>
    <w:lvl w:ilvl="7">
      <w:start w:val="1"/>
      <w:numFmt w:val="decimal"/>
      <w:lvlText w:val="%1.%2.%3.%4.%5.%6.%7.%8"/>
      <w:lvlJc w:val="left"/>
      <w:pPr>
        <w:ind w:left="3120" w:hanging="1440"/>
      </w:pPr>
      <w:rPr>
        <w:rFonts w:hint="default"/>
      </w:rPr>
    </w:lvl>
    <w:lvl w:ilvl="8">
      <w:start w:val="1"/>
      <w:numFmt w:val="decimal"/>
      <w:lvlText w:val="%1.%2.%3.%4.%5.%6.%7.%8.%9"/>
      <w:lvlJc w:val="left"/>
      <w:pPr>
        <w:ind w:left="3720" w:hanging="1800"/>
      </w:pPr>
      <w:rPr>
        <w:rFonts w:hint="default"/>
      </w:rPr>
    </w:lvl>
  </w:abstractNum>
  <w:abstractNum w:abstractNumId="1" w15:restartNumberingAfterBreak="0">
    <w:nsid w:val="23F9360A"/>
    <w:multiLevelType w:val="multilevel"/>
    <w:tmpl w:val="28440B78"/>
    <w:lvl w:ilvl="0">
      <w:start w:val="1"/>
      <w:numFmt w:val="decimal"/>
      <w:lvlText w:val="%1."/>
      <w:lvlJc w:val="left"/>
      <w:pPr>
        <w:ind w:left="1080" w:hanging="360"/>
      </w:pPr>
      <w:rPr>
        <w:rFonts w:hint="default"/>
      </w:rPr>
    </w:lvl>
    <w:lvl w:ilvl="1">
      <w:start w:val="2"/>
      <w:numFmt w:val="decimal"/>
      <w:isLgl/>
      <w:lvlText w:val="%1.%2."/>
      <w:lvlJc w:val="left"/>
      <w:pPr>
        <w:ind w:left="1260" w:hanging="540"/>
      </w:pPr>
      <w:rPr>
        <w:rFonts w:hint="default"/>
      </w:rPr>
    </w:lvl>
    <w:lvl w:ilvl="2">
      <w:start w:val="9"/>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4B52582A"/>
    <w:multiLevelType w:val="hybridMultilevel"/>
    <w:tmpl w:val="104EBDC4"/>
    <w:lvl w:ilvl="0" w:tplc="46C8BF90">
      <w:start w:val="2"/>
      <w:numFmt w:val="bullet"/>
      <w:lvlText w:val="-"/>
      <w:lvlJc w:val="left"/>
      <w:pPr>
        <w:ind w:left="360" w:hanging="360"/>
      </w:pPr>
      <w:rPr>
        <w:rFonts w:ascii="Times New Roman" w:eastAsiaTheme="minorHAnsi" w:hAnsi="Times New Roman" w:cs="Times New Roman" w:hint="default"/>
      </w:rPr>
    </w:lvl>
    <w:lvl w:ilvl="1" w:tplc="46C8BF90">
      <w:start w:val="2"/>
      <w:numFmt w:val="bullet"/>
      <w:lvlText w:val="-"/>
      <w:lvlJc w:val="left"/>
      <w:pPr>
        <w:ind w:left="1080" w:hanging="360"/>
      </w:pPr>
      <w:rPr>
        <w:rFonts w:ascii="Times New Roman" w:eastAsiaTheme="minorHAnsi" w:hAnsi="Times New Roman" w:cs="Times New Roman"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C703395"/>
    <w:multiLevelType w:val="multilevel"/>
    <w:tmpl w:val="3A24E778"/>
    <w:lvl w:ilvl="0">
      <w:start w:val="1"/>
      <w:numFmt w:val="decimal"/>
      <w:pStyle w:val="Heading1"/>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abstractNumId w:val="3"/>
  </w:num>
  <w:num w:numId="2">
    <w:abstractNumId w:val="3"/>
  </w:num>
  <w:num w:numId="3">
    <w:abstractNumId w:val="3"/>
    <w:lvlOverride w:ilvl="0">
      <w:startOverride w:val="2"/>
    </w:lvlOverride>
    <w:lvlOverride w:ilvl="1">
      <w:startOverride w:val="1"/>
    </w:lvlOverride>
  </w:num>
  <w:num w:numId="4">
    <w:abstractNumId w:val="3"/>
    <w:lvlOverride w:ilvl="0">
      <w:startOverride w:val="3"/>
    </w:lvlOverride>
    <w:lvlOverride w:ilvl="1">
      <w:startOverride w:val="1"/>
    </w:lvlOverride>
  </w:num>
  <w:num w:numId="5">
    <w:abstractNumId w:val="2"/>
  </w:num>
  <w:num w:numId="6">
    <w:abstractNumId w:val="1"/>
  </w:num>
  <w:num w:numId="7">
    <w:abstractNumId w:val="0"/>
  </w:num>
  <w:num w:numId="8">
    <w:abstractNumId w:val="3"/>
    <w:lvlOverride w:ilvl="0">
      <w:startOverride w:val="3"/>
    </w:lvlOverride>
    <w:lvlOverride w:ilvl="1">
      <w:startOverride w:val="1"/>
    </w:lvlOverride>
    <w:lvlOverride w:ilvl="2">
      <w:startOverride w:val="1"/>
    </w:lvlOverride>
    <w:lvlOverride w:ilvl="3">
      <w:startOverride w:val="2"/>
    </w:lvlOverride>
  </w:num>
  <w:num w:numId="9">
    <w:abstractNumId w:val="3"/>
    <w:lvlOverride w:ilvl="0">
      <w:startOverride w:val="2"/>
    </w:lvlOverride>
    <w:lvlOverride w:ilvl="1">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BCE"/>
    <w:rsid w:val="00002C55"/>
    <w:rsid w:val="00003220"/>
    <w:rsid w:val="000052DC"/>
    <w:rsid w:val="00007791"/>
    <w:rsid w:val="00010DF1"/>
    <w:rsid w:val="00021CDD"/>
    <w:rsid w:val="00026398"/>
    <w:rsid w:val="00026DF6"/>
    <w:rsid w:val="0004708D"/>
    <w:rsid w:val="000477BC"/>
    <w:rsid w:val="00052AAE"/>
    <w:rsid w:val="00053AA4"/>
    <w:rsid w:val="00071701"/>
    <w:rsid w:val="00072714"/>
    <w:rsid w:val="00073A3B"/>
    <w:rsid w:val="00083F80"/>
    <w:rsid w:val="00086006"/>
    <w:rsid w:val="00087943"/>
    <w:rsid w:val="0009109F"/>
    <w:rsid w:val="0009355B"/>
    <w:rsid w:val="00093EFB"/>
    <w:rsid w:val="00097B47"/>
    <w:rsid w:val="000A0336"/>
    <w:rsid w:val="000A0759"/>
    <w:rsid w:val="000A10BC"/>
    <w:rsid w:val="000A349B"/>
    <w:rsid w:val="000B29C3"/>
    <w:rsid w:val="000B410C"/>
    <w:rsid w:val="000B4E7A"/>
    <w:rsid w:val="000B51F7"/>
    <w:rsid w:val="000D6211"/>
    <w:rsid w:val="000F0149"/>
    <w:rsid w:val="000F49FA"/>
    <w:rsid w:val="000F63F8"/>
    <w:rsid w:val="001048C1"/>
    <w:rsid w:val="00106A5C"/>
    <w:rsid w:val="0011058B"/>
    <w:rsid w:val="0011787B"/>
    <w:rsid w:val="00117A43"/>
    <w:rsid w:val="001201CA"/>
    <w:rsid w:val="0013520D"/>
    <w:rsid w:val="001352D3"/>
    <w:rsid w:val="00135C5C"/>
    <w:rsid w:val="001460D6"/>
    <w:rsid w:val="0015575B"/>
    <w:rsid w:val="00167AC0"/>
    <w:rsid w:val="00170CA0"/>
    <w:rsid w:val="001723A8"/>
    <w:rsid w:val="00172B57"/>
    <w:rsid w:val="00174C37"/>
    <w:rsid w:val="0018180B"/>
    <w:rsid w:val="00186D93"/>
    <w:rsid w:val="00192102"/>
    <w:rsid w:val="00196E90"/>
    <w:rsid w:val="001A36D7"/>
    <w:rsid w:val="001A4987"/>
    <w:rsid w:val="001A4F9B"/>
    <w:rsid w:val="001B2492"/>
    <w:rsid w:val="001C4173"/>
    <w:rsid w:val="001D1840"/>
    <w:rsid w:val="001E1F11"/>
    <w:rsid w:val="00202ED4"/>
    <w:rsid w:val="0021450F"/>
    <w:rsid w:val="00214563"/>
    <w:rsid w:val="00220647"/>
    <w:rsid w:val="00242AF7"/>
    <w:rsid w:val="00246BF7"/>
    <w:rsid w:val="0025791B"/>
    <w:rsid w:val="00261082"/>
    <w:rsid w:val="0026797C"/>
    <w:rsid w:val="00280640"/>
    <w:rsid w:val="00285A4B"/>
    <w:rsid w:val="00286607"/>
    <w:rsid w:val="002928BB"/>
    <w:rsid w:val="0029409D"/>
    <w:rsid w:val="00296B51"/>
    <w:rsid w:val="002A44F9"/>
    <w:rsid w:val="002A6B00"/>
    <w:rsid w:val="002C3833"/>
    <w:rsid w:val="002C6A3E"/>
    <w:rsid w:val="002D4F55"/>
    <w:rsid w:val="002F1E5A"/>
    <w:rsid w:val="002F2751"/>
    <w:rsid w:val="002F2B51"/>
    <w:rsid w:val="002F3FB5"/>
    <w:rsid w:val="002F6751"/>
    <w:rsid w:val="00302F20"/>
    <w:rsid w:val="00305EF4"/>
    <w:rsid w:val="00306953"/>
    <w:rsid w:val="0030733F"/>
    <w:rsid w:val="00313E3E"/>
    <w:rsid w:val="00315910"/>
    <w:rsid w:val="00322774"/>
    <w:rsid w:val="0032336C"/>
    <w:rsid w:val="0032718D"/>
    <w:rsid w:val="00336877"/>
    <w:rsid w:val="00336F5B"/>
    <w:rsid w:val="0034553D"/>
    <w:rsid w:val="00346975"/>
    <w:rsid w:val="0035093E"/>
    <w:rsid w:val="00354932"/>
    <w:rsid w:val="003567BA"/>
    <w:rsid w:val="00356A38"/>
    <w:rsid w:val="00363C9A"/>
    <w:rsid w:val="00365046"/>
    <w:rsid w:val="00365854"/>
    <w:rsid w:val="00370E9E"/>
    <w:rsid w:val="0037426C"/>
    <w:rsid w:val="00375D96"/>
    <w:rsid w:val="00375F8E"/>
    <w:rsid w:val="003826D9"/>
    <w:rsid w:val="00384A73"/>
    <w:rsid w:val="003908EA"/>
    <w:rsid w:val="00393234"/>
    <w:rsid w:val="00393AA5"/>
    <w:rsid w:val="003A2420"/>
    <w:rsid w:val="003A5340"/>
    <w:rsid w:val="003A5992"/>
    <w:rsid w:val="003A59E3"/>
    <w:rsid w:val="003A7FB8"/>
    <w:rsid w:val="003B00C6"/>
    <w:rsid w:val="003B04F6"/>
    <w:rsid w:val="003B47A6"/>
    <w:rsid w:val="003C0B4F"/>
    <w:rsid w:val="003C6489"/>
    <w:rsid w:val="003C798E"/>
    <w:rsid w:val="003D1448"/>
    <w:rsid w:val="003D35B0"/>
    <w:rsid w:val="003D4C27"/>
    <w:rsid w:val="003E0BB1"/>
    <w:rsid w:val="003E2960"/>
    <w:rsid w:val="003E5165"/>
    <w:rsid w:val="003F5CD4"/>
    <w:rsid w:val="00400AC6"/>
    <w:rsid w:val="00403163"/>
    <w:rsid w:val="00405201"/>
    <w:rsid w:val="004054C5"/>
    <w:rsid w:val="00414A36"/>
    <w:rsid w:val="00416F89"/>
    <w:rsid w:val="00424353"/>
    <w:rsid w:val="004304F1"/>
    <w:rsid w:val="00432FE3"/>
    <w:rsid w:val="00443F99"/>
    <w:rsid w:val="004502FB"/>
    <w:rsid w:val="00451292"/>
    <w:rsid w:val="00462576"/>
    <w:rsid w:val="00466D56"/>
    <w:rsid w:val="00470875"/>
    <w:rsid w:val="004711AD"/>
    <w:rsid w:val="004745C6"/>
    <w:rsid w:val="004806AB"/>
    <w:rsid w:val="00481688"/>
    <w:rsid w:val="004828FE"/>
    <w:rsid w:val="00485099"/>
    <w:rsid w:val="00495AA4"/>
    <w:rsid w:val="0049650C"/>
    <w:rsid w:val="004A31C5"/>
    <w:rsid w:val="004B01F9"/>
    <w:rsid w:val="004B4374"/>
    <w:rsid w:val="004D03B7"/>
    <w:rsid w:val="004D3EC3"/>
    <w:rsid w:val="004E3792"/>
    <w:rsid w:val="004E45D6"/>
    <w:rsid w:val="004E4E3F"/>
    <w:rsid w:val="004F1C1F"/>
    <w:rsid w:val="004F7A72"/>
    <w:rsid w:val="005063FE"/>
    <w:rsid w:val="00507A3D"/>
    <w:rsid w:val="00512F92"/>
    <w:rsid w:val="005162F1"/>
    <w:rsid w:val="00517F54"/>
    <w:rsid w:val="00525481"/>
    <w:rsid w:val="005301EF"/>
    <w:rsid w:val="00532631"/>
    <w:rsid w:val="005338A4"/>
    <w:rsid w:val="005376B2"/>
    <w:rsid w:val="00540DA7"/>
    <w:rsid w:val="005447C1"/>
    <w:rsid w:val="00551311"/>
    <w:rsid w:val="005630B0"/>
    <w:rsid w:val="005748EE"/>
    <w:rsid w:val="00580C27"/>
    <w:rsid w:val="00585650"/>
    <w:rsid w:val="005868BF"/>
    <w:rsid w:val="005953AE"/>
    <w:rsid w:val="005A74F4"/>
    <w:rsid w:val="005B44CA"/>
    <w:rsid w:val="005B6D82"/>
    <w:rsid w:val="005D5007"/>
    <w:rsid w:val="005D7E3B"/>
    <w:rsid w:val="005E32DB"/>
    <w:rsid w:val="005E470E"/>
    <w:rsid w:val="005E52CE"/>
    <w:rsid w:val="005F093E"/>
    <w:rsid w:val="005F285F"/>
    <w:rsid w:val="005F7C0C"/>
    <w:rsid w:val="00605F4E"/>
    <w:rsid w:val="00621C0F"/>
    <w:rsid w:val="0063728A"/>
    <w:rsid w:val="00645EB6"/>
    <w:rsid w:val="00646C3C"/>
    <w:rsid w:val="00650B19"/>
    <w:rsid w:val="00651A1E"/>
    <w:rsid w:val="00662892"/>
    <w:rsid w:val="006657D6"/>
    <w:rsid w:val="0066731A"/>
    <w:rsid w:val="00676BEE"/>
    <w:rsid w:val="006770C7"/>
    <w:rsid w:val="006821D5"/>
    <w:rsid w:val="00690C4C"/>
    <w:rsid w:val="00691209"/>
    <w:rsid w:val="006948A0"/>
    <w:rsid w:val="006957E1"/>
    <w:rsid w:val="006A060D"/>
    <w:rsid w:val="006A325B"/>
    <w:rsid w:val="006A3D41"/>
    <w:rsid w:val="006A3F89"/>
    <w:rsid w:val="006A6522"/>
    <w:rsid w:val="006A73BC"/>
    <w:rsid w:val="006B07EF"/>
    <w:rsid w:val="006B41DC"/>
    <w:rsid w:val="006C0896"/>
    <w:rsid w:val="006C1B76"/>
    <w:rsid w:val="006C4A0E"/>
    <w:rsid w:val="006C7633"/>
    <w:rsid w:val="006D5A25"/>
    <w:rsid w:val="006E0C3A"/>
    <w:rsid w:val="006E0E81"/>
    <w:rsid w:val="006E0F0A"/>
    <w:rsid w:val="006E25A3"/>
    <w:rsid w:val="006E470C"/>
    <w:rsid w:val="006F1F62"/>
    <w:rsid w:val="00700966"/>
    <w:rsid w:val="00712D1D"/>
    <w:rsid w:val="00716878"/>
    <w:rsid w:val="007405F2"/>
    <w:rsid w:val="00741D22"/>
    <w:rsid w:val="00742B86"/>
    <w:rsid w:val="00744BCE"/>
    <w:rsid w:val="0074588F"/>
    <w:rsid w:val="00750111"/>
    <w:rsid w:val="00750223"/>
    <w:rsid w:val="00751FA1"/>
    <w:rsid w:val="007624F8"/>
    <w:rsid w:val="00774EC2"/>
    <w:rsid w:val="00796281"/>
    <w:rsid w:val="00797E3F"/>
    <w:rsid w:val="007A37DC"/>
    <w:rsid w:val="007A6D9B"/>
    <w:rsid w:val="007B0C99"/>
    <w:rsid w:val="007B209C"/>
    <w:rsid w:val="007B46DC"/>
    <w:rsid w:val="007B7C4A"/>
    <w:rsid w:val="007C31E4"/>
    <w:rsid w:val="007C73E2"/>
    <w:rsid w:val="007D17BF"/>
    <w:rsid w:val="007D3F36"/>
    <w:rsid w:val="007D559F"/>
    <w:rsid w:val="007D741D"/>
    <w:rsid w:val="007E6F2D"/>
    <w:rsid w:val="007F00A4"/>
    <w:rsid w:val="007F53AA"/>
    <w:rsid w:val="007F685A"/>
    <w:rsid w:val="007F6A2E"/>
    <w:rsid w:val="007F6F78"/>
    <w:rsid w:val="00801374"/>
    <w:rsid w:val="008030F0"/>
    <w:rsid w:val="00810F31"/>
    <w:rsid w:val="00815D47"/>
    <w:rsid w:val="00817518"/>
    <w:rsid w:val="0082253C"/>
    <w:rsid w:val="00827EF7"/>
    <w:rsid w:val="00831EFC"/>
    <w:rsid w:val="0083455A"/>
    <w:rsid w:val="008476DF"/>
    <w:rsid w:val="00847763"/>
    <w:rsid w:val="00852212"/>
    <w:rsid w:val="00853518"/>
    <w:rsid w:val="008561E1"/>
    <w:rsid w:val="00862258"/>
    <w:rsid w:val="00862F75"/>
    <w:rsid w:val="00865FB9"/>
    <w:rsid w:val="00880AA5"/>
    <w:rsid w:val="00882CED"/>
    <w:rsid w:val="008840C6"/>
    <w:rsid w:val="00885FAF"/>
    <w:rsid w:val="008A3915"/>
    <w:rsid w:val="008A6875"/>
    <w:rsid w:val="008B0753"/>
    <w:rsid w:val="008B5051"/>
    <w:rsid w:val="008C119A"/>
    <w:rsid w:val="008C5A2B"/>
    <w:rsid w:val="008C6FB8"/>
    <w:rsid w:val="008C7B9E"/>
    <w:rsid w:val="008D3322"/>
    <w:rsid w:val="008D3DF6"/>
    <w:rsid w:val="008D42DA"/>
    <w:rsid w:val="008D63A2"/>
    <w:rsid w:val="008E51E3"/>
    <w:rsid w:val="008E7342"/>
    <w:rsid w:val="00900DED"/>
    <w:rsid w:val="00904465"/>
    <w:rsid w:val="00910125"/>
    <w:rsid w:val="00916807"/>
    <w:rsid w:val="0093252F"/>
    <w:rsid w:val="00932A54"/>
    <w:rsid w:val="009345A7"/>
    <w:rsid w:val="00941BAB"/>
    <w:rsid w:val="00950A3B"/>
    <w:rsid w:val="00950F21"/>
    <w:rsid w:val="00970418"/>
    <w:rsid w:val="009712FB"/>
    <w:rsid w:val="009736F1"/>
    <w:rsid w:val="00981499"/>
    <w:rsid w:val="0098426B"/>
    <w:rsid w:val="00990163"/>
    <w:rsid w:val="009A1BAE"/>
    <w:rsid w:val="009B4242"/>
    <w:rsid w:val="009C0E1F"/>
    <w:rsid w:val="009C1C77"/>
    <w:rsid w:val="009C3061"/>
    <w:rsid w:val="009C527F"/>
    <w:rsid w:val="009D2DE8"/>
    <w:rsid w:val="009D3373"/>
    <w:rsid w:val="009D55BD"/>
    <w:rsid w:val="009F566F"/>
    <w:rsid w:val="00A0561F"/>
    <w:rsid w:val="00A160DA"/>
    <w:rsid w:val="00A20C64"/>
    <w:rsid w:val="00A216D4"/>
    <w:rsid w:val="00A26C63"/>
    <w:rsid w:val="00A30BFD"/>
    <w:rsid w:val="00A30E4D"/>
    <w:rsid w:val="00A31699"/>
    <w:rsid w:val="00A32B96"/>
    <w:rsid w:val="00A46C09"/>
    <w:rsid w:val="00A47F89"/>
    <w:rsid w:val="00A55F1F"/>
    <w:rsid w:val="00A57C23"/>
    <w:rsid w:val="00A635F8"/>
    <w:rsid w:val="00A64234"/>
    <w:rsid w:val="00A65709"/>
    <w:rsid w:val="00A718A9"/>
    <w:rsid w:val="00A93B3D"/>
    <w:rsid w:val="00A966DD"/>
    <w:rsid w:val="00A97606"/>
    <w:rsid w:val="00AA47AF"/>
    <w:rsid w:val="00AB0F25"/>
    <w:rsid w:val="00AB27C2"/>
    <w:rsid w:val="00AC0AEA"/>
    <w:rsid w:val="00AC0E85"/>
    <w:rsid w:val="00AC330E"/>
    <w:rsid w:val="00AC3E33"/>
    <w:rsid w:val="00AC68E4"/>
    <w:rsid w:val="00AC7849"/>
    <w:rsid w:val="00AC7FBA"/>
    <w:rsid w:val="00AD45B3"/>
    <w:rsid w:val="00AE10BF"/>
    <w:rsid w:val="00AE134F"/>
    <w:rsid w:val="00AE5FB1"/>
    <w:rsid w:val="00AE72C4"/>
    <w:rsid w:val="00AF378D"/>
    <w:rsid w:val="00B000A4"/>
    <w:rsid w:val="00B032E3"/>
    <w:rsid w:val="00B06999"/>
    <w:rsid w:val="00B118DB"/>
    <w:rsid w:val="00B11B19"/>
    <w:rsid w:val="00B21FD1"/>
    <w:rsid w:val="00B22808"/>
    <w:rsid w:val="00B46B87"/>
    <w:rsid w:val="00B54D27"/>
    <w:rsid w:val="00B75DFD"/>
    <w:rsid w:val="00B76F03"/>
    <w:rsid w:val="00B806AC"/>
    <w:rsid w:val="00B81A25"/>
    <w:rsid w:val="00B82FB4"/>
    <w:rsid w:val="00B836BB"/>
    <w:rsid w:val="00B91167"/>
    <w:rsid w:val="00B96C9A"/>
    <w:rsid w:val="00BA1CD1"/>
    <w:rsid w:val="00BA376A"/>
    <w:rsid w:val="00BA5255"/>
    <w:rsid w:val="00BA5AFE"/>
    <w:rsid w:val="00BA61C5"/>
    <w:rsid w:val="00BC04D0"/>
    <w:rsid w:val="00BC0B08"/>
    <w:rsid w:val="00BC144F"/>
    <w:rsid w:val="00BC244B"/>
    <w:rsid w:val="00BC294C"/>
    <w:rsid w:val="00BD12A1"/>
    <w:rsid w:val="00BD7DB3"/>
    <w:rsid w:val="00BE0E18"/>
    <w:rsid w:val="00BE241B"/>
    <w:rsid w:val="00BF2B9C"/>
    <w:rsid w:val="00BF6207"/>
    <w:rsid w:val="00BF6559"/>
    <w:rsid w:val="00C04A1A"/>
    <w:rsid w:val="00C04FED"/>
    <w:rsid w:val="00C105F5"/>
    <w:rsid w:val="00C109CE"/>
    <w:rsid w:val="00C12259"/>
    <w:rsid w:val="00C21795"/>
    <w:rsid w:val="00C21A8A"/>
    <w:rsid w:val="00C236C3"/>
    <w:rsid w:val="00C338B7"/>
    <w:rsid w:val="00C4450B"/>
    <w:rsid w:val="00C45AF2"/>
    <w:rsid w:val="00C569CB"/>
    <w:rsid w:val="00C6194A"/>
    <w:rsid w:val="00C73975"/>
    <w:rsid w:val="00C74B0B"/>
    <w:rsid w:val="00C80424"/>
    <w:rsid w:val="00C83D4C"/>
    <w:rsid w:val="00C91FAC"/>
    <w:rsid w:val="00C941F4"/>
    <w:rsid w:val="00C950AC"/>
    <w:rsid w:val="00CA5A7F"/>
    <w:rsid w:val="00CA5CA4"/>
    <w:rsid w:val="00CB1DE3"/>
    <w:rsid w:val="00CB2539"/>
    <w:rsid w:val="00CB2CC3"/>
    <w:rsid w:val="00CB5159"/>
    <w:rsid w:val="00CC7FF7"/>
    <w:rsid w:val="00CD5BB1"/>
    <w:rsid w:val="00CD6E41"/>
    <w:rsid w:val="00CD7C71"/>
    <w:rsid w:val="00CE32AE"/>
    <w:rsid w:val="00CF457B"/>
    <w:rsid w:val="00CF7DAF"/>
    <w:rsid w:val="00D01643"/>
    <w:rsid w:val="00D039AA"/>
    <w:rsid w:val="00D07D89"/>
    <w:rsid w:val="00D100AD"/>
    <w:rsid w:val="00D17606"/>
    <w:rsid w:val="00D22048"/>
    <w:rsid w:val="00D2755B"/>
    <w:rsid w:val="00D302A1"/>
    <w:rsid w:val="00D419ED"/>
    <w:rsid w:val="00D444CB"/>
    <w:rsid w:val="00D522B9"/>
    <w:rsid w:val="00D56B25"/>
    <w:rsid w:val="00D71550"/>
    <w:rsid w:val="00D74A5C"/>
    <w:rsid w:val="00D75067"/>
    <w:rsid w:val="00D81F44"/>
    <w:rsid w:val="00D8403D"/>
    <w:rsid w:val="00D841FA"/>
    <w:rsid w:val="00D84B6D"/>
    <w:rsid w:val="00D9587A"/>
    <w:rsid w:val="00D96877"/>
    <w:rsid w:val="00DA3557"/>
    <w:rsid w:val="00DA4547"/>
    <w:rsid w:val="00DA7DC1"/>
    <w:rsid w:val="00DB3141"/>
    <w:rsid w:val="00DB7BC1"/>
    <w:rsid w:val="00DD0059"/>
    <w:rsid w:val="00DD5017"/>
    <w:rsid w:val="00DE413C"/>
    <w:rsid w:val="00DE4BA3"/>
    <w:rsid w:val="00DF319B"/>
    <w:rsid w:val="00DF4F5F"/>
    <w:rsid w:val="00DF69D2"/>
    <w:rsid w:val="00E002FA"/>
    <w:rsid w:val="00E027FC"/>
    <w:rsid w:val="00E11452"/>
    <w:rsid w:val="00E14786"/>
    <w:rsid w:val="00E23A27"/>
    <w:rsid w:val="00E25B55"/>
    <w:rsid w:val="00E42EC9"/>
    <w:rsid w:val="00E45238"/>
    <w:rsid w:val="00E47523"/>
    <w:rsid w:val="00E562F6"/>
    <w:rsid w:val="00E62AEB"/>
    <w:rsid w:val="00E77B4F"/>
    <w:rsid w:val="00E91471"/>
    <w:rsid w:val="00E92840"/>
    <w:rsid w:val="00EB32AA"/>
    <w:rsid w:val="00EB7C86"/>
    <w:rsid w:val="00EC32E2"/>
    <w:rsid w:val="00ED3279"/>
    <w:rsid w:val="00ED34EF"/>
    <w:rsid w:val="00EE17E6"/>
    <w:rsid w:val="00EE3584"/>
    <w:rsid w:val="00F14FD7"/>
    <w:rsid w:val="00F2400D"/>
    <w:rsid w:val="00F26555"/>
    <w:rsid w:val="00F302C7"/>
    <w:rsid w:val="00F32FE3"/>
    <w:rsid w:val="00F345B5"/>
    <w:rsid w:val="00F3597E"/>
    <w:rsid w:val="00F47427"/>
    <w:rsid w:val="00F57F3F"/>
    <w:rsid w:val="00F64D12"/>
    <w:rsid w:val="00F65E63"/>
    <w:rsid w:val="00F71C7C"/>
    <w:rsid w:val="00F72961"/>
    <w:rsid w:val="00F75065"/>
    <w:rsid w:val="00F7551E"/>
    <w:rsid w:val="00F8330D"/>
    <w:rsid w:val="00FA392F"/>
    <w:rsid w:val="00FB53A6"/>
    <w:rsid w:val="00FC471D"/>
    <w:rsid w:val="00FC6F14"/>
    <w:rsid w:val="00FC6F40"/>
    <w:rsid w:val="00FD16FD"/>
    <w:rsid w:val="00FD20A4"/>
    <w:rsid w:val="00FE21DB"/>
    <w:rsid w:val="00FE4C0C"/>
    <w:rsid w:val="00FE4FD1"/>
    <w:rsid w:val="00FF245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F0972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A4B"/>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285A4B"/>
    <w:pPr>
      <w:keepNext/>
      <w:keepLines/>
      <w:numPr>
        <w:numId w:val="2"/>
      </w:numPr>
      <w:spacing w:before="240" w:after="120"/>
      <w:jc w:val="center"/>
      <w:outlineLvl w:val="0"/>
    </w:pPr>
    <w:rPr>
      <w:rFonts w:eastAsiaTheme="majorEastAsia" w:cstheme="majorBidi"/>
      <w:b/>
      <w:color w:val="2F5496" w:themeColor="accent1" w:themeShade="BF"/>
      <w:sz w:val="32"/>
      <w:szCs w:val="50"/>
    </w:rPr>
  </w:style>
  <w:style w:type="paragraph" w:styleId="Heading2">
    <w:name w:val="heading 2"/>
    <w:basedOn w:val="Normal"/>
    <w:next w:val="Normal"/>
    <w:link w:val="Heading2Char"/>
    <w:autoRedefine/>
    <w:uiPriority w:val="9"/>
    <w:unhideWhenUsed/>
    <w:qFormat/>
    <w:rsid w:val="00810F31"/>
    <w:pPr>
      <w:keepNext/>
      <w:keepLines/>
      <w:spacing w:before="40" w:after="0"/>
      <w:outlineLvl w:val="1"/>
    </w:pPr>
    <w:rPr>
      <w:rFonts w:eastAsiaTheme="majorEastAsia" w:cstheme="majorBidi"/>
      <w:b/>
      <w:color w:val="2F5496" w:themeColor="accent1" w:themeShade="BF"/>
      <w:szCs w:val="36"/>
      <w:lang w:val="en-US"/>
    </w:rPr>
  </w:style>
  <w:style w:type="paragraph" w:styleId="Heading3">
    <w:name w:val="heading 3"/>
    <w:basedOn w:val="Normal"/>
    <w:next w:val="Normal"/>
    <w:link w:val="Heading3Char"/>
    <w:uiPriority w:val="9"/>
    <w:unhideWhenUsed/>
    <w:qFormat/>
    <w:rsid w:val="00744BCE"/>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unhideWhenUsed/>
    <w:qFormat/>
    <w:rsid w:val="00744BCE"/>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44BCE"/>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44BC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4BC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4BC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4BC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A4B"/>
    <w:rPr>
      <w:rFonts w:ascii="Times New Roman" w:eastAsiaTheme="majorEastAsia" w:hAnsi="Times New Roman" w:cstheme="majorBidi"/>
      <w:b/>
      <w:color w:val="2F5496" w:themeColor="accent1" w:themeShade="BF"/>
      <w:sz w:val="32"/>
      <w:szCs w:val="50"/>
    </w:rPr>
  </w:style>
  <w:style w:type="character" w:customStyle="1" w:styleId="Heading2Char">
    <w:name w:val="Heading 2 Char"/>
    <w:basedOn w:val="DefaultParagraphFont"/>
    <w:link w:val="Heading2"/>
    <w:uiPriority w:val="9"/>
    <w:rsid w:val="00810F31"/>
    <w:rPr>
      <w:rFonts w:ascii="Times New Roman" w:eastAsiaTheme="majorEastAsia" w:hAnsi="Times New Roman" w:cstheme="majorBidi"/>
      <w:b/>
      <w:color w:val="2F5496" w:themeColor="accent1" w:themeShade="BF"/>
      <w:szCs w:val="36"/>
      <w:lang w:val="en-US"/>
    </w:rPr>
  </w:style>
  <w:style w:type="character" w:customStyle="1" w:styleId="Heading3Char">
    <w:name w:val="Heading 3 Char"/>
    <w:basedOn w:val="DefaultParagraphFont"/>
    <w:link w:val="Heading3"/>
    <w:uiPriority w:val="9"/>
    <w:rsid w:val="00744BCE"/>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rsid w:val="00744B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4B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4B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B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B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BCE"/>
    <w:rPr>
      <w:rFonts w:eastAsiaTheme="majorEastAsia" w:cstheme="majorBidi"/>
      <w:color w:val="272727" w:themeColor="text1" w:themeTint="D8"/>
    </w:rPr>
  </w:style>
  <w:style w:type="paragraph" w:styleId="Title">
    <w:name w:val="Title"/>
    <w:basedOn w:val="Normal"/>
    <w:next w:val="Normal"/>
    <w:link w:val="TitleChar"/>
    <w:uiPriority w:val="10"/>
    <w:qFormat/>
    <w:rsid w:val="00744BC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44BC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44BC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44BC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44BCE"/>
    <w:pPr>
      <w:spacing w:before="160"/>
      <w:jc w:val="center"/>
    </w:pPr>
    <w:rPr>
      <w:i/>
      <w:iCs/>
      <w:color w:val="404040" w:themeColor="text1" w:themeTint="BF"/>
    </w:rPr>
  </w:style>
  <w:style w:type="character" w:customStyle="1" w:styleId="QuoteChar">
    <w:name w:val="Quote Char"/>
    <w:basedOn w:val="DefaultParagraphFont"/>
    <w:link w:val="Quote"/>
    <w:uiPriority w:val="29"/>
    <w:rsid w:val="00744BCE"/>
    <w:rPr>
      <w:rFonts w:ascii="Times New Roman" w:hAnsi="Times New Roman"/>
      <w:i/>
      <w:iCs/>
      <w:color w:val="404040" w:themeColor="text1" w:themeTint="BF"/>
    </w:rPr>
  </w:style>
  <w:style w:type="paragraph" w:styleId="ListParagraph">
    <w:name w:val="List Paragraph"/>
    <w:basedOn w:val="Normal"/>
    <w:uiPriority w:val="34"/>
    <w:qFormat/>
    <w:rsid w:val="00744BCE"/>
    <w:pPr>
      <w:ind w:left="720"/>
      <w:contextualSpacing/>
    </w:pPr>
  </w:style>
  <w:style w:type="character" w:styleId="IntenseEmphasis">
    <w:name w:val="Intense Emphasis"/>
    <w:basedOn w:val="DefaultParagraphFont"/>
    <w:uiPriority w:val="21"/>
    <w:qFormat/>
    <w:rsid w:val="00744BCE"/>
    <w:rPr>
      <w:i/>
      <w:iCs/>
      <w:color w:val="2F5496" w:themeColor="accent1" w:themeShade="BF"/>
    </w:rPr>
  </w:style>
  <w:style w:type="paragraph" w:styleId="IntenseQuote">
    <w:name w:val="Intense Quote"/>
    <w:basedOn w:val="Normal"/>
    <w:next w:val="Normal"/>
    <w:link w:val="IntenseQuoteChar"/>
    <w:uiPriority w:val="30"/>
    <w:qFormat/>
    <w:rsid w:val="00744B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4BCE"/>
    <w:rPr>
      <w:rFonts w:ascii="Times New Roman" w:hAnsi="Times New Roman"/>
      <w:i/>
      <w:iCs/>
      <w:color w:val="2F5496" w:themeColor="accent1" w:themeShade="BF"/>
    </w:rPr>
  </w:style>
  <w:style w:type="character" w:styleId="IntenseReference">
    <w:name w:val="Intense Reference"/>
    <w:basedOn w:val="DefaultParagraphFont"/>
    <w:uiPriority w:val="32"/>
    <w:qFormat/>
    <w:rsid w:val="00744BCE"/>
    <w:rPr>
      <w:b/>
      <w:bCs/>
      <w:smallCaps/>
      <w:color w:val="2F5496" w:themeColor="accent1" w:themeShade="BF"/>
      <w:spacing w:val="5"/>
    </w:rPr>
  </w:style>
  <w:style w:type="paragraph" w:styleId="Header">
    <w:name w:val="header"/>
    <w:basedOn w:val="Normal"/>
    <w:link w:val="HeaderChar"/>
    <w:uiPriority w:val="99"/>
    <w:unhideWhenUsed/>
    <w:rsid w:val="00FE4C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C0C"/>
    <w:rPr>
      <w:rFonts w:ascii="Times New Roman" w:hAnsi="Times New Roman"/>
    </w:rPr>
  </w:style>
  <w:style w:type="paragraph" w:styleId="Footer">
    <w:name w:val="footer"/>
    <w:basedOn w:val="Normal"/>
    <w:link w:val="FooterChar"/>
    <w:uiPriority w:val="99"/>
    <w:unhideWhenUsed/>
    <w:rsid w:val="00FE4C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C0C"/>
    <w:rPr>
      <w:rFonts w:ascii="Times New Roman" w:hAnsi="Times New Roman"/>
    </w:rPr>
  </w:style>
  <w:style w:type="paragraph" w:styleId="TOCHeading">
    <w:name w:val="TOC Heading"/>
    <w:basedOn w:val="Heading1"/>
    <w:next w:val="Normal"/>
    <w:uiPriority w:val="39"/>
    <w:unhideWhenUsed/>
    <w:qFormat/>
    <w:rsid w:val="00FE4C0C"/>
    <w:pPr>
      <w:spacing w:after="0" w:line="259" w:lineRule="auto"/>
      <w:jc w:val="left"/>
      <w:outlineLvl w:val="9"/>
    </w:pPr>
    <w:rPr>
      <w:rFonts w:asciiTheme="majorHAnsi" w:hAnsiTheme="majorHAnsi"/>
      <w:b w:val="0"/>
      <w:kern w:val="0"/>
      <w:szCs w:val="32"/>
      <w:lang w:eastAsia="en-GB"/>
      <w14:ligatures w14:val="none"/>
    </w:rPr>
  </w:style>
  <w:style w:type="table" w:styleId="TableGrid">
    <w:name w:val="Table Grid"/>
    <w:basedOn w:val="TableNormal"/>
    <w:uiPriority w:val="39"/>
    <w:rsid w:val="00A718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162F1"/>
    <w:rPr>
      <w:color w:val="0563C1" w:themeColor="hyperlink"/>
      <w:u w:val="single"/>
    </w:rPr>
  </w:style>
  <w:style w:type="character" w:styleId="FollowedHyperlink">
    <w:name w:val="FollowedHyperlink"/>
    <w:basedOn w:val="DefaultParagraphFont"/>
    <w:uiPriority w:val="99"/>
    <w:semiHidden/>
    <w:unhideWhenUsed/>
    <w:rsid w:val="005162F1"/>
    <w:rPr>
      <w:color w:val="954F72" w:themeColor="followedHyperlink"/>
      <w:u w:val="single"/>
    </w:rPr>
  </w:style>
  <w:style w:type="paragraph" w:styleId="TOC1">
    <w:name w:val="toc 1"/>
    <w:basedOn w:val="Normal"/>
    <w:next w:val="Normal"/>
    <w:autoRedefine/>
    <w:uiPriority w:val="39"/>
    <w:unhideWhenUsed/>
    <w:rsid w:val="007405F2"/>
    <w:pPr>
      <w:spacing w:after="100"/>
    </w:pPr>
  </w:style>
  <w:style w:type="paragraph" w:styleId="TOC2">
    <w:name w:val="toc 2"/>
    <w:basedOn w:val="Normal"/>
    <w:next w:val="Normal"/>
    <w:autoRedefine/>
    <w:uiPriority w:val="39"/>
    <w:unhideWhenUsed/>
    <w:rsid w:val="007405F2"/>
    <w:pPr>
      <w:spacing w:after="100"/>
      <w:ind w:left="240"/>
    </w:pPr>
  </w:style>
  <w:style w:type="paragraph" w:styleId="TOC3">
    <w:name w:val="toc 3"/>
    <w:basedOn w:val="Normal"/>
    <w:next w:val="Normal"/>
    <w:autoRedefine/>
    <w:uiPriority w:val="39"/>
    <w:unhideWhenUsed/>
    <w:rsid w:val="007405F2"/>
    <w:pPr>
      <w:spacing w:after="100"/>
      <w:ind w:left="480"/>
    </w:pPr>
  </w:style>
  <w:style w:type="character" w:styleId="UnresolvedMention">
    <w:name w:val="Unresolved Mention"/>
    <w:basedOn w:val="DefaultParagraphFont"/>
    <w:uiPriority w:val="99"/>
    <w:semiHidden/>
    <w:unhideWhenUsed/>
    <w:rsid w:val="004B43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3.emf"/><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package" Target="embeddings/Microsoft_Word_Document.doc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package" Target="embeddings/Microsoft_Word_Document10.docx"/><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4.emf"/><Relationship Id="rId10" Type="http://schemas.openxmlformats.org/officeDocument/2006/relationships/chart" Target="charts/chart1.xml"/><Relationship Id="rId19"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5.xml"/><Relationship Id="rId22" Type="http://schemas.openxmlformats.org/officeDocument/2006/relationships/package" Target="embeddings/Microsoft_Word_Document9.docx"/><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0.00%</c:formatCode>
                <c:ptCount val="2"/>
                <c:pt idx="0">
                  <c:v>7.2999999999999995E-2</c:v>
                </c:pt>
                <c:pt idx="1">
                  <c:v>2E-3</c:v>
                </c:pt>
              </c:numCache>
            </c:numRef>
          </c:val>
          <c:extLst>
            <c:ext xmlns:c16="http://schemas.microsoft.com/office/drawing/2014/chart" uri="{C3380CC4-5D6E-409C-BE32-E72D297353CC}">
              <c16:uniqueId val="{00000000-0306-4491-B467-1292CFCACDD7}"/>
            </c:ext>
          </c:extLst>
        </c:ser>
        <c:dLbls>
          <c:dLblPos val="outEnd"/>
          <c:showLegendKey val="0"/>
          <c:showVal val="1"/>
          <c:showCatName val="0"/>
          <c:showSerName val="0"/>
          <c:showPercent val="0"/>
          <c:showBubbleSize val="0"/>
        </c:dLbls>
        <c:gapWidth val="219"/>
        <c:overlap val="-27"/>
        <c:axId val="1870723648"/>
        <c:axId val="1870714528"/>
      </c:barChart>
      <c:catAx>
        <c:axId val="1870723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714528"/>
        <c:crosses val="autoZero"/>
        <c:auto val="1"/>
        <c:lblAlgn val="ctr"/>
        <c:lblOffset val="100"/>
        <c:noMultiLvlLbl val="0"/>
      </c:catAx>
      <c:valAx>
        <c:axId val="18707145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7236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0.00%</c:formatCode>
                <c:ptCount val="2"/>
                <c:pt idx="0">
                  <c:v>0.21690000000000001</c:v>
                </c:pt>
                <c:pt idx="1">
                  <c:v>6.4000000000000003E-3</c:v>
                </c:pt>
              </c:numCache>
            </c:numRef>
          </c:val>
          <c:extLst>
            <c:ext xmlns:c16="http://schemas.microsoft.com/office/drawing/2014/chart" uri="{C3380CC4-5D6E-409C-BE32-E72D297353CC}">
              <c16:uniqueId val="{00000000-B2D7-4C86-8CAC-C214064ACEF9}"/>
            </c:ext>
          </c:extLst>
        </c:ser>
        <c:dLbls>
          <c:dLblPos val="outEnd"/>
          <c:showLegendKey val="0"/>
          <c:showVal val="1"/>
          <c:showCatName val="0"/>
          <c:showSerName val="0"/>
          <c:showPercent val="0"/>
          <c:showBubbleSize val="0"/>
        </c:dLbls>
        <c:gapWidth val="219"/>
        <c:overlap val="-27"/>
        <c:axId val="1870723648"/>
        <c:axId val="1870714528"/>
      </c:barChart>
      <c:catAx>
        <c:axId val="1870723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714528"/>
        <c:crosses val="autoZero"/>
        <c:auto val="1"/>
        <c:lblAlgn val="ctr"/>
        <c:lblOffset val="100"/>
        <c:noMultiLvlLbl val="0"/>
      </c:catAx>
      <c:valAx>
        <c:axId val="18707145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07236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1.21</c:v>
                </c:pt>
                <c:pt idx="1">
                  <c:v>1.25</c:v>
                </c:pt>
              </c:numCache>
            </c:numRef>
          </c:val>
          <c:extLst>
            <c:ext xmlns:c16="http://schemas.microsoft.com/office/drawing/2014/chart" uri="{C3380CC4-5D6E-409C-BE32-E72D297353CC}">
              <c16:uniqueId val="{00000000-DEDD-4369-88F7-406E4B04CC6A}"/>
            </c:ext>
          </c:extLst>
        </c:ser>
        <c:dLbls>
          <c:dLblPos val="outEnd"/>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0.94</c:v>
                </c:pt>
                <c:pt idx="1">
                  <c:v>0.97</c:v>
                </c:pt>
              </c:numCache>
            </c:numRef>
          </c:val>
          <c:extLst>
            <c:ext xmlns:c16="http://schemas.microsoft.com/office/drawing/2014/chart" uri="{C3380CC4-5D6E-409C-BE32-E72D297353CC}">
              <c16:uniqueId val="{00000000-606B-494F-A67D-F1EE9678C5BE}"/>
            </c:ext>
          </c:extLst>
        </c:ser>
        <c:dLbls>
          <c:dLblPos val="outEnd"/>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0.75</c:v>
                </c:pt>
                <c:pt idx="1">
                  <c:v>0.67</c:v>
                </c:pt>
              </c:numCache>
            </c:numRef>
          </c:val>
          <c:extLst>
            <c:ext xmlns:c16="http://schemas.microsoft.com/office/drawing/2014/chart" uri="{C3380CC4-5D6E-409C-BE32-E72D297353CC}">
              <c16:uniqueId val="{00000000-7F64-4EF1-9312-EF8C3C19DDF5}"/>
            </c:ext>
          </c:extLst>
        </c:ser>
        <c:dLbls>
          <c:dLblPos val="outEnd"/>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0.61</c:v>
                </c:pt>
                <c:pt idx="1">
                  <c:v>0.76</c:v>
                </c:pt>
              </c:numCache>
            </c:numRef>
          </c:val>
          <c:extLst>
            <c:ext xmlns:c16="http://schemas.microsoft.com/office/drawing/2014/chart" uri="{C3380CC4-5D6E-409C-BE32-E72D297353CC}">
              <c16:uniqueId val="{00000000-D44C-4F7F-92D9-E60CE33FDD28}"/>
            </c:ext>
          </c:extLst>
        </c:ser>
        <c:dLbls>
          <c:dLblPos val="outEnd"/>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0.19</c:v>
                </c:pt>
                <c:pt idx="1">
                  <c:v>0.21</c:v>
                </c:pt>
              </c:numCache>
            </c:numRef>
          </c:val>
          <c:extLst>
            <c:ext xmlns:c16="http://schemas.microsoft.com/office/drawing/2014/chart" uri="{C3380CC4-5D6E-409C-BE32-E72D297353CC}">
              <c16:uniqueId val="{00000000-29CE-4274-8991-86E12B85E2B3}"/>
            </c:ext>
          </c:extLst>
        </c:ser>
        <c:dLbls>
          <c:dLblPos val="outEnd"/>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c:v>87.78</c:v>
                </c:pt>
                <c:pt idx="1">
                  <c:v>2.38</c:v>
                </c:pt>
              </c:numCache>
            </c:numRef>
          </c:val>
          <c:extLst>
            <c:ext xmlns:c16="http://schemas.microsoft.com/office/drawing/2014/chart" uri="{C3380CC4-5D6E-409C-BE32-E72D297353CC}">
              <c16:uniqueId val="{00000000-D424-469B-93D4-C651898CDB01}"/>
            </c:ext>
          </c:extLst>
        </c:ser>
        <c:dLbls>
          <c:dLblPos val="outEnd"/>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c:f>
              <c:numCache>
                <c:formatCode>General</c:formatCode>
                <c:ptCount val="2"/>
                <c:pt idx="0">
                  <c:v>2023</c:v>
                </c:pt>
                <c:pt idx="1">
                  <c:v>2024</c:v>
                </c:pt>
              </c:numCache>
            </c:numRef>
          </c:cat>
          <c:val>
            <c:numRef>
              <c:f>Sheet1!$B$2:$B$3</c:f>
              <c:numCache>
                <c:formatCode>General</c:formatCode>
                <c:ptCount val="2"/>
                <c:pt idx="0" formatCode="#,##0">
                  <c:v>4809</c:v>
                </c:pt>
                <c:pt idx="1">
                  <c:v>5003</c:v>
                </c:pt>
              </c:numCache>
            </c:numRef>
          </c:val>
          <c:extLst>
            <c:ext xmlns:c16="http://schemas.microsoft.com/office/drawing/2014/chart" uri="{C3380CC4-5D6E-409C-BE32-E72D297353CC}">
              <c16:uniqueId val="{00000000-5315-4111-8449-7C32A5825D74}"/>
            </c:ext>
          </c:extLst>
        </c:ser>
        <c:dLbls>
          <c:dLblPos val="outEnd"/>
          <c:showLegendKey val="0"/>
          <c:showVal val="1"/>
          <c:showCatName val="0"/>
          <c:showSerName val="0"/>
          <c:showPercent val="0"/>
          <c:showBubbleSize val="0"/>
        </c:dLbls>
        <c:gapWidth val="219"/>
        <c:overlap val="-27"/>
        <c:axId val="1137705728"/>
        <c:axId val="1137702368"/>
      </c:barChart>
      <c:catAx>
        <c:axId val="1137705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2368"/>
        <c:crosses val="autoZero"/>
        <c:auto val="1"/>
        <c:lblAlgn val="ctr"/>
        <c:lblOffset val="100"/>
        <c:noMultiLvlLbl val="0"/>
      </c:catAx>
      <c:valAx>
        <c:axId val="113770236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77057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4086C-05C7-4613-96DB-3BB292927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6354</Words>
  <Characters>36220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42490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2025-12-23T19:07:00Z</dcterms:created>
  <dcterms:modified xsi:type="dcterms:W3CDTF">2026-03-20T11:10:00Z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ea19ea3d-890a-4408-8ca6-c4a7cbc8bb6f</vt:lpwstr>
  </property>
</Properties>
</file>