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347684652"/>
        <w:docPartObj>
          <w:docPartGallery w:val="Cover Pages"/>
          <w:docPartUnique/>
        </w:docPartObj>
      </w:sdtPr>
      <w:sdtEndPr>
        <w:rPr>
          <w:color w:val="auto"/>
          <w:kern w:val="2"/>
          <w:sz w:val="26"/>
          <w:szCs w:val="26"/>
          <w14:ligatures w14:val="standardContextual"/>
        </w:rPr>
      </w:sdtEndPr>
      <w:sdtContent>
        <w:p w14:paraId="7BD659EB" w14:textId="0540F603" w:rsidR="002534ED" w:rsidRDefault="002534ED">
          <w:pPr>
            <w:pStyle w:val="NoSpacing"/>
            <w:spacing w:before="1540" w:after="240"/>
            <w:jc w:val="center"/>
            <w:rPr>
              <w:color w:val="4472C4" w:themeColor="accent1"/>
            </w:rPr>
          </w:pPr>
          <w:r>
            <w:rPr>
              <w:noProof/>
              <w:color w:val="4472C4" w:themeColor="accent1"/>
            </w:rPr>
            <w:drawing>
              <wp:inline distT="0" distB="0" distL="0" distR="0" wp14:anchorId="6BEC01F7" wp14:editId="581454A5">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EF4563C" w14:textId="202284F6" w:rsidR="002534ED" w:rsidRDefault="002534ED" w:rsidP="00253472">
          <w:pPr>
            <w:jc w:val="center"/>
            <w:rPr>
              <w:sz w:val="26"/>
              <w:szCs w:val="26"/>
            </w:rPr>
          </w:pPr>
          <w:sdt>
            <w:sdtPr>
              <w:rPr>
                <w:rFonts w:asciiTheme="majorHAnsi" w:eastAsiaTheme="majorEastAsia" w:hAnsiTheme="majorHAnsi" w:cstheme="majorBidi"/>
                <w:caps/>
                <w:color w:val="4472C4" w:themeColor="accent1"/>
                <w:sz w:val="72"/>
                <w:szCs w:val="72"/>
              </w:rPr>
              <w:alias w:val="Title"/>
              <w:tag w:val=""/>
              <w:id w:val="1735040861"/>
              <w:placeholder>
                <w:docPart w:val="D8901440530541B3A7E4D95881909C1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Pr>
                  <w:rFonts w:asciiTheme="majorHAnsi" w:eastAsiaTheme="majorEastAsia" w:hAnsiTheme="majorHAnsi" w:cstheme="majorBidi"/>
                  <w:caps/>
                  <w:color w:val="4472C4" w:themeColor="accent1"/>
                  <w:sz w:val="72"/>
                  <w:szCs w:val="72"/>
                </w:rPr>
                <w:t>Is Criminal behaviour innate or shaped by environment</w:t>
              </w:r>
              <w:r w:rsidR="00145C32">
                <w:rPr>
                  <w:rFonts w:asciiTheme="majorHAnsi" w:eastAsiaTheme="majorEastAsia" w:hAnsiTheme="majorHAnsi" w:cstheme="majorBidi"/>
                  <w:caps/>
                  <w:color w:val="4472C4" w:themeColor="accent1"/>
                  <w:sz w:val="72"/>
                  <w:szCs w:val="72"/>
                </w:rPr>
                <w:t xml:space="preserve">-supporting </w:t>
              </w:r>
              <w:r w:rsidR="00253472">
                <w:rPr>
                  <w:rFonts w:asciiTheme="majorHAnsi" w:eastAsiaTheme="majorEastAsia" w:hAnsiTheme="majorHAnsi" w:cstheme="majorBidi"/>
                  <w:caps/>
                  <w:color w:val="4472C4" w:themeColor="accent1"/>
                  <w:sz w:val="72"/>
                  <w:szCs w:val="72"/>
                </w:rPr>
                <w:t xml:space="preserve">        </w:t>
              </w:r>
              <w:r w:rsidR="00145C32">
                <w:rPr>
                  <w:rFonts w:asciiTheme="majorHAnsi" w:eastAsiaTheme="majorEastAsia" w:hAnsiTheme="majorHAnsi" w:cstheme="majorBidi"/>
                  <w:caps/>
                  <w:color w:val="4472C4" w:themeColor="accent1"/>
                  <w:sz w:val="72"/>
                  <w:szCs w:val="72"/>
                </w:rPr>
                <w:t>paper</w:t>
              </w:r>
            </w:sdtContent>
          </w:sdt>
        </w:p>
        <w:p w14:paraId="694476FE" w14:textId="1F6B5B4C" w:rsidR="002534ED" w:rsidRDefault="00145C3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80"/>
              <w:szCs w:val="80"/>
            </w:rPr>
            <w:t>Kyran woods 2006771</w:t>
          </w:r>
        </w:p>
        <w:sdt>
          <w:sdtPr>
            <w:rPr>
              <w:color w:val="4472C4" w:themeColor="accent1"/>
              <w:sz w:val="28"/>
              <w:szCs w:val="28"/>
            </w:rPr>
            <w:alias w:val="Subtitle"/>
            <w:tag w:val=""/>
            <w:id w:val="328029620"/>
            <w:placeholder>
              <w:docPart w:val="81EF9575B40446DD81D4C4F51041B89B"/>
            </w:placeholder>
            <w:dataBinding w:prefixMappings="xmlns:ns0='http://purl.org/dc/elements/1.1/' xmlns:ns1='http://schemas.openxmlformats.org/package/2006/metadata/core-properties' " w:xpath="/ns1:coreProperties[1]/ns0:subject[1]" w:storeItemID="{6C3C8BC8-F283-45AE-878A-BAB7291924A1}"/>
            <w:text/>
          </w:sdtPr>
          <w:sdtContent>
            <w:p w14:paraId="0295DA66" w14:textId="1E801420" w:rsidR="002534ED" w:rsidRDefault="00253472">
              <w:pPr>
                <w:pStyle w:val="NoSpacing"/>
                <w:jc w:val="center"/>
                <w:rPr>
                  <w:color w:val="4472C4" w:themeColor="accent1"/>
                  <w:sz w:val="28"/>
                  <w:szCs w:val="28"/>
                </w:rPr>
              </w:pPr>
              <w:r>
                <w:rPr>
                  <w:color w:val="4472C4" w:themeColor="accent1"/>
                  <w:sz w:val="28"/>
                  <w:szCs w:val="28"/>
                </w:rPr>
                <w:t>BMLW5013</w:t>
              </w:r>
            </w:p>
          </w:sdtContent>
        </w:sdt>
        <w:p w14:paraId="49E832A7" w14:textId="77777777" w:rsidR="002534ED" w:rsidRDefault="002534E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F0017C8" wp14:editId="619D255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5C680413" w14:textId="36F4F912" w:rsidR="002534ED" w:rsidRDefault="00253472" w:rsidP="00253472">
                                    <w:pPr>
                                      <w:pStyle w:val="NoSpacing"/>
                                      <w:spacing w:after="40"/>
                                      <w:rPr>
                                        <w:caps/>
                                        <w:color w:val="4472C4" w:themeColor="accent1"/>
                                        <w:sz w:val="28"/>
                                        <w:szCs w:val="28"/>
                                      </w:rPr>
                                    </w:pPr>
                                    <w:r>
                                      <w:rPr>
                                        <w:caps/>
                                        <w:color w:val="4472C4" w:themeColor="accent1"/>
                                        <w:sz w:val="28"/>
                                        <w:szCs w:val="28"/>
                                      </w:rPr>
                                      <w:t xml:space="preserve">     </w:t>
                                    </w:r>
                                  </w:p>
                                </w:sdtContent>
                              </w:sdt>
                              <w:p w14:paraId="1D71373A" w14:textId="2A61ADE0" w:rsidR="002534ED" w:rsidRDefault="002534ED">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253472">
                                      <w:rPr>
                                        <w:caps/>
                                        <w:color w:val="4472C4" w:themeColor="accent1"/>
                                      </w:rPr>
                                      <w:t xml:space="preserve">     </w:t>
                                    </w:r>
                                  </w:sdtContent>
                                </w:sdt>
                              </w:p>
                              <w:p w14:paraId="1B607C3F" w14:textId="79682DC8" w:rsidR="002534ED" w:rsidRDefault="002534ED" w:rsidP="00253472">
                                <w:pPr>
                                  <w:pStyle w:val="NoSpacing"/>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253472">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F0017C8"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5C680413" w14:textId="36F4F912" w:rsidR="002534ED" w:rsidRDefault="00253472" w:rsidP="00253472">
                              <w:pPr>
                                <w:pStyle w:val="NoSpacing"/>
                                <w:spacing w:after="40"/>
                                <w:rPr>
                                  <w:caps/>
                                  <w:color w:val="4472C4" w:themeColor="accent1"/>
                                  <w:sz w:val="28"/>
                                  <w:szCs w:val="28"/>
                                </w:rPr>
                              </w:pPr>
                              <w:r>
                                <w:rPr>
                                  <w:caps/>
                                  <w:color w:val="4472C4" w:themeColor="accent1"/>
                                  <w:sz w:val="28"/>
                                  <w:szCs w:val="28"/>
                                </w:rPr>
                                <w:t xml:space="preserve">     </w:t>
                              </w:r>
                            </w:p>
                          </w:sdtContent>
                        </w:sdt>
                        <w:p w14:paraId="1D71373A" w14:textId="2A61ADE0" w:rsidR="002534ED" w:rsidRDefault="002534ED">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253472">
                                <w:rPr>
                                  <w:caps/>
                                  <w:color w:val="4472C4" w:themeColor="accent1"/>
                                </w:rPr>
                                <w:t xml:space="preserve">     </w:t>
                              </w:r>
                            </w:sdtContent>
                          </w:sdt>
                        </w:p>
                        <w:p w14:paraId="1B607C3F" w14:textId="79682DC8" w:rsidR="002534ED" w:rsidRDefault="002534ED" w:rsidP="00253472">
                          <w:pPr>
                            <w:pStyle w:val="NoSpacing"/>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253472">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64ADE0E7" wp14:editId="7D99F281">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C3C8CD1" w14:textId="50F12CC3" w:rsidR="002534ED" w:rsidRDefault="002534ED">
          <w:pPr>
            <w:rPr>
              <w:sz w:val="26"/>
              <w:szCs w:val="26"/>
            </w:rPr>
          </w:pPr>
          <w:r>
            <w:rPr>
              <w:sz w:val="26"/>
              <w:szCs w:val="26"/>
            </w:rPr>
            <w:br w:type="page"/>
          </w:r>
        </w:p>
      </w:sdtContent>
    </w:sdt>
    <w:p w14:paraId="0798934E" w14:textId="77777777" w:rsidR="008B322E" w:rsidRDefault="008B322E">
      <w:pPr>
        <w:rPr>
          <w:sz w:val="26"/>
          <w:szCs w:val="26"/>
        </w:rPr>
      </w:pPr>
    </w:p>
    <w:p w14:paraId="6185FEE5" w14:textId="77777777" w:rsidR="00904D17" w:rsidRDefault="00904D17">
      <w:pPr>
        <w:rPr>
          <w:sz w:val="26"/>
          <w:szCs w:val="26"/>
        </w:rPr>
      </w:pPr>
    </w:p>
    <w:p w14:paraId="6D95C59A" w14:textId="77777777" w:rsidR="00904D17" w:rsidRDefault="00904D17">
      <w:pPr>
        <w:rPr>
          <w:sz w:val="26"/>
          <w:szCs w:val="26"/>
        </w:rPr>
      </w:pPr>
    </w:p>
    <w:p w14:paraId="6AAFCEA8" w14:textId="77777777" w:rsidR="00904D17" w:rsidRDefault="00904D17">
      <w:pPr>
        <w:rPr>
          <w:sz w:val="26"/>
          <w:szCs w:val="26"/>
        </w:rPr>
      </w:pPr>
    </w:p>
    <w:p w14:paraId="5EE43E77" w14:textId="649E39E7" w:rsidR="00904D17" w:rsidRDefault="00FF7549" w:rsidP="00B4533E">
      <w:pPr>
        <w:spacing w:line="360" w:lineRule="auto"/>
        <w:jc w:val="both"/>
        <w:rPr>
          <w:sz w:val="26"/>
          <w:szCs w:val="26"/>
        </w:rPr>
      </w:pPr>
      <w:r>
        <w:rPr>
          <w:sz w:val="26"/>
          <w:szCs w:val="26"/>
        </w:rPr>
        <w:t>Criminal behaviour is generally defined that an individual is engaging in behaviour that could be the cause of harassment, distress or alarm. There are several theories in which criminal behaviour is determined and shaped in criminal individuals. Environment is a key factor in the participation of crime in juveniles and young people</w:t>
      </w:r>
      <w:r w:rsidR="00782538">
        <w:rPr>
          <w:sz w:val="26"/>
          <w:szCs w:val="26"/>
        </w:rPr>
        <w:t xml:space="preserve">. D S Elliott, states that the majority of violent behaviour is a learned behaviour which indicates that those growing up in poorer environments such as council estates and areas where there is a smaller police presence would lead to the increase of crime. In an article published by the independent, found that if a child by the age of ten had witnessed a parent be imprisoned that there was an increased chance </w:t>
      </w:r>
      <w:r w:rsidR="00BA43F6">
        <w:rPr>
          <w:sz w:val="26"/>
          <w:szCs w:val="26"/>
        </w:rPr>
        <w:t>of,</w:t>
      </w:r>
      <w:r w:rsidR="00782538">
        <w:rPr>
          <w:sz w:val="26"/>
          <w:szCs w:val="26"/>
        </w:rPr>
        <w:t xml:space="preserve"> they themselves becoming incarcerated at some point within their life</w:t>
      </w:r>
      <w:r w:rsidR="00BA43F6">
        <w:rPr>
          <w:sz w:val="26"/>
          <w:szCs w:val="26"/>
        </w:rPr>
        <w:t xml:space="preserve">. This indicates that through the environment is where young children generally learn their behavioural patterns and end up being convicted of a crime themselves. Crime rates in cities for examples are much higher than that of those in rural areas. Stated in a study by the UK government in </w:t>
      </w:r>
      <w:r w:rsidR="00965D06">
        <w:rPr>
          <w:sz w:val="26"/>
          <w:szCs w:val="26"/>
        </w:rPr>
        <w:t>that criminal offences were massively reduced within rural areas than their urban counterparts. This would go to show that where there are larger masses of people led to higher rates of crime. Rational choice theory explains that where the is a benefit that might outweigh the potential negative cost. This means that in areas where there’s a high population density there is ultimately less security thus, the benefits start to outweigh the costs</w:t>
      </w:r>
      <w:r w:rsidR="006D7464">
        <w:rPr>
          <w:sz w:val="26"/>
          <w:szCs w:val="26"/>
        </w:rPr>
        <w:t xml:space="preserve">, such as if a car was parked on the street versus a garage a potential thief would be more inclined to steal the car from the street due to the reduced security and the easier target of not having to break into a building. Biological factors are also a key factor in whether one commits crime or avoids crime. Cesare Lombroso in his book the criminal man, specified that people were born as criminals and that they had certain characteristics that made them criminals. His theory was generally linked with the way certain people looked, and that they were essentially a different </w:t>
      </w:r>
      <w:r w:rsidR="006D7464">
        <w:rPr>
          <w:sz w:val="26"/>
          <w:szCs w:val="26"/>
        </w:rPr>
        <w:lastRenderedPageBreak/>
        <w:t xml:space="preserve">type of human and that they had Atavistic </w:t>
      </w:r>
      <w:r w:rsidR="009673F7">
        <w:rPr>
          <w:sz w:val="26"/>
          <w:szCs w:val="26"/>
        </w:rPr>
        <w:t>characteristics, such as long arms, hooked noses, large jaws and asymmetric faces, and that by having these traits they were criminals by nature. It has been found in various studies that certain genetic traits lead to an increased tendency to commit crimes, such as with the MAOA and having a</w:t>
      </w:r>
      <w:r w:rsidR="002E47CB">
        <w:rPr>
          <w:sz w:val="26"/>
          <w:szCs w:val="26"/>
        </w:rPr>
        <w:t>n</w:t>
      </w:r>
      <w:r w:rsidR="009673F7">
        <w:rPr>
          <w:sz w:val="26"/>
          <w:szCs w:val="26"/>
        </w:rPr>
        <w:t xml:space="preserve"> increased risk to commit violence due to the fact that it helps regulates dopamine and serotonin influencing brain functions. People with a low activity </w:t>
      </w:r>
      <w:r w:rsidR="002E47CB">
        <w:rPr>
          <w:sz w:val="26"/>
          <w:szCs w:val="26"/>
        </w:rPr>
        <w:t xml:space="preserve">MAOA variant also known as the ‘warrior gene’ showed an increased sense of aggression and violence. With up to 13 times more likelihood of committing a violent act if you have this mutated gene. Molecular Psychiatry found that at least 5-10% of violent crime within Finland could be contributed to people with the MAOA variant. However, just having this gene does not make you predisposed </w:t>
      </w:r>
      <w:r w:rsidR="00D6717E">
        <w:rPr>
          <w:sz w:val="26"/>
          <w:szCs w:val="26"/>
        </w:rPr>
        <w:t xml:space="preserve">to </w:t>
      </w:r>
      <w:r w:rsidR="00602887">
        <w:rPr>
          <w:sz w:val="26"/>
          <w:szCs w:val="26"/>
        </w:rPr>
        <w:t xml:space="preserve">becoming a criminal. CDH13 is also another gene linked </w:t>
      </w:r>
      <w:r w:rsidR="003E56B1">
        <w:rPr>
          <w:sz w:val="26"/>
          <w:szCs w:val="26"/>
        </w:rPr>
        <w:t>to violent behaviour</w:t>
      </w:r>
      <w:r w:rsidR="009C0CA9">
        <w:rPr>
          <w:sz w:val="26"/>
          <w:szCs w:val="26"/>
        </w:rPr>
        <w:t xml:space="preserve"> and crime. </w:t>
      </w:r>
      <w:r w:rsidR="00661E70">
        <w:rPr>
          <w:sz w:val="26"/>
          <w:szCs w:val="26"/>
        </w:rPr>
        <w:t xml:space="preserve">Those who have already committed crimes </w:t>
      </w:r>
      <w:r w:rsidR="00DA7546">
        <w:rPr>
          <w:sz w:val="26"/>
          <w:szCs w:val="26"/>
        </w:rPr>
        <w:t xml:space="preserve">and spent time in custody </w:t>
      </w:r>
      <w:r w:rsidR="00F6165E">
        <w:rPr>
          <w:sz w:val="26"/>
          <w:szCs w:val="26"/>
        </w:rPr>
        <w:t xml:space="preserve">are also likely to reoffend once they leave custody. </w:t>
      </w:r>
      <w:r w:rsidR="00AE7C2A">
        <w:rPr>
          <w:sz w:val="26"/>
          <w:szCs w:val="26"/>
        </w:rPr>
        <w:t xml:space="preserve">The government statistics show </w:t>
      </w:r>
      <w:r w:rsidR="00FE214C">
        <w:rPr>
          <w:sz w:val="26"/>
          <w:szCs w:val="26"/>
        </w:rPr>
        <w:t xml:space="preserve">that the overall offending rate was 24.3% </w:t>
      </w:r>
      <w:r w:rsidR="00EC2A86">
        <w:rPr>
          <w:sz w:val="26"/>
          <w:szCs w:val="26"/>
        </w:rPr>
        <w:t xml:space="preserve">and that it has fluctuated between 23.1% and </w:t>
      </w:r>
      <w:r w:rsidR="006757D5">
        <w:rPr>
          <w:sz w:val="26"/>
          <w:szCs w:val="26"/>
        </w:rPr>
        <w:t xml:space="preserve">31.8% this tends to show those who are within </w:t>
      </w:r>
      <w:r w:rsidR="00357535">
        <w:rPr>
          <w:sz w:val="26"/>
          <w:szCs w:val="26"/>
        </w:rPr>
        <w:t xml:space="preserve">the custodial system </w:t>
      </w:r>
      <w:r w:rsidR="008529CA">
        <w:rPr>
          <w:sz w:val="26"/>
          <w:szCs w:val="26"/>
        </w:rPr>
        <w:t xml:space="preserve">are at a high risk of reoffending once they leave prison. Criminals who receive shorter sentences </w:t>
      </w:r>
      <w:r w:rsidR="00C62A65">
        <w:rPr>
          <w:sz w:val="26"/>
          <w:szCs w:val="26"/>
        </w:rPr>
        <w:t xml:space="preserve">of 12 months or less </w:t>
      </w:r>
      <w:r w:rsidR="0097102A">
        <w:rPr>
          <w:sz w:val="26"/>
          <w:szCs w:val="26"/>
        </w:rPr>
        <w:t xml:space="preserve">are at an even greater </w:t>
      </w:r>
      <w:r w:rsidR="00B03B31">
        <w:rPr>
          <w:sz w:val="26"/>
          <w:szCs w:val="26"/>
        </w:rPr>
        <w:t xml:space="preserve">rate of reoffending </w:t>
      </w:r>
      <w:r w:rsidR="0073256F">
        <w:rPr>
          <w:sz w:val="26"/>
          <w:szCs w:val="26"/>
        </w:rPr>
        <w:t xml:space="preserve">of over 50% </w:t>
      </w:r>
      <w:r w:rsidR="00C62A65">
        <w:rPr>
          <w:sz w:val="26"/>
          <w:szCs w:val="26"/>
        </w:rPr>
        <w:t>at 5</w:t>
      </w:r>
      <w:r w:rsidR="00901D9F">
        <w:rPr>
          <w:sz w:val="26"/>
          <w:szCs w:val="26"/>
        </w:rPr>
        <w:t xml:space="preserve">3.9% this shows that shorter prison sentences are less effective </w:t>
      </w:r>
      <w:r w:rsidR="004B0862">
        <w:rPr>
          <w:sz w:val="26"/>
          <w:szCs w:val="26"/>
        </w:rPr>
        <w:t xml:space="preserve">and lead to criminals </w:t>
      </w:r>
      <w:r w:rsidR="005F2E26">
        <w:rPr>
          <w:sz w:val="26"/>
          <w:szCs w:val="26"/>
        </w:rPr>
        <w:t xml:space="preserve">offending again and being </w:t>
      </w:r>
      <w:r w:rsidR="00481A06">
        <w:rPr>
          <w:sz w:val="26"/>
          <w:szCs w:val="26"/>
        </w:rPr>
        <w:t xml:space="preserve">reincarcerated. </w:t>
      </w:r>
      <w:r w:rsidR="00FF1190">
        <w:rPr>
          <w:sz w:val="26"/>
          <w:szCs w:val="26"/>
        </w:rPr>
        <w:t xml:space="preserve">The prison environment doesn’t help </w:t>
      </w:r>
      <w:r w:rsidR="001B6D7B">
        <w:rPr>
          <w:sz w:val="26"/>
          <w:szCs w:val="26"/>
        </w:rPr>
        <w:t>rehabilitate incarcerated persons to the level it</w:t>
      </w:r>
      <w:r w:rsidR="00C359B8">
        <w:rPr>
          <w:sz w:val="26"/>
          <w:szCs w:val="26"/>
        </w:rPr>
        <w:t xml:space="preserve"> should as those who offend are almost just as likely to offend again once they leave the prison</w:t>
      </w:r>
      <w:r w:rsidR="00C66142">
        <w:rPr>
          <w:sz w:val="26"/>
          <w:szCs w:val="26"/>
        </w:rPr>
        <w:t xml:space="preserve">. </w:t>
      </w:r>
      <w:r w:rsidR="00793F1C">
        <w:rPr>
          <w:sz w:val="26"/>
          <w:szCs w:val="26"/>
        </w:rPr>
        <w:t>Ultimately, criminal behav</w:t>
      </w:r>
      <w:r w:rsidR="00B933E6">
        <w:rPr>
          <w:sz w:val="26"/>
          <w:szCs w:val="26"/>
        </w:rPr>
        <w:t xml:space="preserve">iour </w:t>
      </w:r>
      <w:r w:rsidR="00916EE4">
        <w:rPr>
          <w:sz w:val="26"/>
          <w:szCs w:val="26"/>
        </w:rPr>
        <w:t xml:space="preserve">is both innate and shaped by the environment. </w:t>
      </w:r>
      <w:r w:rsidR="00FF4180">
        <w:rPr>
          <w:sz w:val="26"/>
          <w:szCs w:val="26"/>
        </w:rPr>
        <w:t xml:space="preserve">This is due to the fact that a lot of behaviour and how we act is learned from out peers and family members. </w:t>
      </w:r>
      <w:r w:rsidR="00501F67">
        <w:rPr>
          <w:sz w:val="26"/>
          <w:szCs w:val="26"/>
        </w:rPr>
        <w:t xml:space="preserve">The local environment that surrounds </w:t>
      </w:r>
      <w:r w:rsidR="00362E1B">
        <w:rPr>
          <w:sz w:val="26"/>
          <w:szCs w:val="26"/>
        </w:rPr>
        <w:t xml:space="preserve">us </w:t>
      </w:r>
      <w:r w:rsidR="005F4E42">
        <w:rPr>
          <w:sz w:val="26"/>
          <w:szCs w:val="26"/>
        </w:rPr>
        <w:t>is what shapes our personality as we learn what’s right and what’s</w:t>
      </w:r>
      <w:r w:rsidR="00C32DDB">
        <w:rPr>
          <w:sz w:val="26"/>
          <w:szCs w:val="26"/>
        </w:rPr>
        <w:t xml:space="preserve"> wrong</w:t>
      </w:r>
      <w:r w:rsidR="00B91231">
        <w:rPr>
          <w:sz w:val="26"/>
          <w:szCs w:val="26"/>
        </w:rPr>
        <w:t xml:space="preserve"> from peers and other members of our family. However, </w:t>
      </w:r>
      <w:r w:rsidR="00F708F5">
        <w:rPr>
          <w:sz w:val="26"/>
          <w:szCs w:val="26"/>
        </w:rPr>
        <w:t xml:space="preserve">if you are denied of this then you don’t learn </w:t>
      </w:r>
      <w:r w:rsidR="00FA37AD">
        <w:rPr>
          <w:sz w:val="26"/>
          <w:szCs w:val="26"/>
        </w:rPr>
        <w:t xml:space="preserve">the basic human etiquette </w:t>
      </w:r>
      <w:r w:rsidR="00775F7B">
        <w:rPr>
          <w:sz w:val="26"/>
          <w:szCs w:val="26"/>
        </w:rPr>
        <w:t xml:space="preserve">of what society believes is right </w:t>
      </w:r>
      <w:r w:rsidR="0018284B">
        <w:rPr>
          <w:sz w:val="26"/>
          <w:szCs w:val="26"/>
        </w:rPr>
        <w:t>leading to potential criminality</w:t>
      </w:r>
      <w:r w:rsidR="00C13F54">
        <w:rPr>
          <w:sz w:val="26"/>
          <w:szCs w:val="26"/>
        </w:rPr>
        <w:t xml:space="preserve">. </w:t>
      </w:r>
      <w:r w:rsidR="000C3C71">
        <w:rPr>
          <w:sz w:val="26"/>
          <w:szCs w:val="26"/>
        </w:rPr>
        <w:t xml:space="preserve">If you are over exposed to </w:t>
      </w:r>
      <w:r w:rsidR="00DC5171">
        <w:rPr>
          <w:sz w:val="26"/>
          <w:szCs w:val="26"/>
        </w:rPr>
        <w:t xml:space="preserve">crime from a young age then you are more than likely to see it as something as more natural </w:t>
      </w:r>
      <w:r w:rsidR="00D76453">
        <w:rPr>
          <w:sz w:val="26"/>
          <w:szCs w:val="26"/>
        </w:rPr>
        <w:t xml:space="preserve">to you as you are not taught and aware of it to being </w:t>
      </w:r>
      <w:r w:rsidR="00D76453">
        <w:rPr>
          <w:sz w:val="26"/>
          <w:szCs w:val="26"/>
        </w:rPr>
        <w:lastRenderedPageBreak/>
        <w:t xml:space="preserve">a bad thing perse thus making you far more likely to partake in criminal acts, </w:t>
      </w:r>
      <w:r w:rsidR="001A2A64">
        <w:rPr>
          <w:sz w:val="26"/>
          <w:szCs w:val="26"/>
        </w:rPr>
        <w:t xml:space="preserve">grow up in urban environments also makes you more susceptible to becoming a criminal due to </w:t>
      </w:r>
      <w:r w:rsidR="00FB55F3">
        <w:rPr>
          <w:sz w:val="26"/>
          <w:szCs w:val="26"/>
        </w:rPr>
        <w:t xml:space="preserve">the increased factors of being closer </w:t>
      </w:r>
      <w:r w:rsidR="00066B3A">
        <w:rPr>
          <w:sz w:val="26"/>
          <w:szCs w:val="26"/>
        </w:rPr>
        <w:t xml:space="preserve">to more criminal behaviour such as gangs </w:t>
      </w:r>
      <w:r w:rsidR="001F7C1E">
        <w:rPr>
          <w:sz w:val="26"/>
          <w:szCs w:val="26"/>
        </w:rPr>
        <w:t xml:space="preserve">as they infiltrate urban regions </w:t>
      </w:r>
      <w:r w:rsidR="000876BA">
        <w:rPr>
          <w:sz w:val="26"/>
          <w:szCs w:val="26"/>
        </w:rPr>
        <w:t xml:space="preserve">more frequently and more efficiently. </w:t>
      </w:r>
      <w:r w:rsidR="00E77934">
        <w:rPr>
          <w:sz w:val="26"/>
          <w:szCs w:val="26"/>
        </w:rPr>
        <w:t>Whilst biological factors are also key due to the fact that if you have certain biological traits such as the mutated MAOA gene then you are more inclined to violence than that of someone who just has the basic unmutated gene</w:t>
      </w:r>
      <w:r w:rsidR="002878CC">
        <w:rPr>
          <w:sz w:val="26"/>
          <w:szCs w:val="26"/>
        </w:rPr>
        <w:t xml:space="preserve">. And whilst it isn’t a forgone factor if </w:t>
      </w:r>
      <w:r w:rsidR="002B0679">
        <w:rPr>
          <w:sz w:val="26"/>
          <w:szCs w:val="26"/>
        </w:rPr>
        <w:t xml:space="preserve">a close family member is a convicted </w:t>
      </w:r>
      <w:r w:rsidR="00B4533E">
        <w:rPr>
          <w:sz w:val="26"/>
          <w:szCs w:val="26"/>
        </w:rPr>
        <w:t>criminal,</w:t>
      </w:r>
      <w:r w:rsidR="002B0679">
        <w:rPr>
          <w:sz w:val="26"/>
          <w:szCs w:val="26"/>
        </w:rPr>
        <w:t xml:space="preserve"> it is far more likely that any offspring of them </w:t>
      </w:r>
      <w:r w:rsidR="0063591C">
        <w:rPr>
          <w:sz w:val="26"/>
          <w:szCs w:val="26"/>
        </w:rPr>
        <w:t xml:space="preserve">would be </w:t>
      </w:r>
      <w:r w:rsidR="00363711">
        <w:rPr>
          <w:sz w:val="26"/>
          <w:szCs w:val="26"/>
        </w:rPr>
        <w:t xml:space="preserve">more likely to </w:t>
      </w:r>
      <w:r w:rsidR="00B4533E">
        <w:rPr>
          <w:sz w:val="26"/>
          <w:szCs w:val="26"/>
        </w:rPr>
        <w:t xml:space="preserve">be predisposed to crime.  </w:t>
      </w:r>
    </w:p>
    <w:p w14:paraId="6B0EC434" w14:textId="77777777" w:rsidR="00904D17" w:rsidRDefault="00904D17">
      <w:pPr>
        <w:rPr>
          <w:sz w:val="26"/>
          <w:szCs w:val="26"/>
        </w:rPr>
      </w:pPr>
    </w:p>
    <w:p w14:paraId="5BC02E83" w14:textId="77777777" w:rsidR="00CE3C6E" w:rsidRDefault="00CE3C6E" w:rsidP="00CE3C6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www.ojp.gov. (n.d.). </w:t>
      </w:r>
      <w:r>
        <w:rPr>
          <w:rFonts w:ascii="Calibri" w:hAnsi="Calibri" w:cs="Calibri"/>
          <w:i/>
          <w:iCs/>
          <w:color w:val="000000"/>
          <w:sz w:val="27"/>
          <w:szCs w:val="27"/>
        </w:rPr>
        <w:t>Are Criminals Made or Born? (From Criminal Justice 88/89, P 17-20, 1988, John J Sullivan and Joseph L Victor, eds. -- See NCJ-114256) | Office of Justice Programs</w:t>
      </w:r>
      <w:r>
        <w:rPr>
          <w:rFonts w:ascii="Calibri" w:hAnsi="Calibri" w:cs="Calibri"/>
          <w:color w:val="000000"/>
          <w:sz w:val="27"/>
          <w:szCs w:val="27"/>
        </w:rPr>
        <w:t>. [online] Available at: https://www.ojp.gov/ncjrs/virtual-library/abstracts/are-criminals-made-or-born-criminal-justice-8889-p-17-20-1988-john#:~:text=Research%20data%20are%20increasingly%20supporting.</w:t>
      </w:r>
    </w:p>
    <w:p w14:paraId="76C54BCD" w14:textId="77777777" w:rsidR="00CE3C6E" w:rsidRDefault="00CE3C6E" w:rsidP="00CE3C6E">
      <w:pPr>
        <w:pStyle w:val="NormalWeb"/>
        <w:rPr>
          <w:rFonts w:ascii="Calibri" w:hAnsi="Calibri" w:cs="Calibri"/>
          <w:color w:val="000000"/>
          <w:sz w:val="27"/>
          <w:szCs w:val="27"/>
        </w:rPr>
      </w:pPr>
      <w:r>
        <w:rPr>
          <w:rFonts w:ascii="Calibri" w:hAnsi="Calibri" w:cs="Calibri"/>
          <w:color w:val="000000"/>
          <w:sz w:val="27"/>
          <w:szCs w:val="27"/>
        </w:rPr>
        <w:t>‌</w:t>
      </w:r>
    </w:p>
    <w:p w14:paraId="6767E781" w14:textId="77777777" w:rsidR="008A2126" w:rsidRDefault="008A2126" w:rsidP="008A212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Henry, M. (2016). </w:t>
      </w:r>
      <w:r>
        <w:rPr>
          <w:rFonts w:ascii="Calibri" w:hAnsi="Calibri" w:cs="Calibri"/>
          <w:i/>
          <w:iCs/>
          <w:color w:val="000000"/>
          <w:sz w:val="27"/>
          <w:szCs w:val="27"/>
        </w:rPr>
        <w:t xml:space="preserve">How the environment effects criminal activity — Science Leadership Academy @ </w:t>
      </w:r>
      <w:proofErr w:type="spellStart"/>
      <w:r>
        <w:rPr>
          <w:rFonts w:ascii="Calibri" w:hAnsi="Calibri" w:cs="Calibri"/>
          <w:i/>
          <w:iCs/>
          <w:color w:val="000000"/>
          <w:sz w:val="27"/>
          <w:szCs w:val="27"/>
        </w:rPr>
        <w:t>Center</w:t>
      </w:r>
      <w:proofErr w:type="spellEnd"/>
      <w:r>
        <w:rPr>
          <w:rFonts w:ascii="Calibri" w:hAnsi="Calibri" w:cs="Calibri"/>
          <w:i/>
          <w:iCs/>
          <w:color w:val="000000"/>
          <w:sz w:val="27"/>
          <w:szCs w:val="27"/>
        </w:rPr>
        <w:t xml:space="preserve"> City</w:t>
      </w:r>
      <w:r>
        <w:rPr>
          <w:rFonts w:ascii="Calibri" w:hAnsi="Calibri" w:cs="Calibri"/>
          <w:color w:val="000000"/>
          <w:sz w:val="27"/>
          <w:szCs w:val="27"/>
        </w:rPr>
        <w:t>. [online] Scienceleadership.org. Available at: https://scienceleadership.org/blog/how_the_environment_effects_criminal_activity.</w:t>
      </w:r>
    </w:p>
    <w:p w14:paraId="18291FA0" w14:textId="77777777" w:rsidR="008A2126" w:rsidRDefault="008A2126" w:rsidP="008A2126">
      <w:pPr>
        <w:pStyle w:val="NormalWeb"/>
        <w:rPr>
          <w:rFonts w:ascii="Calibri" w:hAnsi="Calibri" w:cs="Calibri"/>
          <w:color w:val="000000"/>
          <w:sz w:val="27"/>
          <w:szCs w:val="27"/>
        </w:rPr>
      </w:pPr>
      <w:r>
        <w:rPr>
          <w:rFonts w:ascii="Calibri" w:hAnsi="Calibri" w:cs="Calibri"/>
          <w:color w:val="000000"/>
          <w:sz w:val="27"/>
          <w:szCs w:val="27"/>
        </w:rPr>
        <w:t>‌</w:t>
      </w:r>
    </w:p>
    <w:p w14:paraId="7E4734C7" w14:textId="77777777" w:rsidR="00FD4262" w:rsidRDefault="00FD4262" w:rsidP="00FD426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The Editors of Encyclopaedia Britannica (2019). Cesare Lombroso | Italian criminologist. In: </w:t>
      </w:r>
      <w:proofErr w:type="spellStart"/>
      <w:r>
        <w:rPr>
          <w:rFonts w:ascii="Calibri" w:hAnsi="Calibri" w:cs="Calibri"/>
          <w:i/>
          <w:iCs/>
          <w:color w:val="000000"/>
          <w:sz w:val="27"/>
          <w:szCs w:val="27"/>
        </w:rPr>
        <w:t>Encyclopædia</w:t>
      </w:r>
      <w:proofErr w:type="spellEnd"/>
      <w:r>
        <w:rPr>
          <w:rFonts w:ascii="Calibri" w:hAnsi="Calibri" w:cs="Calibri"/>
          <w:i/>
          <w:iCs/>
          <w:color w:val="000000"/>
          <w:sz w:val="27"/>
          <w:szCs w:val="27"/>
        </w:rPr>
        <w:t xml:space="preserve"> Britannica</w:t>
      </w:r>
      <w:r>
        <w:rPr>
          <w:rFonts w:ascii="Calibri" w:hAnsi="Calibri" w:cs="Calibri"/>
          <w:color w:val="000000"/>
          <w:sz w:val="27"/>
          <w:szCs w:val="27"/>
        </w:rPr>
        <w:t>. [online] Available at: https://www.britannica.com/biography/Cesare-Lombroso.</w:t>
      </w:r>
    </w:p>
    <w:p w14:paraId="54E149B8" w14:textId="77777777" w:rsidR="00FD4262" w:rsidRDefault="00FD4262" w:rsidP="00FD426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3EDC0C8D" w14:textId="6DAE5AE1" w:rsidR="00FD4262" w:rsidRDefault="00FD4262" w:rsidP="00FD4262">
      <w:pPr>
        <w:pStyle w:val="NormalWeb"/>
        <w:spacing w:before="0" w:beforeAutospacing="0" w:after="0" w:afterAutospacing="0" w:line="360" w:lineRule="atLeast"/>
        <w:rPr>
          <w:rFonts w:ascii="Calibri" w:hAnsi="Calibri" w:cs="Calibri"/>
          <w:color w:val="000000"/>
          <w:sz w:val="27"/>
          <w:szCs w:val="27"/>
        </w:rPr>
      </w:pPr>
      <w:r w:rsidRPr="00FD4262">
        <w:rPr>
          <w:rFonts w:ascii="Calibri" w:hAnsi="Calibri" w:cs="Calibri"/>
          <w:color w:val="000000"/>
          <w:sz w:val="27"/>
          <w:szCs w:val="27"/>
        </w:rPr>
        <w:t xml:space="preserve"> </w:t>
      </w:r>
      <w:r>
        <w:rPr>
          <w:rFonts w:ascii="Calibri" w:hAnsi="Calibri" w:cs="Calibri"/>
          <w:color w:val="000000"/>
          <w:sz w:val="27"/>
          <w:szCs w:val="27"/>
        </w:rPr>
        <w:t>Theories and causes of crime. (n.d.). Available at: https://www.sccjr.ac.uk/wp-content/uploads/2016/02/SCCJR-Causes-of-Crime.pdf.</w:t>
      </w:r>
    </w:p>
    <w:p w14:paraId="68B20A93" w14:textId="565B2BAB" w:rsidR="00EA76D6" w:rsidRDefault="00FD4262" w:rsidP="00EA76D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EA76D6" w:rsidRPr="00EA76D6">
        <w:rPr>
          <w:rFonts w:ascii="Calibri" w:hAnsi="Calibri" w:cs="Calibri"/>
          <w:color w:val="000000"/>
          <w:sz w:val="27"/>
          <w:szCs w:val="27"/>
        </w:rPr>
        <w:t xml:space="preserve"> </w:t>
      </w:r>
      <w:r w:rsidR="00EA76D6">
        <w:rPr>
          <w:rFonts w:ascii="Calibri" w:hAnsi="Calibri" w:cs="Calibri"/>
          <w:color w:val="000000"/>
          <w:sz w:val="27"/>
          <w:szCs w:val="27"/>
        </w:rPr>
        <w:t>Elliot, D.S. (1997). </w:t>
      </w:r>
      <w:r w:rsidR="00EA76D6">
        <w:rPr>
          <w:rFonts w:ascii="Calibri" w:hAnsi="Calibri" w:cs="Calibri"/>
          <w:i/>
          <w:iCs/>
          <w:color w:val="000000"/>
          <w:sz w:val="27"/>
          <w:szCs w:val="27"/>
        </w:rPr>
        <w:t>Environmental Factors Contribute to Juvenile Crime and Violence (From Juvenile Crime: Opposing Viewpoints, P 83-89, 1997, A E Sadler, ed. -- See NCJ-167319) | Office of Justice Programs</w:t>
      </w:r>
      <w:r w:rsidR="00EA76D6">
        <w:rPr>
          <w:rFonts w:ascii="Calibri" w:hAnsi="Calibri" w:cs="Calibri"/>
          <w:color w:val="000000"/>
          <w:sz w:val="27"/>
          <w:szCs w:val="27"/>
        </w:rPr>
        <w:t>. [online] www.ojp.gov. Available at: https://www.ojp.gov/ncjrs/virtual-library/abstracts/environmental-factors-</w:t>
      </w:r>
      <w:r w:rsidR="00EA76D6">
        <w:rPr>
          <w:rFonts w:ascii="Calibri" w:hAnsi="Calibri" w:cs="Calibri"/>
          <w:color w:val="000000"/>
          <w:sz w:val="27"/>
          <w:szCs w:val="27"/>
        </w:rPr>
        <w:lastRenderedPageBreak/>
        <w:t>contribute-juvenile-crime-and-violence#:~:text=Environmental%20factors%20that%20contribute%20to.</w:t>
      </w:r>
    </w:p>
    <w:p w14:paraId="114CAA6F" w14:textId="77777777" w:rsidR="00EA76D6" w:rsidRDefault="00EA76D6" w:rsidP="00EA76D6">
      <w:pPr>
        <w:pStyle w:val="NormalWeb"/>
        <w:rPr>
          <w:rFonts w:ascii="Calibri" w:hAnsi="Calibri" w:cs="Calibri"/>
          <w:color w:val="000000"/>
          <w:sz w:val="27"/>
          <w:szCs w:val="27"/>
        </w:rPr>
      </w:pPr>
      <w:r>
        <w:rPr>
          <w:rFonts w:ascii="Calibri" w:hAnsi="Calibri" w:cs="Calibri"/>
          <w:color w:val="000000"/>
          <w:sz w:val="27"/>
          <w:szCs w:val="27"/>
        </w:rPr>
        <w:t>‌</w:t>
      </w:r>
    </w:p>
    <w:p w14:paraId="0BBB5F34" w14:textId="77777777" w:rsidR="003366EE" w:rsidRDefault="003366EE" w:rsidP="003366E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Ministry of Justice (2023). </w:t>
      </w:r>
      <w:r>
        <w:rPr>
          <w:rFonts w:ascii="Calibri" w:hAnsi="Calibri" w:cs="Calibri"/>
          <w:i/>
          <w:iCs/>
          <w:color w:val="000000"/>
          <w:sz w:val="27"/>
          <w:szCs w:val="27"/>
        </w:rPr>
        <w:t>Proven reoffending statistics: January to March 2021</w:t>
      </w:r>
      <w:r>
        <w:rPr>
          <w:rFonts w:ascii="Calibri" w:hAnsi="Calibri" w:cs="Calibri"/>
          <w:color w:val="000000"/>
          <w:sz w:val="27"/>
          <w:szCs w:val="27"/>
        </w:rPr>
        <w:t>. [online] GOV.UK. Available at: https://www.gov.uk/government/statistics/proven-reoffending-statistics-january-to-march-2021/proven-reoffending-statistics-january-to-march-2021#:~:text=quarter%20in%202020.-.</w:t>
      </w:r>
    </w:p>
    <w:p w14:paraId="2E3FF24F" w14:textId="77777777" w:rsidR="003366EE" w:rsidRDefault="003366EE" w:rsidP="003366EE">
      <w:pPr>
        <w:pStyle w:val="NormalWeb"/>
        <w:rPr>
          <w:rFonts w:ascii="Calibri" w:hAnsi="Calibri" w:cs="Calibri"/>
          <w:color w:val="000000"/>
          <w:sz w:val="27"/>
          <w:szCs w:val="27"/>
        </w:rPr>
      </w:pPr>
      <w:r>
        <w:rPr>
          <w:rFonts w:ascii="Calibri" w:hAnsi="Calibri" w:cs="Calibri"/>
          <w:color w:val="000000"/>
          <w:sz w:val="27"/>
          <w:szCs w:val="27"/>
        </w:rPr>
        <w:t>‌</w:t>
      </w:r>
    </w:p>
    <w:p w14:paraId="10D77118" w14:textId="77777777" w:rsidR="002A3F10" w:rsidRDefault="002A3F10" w:rsidP="002A3F10">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Hogenboom</w:t>
      </w:r>
      <w:proofErr w:type="spellEnd"/>
      <w:r>
        <w:rPr>
          <w:rFonts w:ascii="Calibri" w:hAnsi="Calibri" w:cs="Calibri"/>
          <w:color w:val="000000"/>
          <w:sz w:val="27"/>
          <w:szCs w:val="27"/>
        </w:rPr>
        <w:t>, M. (2014). Two genes linked with violent crime. </w:t>
      </w:r>
      <w:r>
        <w:rPr>
          <w:rFonts w:ascii="Calibri" w:hAnsi="Calibri" w:cs="Calibri"/>
          <w:i/>
          <w:iCs/>
          <w:color w:val="000000"/>
          <w:sz w:val="27"/>
          <w:szCs w:val="27"/>
        </w:rPr>
        <w:t>BBC News</w:t>
      </w:r>
      <w:r>
        <w:rPr>
          <w:rFonts w:ascii="Calibri" w:hAnsi="Calibri" w:cs="Calibri"/>
          <w:color w:val="000000"/>
          <w:sz w:val="27"/>
          <w:szCs w:val="27"/>
        </w:rPr>
        <w:t>. [online] 28 Oct. Available at: https://www.bbc.co.uk/news/science-environment-29760212.</w:t>
      </w:r>
    </w:p>
    <w:p w14:paraId="17C68AD7" w14:textId="77777777" w:rsidR="00781E7D" w:rsidRDefault="002A3F10" w:rsidP="00781E7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781E7D" w:rsidRPr="00781E7D">
        <w:rPr>
          <w:rFonts w:ascii="Calibri" w:hAnsi="Calibri" w:cs="Calibri"/>
          <w:color w:val="000000"/>
          <w:sz w:val="27"/>
          <w:szCs w:val="27"/>
        </w:rPr>
        <w:t xml:space="preserve"> </w:t>
      </w:r>
    </w:p>
    <w:p w14:paraId="03F2E10F" w14:textId="51EEDE83" w:rsidR="00781E7D" w:rsidRDefault="00781E7D" w:rsidP="00781E7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Tiihonen, J., </w:t>
      </w:r>
      <w:r>
        <w:rPr>
          <w:rFonts w:ascii="Calibri" w:hAnsi="Calibri" w:cs="Calibri"/>
          <w:color w:val="000000"/>
          <w:sz w:val="27"/>
          <w:szCs w:val="27"/>
        </w:rPr>
        <w:t xml:space="preserve">Et Al </w:t>
      </w:r>
      <w:r>
        <w:rPr>
          <w:rFonts w:ascii="Calibri" w:hAnsi="Calibri" w:cs="Calibri"/>
          <w:color w:val="000000"/>
          <w:sz w:val="27"/>
          <w:szCs w:val="27"/>
        </w:rPr>
        <w:t xml:space="preserve">(2014). Genetic background of extreme violent </w:t>
      </w:r>
      <w:proofErr w:type="spellStart"/>
      <w:r>
        <w:rPr>
          <w:rFonts w:ascii="Calibri" w:hAnsi="Calibri" w:cs="Calibri"/>
          <w:color w:val="000000"/>
          <w:sz w:val="27"/>
          <w:szCs w:val="27"/>
        </w:rPr>
        <w:t>behavior</w:t>
      </w:r>
      <w:proofErr w:type="spellEnd"/>
      <w:r>
        <w:rPr>
          <w:rFonts w:ascii="Calibri" w:hAnsi="Calibri" w:cs="Calibri"/>
          <w:color w:val="000000"/>
          <w:sz w:val="27"/>
          <w:szCs w:val="27"/>
        </w:rPr>
        <w:t>. </w:t>
      </w:r>
      <w:r>
        <w:rPr>
          <w:rFonts w:ascii="Calibri" w:hAnsi="Calibri" w:cs="Calibri"/>
          <w:i/>
          <w:iCs/>
          <w:color w:val="000000"/>
          <w:sz w:val="27"/>
          <w:szCs w:val="27"/>
        </w:rPr>
        <w:t>Molecular Psychiatry</w:t>
      </w:r>
      <w:r>
        <w:rPr>
          <w:rFonts w:ascii="Calibri" w:hAnsi="Calibri" w:cs="Calibri"/>
          <w:color w:val="000000"/>
          <w:sz w:val="27"/>
          <w:szCs w:val="27"/>
        </w:rPr>
        <w:t xml:space="preserve">, [online] 20(6), pp.786–792. </w:t>
      </w:r>
      <w:proofErr w:type="spellStart"/>
      <w:r>
        <w:rPr>
          <w:rFonts w:ascii="Calibri" w:hAnsi="Calibri" w:cs="Calibri"/>
          <w:color w:val="000000"/>
          <w:sz w:val="27"/>
          <w:szCs w:val="27"/>
        </w:rPr>
        <w:t>doi:https</w:t>
      </w:r>
      <w:proofErr w:type="spellEnd"/>
      <w:r>
        <w:rPr>
          <w:rFonts w:ascii="Calibri" w:hAnsi="Calibri" w:cs="Calibri"/>
          <w:color w:val="000000"/>
          <w:sz w:val="27"/>
          <w:szCs w:val="27"/>
        </w:rPr>
        <w:t>://doi.org/10.1038/mp.2014.130.</w:t>
      </w:r>
    </w:p>
    <w:p w14:paraId="3A9A1692" w14:textId="77777777" w:rsidR="00E42A2D" w:rsidRDefault="00781E7D" w:rsidP="00E42A2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E42A2D" w:rsidRPr="00E42A2D">
        <w:rPr>
          <w:rFonts w:ascii="Calibri" w:hAnsi="Calibri" w:cs="Calibri"/>
          <w:color w:val="000000"/>
          <w:sz w:val="27"/>
          <w:szCs w:val="27"/>
        </w:rPr>
        <w:t xml:space="preserve"> </w:t>
      </w:r>
    </w:p>
    <w:p w14:paraId="438CD340" w14:textId="1A43EAF9" w:rsidR="00E42A2D" w:rsidRDefault="00E42A2D" w:rsidP="00E42A2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Sohrabi, S. (2015). The criminal gene: the link between MAOA and aggression (REVIEW). </w:t>
      </w:r>
      <w:r>
        <w:rPr>
          <w:rFonts w:ascii="Calibri" w:hAnsi="Calibri" w:cs="Calibri"/>
          <w:i/>
          <w:iCs/>
          <w:color w:val="000000"/>
          <w:sz w:val="27"/>
          <w:szCs w:val="27"/>
        </w:rPr>
        <w:t>BMC Proceedings</w:t>
      </w:r>
      <w:r>
        <w:rPr>
          <w:rFonts w:ascii="Calibri" w:hAnsi="Calibri" w:cs="Calibri"/>
          <w:color w:val="000000"/>
          <w:sz w:val="27"/>
          <w:szCs w:val="27"/>
        </w:rPr>
        <w:t xml:space="preserve">, [online] 9(S1). </w:t>
      </w:r>
      <w:proofErr w:type="spellStart"/>
      <w:r>
        <w:rPr>
          <w:rFonts w:ascii="Calibri" w:hAnsi="Calibri" w:cs="Calibri"/>
          <w:color w:val="000000"/>
          <w:sz w:val="27"/>
          <w:szCs w:val="27"/>
        </w:rPr>
        <w:t>doi:https</w:t>
      </w:r>
      <w:proofErr w:type="spellEnd"/>
      <w:r>
        <w:rPr>
          <w:rFonts w:ascii="Calibri" w:hAnsi="Calibri" w:cs="Calibri"/>
          <w:color w:val="000000"/>
          <w:sz w:val="27"/>
          <w:szCs w:val="27"/>
        </w:rPr>
        <w:t>://doi.org/10.1186/1753-6561-9-s1-a49.</w:t>
      </w:r>
    </w:p>
    <w:p w14:paraId="6BD8BD60" w14:textId="77777777" w:rsidR="007B23D3" w:rsidRDefault="00E42A2D" w:rsidP="007B23D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4BD0F866" w14:textId="182C056C" w:rsidR="007B23D3" w:rsidRDefault="007B23D3" w:rsidP="007B23D3">
      <w:pPr>
        <w:pStyle w:val="NormalWeb"/>
        <w:spacing w:before="0" w:beforeAutospacing="0" w:after="0" w:afterAutospacing="0" w:line="360" w:lineRule="atLeast"/>
        <w:rPr>
          <w:rFonts w:ascii="Calibri" w:hAnsi="Calibri" w:cs="Calibri"/>
          <w:color w:val="000000"/>
          <w:sz w:val="27"/>
          <w:szCs w:val="27"/>
        </w:rPr>
      </w:pPr>
      <w:r w:rsidRPr="007B23D3">
        <w:rPr>
          <w:rFonts w:ascii="Calibri" w:hAnsi="Calibri" w:cs="Calibri"/>
          <w:color w:val="000000"/>
          <w:sz w:val="27"/>
          <w:szCs w:val="27"/>
        </w:rPr>
        <w:t xml:space="preserve"> </w:t>
      </w:r>
      <w:r>
        <w:rPr>
          <w:rFonts w:ascii="Calibri" w:hAnsi="Calibri" w:cs="Calibri"/>
          <w:color w:val="000000"/>
          <w:sz w:val="27"/>
          <w:szCs w:val="27"/>
        </w:rPr>
        <w:t>TODD, R. (1996). Children follow convicted parents into crime. </w:t>
      </w:r>
      <w:r>
        <w:rPr>
          <w:rFonts w:ascii="Calibri" w:hAnsi="Calibri" w:cs="Calibri"/>
          <w:i/>
          <w:iCs/>
          <w:color w:val="000000"/>
          <w:sz w:val="27"/>
          <w:szCs w:val="27"/>
        </w:rPr>
        <w:t>The Independent</w:t>
      </w:r>
      <w:r>
        <w:rPr>
          <w:rFonts w:ascii="Calibri" w:hAnsi="Calibri" w:cs="Calibri"/>
          <w:color w:val="000000"/>
          <w:sz w:val="27"/>
          <w:szCs w:val="27"/>
        </w:rPr>
        <w:t>. [online] 27 Feb. Available at: https://www.independent.co.uk/news/children-follow-convicted-parents-into-crime-1321272.html.</w:t>
      </w:r>
    </w:p>
    <w:p w14:paraId="2F972F4A" w14:textId="77777777" w:rsidR="00EF3518" w:rsidRDefault="007B23D3" w:rsidP="00EF351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EF3518" w:rsidRPr="00EF3518">
        <w:rPr>
          <w:rFonts w:ascii="Calibri" w:hAnsi="Calibri" w:cs="Calibri"/>
          <w:color w:val="000000"/>
          <w:sz w:val="27"/>
          <w:szCs w:val="27"/>
        </w:rPr>
        <w:t xml:space="preserve"> </w:t>
      </w:r>
    </w:p>
    <w:p w14:paraId="61526293" w14:textId="60B8E0DC" w:rsidR="00EF3518" w:rsidRDefault="00EF3518" w:rsidP="00EF351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Margit (2019). </w:t>
      </w:r>
      <w:r>
        <w:rPr>
          <w:rFonts w:ascii="Calibri" w:hAnsi="Calibri" w:cs="Calibri"/>
          <w:i/>
          <w:iCs/>
          <w:color w:val="000000"/>
          <w:sz w:val="27"/>
          <w:szCs w:val="27"/>
        </w:rPr>
        <w:t>Cesare Lombroso, Crime, and Atavism</w:t>
      </w:r>
      <w:r>
        <w:rPr>
          <w:rFonts w:ascii="Calibri" w:hAnsi="Calibri" w:cs="Calibri"/>
          <w:color w:val="000000"/>
          <w:sz w:val="27"/>
          <w:szCs w:val="27"/>
        </w:rPr>
        <w:t>. [online] Criminology Web. Available at: https://criminologyweb.com/cesare-lombroso-theory-of-crime-criminal-man-and-atavism/#Criminal_Man_Theory_of_Atavism_and_Degeneration.</w:t>
      </w:r>
    </w:p>
    <w:p w14:paraId="309C940B" w14:textId="77777777" w:rsidR="00EF3518" w:rsidRDefault="00EF3518" w:rsidP="00EF3518">
      <w:pPr>
        <w:pStyle w:val="NormalWeb"/>
        <w:rPr>
          <w:rFonts w:ascii="Calibri" w:hAnsi="Calibri" w:cs="Calibri"/>
          <w:color w:val="000000"/>
          <w:sz w:val="27"/>
          <w:szCs w:val="27"/>
        </w:rPr>
      </w:pPr>
      <w:r>
        <w:rPr>
          <w:rFonts w:ascii="Calibri" w:hAnsi="Calibri" w:cs="Calibri"/>
          <w:color w:val="000000"/>
          <w:sz w:val="27"/>
          <w:szCs w:val="27"/>
        </w:rPr>
        <w:t>‌</w:t>
      </w:r>
    </w:p>
    <w:p w14:paraId="5B373E4B" w14:textId="77777777" w:rsidR="001F3487" w:rsidRDefault="001F3487" w:rsidP="001F348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Levitt, M. (n.d.). </w:t>
      </w:r>
      <w:r>
        <w:rPr>
          <w:rFonts w:ascii="Calibri" w:hAnsi="Calibri" w:cs="Calibri"/>
          <w:i/>
          <w:iCs/>
          <w:color w:val="000000"/>
          <w:sz w:val="27"/>
          <w:szCs w:val="27"/>
        </w:rPr>
        <w:t>Crime Genes</w:t>
      </w:r>
      <w:r>
        <w:rPr>
          <w:rFonts w:ascii="Calibri" w:hAnsi="Calibri" w:cs="Calibri"/>
          <w:color w:val="000000"/>
          <w:sz w:val="27"/>
          <w:szCs w:val="27"/>
        </w:rPr>
        <w:t>. [online] RSB. Available at: https://www.rsb.org.uk/biologist-features/crime-genes.</w:t>
      </w:r>
    </w:p>
    <w:p w14:paraId="715D9A89" w14:textId="77777777" w:rsidR="001F3487" w:rsidRDefault="001F3487" w:rsidP="001F3487">
      <w:pPr>
        <w:pStyle w:val="NormalWeb"/>
        <w:rPr>
          <w:rFonts w:ascii="Calibri" w:hAnsi="Calibri" w:cs="Calibri"/>
          <w:color w:val="000000"/>
          <w:sz w:val="27"/>
          <w:szCs w:val="27"/>
        </w:rPr>
      </w:pPr>
      <w:r>
        <w:rPr>
          <w:rFonts w:ascii="Calibri" w:hAnsi="Calibri" w:cs="Calibri"/>
          <w:color w:val="000000"/>
          <w:sz w:val="27"/>
          <w:szCs w:val="27"/>
        </w:rPr>
        <w:t>‌</w:t>
      </w:r>
    </w:p>
    <w:p w14:paraId="2AD63474" w14:textId="01E84064" w:rsidR="007B23D3" w:rsidRDefault="007B23D3" w:rsidP="007B23D3">
      <w:pPr>
        <w:pStyle w:val="NormalWeb"/>
        <w:rPr>
          <w:rFonts w:ascii="Calibri" w:hAnsi="Calibri" w:cs="Calibri"/>
          <w:color w:val="000000"/>
          <w:sz w:val="27"/>
          <w:szCs w:val="27"/>
        </w:rPr>
      </w:pPr>
    </w:p>
    <w:p w14:paraId="60DA9AF2" w14:textId="77777777" w:rsidR="00EF3518" w:rsidRDefault="00EF3518" w:rsidP="007B23D3">
      <w:pPr>
        <w:pStyle w:val="NormalWeb"/>
        <w:rPr>
          <w:rFonts w:ascii="Calibri" w:hAnsi="Calibri" w:cs="Calibri"/>
          <w:color w:val="000000"/>
          <w:sz w:val="27"/>
          <w:szCs w:val="27"/>
        </w:rPr>
      </w:pPr>
    </w:p>
    <w:p w14:paraId="0C9108A8" w14:textId="76A6FFFB" w:rsidR="00E42A2D" w:rsidRDefault="00E42A2D" w:rsidP="00E42A2D">
      <w:pPr>
        <w:pStyle w:val="NormalWeb"/>
        <w:rPr>
          <w:rFonts w:ascii="Calibri" w:hAnsi="Calibri" w:cs="Calibri"/>
          <w:color w:val="000000"/>
          <w:sz w:val="27"/>
          <w:szCs w:val="27"/>
        </w:rPr>
      </w:pPr>
    </w:p>
    <w:p w14:paraId="17B09E3F" w14:textId="3305D6AB" w:rsidR="00781E7D" w:rsidRDefault="00781E7D" w:rsidP="00781E7D">
      <w:pPr>
        <w:pStyle w:val="NormalWeb"/>
        <w:rPr>
          <w:rFonts w:ascii="Calibri" w:hAnsi="Calibri" w:cs="Calibri"/>
          <w:color w:val="000000"/>
          <w:sz w:val="27"/>
          <w:szCs w:val="27"/>
        </w:rPr>
      </w:pPr>
    </w:p>
    <w:p w14:paraId="341A5D8B" w14:textId="6DB3874A" w:rsidR="002A3F10" w:rsidRDefault="002A3F10" w:rsidP="002A3F10">
      <w:pPr>
        <w:pStyle w:val="NormalWeb"/>
        <w:rPr>
          <w:rFonts w:ascii="Calibri" w:hAnsi="Calibri" w:cs="Calibri"/>
          <w:color w:val="000000"/>
          <w:sz w:val="27"/>
          <w:szCs w:val="27"/>
        </w:rPr>
      </w:pPr>
    </w:p>
    <w:p w14:paraId="1ADA5FD5" w14:textId="45332690" w:rsidR="00FD4262" w:rsidRDefault="00FD4262" w:rsidP="00FD4262">
      <w:pPr>
        <w:pStyle w:val="NormalWeb"/>
        <w:rPr>
          <w:rFonts w:ascii="Calibri" w:hAnsi="Calibri" w:cs="Calibri"/>
          <w:color w:val="000000"/>
          <w:sz w:val="27"/>
          <w:szCs w:val="27"/>
        </w:rPr>
      </w:pPr>
    </w:p>
    <w:p w14:paraId="0CC09FCC" w14:textId="469B235A" w:rsidR="00FD4262" w:rsidRDefault="00FD4262" w:rsidP="00FD4262">
      <w:pPr>
        <w:pStyle w:val="NormalWeb"/>
        <w:rPr>
          <w:rFonts w:ascii="Calibri" w:hAnsi="Calibri" w:cs="Calibri"/>
          <w:color w:val="000000"/>
          <w:sz w:val="27"/>
          <w:szCs w:val="27"/>
        </w:rPr>
      </w:pPr>
    </w:p>
    <w:p w14:paraId="4F625D77" w14:textId="77777777" w:rsidR="00CE3C6E" w:rsidRPr="00904D17" w:rsidRDefault="00CE3C6E">
      <w:pPr>
        <w:rPr>
          <w:sz w:val="26"/>
          <w:szCs w:val="26"/>
        </w:rPr>
      </w:pPr>
    </w:p>
    <w:sectPr w:rsidR="00CE3C6E" w:rsidRPr="00904D17" w:rsidSect="002534E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D17"/>
    <w:rsid w:val="00066B3A"/>
    <w:rsid w:val="000876BA"/>
    <w:rsid w:val="000C3C71"/>
    <w:rsid w:val="00145C32"/>
    <w:rsid w:val="0018284B"/>
    <w:rsid w:val="001A2A64"/>
    <w:rsid w:val="001B6D7B"/>
    <w:rsid w:val="001F3487"/>
    <w:rsid w:val="001F7C1E"/>
    <w:rsid w:val="00253472"/>
    <w:rsid w:val="002534ED"/>
    <w:rsid w:val="002878CC"/>
    <w:rsid w:val="002A3F10"/>
    <w:rsid w:val="002B0679"/>
    <w:rsid w:val="002E47CB"/>
    <w:rsid w:val="003366EE"/>
    <w:rsid w:val="00357535"/>
    <w:rsid w:val="00362E1B"/>
    <w:rsid w:val="00363711"/>
    <w:rsid w:val="00384DFC"/>
    <w:rsid w:val="003E56B1"/>
    <w:rsid w:val="00443075"/>
    <w:rsid w:val="00481A06"/>
    <w:rsid w:val="004B0862"/>
    <w:rsid w:val="00501F67"/>
    <w:rsid w:val="005F2E26"/>
    <w:rsid w:val="005F4E42"/>
    <w:rsid w:val="00602887"/>
    <w:rsid w:val="0063591C"/>
    <w:rsid w:val="00661E70"/>
    <w:rsid w:val="006757D5"/>
    <w:rsid w:val="006D7464"/>
    <w:rsid w:val="0073256F"/>
    <w:rsid w:val="00775F7B"/>
    <w:rsid w:val="00781E7D"/>
    <w:rsid w:val="00782538"/>
    <w:rsid w:val="00793F1C"/>
    <w:rsid w:val="007B23D3"/>
    <w:rsid w:val="008529CA"/>
    <w:rsid w:val="008A2126"/>
    <w:rsid w:val="008A5D40"/>
    <w:rsid w:val="008B322E"/>
    <w:rsid w:val="00901D9F"/>
    <w:rsid w:val="00904D17"/>
    <w:rsid w:val="00916EE4"/>
    <w:rsid w:val="00965D06"/>
    <w:rsid w:val="009673F7"/>
    <w:rsid w:val="0097102A"/>
    <w:rsid w:val="009C0CA9"/>
    <w:rsid w:val="00AE7C2A"/>
    <w:rsid w:val="00B03B31"/>
    <w:rsid w:val="00B4533E"/>
    <w:rsid w:val="00B91231"/>
    <w:rsid w:val="00B933E6"/>
    <w:rsid w:val="00BA43F6"/>
    <w:rsid w:val="00C13F54"/>
    <w:rsid w:val="00C32DDB"/>
    <w:rsid w:val="00C359B8"/>
    <w:rsid w:val="00C62A65"/>
    <w:rsid w:val="00C66142"/>
    <w:rsid w:val="00CE3C6E"/>
    <w:rsid w:val="00D6717E"/>
    <w:rsid w:val="00D76453"/>
    <w:rsid w:val="00DA7546"/>
    <w:rsid w:val="00DC5171"/>
    <w:rsid w:val="00E42A2D"/>
    <w:rsid w:val="00E77934"/>
    <w:rsid w:val="00EA76D6"/>
    <w:rsid w:val="00EC2A86"/>
    <w:rsid w:val="00EF3518"/>
    <w:rsid w:val="00F6165E"/>
    <w:rsid w:val="00F708F5"/>
    <w:rsid w:val="00FA37AD"/>
    <w:rsid w:val="00FB55F3"/>
    <w:rsid w:val="00FD4262"/>
    <w:rsid w:val="00FE214C"/>
    <w:rsid w:val="00FF1190"/>
    <w:rsid w:val="00FF4180"/>
    <w:rsid w:val="00FF75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DED89"/>
  <w15:chartTrackingRefBased/>
  <w15:docId w15:val="{08B587B3-B915-4D9C-AA2B-9CAAD915E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534ED"/>
    <w:pPr>
      <w:spacing w:after="0" w:line="240" w:lineRule="auto"/>
    </w:pPr>
    <w:rPr>
      <w:kern w:val="0"/>
      <w14:ligatures w14:val="none"/>
    </w:rPr>
  </w:style>
  <w:style w:type="character" w:customStyle="1" w:styleId="NoSpacingChar">
    <w:name w:val="No Spacing Char"/>
    <w:basedOn w:val="DefaultParagraphFont"/>
    <w:link w:val="NoSpacing"/>
    <w:uiPriority w:val="1"/>
    <w:rsid w:val="002534ED"/>
    <w:rPr>
      <w:kern w:val="0"/>
      <w14:ligatures w14:val="none"/>
    </w:rPr>
  </w:style>
  <w:style w:type="paragraph" w:styleId="NormalWeb">
    <w:name w:val="Normal (Web)"/>
    <w:basedOn w:val="Normal"/>
    <w:uiPriority w:val="99"/>
    <w:semiHidden/>
    <w:unhideWhenUsed/>
    <w:rsid w:val="00CE3C6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277496">
      <w:bodyDiv w:val="1"/>
      <w:marLeft w:val="0"/>
      <w:marRight w:val="0"/>
      <w:marTop w:val="0"/>
      <w:marBottom w:val="0"/>
      <w:divBdr>
        <w:top w:val="none" w:sz="0" w:space="0" w:color="auto"/>
        <w:left w:val="none" w:sz="0" w:space="0" w:color="auto"/>
        <w:bottom w:val="none" w:sz="0" w:space="0" w:color="auto"/>
        <w:right w:val="none" w:sz="0" w:space="0" w:color="auto"/>
      </w:divBdr>
    </w:div>
    <w:div w:id="609774936">
      <w:bodyDiv w:val="1"/>
      <w:marLeft w:val="0"/>
      <w:marRight w:val="0"/>
      <w:marTop w:val="0"/>
      <w:marBottom w:val="0"/>
      <w:divBdr>
        <w:top w:val="none" w:sz="0" w:space="0" w:color="auto"/>
        <w:left w:val="none" w:sz="0" w:space="0" w:color="auto"/>
        <w:bottom w:val="none" w:sz="0" w:space="0" w:color="auto"/>
        <w:right w:val="none" w:sz="0" w:space="0" w:color="auto"/>
      </w:divBdr>
    </w:div>
    <w:div w:id="631403825">
      <w:bodyDiv w:val="1"/>
      <w:marLeft w:val="0"/>
      <w:marRight w:val="0"/>
      <w:marTop w:val="0"/>
      <w:marBottom w:val="0"/>
      <w:divBdr>
        <w:top w:val="none" w:sz="0" w:space="0" w:color="auto"/>
        <w:left w:val="none" w:sz="0" w:space="0" w:color="auto"/>
        <w:bottom w:val="none" w:sz="0" w:space="0" w:color="auto"/>
        <w:right w:val="none" w:sz="0" w:space="0" w:color="auto"/>
      </w:divBdr>
    </w:div>
    <w:div w:id="694766695">
      <w:bodyDiv w:val="1"/>
      <w:marLeft w:val="0"/>
      <w:marRight w:val="0"/>
      <w:marTop w:val="0"/>
      <w:marBottom w:val="0"/>
      <w:divBdr>
        <w:top w:val="none" w:sz="0" w:space="0" w:color="auto"/>
        <w:left w:val="none" w:sz="0" w:space="0" w:color="auto"/>
        <w:bottom w:val="none" w:sz="0" w:space="0" w:color="auto"/>
        <w:right w:val="none" w:sz="0" w:space="0" w:color="auto"/>
      </w:divBdr>
    </w:div>
    <w:div w:id="724111640">
      <w:bodyDiv w:val="1"/>
      <w:marLeft w:val="0"/>
      <w:marRight w:val="0"/>
      <w:marTop w:val="0"/>
      <w:marBottom w:val="0"/>
      <w:divBdr>
        <w:top w:val="none" w:sz="0" w:space="0" w:color="auto"/>
        <w:left w:val="none" w:sz="0" w:space="0" w:color="auto"/>
        <w:bottom w:val="none" w:sz="0" w:space="0" w:color="auto"/>
        <w:right w:val="none" w:sz="0" w:space="0" w:color="auto"/>
      </w:divBdr>
    </w:div>
    <w:div w:id="829753409">
      <w:bodyDiv w:val="1"/>
      <w:marLeft w:val="0"/>
      <w:marRight w:val="0"/>
      <w:marTop w:val="0"/>
      <w:marBottom w:val="0"/>
      <w:divBdr>
        <w:top w:val="none" w:sz="0" w:space="0" w:color="auto"/>
        <w:left w:val="none" w:sz="0" w:space="0" w:color="auto"/>
        <w:bottom w:val="none" w:sz="0" w:space="0" w:color="auto"/>
        <w:right w:val="none" w:sz="0" w:space="0" w:color="auto"/>
      </w:divBdr>
    </w:div>
    <w:div w:id="871264713">
      <w:bodyDiv w:val="1"/>
      <w:marLeft w:val="0"/>
      <w:marRight w:val="0"/>
      <w:marTop w:val="0"/>
      <w:marBottom w:val="0"/>
      <w:divBdr>
        <w:top w:val="none" w:sz="0" w:space="0" w:color="auto"/>
        <w:left w:val="none" w:sz="0" w:space="0" w:color="auto"/>
        <w:bottom w:val="none" w:sz="0" w:space="0" w:color="auto"/>
        <w:right w:val="none" w:sz="0" w:space="0" w:color="auto"/>
      </w:divBdr>
    </w:div>
    <w:div w:id="943725887">
      <w:bodyDiv w:val="1"/>
      <w:marLeft w:val="0"/>
      <w:marRight w:val="0"/>
      <w:marTop w:val="0"/>
      <w:marBottom w:val="0"/>
      <w:divBdr>
        <w:top w:val="none" w:sz="0" w:space="0" w:color="auto"/>
        <w:left w:val="none" w:sz="0" w:space="0" w:color="auto"/>
        <w:bottom w:val="none" w:sz="0" w:space="0" w:color="auto"/>
        <w:right w:val="none" w:sz="0" w:space="0" w:color="auto"/>
      </w:divBdr>
    </w:div>
    <w:div w:id="1026753878">
      <w:bodyDiv w:val="1"/>
      <w:marLeft w:val="0"/>
      <w:marRight w:val="0"/>
      <w:marTop w:val="0"/>
      <w:marBottom w:val="0"/>
      <w:divBdr>
        <w:top w:val="none" w:sz="0" w:space="0" w:color="auto"/>
        <w:left w:val="none" w:sz="0" w:space="0" w:color="auto"/>
        <w:bottom w:val="none" w:sz="0" w:space="0" w:color="auto"/>
        <w:right w:val="none" w:sz="0" w:space="0" w:color="auto"/>
      </w:divBdr>
    </w:div>
    <w:div w:id="1085960378">
      <w:bodyDiv w:val="1"/>
      <w:marLeft w:val="0"/>
      <w:marRight w:val="0"/>
      <w:marTop w:val="0"/>
      <w:marBottom w:val="0"/>
      <w:divBdr>
        <w:top w:val="none" w:sz="0" w:space="0" w:color="auto"/>
        <w:left w:val="none" w:sz="0" w:space="0" w:color="auto"/>
        <w:bottom w:val="none" w:sz="0" w:space="0" w:color="auto"/>
        <w:right w:val="none" w:sz="0" w:space="0" w:color="auto"/>
      </w:divBdr>
    </w:div>
    <w:div w:id="1580406368">
      <w:bodyDiv w:val="1"/>
      <w:marLeft w:val="0"/>
      <w:marRight w:val="0"/>
      <w:marTop w:val="0"/>
      <w:marBottom w:val="0"/>
      <w:divBdr>
        <w:top w:val="none" w:sz="0" w:space="0" w:color="auto"/>
        <w:left w:val="none" w:sz="0" w:space="0" w:color="auto"/>
        <w:bottom w:val="none" w:sz="0" w:space="0" w:color="auto"/>
        <w:right w:val="none" w:sz="0" w:space="0" w:color="auto"/>
      </w:divBdr>
    </w:div>
    <w:div w:id="178418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8901440530541B3A7E4D95881909C11"/>
        <w:category>
          <w:name w:val="General"/>
          <w:gallery w:val="placeholder"/>
        </w:category>
        <w:types>
          <w:type w:val="bbPlcHdr"/>
        </w:types>
        <w:behaviors>
          <w:behavior w:val="content"/>
        </w:behaviors>
        <w:guid w:val="{8338741B-068E-42E4-A85D-F712CF7396FB}"/>
      </w:docPartPr>
      <w:docPartBody>
        <w:p w:rsidR="00000000" w:rsidRDefault="00810B1D" w:rsidP="00810B1D">
          <w:pPr>
            <w:pStyle w:val="D8901440530541B3A7E4D95881909C11"/>
          </w:pPr>
          <w:r>
            <w:rPr>
              <w:rFonts w:asciiTheme="majorHAnsi" w:eastAsiaTheme="majorEastAsia" w:hAnsiTheme="majorHAnsi" w:cstheme="majorBidi"/>
              <w:caps/>
              <w:color w:val="4472C4" w:themeColor="accent1"/>
              <w:sz w:val="80"/>
              <w:szCs w:val="80"/>
            </w:rPr>
            <w:t>[Document title]</w:t>
          </w:r>
        </w:p>
      </w:docPartBody>
    </w:docPart>
    <w:docPart>
      <w:docPartPr>
        <w:name w:val="81EF9575B40446DD81D4C4F51041B89B"/>
        <w:category>
          <w:name w:val="General"/>
          <w:gallery w:val="placeholder"/>
        </w:category>
        <w:types>
          <w:type w:val="bbPlcHdr"/>
        </w:types>
        <w:behaviors>
          <w:behavior w:val="content"/>
        </w:behaviors>
        <w:guid w:val="{E4B36EEA-8FBE-407A-9CC4-8A165DAC2A31}"/>
      </w:docPartPr>
      <w:docPartBody>
        <w:p w:rsidR="00000000" w:rsidRDefault="00810B1D" w:rsidP="00810B1D">
          <w:pPr>
            <w:pStyle w:val="81EF9575B40446DD81D4C4F51041B89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B1D"/>
    <w:rsid w:val="00810B1D"/>
    <w:rsid w:val="009B4E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901440530541B3A7E4D95881909C11">
    <w:name w:val="D8901440530541B3A7E4D95881909C11"/>
    <w:rsid w:val="00810B1D"/>
  </w:style>
  <w:style w:type="paragraph" w:customStyle="1" w:styleId="81EF9575B40446DD81D4C4F51041B89B">
    <w:name w:val="81EF9575B40446DD81D4C4F51041B89B"/>
    <w:rsid w:val="00810B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6" ma:contentTypeDescription="Create a new document." ma:contentTypeScope="" ma:versionID="6129d68886fb06dfb9c95376766ce539">
  <xsd:schema xmlns:xsd="http://www.w3.org/2001/XMLSchema" xmlns:xs="http://www.w3.org/2001/XMLSchema" xmlns:p="http://schemas.microsoft.com/office/2006/metadata/properties" xmlns:ns3="7b23fa32-4003-4364-bee1-595462966394" targetNamespace="http://schemas.microsoft.com/office/2006/metadata/properties" ma:root="true" ma:fieldsID="aa4fddcbe480787e9949e483f66c9d6c"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D0E4EB-3B73-4CB7-8617-F5B4C6FEF4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A0B7D8-A56E-4535-AD65-BFD7D70FC8D9}">
  <ds:schemaRefs>
    <ds:schemaRef ds:uri="http://schemas.microsoft.com/sharepoint/v3/contenttype/forms"/>
  </ds:schemaRefs>
</ds:datastoreItem>
</file>

<file path=customXml/itemProps3.xml><?xml version="1.0" encoding="utf-8"?>
<ds:datastoreItem xmlns:ds="http://schemas.openxmlformats.org/officeDocument/2006/customXml" ds:itemID="{43824724-0DD3-491A-97D7-A261148A45A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6</Pages>
  <Words>1217</Words>
  <Characters>6937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Criminal behaviour innate or shaped by environment-supporting         paper</dc:title>
  <dc:subject>BMLW5013</dc:subject>
  <dc:creator>Kyran Woods (2006771)</dc:creator>
  <cp:keywords/>
  <dc:description/>
  <cp:lastModifiedBy>Kyran Woods (2006771)</cp:lastModifiedBy>
  <cp:revision>70</cp:revision>
  <dcterms:created xsi:type="dcterms:W3CDTF">2023-11-10T11:55:00Z</dcterms:created>
  <dcterms:modified xsi:type="dcterms:W3CDTF">2023-11-10T14:17:00Z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