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Override PartName="/word/numbering.xml" ContentType="application/vnd.openxmlformats-officedocument.wordprocessingml.numbering+xml"/>
  <Override PartName="/word/diagrams/data1.xml" ContentType="application/vnd.openxmlformats-officedocument.drawingml.diagramData+xml"/>
  <Override PartName="/word/diagrams/colors1.xml" ContentType="application/vnd.openxmlformats-officedocument.drawingml.diagramColors+xml"/>
  <Override PartName="/word/settings.xml" ContentType="application/vnd.openxmlformats-officedocument.wordprocessingml.settings+xml"/>
  <Override PartName="/docProps/custom.xml" ContentType="application/vnd.openxmlformats-officedocument.custom-properties+xml"/>
  <Override PartName="/word/diagrams/layout1.xml" ContentType="application/vnd.openxmlformats-officedocument.drawingml.diagramLayout+xml"/>
  <Override PartName="/word/document.xml" ContentType="application/vnd.openxmlformats-officedocument.wordprocessingml.document.main+xml"/>
  <Override PartName="/customXml/itemProps1.xml" ContentType="application/vnd.openxmlformats-officedocument.customXmlProperties+xml"/>
  <Override PartName="/word/diagrams/quickStyle1.xml" ContentType="application/vnd.openxmlformats-officedocument.drawingml.diagramStyle+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4097"/>
        <w:spacing w:lineRule="auto" w:line="360"/>
        <w:jc w:val="both"/>
        <w:rPr>
          <w:rFonts w:ascii="Times New Roman" w:cs="Times New Roman" w:eastAsia="Times New Roman" w:hAnsi="Times New Roman"/>
          <w:sz w:val="24"/>
          <w:szCs w:val="24"/>
          <w:lang w:val="en-GB"/>
        </w:rPr>
      </w:pPr>
    </w:p>
    <w:p>
      <w:pPr>
        <w:pStyle w:val="style0"/>
        <w:jc w:val="center"/>
        <w:rPr>
          <w:rFonts w:ascii="Times New Roman" w:cs="Times New Roman" w:eastAsia="Times New Roman" w:hAnsi="Times New Roman"/>
          <w:b/>
          <w:sz w:val="32"/>
          <w:szCs w:val="32"/>
          <w:lang w:val="en-GB"/>
        </w:rPr>
      </w:pPr>
    </w:p>
    <w:p>
      <w:pPr>
        <w:pStyle w:val="style0"/>
        <w:jc w:val="center"/>
        <w:rPr>
          <w:rFonts w:ascii="Times New Roman" w:cs="Times New Roman" w:eastAsia="Times New Roman" w:hAnsi="Times New Roman"/>
          <w:b/>
          <w:sz w:val="32"/>
          <w:szCs w:val="32"/>
          <w:lang w:val="en-GB"/>
        </w:rPr>
      </w:pPr>
    </w:p>
    <w:p>
      <w:pPr>
        <w:pStyle w:val="style0"/>
        <w:jc w:val="center"/>
        <w:rPr>
          <w:rFonts w:ascii="Times New Roman" w:cs="Times New Roman" w:eastAsia="Times New Roman" w:hAnsi="Times New Roman"/>
          <w:b/>
          <w:sz w:val="32"/>
          <w:szCs w:val="32"/>
          <w:lang w:val="en-GB"/>
        </w:rPr>
      </w:pPr>
    </w:p>
    <w:p>
      <w:pPr>
        <w:pStyle w:val="style0"/>
        <w:jc w:val="center"/>
        <w:rPr>
          <w:rFonts w:ascii="Times New Roman" w:cs="Times New Roman" w:eastAsia="Times New Roman" w:hAnsi="Times New Roman"/>
          <w:b/>
          <w:sz w:val="32"/>
          <w:szCs w:val="32"/>
          <w:lang w:val="en-GB"/>
        </w:rPr>
      </w:pPr>
    </w:p>
    <w:p>
      <w:pPr>
        <w:pStyle w:val="style0"/>
        <w:jc w:val="center"/>
        <w:rPr>
          <w:rFonts w:ascii="Times New Roman" w:cs="Times New Roman" w:eastAsia="Times New Roman" w:hAnsi="Times New Roman"/>
          <w:b/>
          <w:sz w:val="32"/>
          <w:szCs w:val="32"/>
          <w:lang w:val="en-GB"/>
        </w:rPr>
      </w:pPr>
    </w:p>
    <w:p>
      <w:pPr>
        <w:pStyle w:val="style0"/>
        <w:jc w:val="center"/>
        <w:rPr>
          <w:rFonts w:ascii="Times New Roman" w:cs="Times New Roman" w:eastAsia="Times New Roman" w:hAnsi="Times New Roman"/>
          <w:b/>
          <w:sz w:val="32"/>
          <w:szCs w:val="32"/>
          <w:lang w:val="en-GB"/>
        </w:rPr>
      </w:pPr>
    </w:p>
    <w:p>
      <w:pPr>
        <w:pStyle w:val="style0"/>
        <w:jc w:val="center"/>
        <w:rPr>
          <w:rFonts w:ascii="Times New Roman" w:cs="Times New Roman" w:eastAsia="Times New Roman" w:hAnsi="Times New Roman"/>
          <w:b/>
          <w:sz w:val="32"/>
          <w:szCs w:val="32"/>
          <w:lang w:val="en-GB"/>
        </w:rPr>
      </w:pPr>
    </w:p>
    <w:p>
      <w:pPr>
        <w:pStyle w:val="style0"/>
        <w:jc w:val="center"/>
        <w:rPr>
          <w:rFonts w:ascii="Times New Roman" w:cs="Times New Roman" w:eastAsia="Times New Roman" w:hAnsi="Times New Roman"/>
          <w:b/>
          <w:sz w:val="32"/>
          <w:szCs w:val="32"/>
          <w:lang w:val="en-GB"/>
        </w:rPr>
      </w:pPr>
    </w:p>
    <w:p>
      <w:pPr>
        <w:pStyle w:val="style0"/>
        <w:jc w:val="center"/>
        <w:rPr>
          <w:rFonts w:ascii="Times New Roman" w:cs="Times New Roman" w:eastAsia="Times New Roman" w:hAnsi="Times New Roman"/>
          <w:b/>
          <w:sz w:val="32"/>
          <w:szCs w:val="32"/>
          <w:lang w:val="en-GB"/>
        </w:rPr>
      </w:pPr>
    </w:p>
    <w:p>
      <w:pPr>
        <w:pStyle w:val="style0"/>
        <w:jc w:val="center"/>
        <w:rPr>
          <w:rFonts w:ascii="Times New Roman" w:cs="Times New Roman" w:eastAsia="Times New Roman" w:hAnsi="Times New Roman"/>
          <w:b/>
          <w:sz w:val="32"/>
          <w:szCs w:val="32"/>
          <w:lang w:val="en-GB"/>
        </w:rPr>
      </w:pPr>
      <w:r>
        <w:rPr>
          <w:rFonts w:ascii="Times New Roman" w:cs="Times New Roman" w:eastAsia="Times New Roman" w:hAnsi="Times New Roman"/>
          <w:b/>
          <w:sz w:val="32"/>
          <w:szCs w:val="32"/>
          <w:lang w:val="en-US"/>
        </w:rPr>
        <w:t>Name :Neexit Puri</w:t>
      </w:r>
    </w:p>
    <w:p>
      <w:pPr>
        <w:pStyle w:val="style0"/>
        <w:jc w:val="center"/>
        <w:rPr>
          <w:rFonts w:ascii="Times New Roman" w:cs="Times New Roman" w:eastAsia="Times New Roman" w:hAnsi="Times New Roman"/>
          <w:b/>
          <w:sz w:val="32"/>
          <w:szCs w:val="32"/>
          <w:lang w:val="en-GB"/>
        </w:rPr>
      </w:pPr>
      <w:r>
        <w:rPr>
          <w:rFonts w:ascii="Times New Roman" w:cs="Times New Roman" w:eastAsia="Times New Roman" w:hAnsi="Times New Roman"/>
          <w:b/>
          <w:sz w:val="32"/>
          <w:szCs w:val="32"/>
          <w:lang w:val="en-US"/>
        </w:rPr>
        <w:t>Student I'd :  2225662</w:t>
      </w:r>
    </w:p>
    <w:p>
      <w:pPr>
        <w:pStyle w:val="style0"/>
        <w:jc w:val="center"/>
        <w:rPr>
          <w:rFonts w:ascii="Times New Roman" w:cs="Times New Roman" w:eastAsia="Times New Roman" w:hAnsi="Times New Roman"/>
          <w:b/>
          <w:sz w:val="32"/>
          <w:szCs w:val="32"/>
          <w:lang w:val="en-GB"/>
        </w:rPr>
      </w:pPr>
    </w:p>
    <w:p>
      <w:pPr>
        <w:pStyle w:val="style0"/>
        <w:jc w:val="center"/>
        <w:rPr>
          <w:rFonts w:ascii="Times New Roman" w:cs="Times New Roman" w:eastAsia="Times New Roman" w:hAnsi="Times New Roman"/>
          <w:b/>
          <w:sz w:val="32"/>
          <w:szCs w:val="32"/>
          <w:lang w:val="en-GB"/>
        </w:rPr>
      </w:pPr>
    </w:p>
    <w:p>
      <w:pPr>
        <w:pStyle w:val="style0"/>
        <w:jc w:val="center"/>
        <w:rPr>
          <w:rFonts w:ascii="Times New Roman" w:cs="Times New Roman" w:eastAsia="Times New Roman" w:hAnsi="Times New Roman"/>
          <w:b/>
          <w:sz w:val="32"/>
          <w:szCs w:val="32"/>
          <w:lang w:val="en-GB"/>
        </w:rPr>
      </w:pPr>
      <w:r>
        <w:rPr>
          <w:rFonts w:ascii="Times New Roman" w:cs="Times New Roman" w:eastAsia="Times New Roman" w:hAnsi="Times New Roman"/>
          <w:b/>
          <w:sz w:val="32"/>
          <w:szCs w:val="32"/>
          <w:lang w:val="en-GB"/>
        </w:rPr>
        <w:t>STRATEGIC MANAGEMENT: A STUDY ON GSK</w:t>
      </w:r>
    </w:p>
    <w:p>
      <w:pPr>
        <w:pStyle w:val="style0"/>
        <w:rPr>
          <w:rFonts w:ascii="Times New Roman" w:cs="Times New Roman" w:eastAsia="Times New Roman" w:hAnsi="Times New Roman"/>
          <w:b/>
          <w:sz w:val="32"/>
          <w:szCs w:val="32"/>
          <w:lang w:val="en-GB"/>
        </w:rPr>
      </w:pPr>
      <w:r>
        <w:rPr>
          <w:rFonts w:ascii="Times New Roman" w:cs="Times New Roman" w:eastAsia="Times New Roman" w:hAnsi="Times New Roman"/>
          <w:b/>
          <w:sz w:val="32"/>
          <w:szCs w:val="32"/>
          <w:lang w:val="en-GB"/>
        </w:rPr>
        <w:br w:type="page"/>
      </w:r>
    </w:p>
    <w:p>
      <w:pPr>
        <w:pStyle w:val="style0"/>
        <w:rPr>
          <w:rFonts w:ascii="Times New Roman" w:cs="Times New Roman" w:eastAsia="Times New Roman" w:hAnsi="Times New Roman"/>
          <w:b/>
          <w:sz w:val="32"/>
          <w:szCs w:val="32"/>
          <w:lang w:val="en-GB"/>
        </w:rPr>
      </w:pPr>
    </w:p>
    <w:p>
      <w:pPr>
        <w:pStyle w:val="style266"/>
        <w:spacing w:lineRule="auto" w:line="360"/>
        <w:jc w:val="center"/>
        <w:rPr>
          <w:rFonts w:ascii="Times New Roman" w:cs="Times New Roman" w:hAnsi="Times New Roman"/>
          <w:sz w:val="24"/>
          <w:szCs w:val="24"/>
          <w:lang w:val="en-GB"/>
        </w:rPr>
      </w:pPr>
      <w:r>
        <w:rPr>
          <w:rFonts w:ascii="Times New Roman" w:cs="Times New Roman" w:hAnsi="Times New Roman"/>
          <w:color w:val="auto"/>
          <w:sz w:val="24"/>
          <w:szCs w:val="24"/>
          <w:lang w:val="en-GB"/>
        </w:rPr>
        <w:t>Table of Contents</w:t>
      </w:r>
    </w:p>
    <w:p>
      <w:pPr>
        <w:pStyle w:val="style19"/>
        <w:tabs>
          <w:tab w:val="right" w:leader="dot" w:pos="9019"/>
        </w:tabs>
        <w:spacing w:lineRule="auto" w:line="360"/>
        <w:jc w:val="both"/>
        <w:rPr>
          <w:rFonts w:ascii="Times New Roman" w:cs="Times New Roman" w:eastAsia="宋体" w:hAnsi="Times New Roman"/>
          <w:noProof/>
          <w:sz w:val="24"/>
          <w:szCs w:val="24"/>
        </w:rPr>
      </w:pPr>
      <w:r>
        <w:rPr>
          <w:rFonts w:ascii="Times New Roman" w:cs="Times New Roman" w:hAnsi="Times New Roman"/>
          <w:sz w:val="24"/>
          <w:szCs w:val="24"/>
          <w:lang w:val="en-GB"/>
        </w:rPr>
        <w:fldChar w:fldCharType="begin"/>
      </w:r>
      <w:r>
        <w:rPr>
          <w:rFonts w:ascii="Times New Roman" w:cs="Times New Roman" w:hAnsi="Times New Roman"/>
          <w:sz w:val="24"/>
          <w:szCs w:val="24"/>
          <w:lang w:val="en-GB"/>
        </w:rPr>
        <w:instrText xml:space="preserve"> TOC \o "1-3" \h \z \u </w:instrText>
      </w:r>
      <w:r>
        <w:rPr>
          <w:rFonts w:ascii="Times New Roman" w:cs="Times New Roman" w:hAnsi="Times New Roman"/>
          <w:sz w:val="24"/>
          <w:szCs w:val="24"/>
          <w:lang w:val="en-GB"/>
        </w:rPr>
        <w:fldChar w:fldCharType="separate"/>
      </w:r>
      <w:r>
        <w:rPr/>
        <w:fldChar w:fldCharType="begin"/>
      </w:r>
      <w:r>
        <w:instrText xml:space="preserve"> HYPERLINK \l "_Toc140916754" </w:instrText>
      </w:r>
      <w:r>
        <w:rPr/>
        <w:fldChar w:fldCharType="separate"/>
      </w:r>
      <w:r>
        <w:rPr>
          <w:rStyle w:val="style85"/>
          <w:rFonts w:ascii="Times New Roman" w:cs="Times New Roman" w:hAnsi="Times New Roman"/>
          <w:noProof/>
          <w:sz w:val="24"/>
          <w:szCs w:val="24"/>
        </w:rPr>
        <w:t>1. Executive summary</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_Toc140916754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2</w:t>
      </w:r>
      <w:r>
        <w:rPr>
          <w:rFonts w:ascii="Times New Roman" w:cs="Times New Roman" w:hAnsi="Times New Roman"/>
          <w:noProof/>
          <w:webHidden/>
          <w:sz w:val="24"/>
          <w:szCs w:val="24"/>
        </w:rPr>
        <w:fldChar w:fldCharType="end"/>
      </w:r>
      <w:r>
        <w:rPr/>
        <w:fldChar w:fldCharType="end"/>
      </w:r>
    </w:p>
    <w:p>
      <w:pPr>
        <w:pStyle w:val="style19"/>
        <w:tabs>
          <w:tab w:val="right" w:leader="dot" w:pos="9019"/>
        </w:tabs>
        <w:spacing w:lineRule="auto" w:line="360"/>
        <w:jc w:val="both"/>
        <w:rPr>
          <w:rFonts w:ascii="Times New Roman" w:cs="Times New Roman" w:eastAsia="宋体" w:hAnsi="Times New Roman"/>
          <w:noProof/>
          <w:sz w:val="24"/>
          <w:szCs w:val="24"/>
        </w:rPr>
      </w:pPr>
      <w:r>
        <w:rPr/>
        <w:fldChar w:fldCharType="begin"/>
      </w:r>
      <w:r>
        <w:instrText xml:space="preserve"> HYPERLINK \l "_Toc140916755" </w:instrText>
      </w:r>
      <w:r>
        <w:rPr/>
        <w:fldChar w:fldCharType="separate"/>
      </w:r>
      <w:r>
        <w:rPr>
          <w:rStyle w:val="style85"/>
          <w:rFonts w:ascii="Times New Roman" w:cs="Times New Roman" w:eastAsia="Times New Roman" w:hAnsi="Times New Roman"/>
          <w:noProof/>
          <w:sz w:val="24"/>
          <w:szCs w:val="24"/>
          <w:lang w:val="en-GB"/>
        </w:rPr>
        <w:t>2. Introduction</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_Toc140916755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3</w:t>
      </w:r>
      <w:r>
        <w:rPr>
          <w:rFonts w:ascii="Times New Roman" w:cs="Times New Roman" w:hAnsi="Times New Roman"/>
          <w:noProof/>
          <w:webHidden/>
          <w:sz w:val="24"/>
          <w:szCs w:val="24"/>
        </w:rPr>
        <w:fldChar w:fldCharType="end"/>
      </w:r>
      <w:r>
        <w:rPr/>
        <w:fldChar w:fldCharType="end"/>
      </w:r>
    </w:p>
    <w:p>
      <w:pPr>
        <w:pStyle w:val="style20"/>
        <w:tabs>
          <w:tab w:val="right" w:leader="dot" w:pos="9019"/>
        </w:tabs>
        <w:spacing w:lineRule="auto" w:line="360"/>
        <w:jc w:val="both"/>
        <w:rPr>
          <w:rFonts w:ascii="Times New Roman" w:cs="Times New Roman" w:eastAsia="宋体" w:hAnsi="Times New Roman"/>
          <w:noProof/>
          <w:sz w:val="24"/>
          <w:szCs w:val="24"/>
        </w:rPr>
      </w:pPr>
      <w:r>
        <w:rPr/>
        <w:fldChar w:fldCharType="begin"/>
      </w:r>
      <w:r>
        <w:instrText xml:space="preserve"> HYPERLINK \l "_Toc140916756" </w:instrText>
      </w:r>
      <w:r>
        <w:rPr/>
        <w:fldChar w:fldCharType="separate"/>
      </w:r>
      <w:r>
        <w:rPr>
          <w:rStyle w:val="style85"/>
          <w:rFonts w:ascii="Times New Roman" w:cs="Times New Roman" w:eastAsia="Times New Roman" w:hAnsi="Times New Roman"/>
          <w:noProof/>
          <w:sz w:val="24"/>
          <w:szCs w:val="24"/>
          <w:lang w:val="en-GB"/>
        </w:rPr>
        <w:t>2.1 Report remit</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_Toc140916756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3</w:t>
      </w:r>
      <w:r>
        <w:rPr>
          <w:rFonts w:ascii="Times New Roman" w:cs="Times New Roman" w:hAnsi="Times New Roman"/>
          <w:noProof/>
          <w:webHidden/>
          <w:sz w:val="24"/>
          <w:szCs w:val="24"/>
        </w:rPr>
        <w:fldChar w:fldCharType="end"/>
      </w:r>
      <w:r>
        <w:rPr/>
        <w:fldChar w:fldCharType="end"/>
      </w:r>
    </w:p>
    <w:p>
      <w:pPr>
        <w:pStyle w:val="style20"/>
        <w:tabs>
          <w:tab w:val="right" w:leader="dot" w:pos="9019"/>
        </w:tabs>
        <w:spacing w:lineRule="auto" w:line="360"/>
        <w:jc w:val="both"/>
        <w:rPr>
          <w:rFonts w:ascii="Times New Roman" w:cs="Times New Roman" w:eastAsia="宋体" w:hAnsi="Times New Roman"/>
          <w:noProof/>
          <w:sz w:val="24"/>
          <w:szCs w:val="24"/>
        </w:rPr>
      </w:pPr>
      <w:r>
        <w:rPr/>
        <w:fldChar w:fldCharType="begin"/>
      </w:r>
      <w:r>
        <w:instrText xml:space="preserve"> HYPERLINK \l "_Toc140916757" </w:instrText>
      </w:r>
      <w:r>
        <w:rPr/>
        <w:fldChar w:fldCharType="separate"/>
      </w:r>
      <w:r>
        <w:rPr>
          <w:rStyle w:val="style85"/>
          <w:rFonts w:ascii="Times New Roman" w:cs="Times New Roman" w:eastAsia="Times New Roman" w:hAnsi="Times New Roman"/>
          <w:noProof/>
          <w:sz w:val="24"/>
          <w:szCs w:val="24"/>
          <w:lang w:val="en-GB"/>
        </w:rPr>
        <w:t>2.2 Background of the Organisation</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_Toc140916757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3</w:t>
      </w:r>
      <w:r>
        <w:rPr>
          <w:rFonts w:ascii="Times New Roman" w:cs="Times New Roman" w:hAnsi="Times New Roman"/>
          <w:noProof/>
          <w:webHidden/>
          <w:sz w:val="24"/>
          <w:szCs w:val="24"/>
        </w:rPr>
        <w:fldChar w:fldCharType="end"/>
      </w:r>
      <w:r>
        <w:rPr/>
        <w:fldChar w:fldCharType="end"/>
      </w:r>
    </w:p>
    <w:p>
      <w:pPr>
        <w:pStyle w:val="style20"/>
        <w:tabs>
          <w:tab w:val="right" w:leader="dot" w:pos="9019"/>
        </w:tabs>
        <w:spacing w:lineRule="auto" w:line="360"/>
        <w:jc w:val="both"/>
        <w:rPr>
          <w:rFonts w:ascii="Times New Roman" w:cs="Times New Roman" w:eastAsia="宋体" w:hAnsi="Times New Roman"/>
          <w:noProof/>
          <w:sz w:val="24"/>
          <w:szCs w:val="24"/>
        </w:rPr>
      </w:pPr>
      <w:r>
        <w:rPr/>
        <w:fldChar w:fldCharType="begin"/>
      </w:r>
      <w:r>
        <w:instrText xml:space="preserve"> HYPERLINK \l "_Toc140916758" </w:instrText>
      </w:r>
      <w:r>
        <w:rPr/>
        <w:fldChar w:fldCharType="separate"/>
      </w:r>
      <w:r>
        <w:rPr>
          <w:rStyle w:val="style85"/>
          <w:rFonts w:ascii="Times New Roman" w:cs="Times New Roman" w:eastAsia="Times New Roman" w:hAnsi="Times New Roman"/>
          <w:noProof/>
          <w:sz w:val="24"/>
          <w:szCs w:val="24"/>
          <w:lang w:val="en-GB"/>
        </w:rPr>
        <w:t>2.3 Major Concepts</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_Toc140916758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4</w:t>
      </w:r>
      <w:r>
        <w:rPr>
          <w:rFonts w:ascii="Times New Roman" w:cs="Times New Roman" w:hAnsi="Times New Roman"/>
          <w:noProof/>
          <w:webHidden/>
          <w:sz w:val="24"/>
          <w:szCs w:val="24"/>
        </w:rPr>
        <w:fldChar w:fldCharType="end"/>
      </w:r>
      <w:r>
        <w:rPr/>
        <w:fldChar w:fldCharType="end"/>
      </w:r>
    </w:p>
    <w:p>
      <w:pPr>
        <w:pStyle w:val="style19"/>
        <w:tabs>
          <w:tab w:val="right" w:leader="dot" w:pos="9019"/>
        </w:tabs>
        <w:spacing w:lineRule="auto" w:line="360"/>
        <w:jc w:val="both"/>
        <w:rPr>
          <w:rFonts w:ascii="Times New Roman" w:cs="Times New Roman" w:eastAsia="宋体" w:hAnsi="Times New Roman"/>
          <w:noProof/>
          <w:sz w:val="24"/>
          <w:szCs w:val="24"/>
        </w:rPr>
      </w:pPr>
      <w:r>
        <w:rPr/>
        <w:fldChar w:fldCharType="begin"/>
      </w:r>
      <w:r>
        <w:instrText xml:space="preserve"> HYPERLINK \l "_Toc140916759" </w:instrText>
      </w:r>
      <w:r>
        <w:rPr/>
        <w:fldChar w:fldCharType="separate"/>
      </w:r>
      <w:r>
        <w:rPr>
          <w:rStyle w:val="style85"/>
          <w:rFonts w:ascii="Times New Roman" w:cs="Times New Roman" w:hAnsi="Times New Roman"/>
          <w:noProof/>
          <w:sz w:val="24"/>
          <w:szCs w:val="24"/>
        </w:rPr>
        <w:t>3. Main body</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_Toc140916759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9</w:t>
      </w:r>
      <w:r>
        <w:rPr>
          <w:rFonts w:ascii="Times New Roman" w:cs="Times New Roman" w:hAnsi="Times New Roman"/>
          <w:noProof/>
          <w:webHidden/>
          <w:sz w:val="24"/>
          <w:szCs w:val="24"/>
        </w:rPr>
        <w:fldChar w:fldCharType="end"/>
      </w:r>
      <w:r>
        <w:rPr/>
        <w:fldChar w:fldCharType="end"/>
      </w:r>
    </w:p>
    <w:p>
      <w:pPr>
        <w:pStyle w:val="style20"/>
        <w:tabs>
          <w:tab w:val="right" w:leader="dot" w:pos="9019"/>
        </w:tabs>
        <w:spacing w:lineRule="auto" w:line="360"/>
        <w:jc w:val="both"/>
        <w:rPr>
          <w:rFonts w:ascii="Times New Roman" w:cs="Times New Roman" w:eastAsia="宋体" w:hAnsi="Times New Roman"/>
          <w:noProof/>
          <w:sz w:val="24"/>
          <w:szCs w:val="24"/>
        </w:rPr>
      </w:pPr>
      <w:r>
        <w:rPr/>
        <w:fldChar w:fldCharType="begin"/>
      </w:r>
      <w:r>
        <w:instrText xml:space="preserve"> HYPERLINK \l "_Toc140916760" </w:instrText>
      </w:r>
      <w:r>
        <w:rPr/>
        <w:fldChar w:fldCharType="separate"/>
      </w:r>
      <w:r>
        <w:rPr>
          <w:rStyle w:val="style85"/>
          <w:rFonts w:ascii="Times New Roman" w:cs="Times New Roman" w:hAnsi="Times New Roman"/>
          <w:noProof/>
          <w:sz w:val="24"/>
          <w:szCs w:val="24"/>
          <w:lang w:val="en-GB"/>
        </w:rPr>
        <w:t>3.1 External analysis</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_Toc140916760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9</w:t>
      </w:r>
      <w:r>
        <w:rPr>
          <w:rFonts w:ascii="Times New Roman" w:cs="Times New Roman" w:hAnsi="Times New Roman"/>
          <w:noProof/>
          <w:webHidden/>
          <w:sz w:val="24"/>
          <w:szCs w:val="24"/>
        </w:rPr>
        <w:fldChar w:fldCharType="end"/>
      </w:r>
      <w:r>
        <w:rPr/>
        <w:fldChar w:fldCharType="end"/>
      </w:r>
    </w:p>
    <w:p>
      <w:pPr>
        <w:pStyle w:val="style20"/>
        <w:tabs>
          <w:tab w:val="right" w:leader="dot" w:pos="9019"/>
        </w:tabs>
        <w:spacing w:lineRule="auto" w:line="360"/>
        <w:jc w:val="both"/>
        <w:rPr>
          <w:rFonts w:ascii="Times New Roman" w:cs="Times New Roman" w:eastAsia="宋体" w:hAnsi="Times New Roman"/>
          <w:noProof/>
          <w:sz w:val="24"/>
          <w:szCs w:val="24"/>
        </w:rPr>
      </w:pPr>
      <w:r>
        <w:rPr/>
        <w:fldChar w:fldCharType="begin"/>
      </w:r>
      <w:r>
        <w:instrText xml:space="preserve"> HYPERLINK \l "_Toc140916761" </w:instrText>
      </w:r>
      <w:r>
        <w:rPr/>
        <w:fldChar w:fldCharType="separate"/>
      </w:r>
      <w:r>
        <w:rPr>
          <w:rStyle w:val="style85"/>
          <w:rFonts w:ascii="Times New Roman" w:cs="Times New Roman" w:hAnsi="Times New Roman"/>
          <w:noProof/>
          <w:sz w:val="24"/>
          <w:szCs w:val="24"/>
          <w:lang w:val="en-GB"/>
        </w:rPr>
        <w:t>3.2 Internal analysis</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_Toc140916761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13</w:t>
      </w:r>
      <w:r>
        <w:rPr>
          <w:rFonts w:ascii="Times New Roman" w:cs="Times New Roman" w:hAnsi="Times New Roman"/>
          <w:noProof/>
          <w:webHidden/>
          <w:sz w:val="24"/>
          <w:szCs w:val="24"/>
        </w:rPr>
        <w:fldChar w:fldCharType="end"/>
      </w:r>
      <w:r>
        <w:rPr/>
        <w:fldChar w:fldCharType="end"/>
      </w:r>
    </w:p>
    <w:p>
      <w:pPr>
        <w:pStyle w:val="style19"/>
        <w:tabs>
          <w:tab w:val="right" w:leader="dot" w:pos="9019"/>
        </w:tabs>
        <w:spacing w:lineRule="auto" w:line="360"/>
        <w:jc w:val="both"/>
        <w:rPr>
          <w:rFonts w:ascii="Times New Roman" w:cs="Times New Roman" w:eastAsia="宋体" w:hAnsi="Times New Roman"/>
          <w:noProof/>
          <w:sz w:val="24"/>
          <w:szCs w:val="24"/>
        </w:rPr>
      </w:pPr>
      <w:r>
        <w:rPr/>
        <w:fldChar w:fldCharType="begin"/>
      </w:r>
      <w:r>
        <w:instrText xml:space="preserve"> HYPERLINK \l "_Toc140916762" </w:instrText>
      </w:r>
      <w:r>
        <w:rPr/>
        <w:fldChar w:fldCharType="separate"/>
      </w:r>
      <w:r>
        <w:rPr>
          <w:rStyle w:val="style85"/>
          <w:rFonts w:ascii="Times New Roman" w:cs="Times New Roman" w:hAnsi="Times New Roman"/>
          <w:noProof/>
          <w:sz w:val="24"/>
          <w:szCs w:val="24"/>
        </w:rPr>
        <w:t>4. Strategic options</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_Toc140916762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15</w:t>
      </w:r>
      <w:r>
        <w:rPr>
          <w:rFonts w:ascii="Times New Roman" w:cs="Times New Roman" w:hAnsi="Times New Roman"/>
          <w:noProof/>
          <w:webHidden/>
          <w:sz w:val="24"/>
          <w:szCs w:val="24"/>
        </w:rPr>
        <w:fldChar w:fldCharType="end"/>
      </w:r>
      <w:r>
        <w:rPr/>
        <w:fldChar w:fldCharType="end"/>
      </w:r>
    </w:p>
    <w:p>
      <w:pPr>
        <w:pStyle w:val="style19"/>
        <w:tabs>
          <w:tab w:val="right" w:leader="dot" w:pos="9019"/>
        </w:tabs>
        <w:spacing w:lineRule="auto" w:line="360"/>
        <w:jc w:val="both"/>
        <w:rPr>
          <w:rFonts w:ascii="Times New Roman" w:cs="Times New Roman" w:eastAsia="宋体" w:hAnsi="Times New Roman"/>
          <w:noProof/>
          <w:sz w:val="24"/>
          <w:szCs w:val="24"/>
        </w:rPr>
      </w:pPr>
      <w:r>
        <w:rPr/>
        <w:fldChar w:fldCharType="begin"/>
      </w:r>
      <w:r>
        <w:instrText xml:space="preserve"> HYPERLINK \l "_Toc140916763" </w:instrText>
      </w:r>
      <w:r>
        <w:rPr/>
        <w:fldChar w:fldCharType="separate"/>
      </w:r>
      <w:r>
        <w:rPr>
          <w:rStyle w:val="style85"/>
          <w:rFonts w:ascii="Times New Roman" w:cs="Times New Roman" w:hAnsi="Times New Roman"/>
          <w:noProof/>
          <w:sz w:val="24"/>
          <w:szCs w:val="24"/>
        </w:rPr>
        <w:t>5. Conclusion</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_Toc140916763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18</w:t>
      </w:r>
      <w:r>
        <w:rPr>
          <w:rFonts w:ascii="Times New Roman" w:cs="Times New Roman" w:hAnsi="Times New Roman"/>
          <w:noProof/>
          <w:webHidden/>
          <w:sz w:val="24"/>
          <w:szCs w:val="24"/>
        </w:rPr>
        <w:fldChar w:fldCharType="end"/>
      </w:r>
      <w:r>
        <w:rPr/>
        <w:fldChar w:fldCharType="end"/>
      </w:r>
    </w:p>
    <w:p>
      <w:pPr>
        <w:pStyle w:val="style19"/>
        <w:tabs>
          <w:tab w:val="right" w:leader="dot" w:pos="9019"/>
        </w:tabs>
        <w:spacing w:lineRule="auto" w:line="360"/>
        <w:jc w:val="both"/>
        <w:rPr>
          <w:rFonts w:ascii="Times New Roman" w:cs="Times New Roman" w:eastAsia="宋体" w:hAnsi="Times New Roman"/>
          <w:noProof/>
          <w:sz w:val="24"/>
          <w:szCs w:val="24"/>
        </w:rPr>
      </w:pPr>
      <w:r>
        <w:rPr/>
        <w:fldChar w:fldCharType="begin"/>
      </w:r>
      <w:r>
        <w:instrText xml:space="preserve"> HYPERLINK \l "_Toc140916764" </w:instrText>
      </w:r>
      <w:r>
        <w:rPr/>
        <w:fldChar w:fldCharType="separate"/>
      </w:r>
      <w:r>
        <w:rPr>
          <w:rStyle w:val="style85"/>
          <w:rFonts w:ascii="Times New Roman" w:cs="Times New Roman" w:hAnsi="Times New Roman"/>
          <w:noProof/>
          <w:sz w:val="24"/>
          <w:szCs w:val="24"/>
        </w:rPr>
        <w:t>References</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_Toc140916764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21</w:t>
      </w:r>
      <w:r>
        <w:rPr>
          <w:rFonts w:ascii="Times New Roman" w:cs="Times New Roman" w:hAnsi="Times New Roman"/>
          <w:noProof/>
          <w:webHidden/>
          <w:sz w:val="24"/>
          <w:szCs w:val="24"/>
        </w:rPr>
        <w:fldChar w:fldCharType="end"/>
      </w:r>
      <w:r>
        <w:rPr/>
        <w:fldChar w:fldCharType="end"/>
      </w:r>
    </w:p>
    <w:p>
      <w:pPr>
        <w:pStyle w:val="style0"/>
        <w:spacing w:lineRule="auto" w:line="360"/>
        <w:jc w:val="both"/>
        <w:rPr>
          <w:rFonts w:ascii="Times New Roman" w:cs="Times New Roman" w:hAnsi="Times New Roman"/>
          <w:sz w:val="24"/>
          <w:szCs w:val="24"/>
          <w:lang w:val="en-GB"/>
        </w:rPr>
      </w:pPr>
      <w:r>
        <w:rPr>
          <w:rFonts w:ascii="Times New Roman" w:cs="Times New Roman" w:hAnsi="Times New Roman"/>
          <w:sz w:val="24"/>
          <w:szCs w:val="24"/>
          <w:lang w:val="en-GB"/>
        </w:rPr>
        <w:fldChar w:fldCharType="end"/>
      </w:r>
    </w:p>
    <w:p>
      <w:pPr>
        <w:pStyle w:val="style1"/>
        <w:jc w:val="center"/>
        <w:rPr/>
      </w:pPr>
      <w:r>
        <w:rPr>
          <w:sz w:val="32"/>
          <w:szCs w:val="32"/>
        </w:rPr>
        <w:br w:type="page"/>
      </w:r>
      <w:bookmarkStart w:id="0" w:name="_Toc140916754"/>
      <w:r>
        <w:t>1. Executive summary</w:t>
      </w:r>
      <w:bookmarkEnd w:id="0"/>
    </w:p>
    <w:p>
      <w:pPr>
        <w:pStyle w:val="style0"/>
        <w:spacing w:lineRule="auto" w:line="360"/>
        <w:jc w:val="both"/>
        <w:rPr>
          <w:rFonts w:ascii="Times New Roman" w:cs="Times New Roman" w:eastAsia="Times New Roman" w:hAnsi="Times New Roman"/>
          <w:b/>
          <w:sz w:val="24"/>
          <w:lang w:val="en-GB"/>
        </w:rPr>
      </w:pPr>
      <w:r>
        <w:rPr>
          <w:rFonts w:ascii="Times New Roman" w:cs="Times New Roman" w:hAnsi="Times New Roman"/>
          <w:sz w:val="24"/>
          <w:lang w:val="en-GB"/>
        </w:rPr>
        <w:t xml:space="preserve">Strategic options are important for organisations such as GSK to maintain their strategic significance in a competitive market. Since the organisation already facing some obstacles in its operations, prioritising strategic initiatives can be helpful. Regarding this, application of technologies such as AR and big data, address patent issues, and expanding markets can be helpful that have been discussed in this report briefly. PESTLE is an important strategic tool that helps to measure the external factors. </w:t>
      </w:r>
      <w:r>
        <w:rPr>
          <w:rFonts w:ascii="Times New Roman" w:cs="Times New Roman" w:hAnsi="Times New Roman"/>
          <w:sz w:val="24"/>
          <w:lang w:val="en-GB"/>
        </w:rPr>
        <w:t>C</w:t>
      </w:r>
      <w:r>
        <w:rPr>
          <w:rFonts w:ascii="Times New Roman" w:cs="Times New Roman" w:hAnsi="Times New Roman"/>
          <w:sz w:val="24"/>
          <w:lang w:val="en-GB"/>
        </w:rPr>
        <w:t xml:space="preserve">urrent strategy of GSK has been </w:t>
      </w:r>
      <w:r>
        <w:rPr>
          <w:rFonts w:ascii="Times New Roman" w:cs="Times New Roman" w:hAnsi="Times New Roman"/>
          <w:sz w:val="24"/>
          <w:lang w:val="en-GB"/>
        </w:rPr>
        <w:t>evaluated</w:t>
      </w:r>
      <w:r>
        <w:rPr>
          <w:rFonts w:ascii="Times New Roman" w:cs="Times New Roman" w:hAnsi="Times New Roman"/>
          <w:sz w:val="24"/>
          <w:lang w:val="en-GB"/>
        </w:rPr>
        <w:t xml:space="preserve"> through </w:t>
      </w:r>
      <w:r>
        <w:rPr>
          <w:rFonts w:ascii="Times New Roman" w:cs="Times New Roman" w:eastAsia="Times New Roman" w:hAnsi="Times New Roman"/>
          <w:sz w:val="24"/>
          <w:lang w:val="en-GB"/>
        </w:rPr>
        <w:t xml:space="preserve">four strategic analysis tools such as “Porter’s generic strategies”, “Bowman’s Strategy Clock”, Ansoff matrix and “Porter’s five forces analysis”. </w:t>
      </w:r>
      <w:r>
        <w:rPr>
          <w:rFonts w:ascii="Times New Roman" w:cs="Times New Roman" w:hAnsi="Times New Roman"/>
          <w:sz w:val="24"/>
          <w:lang w:val="en-GB"/>
        </w:rPr>
        <w:t xml:space="preserve">GSK can identify the external business factors including political, technological and social factor to develop potential business strategies. </w:t>
      </w:r>
      <w:r>
        <w:rPr>
          <w:rFonts w:ascii="Times New Roman" w:cs="Times New Roman" w:eastAsia="Times New Roman" w:hAnsi="Times New Roman"/>
          <w:sz w:val="24"/>
          <w:lang w:val="en-GB"/>
        </w:rPr>
        <w:t xml:space="preserve">Strategic management is required for businesses to create a future direction to the companies by setting specific employment goals, environment scanning and sustainable business model. </w:t>
      </w:r>
      <w:r>
        <w:rPr>
          <w:rFonts w:ascii="Times New Roman" w:cs="Times New Roman" w:hAnsi="Times New Roman"/>
          <w:sz w:val="24"/>
          <w:lang w:val="en-GB"/>
        </w:rPr>
        <w:t xml:space="preserve">The Bowman’s Strategic Clock also plays an important role to analysis market competitiveness. GSK can analysis their market competitiveness by developing products and pricing strategies. </w:t>
      </w:r>
      <w:r>
        <w:rPr>
          <w:rFonts w:ascii="Times New Roman" w:cs="Times New Roman" w:eastAsia="Times New Roman" w:hAnsi="Times New Roman"/>
          <w:sz w:val="24"/>
          <w:lang w:val="en-GB"/>
        </w:rPr>
        <w:t>In conclusion, findings show an implementation of a hybrid strategy in order to mobilise cost leadership and differentiation focus on products and services. Therefore, GSK has scope for building social, environmental, and economic sustainability in business through strategic initiatives, and investment opportunities in globally operating markets.</w:t>
      </w:r>
      <w:r>
        <w:rPr>
          <w:rFonts w:ascii="Times New Roman" w:cs="Times New Roman" w:eastAsia="Times New Roman" w:hAnsi="Times New Roman"/>
          <w:sz w:val="24"/>
          <w:lang w:val="en-GB"/>
        </w:rPr>
        <w:t xml:space="preserve"> </w:t>
      </w:r>
    </w:p>
    <w:p>
      <w:pPr>
        <w:pStyle w:val="style0"/>
        <w:rPr>
          <w:rFonts w:ascii="Times New Roman" w:cs="Times New Roman" w:eastAsia="Times New Roman" w:hAnsi="Times New Roman"/>
          <w:b/>
          <w:sz w:val="24"/>
          <w:szCs w:val="24"/>
          <w:lang w:val="en-GB"/>
        </w:rPr>
      </w:pPr>
      <w:r>
        <w:rPr>
          <w:rFonts w:ascii="Times New Roman" w:cs="Times New Roman" w:eastAsia="Times New Roman" w:hAnsi="Times New Roman"/>
          <w:b/>
          <w:sz w:val="24"/>
          <w:szCs w:val="24"/>
          <w:lang w:val="en-GB"/>
        </w:rPr>
        <w:br w:type="page"/>
      </w:r>
    </w:p>
    <w:bookmarkStart w:id="1" w:name="_Toc140916755"/>
    <w:p>
      <w:pPr>
        <w:pStyle w:val="style0"/>
        <w:keepNext/>
        <w:keepLines/>
        <w:spacing w:lineRule="auto" w:line="360"/>
        <w:jc w:val="both"/>
        <w:outlineLvl w:val="0"/>
        <w:rPr>
          <w:rFonts w:ascii="Times New Roman" w:cs="Times New Roman" w:eastAsia="Times New Roman" w:hAnsi="Times New Roman"/>
          <w:b/>
          <w:sz w:val="24"/>
          <w:szCs w:val="24"/>
          <w:lang w:val="en-GB"/>
        </w:rPr>
      </w:pPr>
      <w:r>
        <w:rPr>
          <w:rFonts w:ascii="Times New Roman" w:cs="Times New Roman" w:eastAsia="Times New Roman" w:hAnsi="Times New Roman"/>
          <w:b/>
          <w:sz w:val="24"/>
          <w:szCs w:val="24"/>
          <w:lang w:val="en-GB"/>
        </w:rPr>
        <w:t>2. Introduction</w:t>
      </w:r>
      <w:bookmarkEnd w:id="1"/>
    </w:p>
    <w:bookmarkStart w:id="2" w:name="_71dar88c5q5m" w:colFirst="0" w:colLast="0"/>
    <w:bookmarkStart w:id="3" w:name="_Toc140916756"/>
    <w:bookmarkEnd w:id="2"/>
    <w:p>
      <w:pPr>
        <w:pStyle w:val="style0"/>
        <w:keepNext/>
        <w:keepLines/>
        <w:spacing w:lineRule="auto" w:line="360"/>
        <w:jc w:val="both"/>
        <w:outlineLvl w:val="1"/>
        <w:rPr>
          <w:rFonts w:ascii="Times New Roman" w:cs="Times New Roman" w:eastAsia="Times New Roman" w:hAnsi="Times New Roman"/>
          <w:b/>
          <w:sz w:val="24"/>
          <w:szCs w:val="24"/>
          <w:lang w:val="en-GB"/>
        </w:rPr>
      </w:pPr>
      <w:r>
        <w:rPr>
          <w:rFonts w:ascii="Times New Roman" w:cs="Times New Roman" w:eastAsia="Times New Roman" w:hAnsi="Times New Roman"/>
          <w:b/>
          <w:sz w:val="24"/>
          <w:szCs w:val="24"/>
          <w:lang w:val="en-GB"/>
        </w:rPr>
        <w:t>2.1 Report remit</w:t>
      </w:r>
      <w:bookmarkEnd w:id="3"/>
    </w:p>
    <w:p>
      <w:pPr>
        <w:pStyle w:val="style0"/>
        <w:spacing w:lineRule="auto" w:line="360"/>
        <w:jc w:val="both"/>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 xml:space="preserve">The report aims to analyse the current external and internal environment of a British multinational pharmaceutical company namely GSK through PESTLE analysis. Strategic problems faced by the company and future strategic directions are discussed based on four strategic analysis tools such as “Porter’s five forces analysis”, “Porter’s generic strategies”, “Bowman’s Strategy Clock” and Ansoff matrix. New strategic directions are provided to GSK in this report to improve the brand image of the company. </w:t>
      </w:r>
    </w:p>
    <w:bookmarkStart w:id="4" w:name="_r0dpl2g7vgrn" w:colFirst="0" w:colLast="0"/>
    <w:bookmarkStart w:id="5" w:name="_Toc140916757"/>
    <w:bookmarkEnd w:id="4"/>
    <w:p>
      <w:pPr>
        <w:pStyle w:val="style0"/>
        <w:keepNext/>
        <w:keepLines/>
        <w:spacing w:lineRule="auto" w:line="360"/>
        <w:jc w:val="both"/>
        <w:outlineLvl w:val="1"/>
        <w:rPr>
          <w:rFonts w:ascii="Times New Roman" w:cs="Times New Roman" w:eastAsia="Times New Roman" w:hAnsi="Times New Roman"/>
          <w:b/>
          <w:sz w:val="24"/>
          <w:szCs w:val="24"/>
          <w:lang w:val="en-GB"/>
        </w:rPr>
      </w:pPr>
      <w:r>
        <w:rPr>
          <w:rFonts w:ascii="Times New Roman" w:cs="Times New Roman" w:eastAsia="Times New Roman" w:hAnsi="Times New Roman"/>
          <w:b/>
          <w:sz w:val="24"/>
          <w:szCs w:val="24"/>
          <w:lang w:val="en-GB"/>
        </w:rPr>
        <w:t>2.2 Background of the Organisation</w:t>
      </w:r>
      <w:bookmarkEnd w:id="5"/>
    </w:p>
    <w:p>
      <w:pPr>
        <w:pStyle w:val="style0"/>
        <w:spacing w:lineRule="auto" w:line="360"/>
        <w:jc w:val="both"/>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GSK or GlaxoSmithKline is a multinational pharmaceutical company headquartered in Londin, the UK which was established in 2000 by merging Glaxo Wellcome and SmithKline Beecham. The products which are provided by the company are vaccines, specialty medicines and general medicines. GSK provides more than 20 vaccines and 40% of children receive GSK vaccines each year (GSK, 2023a). Speciality medicines help GSK to gain a competitive advantage for the company.</w:t>
      </w:r>
      <w:r>
        <w:rPr>
          <w:rFonts w:ascii="Times New Roman" w:cs="Times New Roman" w:eastAsia="Times New Roman" w:hAnsi="Times New Roman"/>
          <w:sz w:val="24"/>
          <w:szCs w:val="24"/>
          <w:lang w:val="en-GB"/>
        </w:rPr>
        <w:t xml:space="preserve"> </w:t>
      </w:r>
      <w:r>
        <w:rPr>
          <w:rFonts w:ascii="Times New Roman" w:cs="Times New Roman" w:eastAsia="Times New Roman" w:hAnsi="Times New Roman"/>
          <w:sz w:val="24"/>
          <w:szCs w:val="24"/>
          <w:lang w:val="en-GB"/>
        </w:rPr>
        <w:t>Speciality medicines include treatments for endometrial cancer, ovarian cancer, HIV and multiple myeloma. GSK obtained £29.3 billion in sales in 2022 which has decreased from a sales value of £34.14 in 2021 (Statista, 2023). It includes £7.9 billion in sales of vaccines and £11.3 billion in speciality medicines. The continuing operating margin of GSK has been enhanced by 21.9% along with 27.8% of adjusted operating margin (GSK, 2023b). Top-selling products of GSK include Avodart, Lovaza, Advair, Flovent, Augmentin and Lamictal which increases sales of the products.</w:t>
      </w:r>
    </w:p>
    <w:p>
      <w:pPr>
        <w:pStyle w:val="style0"/>
        <w:spacing w:lineRule="auto" w:line="360"/>
        <w:jc w:val="center"/>
        <w:rPr>
          <w:rFonts w:ascii="Times New Roman" w:cs="Times New Roman" w:eastAsia="Times New Roman" w:hAnsi="Times New Roman"/>
          <w:sz w:val="24"/>
          <w:szCs w:val="24"/>
          <w:lang w:val="en-GB"/>
        </w:rPr>
      </w:pPr>
      <w:r>
        <w:rPr>
          <w:rFonts w:ascii="Times New Roman" w:cs="Times New Roman" w:eastAsia="Times New Roman" w:hAnsi="Times New Roman"/>
          <w:noProof/>
          <w:sz w:val="24"/>
          <w:szCs w:val="24"/>
        </w:rPr>
        <w:drawing>
          <wp:inline distL="0" distT="0" distB="0" distR="0">
            <wp:extent cx="5731200" cy="3568700"/>
            <wp:effectExtent l="0" t="0" r="0" b="0"/>
            <wp:docPr id="1026" name="image4.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image4.png"/>
                    <pic:cNvPicPr/>
                  </pic:nvPicPr>
                  <pic:blipFill>
                    <a:blip r:embed="rId2" cstate="print"/>
                    <a:srcRect l="0" t="0" r="0" b="0"/>
                    <a:stretch/>
                  </pic:blipFill>
                  <pic:spPr>
                    <a:xfrm rot="0">
                      <a:off x="0" y="0"/>
                      <a:ext cx="5731200" cy="3568700"/>
                    </a:xfrm>
                    <a:prstGeom prst="rect"/>
                    <a:ln cmpd="sng" cap="flat" w="9525">
                      <a:solidFill>
                        <a:srgbClr val="000000"/>
                      </a:solidFill>
                      <a:prstDash val="solid"/>
                      <a:round/>
                      <a:headEnd/>
                      <a:tailEnd/>
                    </a:ln>
                  </pic:spPr>
                </pic:pic>
              </a:graphicData>
            </a:graphic>
          </wp:inline>
        </w:drawing>
      </w:r>
    </w:p>
    <w:p>
      <w:pPr>
        <w:pStyle w:val="style0"/>
        <w:spacing w:lineRule="auto" w:line="360"/>
        <w:jc w:val="center"/>
        <w:rPr>
          <w:rFonts w:ascii="Times New Roman" w:cs="Times New Roman" w:eastAsia="Times New Roman" w:hAnsi="Times New Roman"/>
          <w:b/>
          <w:sz w:val="24"/>
          <w:szCs w:val="24"/>
          <w:lang w:val="en-GB"/>
        </w:rPr>
      </w:pPr>
      <w:r>
        <w:rPr>
          <w:rFonts w:ascii="Times New Roman" w:cs="Times New Roman" w:eastAsia="Times New Roman" w:hAnsi="Times New Roman"/>
          <w:b/>
          <w:sz w:val="24"/>
          <w:szCs w:val="24"/>
          <w:lang w:val="en-GB"/>
        </w:rPr>
        <w:t>Figure 1: Revenue of GSK</w:t>
      </w:r>
    </w:p>
    <w:p>
      <w:pPr>
        <w:pStyle w:val="style0"/>
        <w:spacing w:lineRule="auto" w:line="360"/>
        <w:jc w:val="center"/>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(Source: Statista, 2023)</w:t>
      </w:r>
    </w:p>
    <w:p>
      <w:pPr>
        <w:pStyle w:val="style0"/>
        <w:spacing w:lineRule="auto" w:line="360"/>
        <w:jc w:val="both"/>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 xml:space="preserve">GSK has pleaded guilty because of different criminal information such as introducing misbranded drugs, failure to report safety data and paying the physicians illicitly in the US. The company had to pay $3 billion for resolving civil and criminal liabilities which has been increased due to unlawful promotion of specific prescription drugs and false price reporting (Justice.gov, 2023). GSK has failed to report safety data of drug Avandia to the Food and Drug Administration (FDA). </w:t>
      </w:r>
    </w:p>
    <w:bookmarkStart w:id="6" w:name="_61b4zkh9fgkn" w:colFirst="0" w:colLast="0"/>
    <w:bookmarkStart w:id="7" w:name="_Toc140916758"/>
    <w:bookmarkEnd w:id="6"/>
    <w:p>
      <w:pPr>
        <w:pStyle w:val="style0"/>
        <w:keepNext/>
        <w:keepLines/>
        <w:spacing w:lineRule="auto" w:line="360"/>
        <w:jc w:val="both"/>
        <w:outlineLvl w:val="1"/>
        <w:rPr>
          <w:rFonts w:ascii="Times New Roman" w:cs="Times New Roman" w:eastAsia="Times New Roman" w:hAnsi="Times New Roman"/>
          <w:b/>
          <w:sz w:val="24"/>
          <w:szCs w:val="24"/>
          <w:lang w:val="en-GB"/>
        </w:rPr>
      </w:pPr>
      <w:r>
        <w:rPr>
          <w:rFonts w:ascii="Times New Roman" w:cs="Times New Roman" w:eastAsia="Times New Roman" w:hAnsi="Times New Roman"/>
          <w:b/>
          <w:sz w:val="24"/>
          <w:szCs w:val="24"/>
          <w:lang w:val="en-GB"/>
        </w:rPr>
        <w:t>2.3 Major Concepts</w:t>
      </w:r>
      <w:bookmarkEnd w:id="7"/>
      <w:r>
        <w:rPr>
          <w:rFonts w:ascii="Times New Roman" w:cs="Times New Roman" w:eastAsia="Times New Roman" w:hAnsi="Times New Roman"/>
          <w:b/>
          <w:sz w:val="24"/>
          <w:szCs w:val="24"/>
          <w:lang w:val="en-GB"/>
        </w:rPr>
        <w:t xml:space="preserve"> </w:t>
      </w:r>
    </w:p>
    <w:p>
      <w:pPr>
        <w:pStyle w:val="style0"/>
        <w:spacing w:lineRule="auto" w:line="360"/>
        <w:jc w:val="both"/>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 xml:space="preserve">Strategic management refers to the process of setting goals and planning and monitoring organisational procedures to make a firm more competitive in the market. </w:t>
      </w:r>
      <w:r>
        <w:rPr>
          <w:rFonts w:ascii="Times New Roman" w:cs="Times New Roman" w:eastAsia="Times New Roman" w:hAnsi="Times New Roman"/>
          <w:sz w:val="24"/>
          <w:szCs w:val="24"/>
        </w:rPr>
        <w:t>Strategic management is related</w:t>
      </w:r>
      <w:r>
        <w:rPr>
          <w:rFonts w:ascii="Times New Roman" w:cs="Times New Roman" w:eastAsia="Times New Roman" w:hAnsi="Times New Roman"/>
          <w:sz w:val="24"/>
          <w:szCs w:val="24"/>
        </w:rPr>
        <w:t> to</w:t>
      </w:r>
      <w:r>
        <w:rPr>
          <w:rFonts w:ascii="Times New Roman" w:cs="Times New Roman" w:eastAsia="Times New Roman" w:hAnsi="Times New Roman"/>
          <w:sz w:val="24"/>
          <w:szCs w:val="24"/>
        </w:rPr>
        <w:t xml:space="preserve"> open innovation</w:t>
      </w:r>
      <w:r>
        <w:rPr>
          <w:rFonts w:ascii="Times New Roman" w:cs="Times New Roman" w:eastAsia="Times New Roman" w:hAnsi="Times New Roman"/>
          <w:sz w:val="24"/>
          <w:szCs w:val="24"/>
        </w:rPr>
        <w:t xml:space="preserve"> and obtain valuable resources</w:t>
      </w:r>
      <w:r>
        <w:rPr>
          <w:rFonts w:ascii="Times New Roman" w:cs="Times New Roman" w:eastAsia="Times New Roman" w:hAnsi="Times New Roman"/>
          <w:sz w:val="24"/>
          <w:szCs w:val="24"/>
        </w:rPr>
        <w:t xml:space="preserve"> in business which improves dynamic capabilities of business and increase profit (</w:t>
      </w:r>
      <w:r>
        <w:rPr>
          <w:rFonts w:ascii="Times New Roman" w:cs="Times New Roman" w:eastAsia="Times New Roman" w:hAnsi="Times New Roman"/>
          <w:sz w:val="24"/>
          <w:szCs w:val="24"/>
        </w:rPr>
        <w:t>Hitt</w:t>
      </w:r>
      <w:r>
        <w:rPr>
          <w:rFonts w:ascii="Times New Roman" w:cs="Times New Roman" w:eastAsia="Times New Roman" w:hAnsi="Times New Roman"/>
          <w:i/>
          <w:iCs/>
          <w:sz w:val="24"/>
          <w:szCs w:val="24"/>
        </w:rPr>
        <w:t xml:space="preserve"> </w:t>
      </w:r>
      <w:r>
        <w:rPr>
          <w:rFonts w:ascii="Times New Roman" w:cs="Times New Roman" w:eastAsia="Times New Roman" w:hAnsi="Times New Roman"/>
          <w:i/>
          <w:iCs/>
          <w:sz w:val="24"/>
          <w:szCs w:val="24"/>
        </w:rPr>
        <w:t xml:space="preserve">et al. </w:t>
      </w:r>
      <w:r>
        <w:rPr>
          <w:rFonts w:ascii="Times New Roman" w:cs="Times New Roman" w:eastAsia="Times New Roman" w:hAnsi="Times New Roman"/>
          <w:sz w:val="24"/>
          <w:szCs w:val="24"/>
        </w:rPr>
        <w:t>2019).</w:t>
      </w:r>
    </w:p>
    <w:p>
      <w:pPr>
        <w:pStyle w:val="style0"/>
        <w:spacing w:lineRule="auto" w:line="360"/>
        <w:jc w:val="both"/>
        <w:rPr>
          <w:rFonts w:ascii="Times New Roman" w:cs="Times New Roman" w:eastAsia="Times New Roman" w:hAnsi="Times New Roman"/>
          <w:b/>
          <w:i/>
          <w:sz w:val="24"/>
          <w:szCs w:val="24"/>
          <w:lang w:val="en-GB"/>
        </w:rPr>
      </w:pPr>
      <w:r>
        <w:rPr>
          <w:rFonts w:ascii="Times New Roman" w:cs="Times New Roman" w:eastAsia="Times New Roman" w:hAnsi="Times New Roman"/>
          <w:b/>
          <w:i/>
          <w:sz w:val="24"/>
          <w:szCs w:val="24"/>
          <w:lang w:val="en-GB"/>
        </w:rPr>
        <w:t xml:space="preserve">Porter’s generic strategies </w:t>
      </w:r>
    </w:p>
    <w:p>
      <w:pPr>
        <w:pStyle w:val="style0"/>
        <w:spacing w:lineRule="auto" w:line="360"/>
        <w:jc w:val="center"/>
        <w:rPr>
          <w:rFonts w:ascii="Times New Roman" w:cs="Times New Roman" w:eastAsia="Times New Roman" w:hAnsi="Times New Roman"/>
          <w:b/>
          <w:i/>
          <w:sz w:val="24"/>
          <w:szCs w:val="24"/>
          <w:lang w:val="en-GB"/>
        </w:rPr>
      </w:pPr>
      <w:r>
        <w:rPr>
          <w:rFonts w:ascii="Times New Roman" w:cs="Times New Roman" w:eastAsia="Times New Roman" w:hAnsi="Times New Roman"/>
          <w:b/>
          <w:i/>
          <w:noProof/>
          <w:sz w:val="24"/>
          <w:szCs w:val="24"/>
        </w:rPr>
        <w:drawing>
          <wp:inline distL="0" distT="0" distB="0" distR="0">
            <wp:extent cx="4095749" cy="2124075"/>
            <wp:effectExtent l="0" t="0" r="0" b="0"/>
            <wp:docPr id="1027" name="image1.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3" cstate="print"/>
                    <a:srcRect l="0" t="0" r="0" b="0"/>
                    <a:stretch/>
                  </pic:blipFill>
                  <pic:spPr>
                    <a:xfrm rot="0">
                      <a:off x="0" y="0"/>
                      <a:ext cx="4095749" cy="2124075"/>
                    </a:xfrm>
                    <a:prstGeom prst="rect"/>
                    <a:ln cmpd="sng" cap="flat" w="9525">
                      <a:solidFill>
                        <a:srgbClr val="000000"/>
                      </a:solidFill>
                      <a:prstDash val="solid"/>
                      <a:round/>
                      <a:headEnd/>
                      <a:tailEnd/>
                    </a:ln>
                  </pic:spPr>
                </pic:pic>
              </a:graphicData>
            </a:graphic>
          </wp:inline>
        </w:drawing>
      </w:r>
    </w:p>
    <w:p>
      <w:pPr>
        <w:pStyle w:val="style0"/>
        <w:spacing w:lineRule="auto" w:line="360"/>
        <w:jc w:val="center"/>
        <w:rPr>
          <w:rFonts w:ascii="Times New Roman" w:cs="Times New Roman" w:eastAsia="Times New Roman" w:hAnsi="Times New Roman"/>
          <w:b/>
          <w:sz w:val="24"/>
          <w:szCs w:val="24"/>
          <w:lang w:val="en-GB"/>
        </w:rPr>
      </w:pPr>
      <w:r>
        <w:rPr>
          <w:rFonts w:ascii="Times New Roman" w:cs="Times New Roman" w:eastAsia="Times New Roman" w:hAnsi="Times New Roman"/>
          <w:b/>
          <w:sz w:val="24"/>
          <w:szCs w:val="24"/>
          <w:lang w:val="en-GB"/>
        </w:rPr>
        <w:t>Figure 2: Porter’s generic strategies</w:t>
      </w:r>
    </w:p>
    <w:p>
      <w:pPr>
        <w:pStyle w:val="style0"/>
        <w:spacing w:lineRule="auto" w:line="360"/>
        <w:jc w:val="center"/>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 xml:space="preserve">(Source: Infleunecd by Abdulwase </w:t>
      </w:r>
      <w:r>
        <w:rPr>
          <w:rFonts w:ascii="Times New Roman" w:cs="Times New Roman" w:eastAsia="Times New Roman" w:hAnsi="Times New Roman"/>
          <w:i/>
          <w:sz w:val="24"/>
          <w:szCs w:val="24"/>
          <w:lang w:val="en-GB"/>
        </w:rPr>
        <w:t xml:space="preserve">et al. </w:t>
      </w:r>
      <w:r>
        <w:rPr>
          <w:rFonts w:ascii="Times New Roman" w:cs="Times New Roman" w:eastAsia="Times New Roman" w:hAnsi="Times New Roman"/>
          <w:sz w:val="24"/>
          <w:szCs w:val="24"/>
          <w:lang w:val="en-GB"/>
        </w:rPr>
        <w:t>2020)</w:t>
      </w:r>
    </w:p>
    <w:p>
      <w:pPr>
        <w:pStyle w:val="style0"/>
        <w:spacing w:lineRule="auto" w:line="360"/>
        <w:jc w:val="both"/>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 xml:space="preserve">“Porter’s generic strategies” helps business organisations to identify the ways through which competitive advantage can be gained. There are three generic strategies such as cost leadership, differentiation strategy and focus strategy (Abdulwase </w:t>
      </w:r>
      <w:r>
        <w:rPr>
          <w:rFonts w:ascii="Times New Roman" w:cs="Times New Roman" w:eastAsia="Times New Roman" w:hAnsi="Times New Roman"/>
          <w:i/>
          <w:sz w:val="24"/>
          <w:szCs w:val="24"/>
          <w:lang w:val="en-GB"/>
        </w:rPr>
        <w:t xml:space="preserve">et al. </w:t>
      </w:r>
      <w:r>
        <w:rPr>
          <w:rFonts w:ascii="Times New Roman" w:cs="Times New Roman" w:eastAsia="Times New Roman" w:hAnsi="Times New Roman"/>
          <w:sz w:val="24"/>
          <w:szCs w:val="24"/>
          <w:lang w:val="en-GB"/>
        </w:rPr>
        <w:t>2020, p.137). In cost leadership strategy, a company produces standardised products at a low cost for consumers who are price sensitive. It mainly focuses on increasing</w:t>
      </w:r>
      <w:r>
        <w:rPr>
          <w:rFonts w:ascii="Times New Roman" w:cs="Times New Roman" w:eastAsia="Times New Roman" w:hAnsi="Times New Roman"/>
          <w:sz w:val="24"/>
          <w:szCs w:val="24"/>
          <w:lang w:val="en-GB"/>
        </w:rPr>
        <w:t xml:space="preserve"> </w:t>
      </w:r>
      <w:r>
        <w:rPr>
          <w:rFonts w:ascii="Times New Roman" w:cs="Times New Roman" w:eastAsia="Times New Roman" w:hAnsi="Times New Roman"/>
          <w:sz w:val="24"/>
          <w:szCs w:val="24"/>
          <w:lang w:val="en-GB"/>
        </w:rPr>
        <w:t xml:space="preserve">the organisational financial performance and brand awareness by distributing products at a lower cost than its competitors. On the other hand in differentiation strategy a company provides a wide range of products or develops a unique product or service to make its business different from its competitors. </w:t>
      </w:r>
    </w:p>
    <w:p>
      <w:pPr>
        <w:pStyle w:val="style0"/>
        <w:spacing w:lineRule="auto" w:line="360"/>
        <w:jc w:val="both"/>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 xml:space="preserve">The businesses mainly focus on product quality in differentiation strategy. According to Islami </w:t>
      </w:r>
      <w:r>
        <w:rPr>
          <w:rFonts w:ascii="Times New Roman" w:cs="Times New Roman" w:eastAsia="Times New Roman" w:hAnsi="Times New Roman"/>
          <w:i/>
          <w:sz w:val="24"/>
          <w:szCs w:val="24"/>
          <w:lang w:val="en-GB"/>
        </w:rPr>
        <w:t xml:space="preserve">et al. </w:t>
      </w:r>
      <w:r>
        <w:rPr>
          <w:rFonts w:ascii="Times New Roman" w:cs="Times New Roman" w:eastAsia="Times New Roman" w:hAnsi="Times New Roman"/>
          <w:sz w:val="24"/>
          <w:szCs w:val="24"/>
          <w:lang w:val="en-GB"/>
        </w:rPr>
        <w:t xml:space="preserve">(2020, p.7), focus strategy is divided into two parts such as cost focus and differentiation focus in which a firm focuses on a specific market, product line and consumers. In cost focus strategy, a firm mainly sets higher costs for its products based on demand of niche markets and differentiates the products based on niche market consumer demand. GSK develops its pricing strategy on the basis of country-specific circumstances and adjusting the end of health budget (GSK, 2023c). It uses a tiered pricing policy for their vaccines and sets prices based on income level of people, availability, affordability and sustainability in the market of a country. Henceforth, it indicates that GSK uses a differentiation focus strategy to maintain specific needs of people. On the other hand, Porter’s generic strategy provides few options for pricing and the model does not evaluate changing customer needs because there is a possibility that the standardised products with similar </w:t>
      </w:r>
      <w:r>
        <w:rPr>
          <w:rFonts w:ascii="Times New Roman" w:cs="Times New Roman" w:eastAsia="Times New Roman" w:hAnsi="Times New Roman"/>
          <w:sz w:val="24"/>
          <w:szCs w:val="24"/>
          <w:lang w:val="en-GB"/>
        </w:rPr>
        <w:t>infrastructure</w:t>
      </w:r>
      <w:r>
        <w:rPr>
          <w:rFonts w:ascii="Times New Roman" w:cs="Times New Roman" w:eastAsia="Times New Roman" w:hAnsi="Times New Roman"/>
          <w:sz w:val="24"/>
          <w:szCs w:val="24"/>
          <w:lang w:val="en-GB"/>
        </w:rPr>
        <w:t xml:space="preserve"> are not acceptable to many customers which cannot result in any differentiation. </w:t>
      </w:r>
    </w:p>
    <w:p>
      <w:pPr>
        <w:pStyle w:val="style0"/>
        <w:spacing w:lineRule="auto" w:line="360"/>
        <w:jc w:val="both"/>
        <w:rPr>
          <w:rFonts w:ascii="Times New Roman" w:cs="Times New Roman" w:eastAsia="Times New Roman" w:hAnsi="Times New Roman"/>
          <w:b/>
          <w:i/>
          <w:sz w:val="24"/>
          <w:szCs w:val="24"/>
          <w:lang w:val="en-GB"/>
        </w:rPr>
      </w:pPr>
      <w:r>
        <w:rPr>
          <w:rFonts w:ascii="Times New Roman" w:cs="Times New Roman" w:eastAsia="Times New Roman" w:hAnsi="Times New Roman"/>
          <w:b/>
          <w:i/>
          <w:sz w:val="24"/>
          <w:szCs w:val="24"/>
          <w:lang w:val="en-GB"/>
        </w:rPr>
        <w:t>Bowman’s Strategy Clock</w:t>
      </w:r>
    </w:p>
    <w:p>
      <w:pPr>
        <w:pStyle w:val="style0"/>
        <w:spacing w:lineRule="auto" w:line="360"/>
        <w:jc w:val="center"/>
        <w:rPr>
          <w:rFonts w:ascii="Times New Roman" w:cs="Times New Roman" w:eastAsia="Times New Roman" w:hAnsi="Times New Roman"/>
          <w:sz w:val="24"/>
          <w:szCs w:val="24"/>
          <w:lang w:val="en-GB"/>
        </w:rPr>
      </w:pPr>
      <w:r>
        <w:rPr>
          <w:rFonts w:ascii="Times New Roman" w:cs="Times New Roman" w:eastAsia="Times New Roman" w:hAnsi="Times New Roman"/>
          <w:noProof/>
          <w:sz w:val="24"/>
          <w:szCs w:val="24"/>
        </w:rPr>
        <w:drawing>
          <wp:inline distL="0" distT="0" distB="0" distR="0">
            <wp:extent cx="3557588" cy="2650751"/>
            <wp:effectExtent l="0" t="0" r="0" b="0"/>
            <wp:docPr id="1028" name="image3.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 name="image3.png"/>
                    <pic:cNvPicPr/>
                  </pic:nvPicPr>
                  <pic:blipFill>
                    <a:blip r:embed="rId4" cstate="print"/>
                    <a:srcRect l="0" t="0" r="0" b="0"/>
                    <a:stretch/>
                  </pic:blipFill>
                  <pic:spPr>
                    <a:xfrm rot="0">
                      <a:off x="0" y="0"/>
                      <a:ext cx="3557588" cy="2650751"/>
                    </a:xfrm>
                    <a:prstGeom prst="rect"/>
                    <a:ln cmpd="sng" cap="flat" w="9525">
                      <a:solidFill>
                        <a:srgbClr val="000000"/>
                      </a:solidFill>
                      <a:prstDash val="solid"/>
                      <a:round/>
                      <a:headEnd/>
                      <a:tailEnd/>
                    </a:ln>
                  </pic:spPr>
                </pic:pic>
              </a:graphicData>
            </a:graphic>
          </wp:inline>
        </w:drawing>
      </w:r>
    </w:p>
    <w:p>
      <w:pPr>
        <w:pStyle w:val="style0"/>
        <w:spacing w:lineRule="auto" w:line="360"/>
        <w:jc w:val="center"/>
        <w:rPr>
          <w:rFonts w:ascii="Times New Roman" w:cs="Times New Roman" w:eastAsia="Times New Roman" w:hAnsi="Times New Roman"/>
          <w:b/>
          <w:sz w:val="24"/>
          <w:szCs w:val="24"/>
          <w:lang w:val="en-GB"/>
        </w:rPr>
      </w:pPr>
      <w:r>
        <w:rPr>
          <w:rFonts w:ascii="Times New Roman" w:cs="Times New Roman" w:eastAsia="Times New Roman" w:hAnsi="Times New Roman"/>
          <w:b/>
          <w:sz w:val="24"/>
          <w:szCs w:val="24"/>
          <w:lang w:val="en-GB"/>
        </w:rPr>
        <w:t>Figure 3: Bowman’s Strategy Clock</w:t>
      </w:r>
    </w:p>
    <w:p>
      <w:pPr>
        <w:pStyle w:val="style0"/>
        <w:spacing w:lineRule="auto" w:line="360"/>
        <w:jc w:val="center"/>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(Source: Werawatta, 2021, p.9)</w:t>
      </w:r>
    </w:p>
    <w:p>
      <w:pPr>
        <w:pStyle w:val="style0"/>
        <w:spacing w:lineRule="auto" w:line="360"/>
        <w:jc w:val="both"/>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 xml:space="preserve">Competitive position of a company can be understood through Bowman’s Strategy Clock which indicates different positions in the market align with different requirements and cost factors. “Low price and low value added” is a position in which a firm provides products at a low price but it adds low quality and value to the products. For instance, Uber uses this strategy to increase sales and achieve efficiency (Werawatta, 2021, p.9). A low price position is taken by the firms for the consumers who are concerned about the price. </w:t>
      </w:r>
      <w:r>
        <w:rPr>
          <w:rFonts w:ascii="Times New Roman" w:cs="Times New Roman" w:eastAsia="Times New Roman" w:hAnsi="Times New Roman"/>
          <w:sz w:val="24"/>
          <w:szCs w:val="24"/>
          <w:lang w:val="en-GB"/>
        </w:rPr>
        <w:t xml:space="preserve"> As per </w:t>
      </w:r>
      <w:r>
        <w:rPr>
          <w:rFonts w:ascii="Times New Roman" w:cs="Times New Roman" w:hAnsi="Times New Roman"/>
          <w:color w:val="222222"/>
          <w:sz w:val="24"/>
          <w:szCs w:val="20"/>
          <w:shd w:val="clear" w:color="auto" w:fill="ffffff"/>
        </w:rPr>
        <w:t>Falahatgar</w:t>
      </w:r>
      <w:r>
        <w:rPr>
          <w:rFonts w:ascii="Times New Roman" w:cs="Times New Roman" w:eastAsia="Times New Roman" w:hAnsi="Times New Roman"/>
          <w:sz w:val="24"/>
          <w:szCs w:val="24"/>
          <w:lang w:val="en-GB"/>
        </w:rPr>
        <w:t xml:space="preserve"> </w:t>
      </w:r>
      <w:r>
        <w:rPr>
          <w:rFonts w:ascii="Times New Roman" w:cs="Times New Roman" w:eastAsia="Times New Roman" w:hAnsi="Times New Roman"/>
          <w:i/>
          <w:sz w:val="24"/>
          <w:szCs w:val="24"/>
          <w:lang w:val="en-GB"/>
        </w:rPr>
        <w:t xml:space="preserve">et al. </w:t>
      </w:r>
      <w:r>
        <w:rPr>
          <w:rFonts w:ascii="Times New Roman" w:cs="Times New Roman" w:eastAsia="Times New Roman" w:hAnsi="Times New Roman"/>
          <w:sz w:val="24"/>
          <w:szCs w:val="24"/>
          <w:lang w:val="en-GB"/>
        </w:rPr>
        <w:t xml:space="preserve">(2021, p.234), </w:t>
      </w:r>
      <w:r>
        <w:rPr>
          <w:rFonts w:ascii="Times New Roman" w:cs="Times New Roman" w:eastAsia="Times New Roman" w:hAnsi="Times New Roman"/>
          <w:sz w:val="24"/>
          <w:szCs w:val="24"/>
          <w:lang w:val="en-GB"/>
        </w:rPr>
        <w:t xml:space="preserve">helps a company to </w:t>
      </w:r>
      <w:r>
        <w:rPr>
          <w:rFonts w:ascii="Times New Roman" w:cs="Times New Roman" w:eastAsia="Times New Roman" w:hAnsi="Times New Roman"/>
          <w:sz w:val="24"/>
          <w:szCs w:val="24"/>
        </w:rPr>
        <w:t xml:space="preserve">differentiate and innovate </w:t>
      </w:r>
      <w:r>
        <w:rPr>
          <w:rFonts w:ascii="Times New Roman" w:cs="Times New Roman" w:eastAsia="Times New Roman" w:hAnsi="Times New Roman"/>
          <w:sz w:val="24"/>
          <w:szCs w:val="24"/>
        </w:rPr>
        <w:t xml:space="preserve">products compared to competitors to </w:t>
      </w:r>
      <w:r>
        <w:rPr>
          <w:rFonts w:ascii="Times New Roman" w:cs="Times New Roman" w:eastAsia="Times New Roman" w:hAnsi="Times New Roman"/>
          <w:sz w:val="24"/>
          <w:szCs w:val="24"/>
        </w:rPr>
        <w:t>gain more market share</w:t>
      </w:r>
      <w:r>
        <w:rPr>
          <w:rFonts w:ascii="Times New Roman" w:cs="Times New Roman" w:eastAsia="Times New Roman" w:hAnsi="Times New Roman"/>
          <w:sz w:val="24"/>
          <w:szCs w:val="24"/>
          <w:lang w:val="en-GB"/>
        </w:rPr>
        <w:t xml:space="preserve">. </w:t>
      </w:r>
      <w:r>
        <w:rPr>
          <w:rFonts w:ascii="Times New Roman" w:cs="Times New Roman" w:eastAsia="Times New Roman" w:hAnsi="Times New Roman"/>
          <w:sz w:val="24"/>
          <w:szCs w:val="24"/>
          <w:lang w:val="en-GB"/>
        </w:rPr>
        <w:t>A hybrid position is taken by the companies if the companies provide products at a high price with high added values.</w:t>
      </w:r>
    </w:p>
    <w:p>
      <w:pPr>
        <w:pStyle w:val="style0"/>
        <w:spacing w:lineRule="auto" w:line="360"/>
        <w:jc w:val="both"/>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 xml:space="preserve">A business gains monopoly if there is no competition in the market and the products which are provided by the company have high demand. However, in monopolistic pricing, product demand stays in the market for an uncertain time and it can create problems in fixed-price pricing policies (Doan </w:t>
      </w:r>
      <w:r>
        <w:rPr>
          <w:rFonts w:ascii="Times New Roman" w:cs="Times New Roman" w:eastAsia="Times New Roman" w:hAnsi="Times New Roman"/>
          <w:i/>
          <w:sz w:val="24"/>
          <w:szCs w:val="24"/>
          <w:lang w:val="en-GB"/>
        </w:rPr>
        <w:t xml:space="preserve">et al. </w:t>
      </w:r>
      <w:r>
        <w:rPr>
          <w:rFonts w:ascii="Times New Roman" w:cs="Times New Roman" w:eastAsia="Times New Roman" w:hAnsi="Times New Roman"/>
          <w:sz w:val="24"/>
          <w:szCs w:val="24"/>
          <w:lang w:val="en-GB"/>
        </w:rPr>
        <w:t xml:space="preserve">2020, p.241). On the other hand, with risky high margins, the companies focus on standard value products with high prices. On the contrary, </w:t>
      </w:r>
      <w:r>
        <w:rPr>
          <w:rFonts w:ascii="Times New Roman" w:cs="Times New Roman" w:eastAsia="Times New Roman" w:hAnsi="Times New Roman"/>
          <w:sz w:val="24"/>
          <w:szCs w:val="24"/>
          <w:lang w:val="en-GB"/>
        </w:rPr>
        <w:t>though</w:t>
      </w:r>
      <w:r>
        <w:rPr>
          <w:rFonts w:ascii="Times New Roman" w:cs="Times New Roman" w:eastAsia="Times New Roman" w:hAnsi="Times New Roman"/>
          <w:sz w:val="24"/>
          <w:szCs w:val="24"/>
          <w:lang w:val="en-GB"/>
        </w:rPr>
        <w:t xml:space="preserve"> strategy clock assesses a company's position in terms of cost monetary and perceived value. As per the opinion of Mihajlović and Miletić (2022, p.115), boundaries between each position of Bowman’s strategy clock are blurred due to improper clock formation and placement is difficult to determine and this model does not</w:t>
      </w:r>
      <w:r>
        <w:rPr>
          <w:rFonts w:ascii="Times New Roman" w:cs="Times New Roman" w:eastAsia="Times New Roman" w:hAnsi="Times New Roman"/>
          <w:sz w:val="24"/>
          <w:szCs w:val="24"/>
          <w:lang w:val="en-GB"/>
        </w:rPr>
        <w:t xml:space="preserve"> </w:t>
      </w:r>
      <w:r>
        <w:rPr>
          <w:rFonts w:ascii="Times New Roman" w:cs="Times New Roman" w:eastAsia="Times New Roman" w:hAnsi="Times New Roman"/>
          <w:sz w:val="24"/>
          <w:szCs w:val="24"/>
          <w:lang w:val="en-GB"/>
        </w:rPr>
        <w:t>take into account multiple strategic positions for a company.</w:t>
      </w:r>
      <w:r>
        <w:rPr>
          <w:rFonts w:ascii="Times New Roman" w:cs="Times New Roman" w:eastAsia="Times New Roman" w:hAnsi="Times New Roman"/>
          <w:sz w:val="24"/>
          <w:szCs w:val="24"/>
          <w:lang w:val="en-GB"/>
        </w:rPr>
        <w:t xml:space="preserve"> </w:t>
      </w:r>
      <w:r>
        <w:rPr>
          <w:rFonts w:ascii="Times New Roman" w:cs="Times New Roman" w:eastAsia="Times New Roman" w:hAnsi="Times New Roman"/>
          <w:sz w:val="24"/>
          <w:szCs w:val="24"/>
          <w:lang w:val="en-GB"/>
        </w:rPr>
        <w:t xml:space="preserve">GSK has a focus differentiation strategy and holds position </w:t>
      </w:r>
      <w:r>
        <w:rPr>
          <w:rFonts w:ascii="Times New Roman" w:cs="Times New Roman" w:eastAsia="Times New Roman" w:hAnsi="Times New Roman"/>
          <w:sz w:val="24"/>
          <w:szCs w:val="24"/>
          <w:lang w:val="en-GB"/>
        </w:rPr>
        <w:t>5 in strategy clock in</w:t>
      </w:r>
      <w:r>
        <w:rPr>
          <w:rFonts w:ascii="Times New Roman" w:cs="Times New Roman" w:eastAsia="Times New Roman" w:hAnsi="Times New Roman"/>
          <w:sz w:val="24"/>
          <w:szCs w:val="24"/>
          <w:lang w:val="en-GB"/>
        </w:rPr>
        <w:t xml:space="preserve"> </w:t>
      </w:r>
      <w:r>
        <w:rPr>
          <w:rFonts w:ascii="Times New Roman" w:cs="Times New Roman" w:eastAsia="Times New Roman" w:hAnsi="Times New Roman"/>
          <w:sz w:val="24"/>
          <w:szCs w:val="24"/>
          <w:lang w:val="en-GB"/>
        </w:rPr>
        <w:t>which it provides different types</w:t>
      </w:r>
      <w:r>
        <w:rPr>
          <w:rFonts w:ascii="Times New Roman" w:cs="Times New Roman" w:eastAsia="Times New Roman" w:hAnsi="Times New Roman"/>
          <w:sz w:val="24"/>
          <w:szCs w:val="24"/>
          <w:lang w:val="en-GB"/>
        </w:rPr>
        <w:t xml:space="preserve"> </w:t>
      </w:r>
      <w:r>
        <w:rPr>
          <w:rFonts w:ascii="Times New Roman" w:cs="Times New Roman" w:eastAsia="Times New Roman" w:hAnsi="Times New Roman"/>
          <w:sz w:val="24"/>
          <w:szCs w:val="24"/>
          <w:lang w:val="en-GB"/>
        </w:rPr>
        <w:t xml:space="preserve">of products for the consumers in different countries. </w:t>
      </w:r>
    </w:p>
    <w:p>
      <w:pPr>
        <w:pStyle w:val="style0"/>
        <w:spacing w:lineRule="auto" w:line="360"/>
        <w:jc w:val="both"/>
        <w:rPr>
          <w:rFonts w:ascii="Times New Roman" w:cs="Times New Roman" w:eastAsia="Times New Roman" w:hAnsi="Times New Roman"/>
          <w:b/>
          <w:i/>
          <w:sz w:val="24"/>
          <w:szCs w:val="24"/>
          <w:lang w:val="en-GB"/>
        </w:rPr>
      </w:pPr>
      <w:r>
        <w:rPr>
          <w:rFonts w:ascii="Times New Roman" w:cs="Times New Roman" w:eastAsia="Times New Roman" w:hAnsi="Times New Roman"/>
          <w:b/>
          <w:i/>
          <w:sz w:val="24"/>
          <w:szCs w:val="24"/>
          <w:lang w:val="en-GB"/>
        </w:rPr>
        <w:t xml:space="preserve">Ansoff matrix </w:t>
      </w:r>
    </w:p>
    <w:p>
      <w:pPr>
        <w:pStyle w:val="style0"/>
        <w:spacing w:lineRule="auto" w:line="360"/>
        <w:jc w:val="center"/>
        <w:rPr>
          <w:rFonts w:ascii="Times New Roman" w:cs="Times New Roman" w:eastAsia="Times New Roman" w:hAnsi="Times New Roman"/>
          <w:b/>
          <w:i/>
          <w:sz w:val="24"/>
          <w:szCs w:val="24"/>
          <w:lang w:val="en-GB"/>
        </w:rPr>
      </w:pPr>
      <w:r>
        <w:rPr>
          <w:rFonts w:ascii="Times New Roman" w:cs="Times New Roman" w:eastAsia="Times New Roman" w:hAnsi="Times New Roman"/>
          <w:b/>
          <w:i/>
          <w:noProof/>
          <w:sz w:val="24"/>
          <w:szCs w:val="24"/>
        </w:rPr>
        <w:drawing>
          <wp:inline distL="0" distT="0" distB="0" distR="0">
            <wp:extent cx="3324225" cy="3028950"/>
            <wp:effectExtent l="19050" t="0" r="9525" b="0"/>
            <wp:docPr id="1029" name="Picture 3"/>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5" cstate="print"/>
                    <a:srcRect l="0" t="0" r="0" b="0"/>
                    <a:stretch/>
                  </pic:blipFill>
                  <pic:spPr>
                    <a:xfrm rot="0">
                      <a:off x="0" y="0"/>
                      <a:ext cx="3324225" cy="3028950"/>
                    </a:xfrm>
                    <a:prstGeom prst="rect"/>
                    <a:ln>
                      <a:noFill/>
                    </a:ln>
                  </pic:spPr>
                </pic:pic>
              </a:graphicData>
            </a:graphic>
          </wp:inline>
        </w:drawing>
      </w:r>
    </w:p>
    <w:p>
      <w:pPr>
        <w:pStyle w:val="style0"/>
        <w:spacing w:lineRule="auto" w:line="360"/>
        <w:jc w:val="center"/>
        <w:rPr>
          <w:rFonts w:ascii="Times New Roman" w:cs="Times New Roman" w:hAnsi="Times New Roman"/>
          <w:b/>
          <w:sz w:val="24"/>
          <w:szCs w:val="24"/>
          <w:lang w:val="en-GB"/>
        </w:rPr>
      </w:pPr>
      <w:r>
        <w:rPr>
          <w:rFonts w:ascii="Times New Roman" w:cs="Times New Roman" w:hAnsi="Times New Roman"/>
          <w:b/>
          <w:sz w:val="24"/>
          <w:szCs w:val="24"/>
          <w:lang w:val="en-GB"/>
        </w:rPr>
        <w:t xml:space="preserve">Figure 4: </w:t>
      </w:r>
      <w:r>
        <w:rPr>
          <w:rFonts w:ascii="Times New Roman" w:cs="Times New Roman" w:eastAsia="Times New Roman" w:hAnsi="Times New Roman"/>
          <w:b/>
          <w:sz w:val="24"/>
          <w:szCs w:val="24"/>
          <w:lang w:val="en-GB"/>
        </w:rPr>
        <w:t>An</w:t>
      </w:r>
      <w:r>
        <w:rPr>
          <w:rFonts w:ascii="Times New Roman" w:cs="Times New Roman" w:eastAsia="Times New Roman" w:hAnsi="Times New Roman"/>
          <w:b/>
          <w:sz w:val="24"/>
          <w:szCs w:val="24"/>
          <w:lang w:val="en-GB"/>
        </w:rPr>
        <w:t>soff matrix</w:t>
      </w:r>
    </w:p>
    <w:p>
      <w:pPr>
        <w:pStyle w:val="style0"/>
        <w:spacing w:lineRule="auto" w:line="360"/>
        <w:jc w:val="center"/>
        <w:rPr>
          <w:rFonts w:ascii="Times New Roman" w:cs="Times New Roman" w:hAnsi="Times New Roman"/>
          <w:sz w:val="24"/>
          <w:szCs w:val="24"/>
          <w:lang w:val="en-GB"/>
        </w:rPr>
      </w:pPr>
      <w:r>
        <w:rPr>
          <w:rFonts w:ascii="Times New Roman" w:cs="Times New Roman" w:hAnsi="Times New Roman"/>
          <w:sz w:val="24"/>
          <w:szCs w:val="24"/>
          <w:lang w:val="en-GB"/>
        </w:rPr>
        <w:t xml:space="preserve">(Source: Influenced by </w:t>
      </w:r>
      <w:r>
        <w:rPr>
          <w:rFonts w:ascii="Times New Roman" w:cs="Times New Roman" w:eastAsia="Times New Roman" w:hAnsi="Times New Roman"/>
          <w:sz w:val="24"/>
          <w:szCs w:val="24"/>
          <w:lang w:val="en-GB"/>
        </w:rPr>
        <w:t xml:space="preserve">Khajezadeh </w:t>
      </w:r>
      <w:r>
        <w:rPr>
          <w:rFonts w:ascii="Times New Roman" w:cs="Times New Roman" w:eastAsia="Times New Roman" w:hAnsi="Times New Roman"/>
          <w:i/>
          <w:sz w:val="24"/>
          <w:szCs w:val="24"/>
          <w:lang w:val="en-GB"/>
        </w:rPr>
        <w:t xml:space="preserve">et al. </w:t>
      </w:r>
      <w:r>
        <w:rPr>
          <w:rFonts w:ascii="Times New Roman" w:cs="Times New Roman" w:eastAsia="Times New Roman" w:hAnsi="Times New Roman"/>
          <w:sz w:val="24"/>
          <w:szCs w:val="24"/>
          <w:lang w:val="en-GB"/>
        </w:rPr>
        <w:t>2019</w:t>
      </w:r>
      <w:r>
        <w:rPr>
          <w:rFonts w:ascii="Times New Roman" w:cs="Times New Roman" w:hAnsi="Times New Roman"/>
          <w:sz w:val="24"/>
          <w:szCs w:val="24"/>
          <w:lang w:val="en-GB"/>
        </w:rPr>
        <w:t>)</w:t>
      </w:r>
    </w:p>
    <w:p>
      <w:pPr>
        <w:pStyle w:val="style0"/>
        <w:spacing w:lineRule="auto" w:line="360"/>
        <w:jc w:val="both"/>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An</w:t>
      </w:r>
      <w:r>
        <w:rPr>
          <w:rFonts w:ascii="Times New Roman" w:cs="Times New Roman" w:eastAsia="Times New Roman" w:hAnsi="Times New Roman"/>
          <w:sz w:val="24"/>
          <w:szCs w:val="24"/>
          <w:lang w:val="en-GB"/>
        </w:rPr>
        <w:t>soff matrix</w:t>
      </w:r>
      <w:r>
        <w:rPr>
          <w:rFonts w:ascii="Times New Roman" w:cs="Times New Roman" w:eastAsia="Times New Roman" w:hAnsi="Times New Roman"/>
          <w:sz w:val="24"/>
          <w:szCs w:val="24"/>
          <w:lang w:val="en-GB"/>
        </w:rPr>
        <w:t xml:space="preserve"> </w:t>
      </w:r>
      <w:r>
        <w:rPr>
          <w:rFonts w:ascii="Times New Roman" w:cs="Times New Roman" w:eastAsia="Times New Roman" w:hAnsi="Times New Roman"/>
          <w:sz w:val="24"/>
          <w:szCs w:val="24"/>
          <w:lang w:val="en-GB"/>
        </w:rPr>
        <w:t>is a strategic planning tool which provides a framework</w:t>
      </w:r>
      <w:r>
        <w:rPr>
          <w:rFonts w:ascii="Times New Roman" w:cs="Times New Roman" w:eastAsia="Times New Roman" w:hAnsi="Times New Roman"/>
          <w:sz w:val="24"/>
          <w:szCs w:val="24"/>
          <w:lang w:val="en-GB"/>
        </w:rPr>
        <w:t xml:space="preserve"> </w:t>
      </w:r>
      <w:r>
        <w:rPr>
          <w:rFonts w:ascii="Times New Roman" w:cs="Times New Roman" w:eastAsia="Times New Roman" w:hAnsi="Times New Roman"/>
          <w:sz w:val="24"/>
          <w:szCs w:val="24"/>
          <w:lang w:val="en-GB"/>
        </w:rPr>
        <w:t>for</w:t>
      </w:r>
      <w:r>
        <w:rPr>
          <w:rFonts w:ascii="Times New Roman" w:cs="Times New Roman" w:eastAsia="Times New Roman" w:hAnsi="Times New Roman"/>
          <w:sz w:val="24"/>
          <w:szCs w:val="24"/>
          <w:lang w:val="en-GB"/>
        </w:rPr>
        <w:t xml:space="preserve"> </w:t>
      </w:r>
      <w:r>
        <w:rPr>
          <w:rFonts w:ascii="Times New Roman" w:cs="Times New Roman" w:eastAsia="Times New Roman" w:hAnsi="Times New Roman"/>
          <w:sz w:val="24"/>
          <w:szCs w:val="24"/>
          <w:lang w:val="en-GB"/>
        </w:rPr>
        <w:t>the organisations</w:t>
      </w:r>
      <w:r>
        <w:rPr>
          <w:rFonts w:ascii="Times New Roman" w:cs="Times New Roman" w:eastAsia="Times New Roman" w:hAnsi="Times New Roman"/>
          <w:sz w:val="24"/>
          <w:szCs w:val="24"/>
          <w:lang w:val="en-GB"/>
        </w:rPr>
        <w:t xml:space="preserve"> </w:t>
      </w:r>
      <w:r>
        <w:rPr>
          <w:rFonts w:ascii="Times New Roman" w:cs="Times New Roman" w:eastAsia="Times New Roman" w:hAnsi="Times New Roman"/>
          <w:sz w:val="24"/>
          <w:szCs w:val="24"/>
          <w:lang w:val="en-GB"/>
        </w:rPr>
        <w:t>and marketers</w:t>
      </w:r>
      <w:r>
        <w:rPr>
          <w:rFonts w:ascii="Times New Roman" w:cs="Times New Roman" w:eastAsia="Times New Roman" w:hAnsi="Times New Roman"/>
          <w:sz w:val="24"/>
          <w:szCs w:val="24"/>
          <w:lang w:val="en-GB"/>
        </w:rPr>
        <w:t xml:space="preserve"> </w:t>
      </w:r>
      <w:r>
        <w:rPr>
          <w:rFonts w:ascii="Times New Roman" w:cs="Times New Roman" w:eastAsia="Times New Roman" w:hAnsi="Times New Roman"/>
          <w:sz w:val="24"/>
          <w:szCs w:val="24"/>
          <w:lang w:val="en-GB"/>
        </w:rPr>
        <w:t>to devise strategies for future</w:t>
      </w:r>
      <w:r>
        <w:rPr>
          <w:rFonts w:ascii="Times New Roman" w:cs="Times New Roman" w:eastAsia="Times New Roman" w:hAnsi="Times New Roman"/>
          <w:sz w:val="24"/>
          <w:szCs w:val="24"/>
          <w:lang w:val="en-GB"/>
        </w:rPr>
        <w:t xml:space="preserve"> </w:t>
      </w:r>
      <w:r>
        <w:rPr>
          <w:rFonts w:ascii="Times New Roman" w:cs="Times New Roman" w:eastAsia="Times New Roman" w:hAnsi="Times New Roman"/>
          <w:sz w:val="24"/>
          <w:szCs w:val="24"/>
          <w:lang w:val="en-GB"/>
        </w:rPr>
        <w:t>benefits. It is a decision making matrix which helps the companies</w:t>
      </w:r>
      <w:r>
        <w:rPr>
          <w:rFonts w:ascii="Times New Roman" w:cs="Times New Roman" w:eastAsia="Times New Roman" w:hAnsi="Times New Roman"/>
          <w:sz w:val="24"/>
          <w:szCs w:val="24"/>
          <w:lang w:val="en-GB"/>
        </w:rPr>
        <w:t xml:space="preserve"> </w:t>
      </w:r>
      <w:r>
        <w:rPr>
          <w:rFonts w:ascii="Times New Roman" w:cs="Times New Roman" w:eastAsia="Times New Roman" w:hAnsi="Times New Roman"/>
          <w:sz w:val="24"/>
          <w:szCs w:val="24"/>
          <w:lang w:val="en-GB"/>
        </w:rPr>
        <w:t>to select promonat strategies</w:t>
      </w:r>
      <w:r>
        <w:rPr>
          <w:rFonts w:ascii="Times New Roman" w:cs="Times New Roman" w:eastAsia="Times New Roman" w:hAnsi="Times New Roman"/>
          <w:sz w:val="24"/>
          <w:szCs w:val="24"/>
          <w:lang w:val="en-GB"/>
        </w:rPr>
        <w:t xml:space="preserve"> </w:t>
      </w:r>
      <w:r>
        <w:rPr>
          <w:rFonts w:ascii="Times New Roman" w:cs="Times New Roman" w:eastAsia="Times New Roman" w:hAnsi="Times New Roman"/>
          <w:sz w:val="24"/>
          <w:szCs w:val="24"/>
          <w:lang w:val="en-GB"/>
        </w:rPr>
        <w:t>to select suitable</w:t>
      </w:r>
      <w:r>
        <w:rPr>
          <w:rFonts w:ascii="Times New Roman" w:cs="Times New Roman" w:eastAsia="Times New Roman" w:hAnsi="Times New Roman"/>
          <w:sz w:val="24"/>
          <w:szCs w:val="24"/>
          <w:lang w:val="en-GB"/>
        </w:rPr>
        <w:t xml:space="preserve"> </w:t>
      </w:r>
      <w:r>
        <w:rPr>
          <w:rFonts w:ascii="Times New Roman" w:cs="Times New Roman" w:eastAsia="Times New Roman" w:hAnsi="Times New Roman"/>
          <w:sz w:val="24"/>
          <w:szCs w:val="24"/>
          <w:lang w:val="en-GB"/>
        </w:rPr>
        <w:t xml:space="preserve">reactions based on current performance (Khajezadeh </w:t>
      </w:r>
      <w:r>
        <w:rPr>
          <w:rFonts w:ascii="Times New Roman" w:cs="Times New Roman" w:eastAsia="Times New Roman" w:hAnsi="Times New Roman"/>
          <w:i/>
          <w:sz w:val="24"/>
          <w:szCs w:val="24"/>
          <w:lang w:val="en-GB"/>
        </w:rPr>
        <w:t xml:space="preserve">et al. </w:t>
      </w:r>
      <w:r>
        <w:rPr>
          <w:rFonts w:ascii="Times New Roman" w:cs="Times New Roman" w:eastAsia="Times New Roman" w:hAnsi="Times New Roman"/>
          <w:sz w:val="24"/>
          <w:szCs w:val="24"/>
          <w:lang w:val="en-GB"/>
        </w:rPr>
        <w:t>2019, p.821).</w:t>
      </w:r>
      <w:r>
        <w:rPr>
          <w:rFonts w:ascii="Times New Roman" w:cs="Times New Roman" w:eastAsia="Times New Roman" w:hAnsi="Times New Roman"/>
          <w:sz w:val="24"/>
          <w:szCs w:val="24"/>
          <w:lang w:val="en-GB"/>
        </w:rPr>
        <w:t xml:space="preserve"> </w:t>
      </w:r>
      <w:r>
        <w:rPr>
          <w:rFonts w:ascii="Times New Roman" w:cs="Times New Roman" w:eastAsia="Times New Roman" w:hAnsi="Times New Roman"/>
          <w:sz w:val="24"/>
          <w:szCs w:val="24"/>
          <w:lang w:val="en-GB"/>
        </w:rPr>
        <w:t>Companies make new strategic directions for identifying growth strategies in a challenging situation.</w:t>
      </w:r>
      <w:r>
        <w:rPr>
          <w:rFonts w:ascii="Times New Roman" w:cs="Times New Roman" w:eastAsia="Times New Roman" w:hAnsi="Times New Roman"/>
          <w:sz w:val="24"/>
          <w:szCs w:val="24"/>
          <w:lang w:val="en-GB"/>
        </w:rPr>
        <w:t xml:space="preserve"> </w:t>
      </w:r>
      <w:r>
        <w:rPr>
          <w:rFonts w:ascii="Times New Roman" w:cs="Times New Roman" w:eastAsia="Times New Roman" w:hAnsi="Times New Roman"/>
          <w:sz w:val="24"/>
          <w:szCs w:val="24"/>
          <w:lang w:val="en-GB"/>
        </w:rPr>
        <w:t>There are four</w:t>
      </w:r>
      <w:r>
        <w:rPr>
          <w:rFonts w:ascii="Times New Roman" w:cs="Times New Roman" w:eastAsia="Times New Roman" w:hAnsi="Times New Roman"/>
          <w:sz w:val="24"/>
          <w:szCs w:val="24"/>
          <w:lang w:val="en-GB"/>
        </w:rPr>
        <w:t xml:space="preserve"> </w:t>
      </w:r>
      <w:r>
        <w:rPr>
          <w:rFonts w:ascii="Times New Roman" w:cs="Times New Roman" w:eastAsia="Times New Roman" w:hAnsi="Times New Roman"/>
          <w:sz w:val="24"/>
          <w:szCs w:val="24"/>
          <w:lang w:val="en-GB"/>
        </w:rPr>
        <w:t>marketing strategies which can</w:t>
      </w:r>
      <w:r>
        <w:rPr>
          <w:rFonts w:ascii="Times New Roman" w:cs="Times New Roman" w:eastAsia="Times New Roman" w:hAnsi="Times New Roman"/>
          <w:sz w:val="24"/>
          <w:szCs w:val="24"/>
          <w:lang w:val="en-GB"/>
        </w:rPr>
        <w:t xml:space="preserve"> </w:t>
      </w:r>
      <w:r>
        <w:rPr>
          <w:rFonts w:ascii="Times New Roman" w:cs="Times New Roman" w:eastAsia="Times New Roman" w:hAnsi="Times New Roman"/>
          <w:sz w:val="24"/>
          <w:szCs w:val="24"/>
          <w:lang w:val="en-GB"/>
        </w:rPr>
        <w:t>be</w:t>
      </w:r>
      <w:r>
        <w:rPr>
          <w:rFonts w:ascii="Times New Roman" w:cs="Times New Roman" w:eastAsia="Times New Roman" w:hAnsi="Times New Roman"/>
          <w:sz w:val="24"/>
          <w:szCs w:val="24"/>
          <w:lang w:val="en-GB"/>
        </w:rPr>
        <w:t xml:space="preserve"> </w:t>
      </w:r>
      <w:r>
        <w:rPr>
          <w:rFonts w:ascii="Times New Roman" w:cs="Times New Roman" w:eastAsia="Times New Roman" w:hAnsi="Times New Roman"/>
          <w:sz w:val="24"/>
          <w:szCs w:val="24"/>
          <w:lang w:val="en-GB"/>
        </w:rPr>
        <w:t>incorporated by the organisations such as</w:t>
      </w:r>
      <w:r>
        <w:rPr>
          <w:rFonts w:ascii="Times New Roman" w:cs="Times New Roman" w:eastAsia="Times New Roman" w:hAnsi="Times New Roman"/>
          <w:sz w:val="24"/>
          <w:szCs w:val="24"/>
          <w:lang w:val="en-GB"/>
        </w:rPr>
        <w:t xml:space="preserve"> </w:t>
      </w:r>
      <w:r>
        <w:rPr>
          <w:rFonts w:ascii="Times New Roman" w:cs="Times New Roman" w:eastAsia="Times New Roman" w:hAnsi="Times New Roman"/>
          <w:sz w:val="24"/>
          <w:szCs w:val="24"/>
          <w:lang w:val="en-GB"/>
        </w:rPr>
        <w:t>market presentation, market development, product development and diversification strategy. As mentioned by Clarissia (2020, p.18), in market penetration strategy, the companies use discounts and</w:t>
      </w:r>
      <w:r>
        <w:rPr>
          <w:rFonts w:ascii="Times New Roman" w:cs="Times New Roman" w:eastAsia="Times New Roman" w:hAnsi="Times New Roman"/>
          <w:sz w:val="24"/>
          <w:szCs w:val="24"/>
          <w:lang w:val="en-GB"/>
        </w:rPr>
        <w:t xml:space="preserve"> </w:t>
      </w:r>
      <w:r>
        <w:rPr>
          <w:rFonts w:ascii="Times New Roman" w:cs="Times New Roman" w:eastAsia="Times New Roman" w:hAnsi="Times New Roman"/>
          <w:sz w:val="24"/>
          <w:szCs w:val="24"/>
          <w:lang w:val="en-GB"/>
        </w:rPr>
        <w:t>offer modest product refinements. In market</w:t>
      </w:r>
      <w:r>
        <w:rPr>
          <w:rFonts w:ascii="Times New Roman" w:cs="Times New Roman" w:eastAsia="Times New Roman" w:hAnsi="Times New Roman"/>
          <w:sz w:val="24"/>
          <w:szCs w:val="24"/>
          <w:lang w:val="en-GB"/>
        </w:rPr>
        <w:t xml:space="preserve"> </w:t>
      </w:r>
      <w:r>
        <w:rPr>
          <w:rFonts w:ascii="Times New Roman" w:cs="Times New Roman" w:eastAsia="Times New Roman" w:hAnsi="Times New Roman"/>
          <w:sz w:val="24"/>
          <w:szCs w:val="24"/>
          <w:lang w:val="en-GB"/>
        </w:rPr>
        <w:t>development</w:t>
      </w:r>
      <w:r>
        <w:rPr>
          <w:rFonts w:ascii="Times New Roman" w:cs="Times New Roman" w:eastAsia="Times New Roman" w:hAnsi="Times New Roman"/>
          <w:sz w:val="24"/>
          <w:szCs w:val="24"/>
          <w:lang w:val="en-GB"/>
        </w:rPr>
        <w:t xml:space="preserve"> </w:t>
      </w:r>
      <w:r>
        <w:rPr>
          <w:rFonts w:ascii="Times New Roman" w:cs="Times New Roman" w:eastAsia="Times New Roman" w:hAnsi="Times New Roman"/>
          <w:sz w:val="24"/>
          <w:szCs w:val="24"/>
          <w:lang w:val="en-GB"/>
        </w:rPr>
        <w:t>strategy,</w:t>
      </w:r>
      <w:r>
        <w:rPr>
          <w:rFonts w:ascii="Times New Roman" w:cs="Times New Roman" w:eastAsia="Times New Roman" w:hAnsi="Times New Roman"/>
          <w:sz w:val="24"/>
          <w:szCs w:val="24"/>
          <w:lang w:val="en-GB"/>
        </w:rPr>
        <w:t xml:space="preserve"> </w:t>
      </w:r>
      <w:r>
        <w:rPr>
          <w:rFonts w:ascii="Times New Roman" w:cs="Times New Roman" w:eastAsia="Times New Roman" w:hAnsi="Times New Roman"/>
          <w:sz w:val="24"/>
          <w:szCs w:val="24"/>
          <w:lang w:val="en-GB"/>
        </w:rPr>
        <w:t>a company only expands to a new market in which the company</w:t>
      </w:r>
      <w:r>
        <w:rPr>
          <w:rFonts w:ascii="Times New Roman" w:cs="Times New Roman" w:eastAsia="Times New Roman" w:hAnsi="Times New Roman"/>
          <w:sz w:val="24"/>
          <w:szCs w:val="24"/>
          <w:lang w:val="en-GB"/>
        </w:rPr>
        <w:t xml:space="preserve"> </w:t>
      </w:r>
      <w:r>
        <w:rPr>
          <w:rFonts w:ascii="Times New Roman" w:cs="Times New Roman" w:eastAsia="Times New Roman" w:hAnsi="Times New Roman"/>
          <w:sz w:val="24"/>
          <w:szCs w:val="24"/>
          <w:lang w:val="en-GB"/>
        </w:rPr>
        <w:t>provides existing products to new markets by</w:t>
      </w:r>
      <w:r>
        <w:rPr>
          <w:rFonts w:ascii="Times New Roman" w:cs="Times New Roman" w:eastAsia="Times New Roman" w:hAnsi="Times New Roman"/>
          <w:sz w:val="24"/>
          <w:szCs w:val="24"/>
          <w:lang w:val="en-GB"/>
        </w:rPr>
        <w:t xml:space="preserve"> </w:t>
      </w:r>
      <w:r>
        <w:rPr>
          <w:rFonts w:ascii="Times New Roman" w:cs="Times New Roman" w:eastAsia="Times New Roman" w:hAnsi="Times New Roman"/>
          <w:sz w:val="24"/>
          <w:szCs w:val="24"/>
          <w:lang w:val="en-GB"/>
        </w:rPr>
        <w:t>analysing the needs</w:t>
      </w:r>
      <w:r>
        <w:rPr>
          <w:rFonts w:ascii="Times New Roman" w:cs="Times New Roman" w:eastAsia="Times New Roman" w:hAnsi="Times New Roman"/>
          <w:sz w:val="24"/>
          <w:szCs w:val="24"/>
          <w:lang w:val="en-GB"/>
        </w:rPr>
        <w:t xml:space="preserve"> </w:t>
      </w:r>
      <w:r>
        <w:rPr>
          <w:rFonts w:ascii="Times New Roman" w:cs="Times New Roman" w:eastAsia="Times New Roman" w:hAnsi="Times New Roman"/>
          <w:sz w:val="24"/>
          <w:szCs w:val="24"/>
          <w:lang w:val="en-GB"/>
        </w:rPr>
        <w:t>of</w:t>
      </w:r>
      <w:r>
        <w:rPr>
          <w:rFonts w:ascii="Times New Roman" w:cs="Times New Roman" w:eastAsia="Times New Roman" w:hAnsi="Times New Roman"/>
          <w:sz w:val="24"/>
          <w:szCs w:val="24"/>
          <w:lang w:val="en-GB"/>
        </w:rPr>
        <w:t xml:space="preserve"> </w:t>
      </w:r>
      <w:r>
        <w:rPr>
          <w:rFonts w:ascii="Times New Roman" w:cs="Times New Roman" w:eastAsia="Times New Roman" w:hAnsi="Times New Roman"/>
          <w:sz w:val="24"/>
          <w:szCs w:val="24"/>
          <w:lang w:val="en-GB"/>
        </w:rPr>
        <w:t>customers from a new market.</w:t>
      </w:r>
    </w:p>
    <w:p>
      <w:pPr>
        <w:pStyle w:val="style0"/>
        <w:spacing w:lineRule="auto" w:line="360"/>
        <w:jc w:val="both"/>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 xml:space="preserve"> In product development strategy, a firm focuses on developing new products</w:t>
      </w:r>
      <w:r>
        <w:rPr>
          <w:rFonts w:ascii="Times New Roman" w:cs="Times New Roman" w:eastAsia="Times New Roman" w:hAnsi="Times New Roman"/>
          <w:sz w:val="24"/>
          <w:szCs w:val="24"/>
          <w:lang w:val="en-GB"/>
        </w:rPr>
        <w:t xml:space="preserve"> </w:t>
      </w:r>
      <w:r>
        <w:rPr>
          <w:rFonts w:ascii="Times New Roman" w:cs="Times New Roman" w:eastAsia="Times New Roman" w:hAnsi="Times New Roman"/>
          <w:sz w:val="24"/>
          <w:szCs w:val="24"/>
          <w:lang w:val="en-GB"/>
        </w:rPr>
        <w:t xml:space="preserve">in the existing market and for this </w:t>
      </w:r>
      <w:r>
        <w:rPr>
          <w:rFonts w:ascii="Times New Roman" w:cs="Times New Roman" w:eastAsia="Times New Roman" w:hAnsi="Times New Roman"/>
          <w:sz w:val="24"/>
          <w:szCs w:val="24"/>
          <w:lang w:val="en-GB"/>
        </w:rPr>
        <w:t>reason</w:t>
      </w:r>
      <w:r>
        <w:rPr>
          <w:rFonts w:ascii="Times New Roman" w:cs="Times New Roman" w:eastAsia="Times New Roman" w:hAnsi="Times New Roman"/>
          <w:sz w:val="24"/>
          <w:szCs w:val="24"/>
          <w:lang w:val="en-GB"/>
        </w:rPr>
        <w:t xml:space="preserve"> it can diversify its products based on existing customer's demand. On the other hand, with a diversification strategy, a company</w:t>
      </w:r>
      <w:r>
        <w:rPr>
          <w:rFonts w:ascii="Times New Roman" w:cs="Times New Roman" w:eastAsia="Times New Roman" w:hAnsi="Times New Roman"/>
          <w:sz w:val="24"/>
          <w:szCs w:val="24"/>
          <w:lang w:val="en-GB"/>
        </w:rPr>
        <w:t xml:space="preserve"> </w:t>
      </w:r>
      <w:r>
        <w:rPr>
          <w:rFonts w:ascii="Times New Roman" w:cs="Times New Roman" w:eastAsia="Times New Roman" w:hAnsi="Times New Roman"/>
          <w:sz w:val="24"/>
          <w:szCs w:val="24"/>
          <w:lang w:val="en-GB"/>
        </w:rPr>
        <w:t>can develop</w:t>
      </w:r>
      <w:r>
        <w:rPr>
          <w:rFonts w:ascii="Times New Roman" w:cs="Times New Roman" w:eastAsia="Times New Roman" w:hAnsi="Times New Roman"/>
          <w:sz w:val="24"/>
          <w:szCs w:val="24"/>
          <w:lang w:val="en-GB"/>
        </w:rPr>
        <w:t xml:space="preserve"> </w:t>
      </w:r>
      <w:r>
        <w:rPr>
          <w:rFonts w:ascii="Times New Roman" w:cs="Times New Roman" w:eastAsia="Times New Roman" w:hAnsi="Times New Roman"/>
          <w:sz w:val="24"/>
          <w:szCs w:val="24"/>
          <w:lang w:val="en-GB"/>
        </w:rPr>
        <w:t>new products in the</w:t>
      </w:r>
      <w:r>
        <w:rPr>
          <w:rFonts w:ascii="Times New Roman" w:cs="Times New Roman" w:eastAsia="Times New Roman" w:hAnsi="Times New Roman"/>
          <w:sz w:val="24"/>
          <w:szCs w:val="24"/>
          <w:lang w:val="en-GB"/>
        </w:rPr>
        <w:t xml:space="preserve"> </w:t>
      </w:r>
      <w:r>
        <w:rPr>
          <w:rFonts w:ascii="Times New Roman" w:cs="Times New Roman" w:eastAsia="Times New Roman" w:hAnsi="Times New Roman"/>
          <w:sz w:val="24"/>
          <w:szCs w:val="24"/>
          <w:lang w:val="en-GB"/>
        </w:rPr>
        <w:t>new market space (Puthusserry</w:t>
      </w:r>
      <w:r>
        <w:rPr>
          <w:rFonts w:ascii="Times New Roman" w:cs="Times New Roman" w:eastAsia="Times New Roman" w:hAnsi="Times New Roman"/>
          <w:sz w:val="24"/>
          <w:szCs w:val="24"/>
          <w:lang w:val="en-GB"/>
        </w:rPr>
        <w:t xml:space="preserve"> </w:t>
      </w:r>
      <w:r>
        <w:rPr>
          <w:rFonts w:ascii="Times New Roman" w:cs="Times New Roman" w:eastAsia="Times New Roman" w:hAnsi="Times New Roman"/>
          <w:i/>
          <w:sz w:val="24"/>
          <w:szCs w:val="24"/>
          <w:lang w:val="en-GB"/>
        </w:rPr>
        <w:t xml:space="preserve">et al. </w:t>
      </w:r>
      <w:r>
        <w:rPr>
          <w:rFonts w:ascii="Times New Roman" w:cs="Times New Roman" w:eastAsia="Times New Roman" w:hAnsi="Times New Roman"/>
          <w:sz w:val="24"/>
          <w:szCs w:val="24"/>
          <w:lang w:val="en-GB"/>
        </w:rPr>
        <w:t>2020, p.527</w:t>
      </w:r>
      <w:r>
        <w:rPr>
          <w:rFonts w:ascii="Times New Roman" w:cs="Times New Roman" w:eastAsia="Times New Roman" w:hAnsi="Times New Roman"/>
          <w:sz w:val="24"/>
          <w:szCs w:val="24"/>
          <w:lang w:val="en-GB"/>
        </w:rPr>
        <w:t>).</w:t>
      </w:r>
      <w:r>
        <w:rPr>
          <w:rFonts w:ascii="Times New Roman" w:cs="Times New Roman" w:eastAsia="Times New Roman" w:hAnsi="Times New Roman"/>
          <w:sz w:val="24"/>
          <w:szCs w:val="24"/>
          <w:lang w:val="en-GB"/>
        </w:rPr>
        <w:t xml:space="preserve"> </w:t>
      </w:r>
      <w:r>
        <w:rPr>
          <w:rFonts w:ascii="Times New Roman" w:cs="Times New Roman" w:eastAsia="Times New Roman" w:hAnsi="Times New Roman"/>
          <w:sz w:val="24"/>
          <w:szCs w:val="24"/>
          <w:lang w:val="en-GB"/>
        </w:rPr>
        <w:t>High risks are associated with this strategy but it is the best strategy for a company if</w:t>
      </w:r>
      <w:r>
        <w:rPr>
          <w:rFonts w:ascii="Times New Roman" w:cs="Times New Roman" w:eastAsia="Times New Roman" w:hAnsi="Times New Roman"/>
          <w:sz w:val="24"/>
          <w:szCs w:val="24"/>
          <w:lang w:val="en-GB"/>
        </w:rPr>
        <w:t xml:space="preserve"> </w:t>
      </w:r>
      <w:r>
        <w:rPr>
          <w:rFonts w:ascii="Times New Roman" w:cs="Times New Roman" w:eastAsia="Times New Roman" w:hAnsi="Times New Roman"/>
          <w:sz w:val="24"/>
          <w:szCs w:val="24"/>
          <w:lang w:val="en-GB"/>
        </w:rPr>
        <w:t>it operates</w:t>
      </w:r>
      <w:r>
        <w:rPr>
          <w:rFonts w:ascii="Times New Roman" w:cs="Times New Roman" w:eastAsia="Times New Roman" w:hAnsi="Times New Roman"/>
          <w:sz w:val="24"/>
          <w:szCs w:val="24"/>
          <w:lang w:val="en-GB"/>
        </w:rPr>
        <w:t xml:space="preserve"> </w:t>
      </w:r>
      <w:r>
        <w:rPr>
          <w:rFonts w:ascii="Times New Roman" w:cs="Times New Roman" w:eastAsia="Times New Roman" w:hAnsi="Times New Roman"/>
          <w:sz w:val="24"/>
          <w:szCs w:val="24"/>
          <w:lang w:val="en-GB"/>
        </w:rPr>
        <w:t>in multiple unrelated markets.</w:t>
      </w:r>
      <w:r>
        <w:rPr>
          <w:rFonts w:ascii="Times New Roman" w:cs="Times New Roman" w:eastAsia="Times New Roman" w:hAnsi="Times New Roman"/>
          <w:sz w:val="24"/>
          <w:szCs w:val="24"/>
          <w:lang w:val="en-GB"/>
        </w:rPr>
        <w:t xml:space="preserve"> </w:t>
      </w:r>
      <w:r>
        <w:rPr>
          <w:rFonts w:ascii="Times New Roman" w:cs="Times New Roman" w:eastAsia="Times New Roman" w:hAnsi="Times New Roman"/>
          <w:sz w:val="24"/>
          <w:szCs w:val="24"/>
          <w:lang w:val="en-GB"/>
        </w:rPr>
        <w:t>This matrix is</w:t>
      </w:r>
      <w:r>
        <w:rPr>
          <w:rFonts w:ascii="Times New Roman" w:cs="Times New Roman" w:eastAsia="Times New Roman" w:hAnsi="Times New Roman"/>
          <w:sz w:val="24"/>
          <w:szCs w:val="24"/>
          <w:lang w:val="en-GB"/>
        </w:rPr>
        <w:t xml:space="preserve"> </w:t>
      </w:r>
      <w:r>
        <w:rPr>
          <w:rFonts w:ascii="Times New Roman" w:cs="Times New Roman" w:eastAsia="Times New Roman" w:hAnsi="Times New Roman"/>
          <w:sz w:val="24"/>
          <w:szCs w:val="24"/>
          <w:lang w:val="en-GB"/>
        </w:rPr>
        <w:t xml:space="preserve">used by the companies to create a competitive advantage by offering </w:t>
      </w:r>
      <w:r>
        <w:rPr>
          <w:rFonts w:ascii="Times New Roman" w:cs="Times New Roman" w:eastAsia="Times New Roman" w:hAnsi="Times New Roman"/>
          <w:sz w:val="24"/>
          <w:szCs w:val="24"/>
          <w:lang w:val="en-GB"/>
        </w:rPr>
        <w:t xml:space="preserve">alternative strategies for achieving the business goals (Sukma </w:t>
      </w:r>
      <w:r>
        <w:rPr>
          <w:rFonts w:ascii="Times New Roman" w:cs="Times New Roman" w:eastAsia="Times New Roman" w:hAnsi="Times New Roman"/>
          <w:i/>
          <w:sz w:val="24"/>
          <w:szCs w:val="24"/>
          <w:lang w:val="en-GB"/>
        </w:rPr>
        <w:t xml:space="preserve">et al. </w:t>
      </w:r>
      <w:r>
        <w:rPr>
          <w:rFonts w:ascii="Times New Roman" w:cs="Times New Roman" w:eastAsia="Times New Roman" w:hAnsi="Times New Roman"/>
          <w:sz w:val="24"/>
          <w:szCs w:val="24"/>
          <w:lang w:val="en-GB"/>
        </w:rPr>
        <w:t>2019, p.604). However, there are limitations associated with Ansofff Matrix because</w:t>
      </w:r>
      <w:r>
        <w:rPr>
          <w:rFonts w:ascii="Times New Roman" w:cs="Times New Roman" w:eastAsia="Times New Roman" w:hAnsi="Times New Roman"/>
          <w:sz w:val="24"/>
          <w:szCs w:val="24"/>
          <w:lang w:val="en-GB"/>
        </w:rPr>
        <w:t xml:space="preserve"> </w:t>
      </w:r>
      <w:r>
        <w:rPr>
          <w:rFonts w:ascii="Times New Roman" w:cs="Times New Roman" w:eastAsia="Times New Roman" w:hAnsi="Times New Roman"/>
          <w:sz w:val="24"/>
          <w:szCs w:val="24"/>
          <w:lang w:val="en-GB"/>
        </w:rPr>
        <w:t>it does</w:t>
      </w:r>
      <w:r>
        <w:rPr>
          <w:rFonts w:ascii="Times New Roman" w:cs="Times New Roman" w:eastAsia="Times New Roman" w:hAnsi="Times New Roman"/>
          <w:sz w:val="24"/>
          <w:szCs w:val="24"/>
          <w:lang w:val="en-GB"/>
        </w:rPr>
        <w:t xml:space="preserve"> </w:t>
      </w:r>
      <w:r>
        <w:rPr>
          <w:rFonts w:ascii="Times New Roman" w:cs="Times New Roman" w:eastAsia="Times New Roman" w:hAnsi="Times New Roman"/>
          <w:sz w:val="24"/>
          <w:szCs w:val="24"/>
          <w:lang w:val="en-GB"/>
        </w:rPr>
        <w:t>not consider cost benefit analysis for</w:t>
      </w:r>
      <w:r>
        <w:rPr>
          <w:rFonts w:ascii="Times New Roman" w:cs="Times New Roman" w:eastAsia="Times New Roman" w:hAnsi="Times New Roman"/>
          <w:sz w:val="24"/>
          <w:szCs w:val="24"/>
          <w:lang w:val="en-GB"/>
        </w:rPr>
        <w:t xml:space="preserve"> </w:t>
      </w:r>
      <w:r>
        <w:rPr>
          <w:rFonts w:ascii="Times New Roman" w:cs="Times New Roman" w:eastAsia="Times New Roman" w:hAnsi="Times New Roman"/>
          <w:sz w:val="24"/>
          <w:szCs w:val="24"/>
          <w:lang w:val="en-GB"/>
        </w:rPr>
        <w:t>various strategies and the companies need to analyse each option before making a decision which</w:t>
      </w:r>
      <w:r>
        <w:rPr>
          <w:rFonts w:ascii="Times New Roman" w:cs="Times New Roman" w:eastAsia="Times New Roman" w:hAnsi="Times New Roman"/>
          <w:sz w:val="24"/>
          <w:szCs w:val="24"/>
          <w:lang w:val="en-GB"/>
        </w:rPr>
        <w:t xml:space="preserve"> </w:t>
      </w:r>
      <w:r>
        <w:rPr>
          <w:rFonts w:ascii="Times New Roman" w:cs="Times New Roman" w:eastAsia="Times New Roman" w:hAnsi="Times New Roman"/>
          <w:sz w:val="24"/>
          <w:szCs w:val="24"/>
          <w:lang w:val="en-GB"/>
        </w:rPr>
        <w:t>is time consuming. GSK</w:t>
      </w:r>
      <w:r>
        <w:rPr>
          <w:rFonts w:ascii="Times New Roman" w:cs="Times New Roman" w:eastAsia="Times New Roman" w:hAnsi="Times New Roman"/>
          <w:sz w:val="24"/>
          <w:szCs w:val="24"/>
          <w:lang w:val="en-GB"/>
        </w:rPr>
        <w:t xml:space="preserve"> </w:t>
      </w:r>
      <w:r>
        <w:rPr>
          <w:rFonts w:ascii="Times New Roman" w:cs="Times New Roman" w:eastAsia="Times New Roman" w:hAnsi="Times New Roman"/>
          <w:sz w:val="24"/>
          <w:szCs w:val="24"/>
          <w:lang w:val="en-GB"/>
        </w:rPr>
        <w:t>follows a market development strategy in which the company has expanded its business in different countries</w:t>
      </w:r>
      <w:r>
        <w:rPr>
          <w:rFonts w:ascii="Times New Roman" w:cs="Times New Roman" w:eastAsia="Times New Roman" w:hAnsi="Times New Roman"/>
          <w:sz w:val="24"/>
          <w:szCs w:val="24"/>
          <w:lang w:val="en-GB"/>
        </w:rPr>
        <w:t xml:space="preserve"> </w:t>
      </w:r>
      <w:r>
        <w:rPr>
          <w:rFonts w:ascii="Times New Roman" w:cs="Times New Roman" w:eastAsia="Times New Roman" w:hAnsi="Times New Roman"/>
          <w:sz w:val="24"/>
          <w:szCs w:val="24"/>
          <w:lang w:val="en-GB"/>
        </w:rPr>
        <w:t>but</w:t>
      </w:r>
      <w:r>
        <w:rPr>
          <w:rFonts w:ascii="Times New Roman" w:cs="Times New Roman" w:eastAsia="Times New Roman" w:hAnsi="Times New Roman"/>
          <w:sz w:val="24"/>
          <w:szCs w:val="24"/>
          <w:lang w:val="en-GB"/>
        </w:rPr>
        <w:t xml:space="preserve"> </w:t>
      </w:r>
      <w:r>
        <w:rPr>
          <w:rFonts w:ascii="Times New Roman" w:cs="Times New Roman" w:eastAsia="Times New Roman" w:hAnsi="Times New Roman"/>
          <w:sz w:val="24"/>
          <w:szCs w:val="24"/>
          <w:lang w:val="en-GB"/>
        </w:rPr>
        <w:t>the products offered by GSK do not</w:t>
      </w:r>
      <w:r>
        <w:rPr>
          <w:rFonts w:ascii="Times New Roman" w:cs="Times New Roman" w:eastAsia="Times New Roman" w:hAnsi="Times New Roman"/>
          <w:sz w:val="24"/>
          <w:szCs w:val="24"/>
          <w:lang w:val="en-GB"/>
        </w:rPr>
        <w:t xml:space="preserve"> </w:t>
      </w:r>
      <w:r>
        <w:rPr>
          <w:rFonts w:ascii="Times New Roman" w:cs="Times New Roman" w:eastAsia="Times New Roman" w:hAnsi="Times New Roman"/>
          <w:sz w:val="24"/>
          <w:szCs w:val="24"/>
          <w:lang w:val="en-GB"/>
        </w:rPr>
        <w:t xml:space="preserve">change with market development. </w:t>
      </w:r>
    </w:p>
    <w:p>
      <w:pPr>
        <w:pStyle w:val="style0"/>
        <w:spacing w:lineRule="auto" w:line="360"/>
        <w:jc w:val="both"/>
        <w:rPr>
          <w:rFonts w:ascii="Times New Roman" w:cs="Times New Roman" w:eastAsia="Times New Roman" w:hAnsi="Times New Roman"/>
          <w:b/>
          <w:i/>
          <w:sz w:val="24"/>
          <w:szCs w:val="24"/>
          <w:lang w:val="en-GB"/>
        </w:rPr>
      </w:pPr>
      <w:r>
        <w:rPr>
          <w:rFonts w:ascii="Times New Roman" w:cs="Times New Roman" w:eastAsia="Times New Roman" w:hAnsi="Times New Roman"/>
          <w:b/>
          <w:i/>
          <w:sz w:val="24"/>
          <w:szCs w:val="24"/>
          <w:lang w:val="en-GB"/>
        </w:rPr>
        <w:t xml:space="preserve">Porter’s five forces strategy </w:t>
      </w:r>
    </w:p>
    <w:p>
      <w:pPr>
        <w:pStyle w:val="style0"/>
        <w:spacing w:lineRule="auto" w:line="360"/>
        <w:jc w:val="center"/>
        <w:rPr>
          <w:rFonts w:ascii="Times New Roman" w:cs="Times New Roman" w:eastAsia="Times New Roman" w:hAnsi="Times New Roman"/>
          <w:sz w:val="24"/>
          <w:szCs w:val="24"/>
          <w:lang w:val="en-GB"/>
        </w:rPr>
      </w:pPr>
      <w:r>
        <w:rPr>
          <w:rFonts w:ascii="Times New Roman" w:cs="Times New Roman" w:eastAsia="Times New Roman" w:hAnsi="Times New Roman"/>
          <w:noProof/>
          <w:sz w:val="24"/>
          <w:szCs w:val="24"/>
        </w:rPr>
        <w:drawing>
          <wp:inline distL="0" distT="0" distB="0" distR="0">
            <wp:extent cx="3867149" cy="3486150"/>
            <wp:effectExtent l="0" t="0" r="0" b="0"/>
            <wp:docPr id="1030" name="image2.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6" cstate="print"/>
                    <a:srcRect l="0" t="0" r="0" b="0"/>
                    <a:stretch/>
                  </pic:blipFill>
                  <pic:spPr>
                    <a:xfrm rot="0">
                      <a:off x="0" y="0"/>
                      <a:ext cx="3867149" cy="3486150"/>
                    </a:xfrm>
                    <a:prstGeom prst="rect"/>
                    <a:ln cmpd="sng" cap="flat" w="9525">
                      <a:solidFill>
                        <a:srgbClr val="000000"/>
                      </a:solidFill>
                      <a:prstDash val="solid"/>
                      <a:round/>
                      <a:headEnd/>
                      <a:tailEnd/>
                    </a:ln>
                  </pic:spPr>
                </pic:pic>
              </a:graphicData>
            </a:graphic>
          </wp:inline>
        </w:drawing>
      </w:r>
    </w:p>
    <w:p>
      <w:pPr>
        <w:pStyle w:val="style0"/>
        <w:spacing w:lineRule="auto" w:line="360"/>
        <w:jc w:val="center"/>
        <w:rPr>
          <w:rFonts w:ascii="Times New Roman" w:cs="Times New Roman" w:eastAsia="Times New Roman" w:hAnsi="Times New Roman"/>
          <w:b/>
          <w:sz w:val="24"/>
          <w:szCs w:val="24"/>
          <w:lang w:val="en-GB"/>
        </w:rPr>
      </w:pPr>
      <w:r>
        <w:rPr>
          <w:rFonts w:ascii="Times New Roman" w:cs="Times New Roman" w:eastAsia="Times New Roman" w:hAnsi="Times New Roman"/>
          <w:b/>
          <w:sz w:val="24"/>
          <w:szCs w:val="24"/>
          <w:lang w:val="en-GB"/>
        </w:rPr>
        <w:t>Figure 5: Porter’s five forces model</w:t>
      </w:r>
    </w:p>
    <w:p>
      <w:pPr>
        <w:pStyle w:val="style0"/>
        <w:spacing w:lineRule="auto" w:line="360"/>
        <w:jc w:val="center"/>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(Source: Baxter, 2019)</w:t>
      </w:r>
    </w:p>
    <w:p>
      <w:pPr>
        <w:pStyle w:val="style0"/>
        <w:spacing w:lineRule="auto" w:line="360"/>
        <w:jc w:val="both"/>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“Porter’s five forces strategy” helps businesses to understand the competitive forces in the market to analyse the target market in a better way. According to Baxter (2019</w:t>
      </w:r>
      <w:r>
        <w:rPr>
          <w:rFonts w:ascii="Times New Roman" w:cs="Times New Roman" w:eastAsia="Times New Roman" w:hAnsi="Times New Roman"/>
          <w:sz w:val="24"/>
          <w:szCs w:val="24"/>
          <w:lang w:val="en-GB"/>
        </w:rPr>
        <w:t>, p. 5</w:t>
      </w:r>
      <w:r>
        <w:rPr>
          <w:rFonts w:ascii="Times New Roman" w:cs="Times New Roman" w:eastAsia="Times New Roman" w:hAnsi="Times New Roman"/>
          <w:sz w:val="24"/>
          <w:szCs w:val="24"/>
          <w:lang w:val="en-GB"/>
        </w:rPr>
        <w:t>), Porter’s Five Forces Model focuses on five forces for competitive strategies such as the power of suppliers, consumer power, threat of new entrants and substitutes and competitive rivalry. Bargaining power</w:t>
      </w:r>
      <w:r>
        <w:rPr>
          <w:rFonts w:ascii="Times New Roman" w:cs="Times New Roman" w:eastAsia="Times New Roman" w:hAnsi="Times New Roman"/>
          <w:sz w:val="24"/>
          <w:szCs w:val="24"/>
          <w:lang w:val="en-GB"/>
        </w:rPr>
        <w:t xml:space="preserve"> </w:t>
      </w:r>
      <w:r>
        <w:rPr>
          <w:rFonts w:ascii="Times New Roman" w:cs="Times New Roman" w:eastAsia="Times New Roman" w:hAnsi="Times New Roman"/>
          <w:sz w:val="24"/>
          <w:szCs w:val="24"/>
          <w:lang w:val="en-GB"/>
        </w:rPr>
        <w:t>of the suppliers</w:t>
      </w:r>
      <w:r>
        <w:rPr>
          <w:rFonts w:ascii="Times New Roman" w:cs="Times New Roman" w:eastAsia="Times New Roman" w:hAnsi="Times New Roman"/>
          <w:sz w:val="24"/>
          <w:szCs w:val="24"/>
          <w:lang w:val="en-GB"/>
        </w:rPr>
        <w:t xml:space="preserve"> </w:t>
      </w:r>
      <w:r>
        <w:rPr>
          <w:rFonts w:ascii="Times New Roman" w:cs="Times New Roman" w:eastAsia="Times New Roman" w:hAnsi="Times New Roman"/>
          <w:sz w:val="24"/>
          <w:szCs w:val="24"/>
          <w:lang w:val="en-GB"/>
        </w:rPr>
        <w:t>can be obtained if the industry raises power for the suppliers by reducing the quality of products and services. GSK has a low supplier power because there is</w:t>
      </w:r>
      <w:r>
        <w:rPr>
          <w:rFonts w:ascii="Times New Roman" w:cs="Times New Roman" w:eastAsia="Times New Roman" w:hAnsi="Times New Roman"/>
          <w:sz w:val="24"/>
          <w:szCs w:val="24"/>
          <w:lang w:val="en-GB"/>
        </w:rPr>
        <w:t xml:space="preserve"> </w:t>
      </w:r>
      <w:r>
        <w:rPr>
          <w:rFonts w:ascii="Times New Roman" w:cs="Times New Roman" w:eastAsia="Times New Roman" w:hAnsi="Times New Roman"/>
          <w:sz w:val="24"/>
          <w:szCs w:val="24"/>
          <w:lang w:val="en-GB"/>
        </w:rPr>
        <w:t>a large number of suppliers present in the market for pharmaceutical products. On the other hand, the power of customers is moderate for GSK because there are</w:t>
      </w:r>
      <w:r>
        <w:rPr>
          <w:rFonts w:ascii="Times New Roman" w:cs="Times New Roman" w:eastAsia="Times New Roman" w:hAnsi="Times New Roman"/>
          <w:sz w:val="24"/>
          <w:szCs w:val="24"/>
          <w:lang w:val="en-GB"/>
        </w:rPr>
        <w:t xml:space="preserve"> </w:t>
      </w:r>
      <w:r>
        <w:rPr>
          <w:rFonts w:ascii="Times New Roman" w:cs="Times New Roman" w:eastAsia="Times New Roman" w:hAnsi="Times New Roman"/>
          <w:sz w:val="24"/>
          <w:szCs w:val="24"/>
          <w:lang w:val="en-GB"/>
        </w:rPr>
        <w:t>multiple options available for the consumers of general medicines but has</w:t>
      </w:r>
      <w:r>
        <w:rPr>
          <w:rFonts w:ascii="Times New Roman" w:cs="Times New Roman" w:eastAsia="Times New Roman" w:hAnsi="Times New Roman"/>
          <w:sz w:val="24"/>
          <w:szCs w:val="24"/>
          <w:lang w:val="en-GB"/>
        </w:rPr>
        <w:t xml:space="preserve"> </w:t>
      </w:r>
      <w:r>
        <w:rPr>
          <w:rFonts w:ascii="Times New Roman" w:cs="Times New Roman" w:eastAsia="Times New Roman" w:hAnsi="Times New Roman"/>
          <w:sz w:val="24"/>
          <w:szCs w:val="24"/>
          <w:lang w:val="en-GB"/>
        </w:rPr>
        <w:t>limited options for vaccines and specialty medicines.</w:t>
      </w:r>
      <w:r>
        <w:rPr>
          <w:rFonts w:ascii="Times New Roman" w:cs="Times New Roman" w:eastAsia="Times New Roman" w:hAnsi="Times New Roman"/>
          <w:sz w:val="24"/>
          <w:szCs w:val="24"/>
          <w:lang w:val="en-GB"/>
        </w:rPr>
        <w:t xml:space="preserve"> The businesses face issues due to lack of </w:t>
      </w:r>
      <w:r>
        <w:rPr>
          <w:rFonts w:ascii="STIXGeneral-Regular" w:hAnsi="STIXGeneral-Regular"/>
          <w:color w:val="000000"/>
          <w:shd w:val="clear" w:color="auto" w:fill="ffffff"/>
        </w:rPr>
        <w:t>understanding of the competitive environment and the interpretation of its effect on the business (</w:t>
      </w:r>
      <w:r>
        <w:rPr>
          <w:rFonts w:ascii="STIXGeneral-Regular" w:hAnsi="STIXGeneral-Regular"/>
          <w:color w:val="000000"/>
          <w:shd w:val="clear" w:color="auto" w:fill="ffffff"/>
        </w:rPr>
        <w:t>Fuertes</w:t>
      </w:r>
      <w:r>
        <w:rPr>
          <w:rFonts w:ascii="STIXGeneral-Regular" w:hAnsi="STIXGeneral-Regular"/>
          <w:color w:val="000000"/>
          <w:shd w:val="clear" w:color="auto" w:fill="ffffff"/>
        </w:rPr>
        <w:t xml:space="preserve"> </w:t>
      </w:r>
      <w:r>
        <w:rPr>
          <w:rFonts w:ascii="STIXGeneral-Regular" w:hAnsi="STIXGeneral-Regular"/>
          <w:i/>
          <w:color w:val="000000"/>
          <w:shd w:val="clear" w:color="auto" w:fill="ffffff"/>
        </w:rPr>
        <w:t xml:space="preserve">et al. </w:t>
      </w:r>
      <w:r>
        <w:rPr>
          <w:rFonts w:ascii="STIXGeneral-Regular" w:hAnsi="STIXGeneral-Regular"/>
          <w:color w:val="000000"/>
          <w:shd w:val="clear" w:color="auto" w:fill="ffffff"/>
        </w:rPr>
        <w:t xml:space="preserve">2020, </w:t>
      </w:r>
      <w:r>
        <w:rPr>
          <w:rFonts w:ascii="STIXGeneral-Regular" w:hAnsi="STIXGeneral-Regular"/>
          <w:color w:val="000000"/>
          <w:shd w:val="clear" w:color="auto" w:fill="ffffff"/>
        </w:rPr>
        <w:t>p.19</w:t>
      </w:r>
      <w:r>
        <w:rPr>
          <w:rFonts w:ascii="STIXGeneral-Regular" w:hAnsi="STIXGeneral-Regular"/>
          <w:color w:val="000000"/>
          <w:shd w:val="clear" w:color="auto" w:fill="ffffff"/>
        </w:rPr>
        <w:t>).</w:t>
      </w:r>
      <w:r>
        <w:rPr>
          <w:rFonts w:ascii="Times New Roman" w:cs="Times New Roman" w:eastAsia="Times New Roman" w:hAnsi="Times New Roman"/>
          <w:sz w:val="24"/>
          <w:szCs w:val="24"/>
          <w:lang w:val="en-GB"/>
        </w:rPr>
        <w:t xml:space="preserve"> Therefore,</w:t>
      </w:r>
      <w:r>
        <w:rPr>
          <w:rFonts w:ascii="Times New Roman" w:cs="Times New Roman" w:eastAsia="Times New Roman" w:hAnsi="Times New Roman"/>
          <w:sz w:val="24"/>
          <w:szCs w:val="24"/>
          <w:lang w:val="en-GB"/>
        </w:rPr>
        <w:t xml:space="preserve"> </w:t>
      </w:r>
      <w:r>
        <w:rPr>
          <w:rFonts w:ascii="Times New Roman" w:cs="Times New Roman" w:eastAsia="Times New Roman" w:hAnsi="Times New Roman"/>
          <w:sz w:val="24"/>
          <w:szCs w:val="24"/>
          <w:lang w:val="en-GB"/>
        </w:rPr>
        <w:t>switching</w:t>
      </w:r>
      <w:r>
        <w:rPr>
          <w:rFonts w:ascii="Times New Roman" w:cs="Times New Roman" w:eastAsia="Times New Roman" w:hAnsi="Times New Roman"/>
          <w:sz w:val="24"/>
          <w:szCs w:val="24"/>
          <w:lang w:val="en-GB"/>
        </w:rPr>
        <w:t xml:space="preserve"> </w:t>
      </w:r>
      <w:r>
        <w:rPr>
          <w:rFonts w:ascii="Times New Roman" w:cs="Times New Roman" w:eastAsia="Times New Roman" w:hAnsi="Times New Roman"/>
          <w:sz w:val="24"/>
          <w:szCs w:val="24"/>
          <w:lang w:val="en-GB"/>
        </w:rPr>
        <w:t>costs of</w:t>
      </w:r>
      <w:r>
        <w:rPr>
          <w:rFonts w:ascii="Times New Roman" w:cs="Times New Roman" w:eastAsia="Times New Roman" w:hAnsi="Times New Roman"/>
          <w:sz w:val="24"/>
          <w:szCs w:val="24"/>
          <w:lang w:val="en-GB"/>
        </w:rPr>
        <w:t xml:space="preserve"> </w:t>
      </w:r>
      <w:r>
        <w:rPr>
          <w:rFonts w:ascii="Times New Roman" w:cs="Times New Roman" w:eastAsia="Times New Roman" w:hAnsi="Times New Roman"/>
          <w:sz w:val="24"/>
          <w:szCs w:val="24"/>
          <w:lang w:val="en-GB"/>
        </w:rPr>
        <w:t>the consumers is low</w:t>
      </w:r>
      <w:r>
        <w:rPr>
          <w:rFonts w:ascii="Times New Roman" w:cs="Times New Roman" w:eastAsia="Times New Roman" w:hAnsi="Times New Roman"/>
          <w:sz w:val="24"/>
          <w:szCs w:val="24"/>
          <w:lang w:val="en-GB"/>
        </w:rPr>
        <w:t xml:space="preserve"> </w:t>
      </w:r>
      <w:r>
        <w:rPr>
          <w:rFonts w:ascii="Times New Roman" w:cs="Times New Roman" w:eastAsia="Times New Roman" w:hAnsi="Times New Roman"/>
          <w:sz w:val="24"/>
          <w:szCs w:val="24"/>
          <w:lang w:val="en-GB"/>
        </w:rPr>
        <w:t>which reduces threats</w:t>
      </w:r>
      <w:r>
        <w:rPr>
          <w:rFonts w:ascii="Times New Roman" w:cs="Times New Roman" w:eastAsia="Times New Roman" w:hAnsi="Times New Roman"/>
          <w:sz w:val="24"/>
          <w:szCs w:val="24"/>
          <w:lang w:val="en-GB"/>
        </w:rPr>
        <w:t xml:space="preserve"> </w:t>
      </w:r>
      <w:r>
        <w:rPr>
          <w:rFonts w:ascii="Times New Roman" w:cs="Times New Roman" w:eastAsia="Times New Roman" w:hAnsi="Times New Roman"/>
          <w:sz w:val="24"/>
          <w:szCs w:val="24"/>
          <w:lang w:val="en-GB"/>
        </w:rPr>
        <w:t>for GSK. As GSK has a high brand</w:t>
      </w:r>
      <w:r>
        <w:rPr>
          <w:rFonts w:ascii="Times New Roman" w:cs="Times New Roman" w:eastAsia="Times New Roman" w:hAnsi="Times New Roman"/>
          <w:sz w:val="24"/>
          <w:szCs w:val="24"/>
          <w:lang w:val="en-GB"/>
        </w:rPr>
        <w:t xml:space="preserve"> </w:t>
      </w:r>
      <w:r>
        <w:rPr>
          <w:rFonts w:ascii="Times New Roman" w:cs="Times New Roman" w:eastAsia="Times New Roman" w:hAnsi="Times New Roman"/>
          <w:sz w:val="24"/>
          <w:szCs w:val="24"/>
          <w:lang w:val="en-GB"/>
        </w:rPr>
        <w:t>image, the company</w:t>
      </w:r>
      <w:r>
        <w:rPr>
          <w:rFonts w:ascii="Times New Roman" w:cs="Times New Roman" w:eastAsia="Times New Roman" w:hAnsi="Times New Roman"/>
          <w:sz w:val="24"/>
          <w:szCs w:val="24"/>
          <w:lang w:val="en-GB"/>
        </w:rPr>
        <w:t xml:space="preserve"> </w:t>
      </w:r>
      <w:r>
        <w:rPr>
          <w:rFonts w:ascii="Times New Roman" w:cs="Times New Roman" w:eastAsia="Times New Roman" w:hAnsi="Times New Roman"/>
          <w:sz w:val="24"/>
          <w:szCs w:val="24"/>
          <w:lang w:val="en-GB"/>
        </w:rPr>
        <w:t>does not</w:t>
      </w:r>
      <w:r>
        <w:rPr>
          <w:rFonts w:ascii="Times New Roman" w:cs="Times New Roman" w:eastAsia="Times New Roman" w:hAnsi="Times New Roman"/>
          <w:sz w:val="24"/>
          <w:szCs w:val="24"/>
          <w:lang w:val="en-GB"/>
        </w:rPr>
        <w:t xml:space="preserve"> </w:t>
      </w:r>
      <w:r>
        <w:rPr>
          <w:rFonts w:ascii="Times New Roman" w:cs="Times New Roman" w:eastAsia="Times New Roman" w:hAnsi="Times New Roman"/>
          <w:sz w:val="24"/>
          <w:szCs w:val="24"/>
          <w:lang w:val="en-GB"/>
        </w:rPr>
        <w:t>obtain threats from new businesses as well as it is difficult for replacing pharmaceutical industry which also reduces risks</w:t>
      </w:r>
      <w:r>
        <w:rPr>
          <w:rFonts w:ascii="Times New Roman" w:cs="Times New Roman" w:eastAsia="Times New Roman" w:hAnsi="Times New Roman"/>
          <w:sz w:val="24"/>
          <w:szCs w:val="24"/>
          <w:lang w:val="en-GB"/>
        </w:rPr>
        <w:t xml:space="preserve"> </w:t>
      </w:r>
      <w:r>
        <w:rPr>
          <w:rFonts w:ascii="Times New Roman" w:cs="Times New Roman" w:eastAsia="Times New Roman" w:hAnsi="Times New Roman"/>
          <w:sz w:val="24"/>
          <w:szCs w:val="24"/>
          <w:lang w:val="en-GB"/>
        </w:rPr>
        <w:t>of substitutes for GSK. Market competition is high for GSK as there are multiple companies such as Pfizer, Takeda Pharmaceutical, Johnson &amp; Johnson and AstraZeneca in the market. On the contrary, Porter's five forces model states that industry structure drives competition but it is not</w:t>
      </w:r>
      <w:r>
        <w:rPr>
          <w:rFonts w:ascii="Times New Roman" w:cs="Times New Roman" w:eastAsia="Times New Roman" w:hAnsi="Times New Roman"/>
          <w:sz w:val="24"/>
          <w:szCs w:val="24"/>
          <w:lang w:val="en-GB"/>
        </w:rPr>
        <w:t xml:space="preserve"> </w:t>
      </w:r>
      <w:r>
        <w:rPr>
          <w:rFonts w:ascii="Times New Roman" w:cs="Times New Roman" w:eastAsia="Times New Roman" w:hAnsi="Times New Roman"/>
          <w:sz w:val="24"/>
          <w:szCs w:val="24"/>
          <w:lang w:val="en-GB"/>
        </w:rPr>
        <w:t>the only factor which influences profitability</w:t>
      </w:r>
      <w:r>
        <w:rPr>
          <w:rFonts w:ascii="Times New Roman" w:cs="Times New Roman" w:eastAsia="Times New Roman" w:hAnsi="Times New Roman"/>
          <w:sz w:val="24"/>
          <w:szCs w:val="24"/>
          <w:lang w:val="en-GB"/>
        </w:rPr>
        <w:t xml:space="preserve"> </w:t>
      </w:r>
      <w:r>
        <w:rPr>
          <w:rFonts w:ascii="Times New Roman" w:cs="Times New Roman" w:eastAsia="Times New Roman" w:hAnsi="Times New Roman"/>
          <w:sz w:val="24"/>
          <w:szCs w:val="24"/>
          <w:lang w:val="en-GB"/>
        </w:rPr>
        <w:t>(Goyal, 2020</w:t>
      </w:r>
      <w:r>
        <w:rPr>
          <w:rFonts w:ascii="Times New Roman" w:cs="Times New Roman" w:eastAsia="Times New Roman" w:hAnsi="Times New Roman"/>
          <w:sz w:val="24"/>
          <w:szCs w:val="24"/>
          <w:lang w:val="en-GB"/>
        </w:rPr>
        <w:t>, p</w:t>
      </w:r>
      <w:r>
        <w:rPr>
          <w:rFonts w:ascii="Times New Roman" w:cs="Times New Roman" w:eastAsia="Times New Roman" w:hAnsi="Times New Roman"/>
          <w:sz w:val="24"/>
          <w:szCs w:val="24"/>
          <w:lang w:val="en-GB"/>
        </w:rPr>
        <w:t>.</w:t>
      </w:r>
      <w:r>
        <w:rPr>
          <w:rFonts w:ascii="Times New Roman" w:cs="Times New Roman" w:eastAsia="Times New Roman" w:hAnsi="Times New Roman"/>
          <w:sz w:val="24"/>
          <w:szCs w:val="24"/>
          <w:lang w:val="en-GB"/>
        </w:rPr>
        <w:t xml:space="preserve"> 150</w:t>
      </w:r>
      <w:r>
        <w:rPr>
          <w:rFonts w:ascii="Times New Roman" w:cs="Times New Roman" w:eastAsia="Times New Roman" w:hAnsi="Times New Roman"/>
          <w:sz w:val="24"/>
          <w:szCs w:val="24"/>
          <w:lang w:val="en-GB"/>
        </w:rPr>
        <w:t xml:space="preserve">). This model ignores the effect of complements on the industry at the time of recognising substitutes which limits the findings. </w:t>
      </w:r>
    </w:p>
    <w:bookmarkStart w:id="8" w:name="_Toc140916759"/>
    <w:p>
      <w:pPr>
        <w:pStyle w:val="style1"/>
        <w:rPr/>
      </w:pPr>
      <w:r>
        <w:t>3. Main body</w:t>
      </w:r>
      <w:bookmarkEnd w:id="8"/>
      <w:r>
        <w:t xml:space="preserve"> </w:t>
      </w:r>
    </w:p>
    <w:bookmarkStart w:id="9" w:name="_Toc140916760"/>
    <w:p>
      <w:pPr>
        <w:pStyle w:val="style2"/>
        <w:rPr>
          <w:lang w:val="en-GB"/>
        </w:rPr>
      </w:pPr>
      <w:r>
        <w:rPr>
          <w:lang w:val="en-GB"/>
        </w:rPr>
        <w:t>3.1 External analysis</w:t>
      </w:r>
      <w:bookmarkEnd w:id="9"/>
      <w:r>
        <w:rPr>
          <w:lang w:val="en-GB"/>
        </w:rPr>
        <w:t xml:space="preserve"> </w:t>
      </w:r>
    </w:p>
    <w:p>
      <w:pPr>
        <w:pStyle w:val="style4097"/>
        <w:spacing w:lineRule="auto" w:line="360"/>
        <w:jc w:val="both"/>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Analysing the external environment of GSK is important to understand factors that impact the entire business operations effectively. The political atmosphere, technological factors and social factors can mostly impact the business operation of this leading British pharmaceutical company.</w:t>
      </w:r>
      <w:r>
        <w:rPr>
          <w:rFonts w:ascii="Times New Roman" w:cs="Times New Roman" w:eastAsia="Times New Roman" w:hAnsi="Times New Roman"/>
          <w:sz w:val="24"/>
          <w:szCs w:val="24"/>
          <w:lang w:val="en-GB"/>
        </w:rPr>
        <w:t xml:space="preserve"> </w:t>
      </w:r>
    </w:p>
    <w:p>
      <w:pPr>
        <w:pStyle w:val="style4097"/>
        <w:spacing w:lineRule="auto" w:line="360"/>
        <w:jc w:val="both"/>
        <w:rPr>
          <w:rFonts w:ascii="Times New Roman" w:cs="Times New Roman" w:eastAsia="Times New Roman" w:hAnsi="Times New Roman"/>
          <w:b/>
          <w:sz w:val="24"/>
          <w:szCs w:val="24"/>
          <w:lang w:val="en-GB"/>
        </w:rPr>
      </w:pPr>
      <w:r>
        <w:rPr>
          <w:rFonts w:ascii="Times New Roman" w:cs="Times New Roman" w:eastAsia="Times New Roman" w:hAnsi="Times New Roman"/>
          <w:b/>
          <w:sz w:val="24"/>
          <w:szCs w:val="24"/>
          <w:lang w:val="en-GB"/>
        </w:rPr>
        <w:t>PESTLE analysis</w:t>
      </w:r>
    </w:p>
    <w:tbl>
      <w:tblPr>
        <w:tblStyle w:val="style4102"/>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400"/>
        <w:gridCol w:w="5010"/>
        <w:gridCol w:w="1590"/>
      </w:tblGrid>
      <w:tr>
        <w:trPr>
          <w:cantSplit/>
          <w:tblHeader/>
        </w:trPr>
        <w:tc>
          <w:tcPr>
            <w:tcW w:w="2400" w:type="dxa"/>
            <w:tcBorders/>
            <w:shd w:val="clear" w:color="auto" w:fill="auto"/>
            <w:tcMar>
              <w:top w:w="100" w:type="dxa"/>
              <w:left w:w="100" w:type="dxa"/>
              <w:bottom w:w="100" w:type="dxa"/>
              <w:right w:w="100" w:type="dxa"/>
            </w:tcMar>
          </w:tcPr>
          <w:p>
            <w:pPr>
              <w:pStyle w:val="style4097"/>
              <w:widowControl w:val="false"/>
              <w:pBdr>
                <w:left w:val="nil"/>
                <w:right w:val="nil"/>
                <w:top w:val="nil"/>
                <w:bottom w:val="nil"/>
                <w:between w:val="nil"/>
              </w:pBdr>
              <w:spacing w:lineRule="auto" w:line="240"/>
              <w:rPr>
                <w:rFonts w:ascii="Times New Roman" w:cs="Times New Roman" w:eastAsia="Times New Roman" w:hAnsi="Times New Roman"/>
                <w:b/>
                <w:sz w:val="24"/>
                <w:szCs w:val="24"/>
                <w:lang w:val="en-GB"/>
              </w:rPr>
            </w:pPr>
            <w:r>
              <w:rPr>
                <w:rFonts w:ascii="Times New Roman" w:cs="Times New Roman" w:eastAsia="Times New Roman" w:hAnsi="Times New Roman"/>
                <w:b/>
                <w:sz w:val="24"/>
                <w:szCs w:val="24"/>
                <w:lang w:val="en-GB"/>
              </w:rPr>
              <w:t>Factors</w:t>
            </w:r>
          </w:p>
        </w:tc>
        <w:tc>
          <w:tcPr>
            <w:tcW w:w="5010" w:type="dxa"/>
            <w:tcBorders/>
            <w:shd w:val="clear" w:color="auto" w:fill="auto"/>
            <w:tcMar>
              <w:top w:w="100" w:type="dxa"/>
              <w:left w:w="100" w:type="dxa"/>
              <w:bottom w:w="100" w:type="dxa"/>
              <w:right w:w="100" w:type="dxa"/>
            </w:tcMar>
          </w:tcPr>
          <w:p>
            <w:pPr>
              <w:pStyle w:val="style4097"/>
              <w:widowControl w:val="false"/>
              <w:pBdr>
                <w:left w:val="nil"/>
                <w:right w:val="nil"/>
                <w:top w:val="nil"/>
                <w:bottom w:val="nil"/>
                <w:between w:val="nil"/>
              </w:pBdr>
              <w:spacing w:lineRule="auto" w:line="240"/>
              <w:rPr>
                <w:rFonts w:ascii="Times New Roman" w:cs="Times New Roman" w:eastAsia="Times New Roman" w:hAnsi="Times New Roman"/>
                <w:b/>
                <w:sz w:val="24"/>
                <w:szCs w:val="24"/>
                <w:lang w:val="en-GB"/>
              </w:rPr>
            </w:pPr>
            <w:r>
              <w:rPr>
                <w:rFonts w:ascii="Times New Roman" w:cs="Times New Roman" w:eastAsia="Times New Roman" w:hAnsi="Times New Roman"/>
                <w:b/>
                <w:sz w:val="24"/>
                <w:szCs w:val="24"/>
                <w:lang w:val="en-GB"/>
              </w:rPr>
              <w:t>Impacts</w:t>
            </w:r>
          </w:p>
        </w:tc>
        <w:tc>
          <w:tcPr>
            <w:tcW w:w="1590" w:type="dxa"/>
            <w:tcBorders/>
            <w:shd w:val="clear" w:color="auto" w:fill="auto"/>
            <w:tcMar>
              <w:top w:w="100" w:type="dxa"/>
              <w:left w:w="100" w:type="dxa"/>
              <w:bottom w:w="100" w:type="dxa"/>
              <w:right w:w="100" w:type="dxa"/>
            </w:tcMar>
          </w:tcPr>
          <w:p>
            <w:pPr>
              <w:pStyle w:val="style4097"/>
              <w:widowControl w:val="false"/>
              <w:pBdr>
                <w:left w:val="nil"/>
                <w:right w:val="nil"/>
                <w:top w:val="nil"/>
                <w:bottom w:val="nil"/>
                <w:between w:val="nil"/>
              </w:pBdr>
              <w:spacing w:lineRule="auto" w:line="240"/>
              <w:rPr>
                <w:rFonts w:ascii="Times New Roman" w:cs="Times New Roman" w:eastAsia="Times New Roman" w:hAnsi="Times New Roman"/>
                <w:b/>
                <w:sz w:val="24"/>
                <w:szCs w:val="24"/>
                <w:lang w:val="en-GB"/>
              </w:rPr>
            </w:pPr>
            <w:r>
              <w:rPr>
                <w:rFonts w:ascii="Times New Roman" w:cs="Times New Roman" w:eastAsia="Times New Roman" w:hAnsi="Times New Roman"/>
                <w:b/>
                <w:sz w:val="24"/>
                <w:szCs w:val="24"/>
                <w:lang w:val="en-GB"/>
              </w:rPr>
              <w:t>Effects</w:t>
            </w:r>
          </w:p>
        </w:tc>
      </w:tr>
      <w:tr>
        <w:tblPrEx/>
        <w:trPr>
          <w:cantSplit/>
          <w:tblHeader/>
        </w:trPr>
        <w:tc>
          <w:tcPr>
            <w:tcW w:w="2400" w:type="dxa"/>
            <w:tcBorders/>
            <w:shd w:val="clear" w:color="auto" w:fill="auto"/>
            <w:tcMar>
              <w:top w:w="100" w:type="dxa"/>
              <w:left w:w="100" w:type="dxa"/>
              <w:bottom w:w="100" w:type="dxa"/>
              <w:right w:w="100" w:type="dxa"/>
            </w:tcMar>
          </w:tcPr>
          <w:p>
            <w:pPr>
              <w:pStyle w:val="style4097"/>
              <w:widowControl w:val="false"/>
              <w:pBdr>
                <w:left w:val="nil"/>
                <w:right w:val="nil"/>
                <w:top w:val="nil"/>
                <w:bottom w:val="nil"/>
                <w:between w:val="nil"/>
              </w:pBdr>
              <w:spacing w:lineRule="auto" w:line="360"/>
              <w:jc w:val="both"/>
              <w:rPr>
                <w:rFonts w:ascii="Times New Roman" w:cs="Times New Roman" w:eastAsia="Times New Roman" w:hAnsi="Times New Roman"/>
                <w:b/>
                <w:sz w:val="24"/>
                <w:szCs w:val="24"/>
                <w:lang w:val="en-GB"/>
              </w:rPr>
            </w:pPr>
            <w:r>
              <w:rPr>
                <w:rFonts w:ascii="Times New Roman" w:cs="Times New Roman" w:eastAsia="Times New Roman" w:hAnsi="Times New Roman"/>
                <w:b/>
                <w:sz w:val="24"/>
                <w:szCs w:val="24"/>
                <w:lang w:val="en-GB"/>
              </w:rPr>
              <w:t>Political factors</w:t>
            </w:r>
          </w:p>
        </w:tc>
        <w:tc>
          <w:tcPr>
            <w:tcW w:w="5010" w:type="dxa"/>
            <w:tcBorders/>
            <w:shd w:val="clear" w:color="auto" w:fill="auto"/>
            <w:tcMar>
              <w:top w:w="100" w:type="dxa"/>
              <w:left w:w="100" w:type="dxa"/>
              <w:bottom w:w="100" w:type="dxa"/>
              <w:right w:w="100" w:type="dxa"/>
            </w:tcMar>
          </w:tcPr>
          <w:p>
            <w:pPr>
              <w:pStyle w:val="style4097"/>
              <w:widowControl w:val="false"/>
              <w:numPr>
                <w:ilvl w:val="0"/>
                <w:numId w:val="1"/>
              </w:numPr>
              <w:pBdr>
                <w:left w:val="nil"/>
                <w:right w:val="nil"/>
                <w:top w:val="nil"/>
                <w:bottom w:val="nil"/>
                <w:between w:val="nil"/>
              </w:pBdr>
              <w:spacing w:lineRule="auto" w:line="360"/>
              <w:jc w:val="both"/>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The index of the UK’s political stability is 0.54 (theglobaleconomy.com, 2021).</w:t>
            </w:r>
          </w:p>
          <w:p>
            <w:pPr>
              <w:pStyle w:val="style4097"/>
              <w:widowControl w:val="false"/>
              <w:numPr>
                <w:ilvl w:val="0"/>
                <w:numId w:val="1"/>
              </w:numPr>
              <w:pBdr>
                <w:left w:val="nil"/>
                <w:right w:val="nil"/>
                <w:top w:val="nil"/>
                <w:bottom w:val="nil"/>
                <w:between w:val="nil"/>
              </w:pBdr>
              <w:spacing w:lineRule="auto" w:line="360"/>
              <w:jc w:val="both"/>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Government support and a stable political environment positively impact the organisation.</w:t>
            </w:r>
          </w:p>
          <w:p>
            <w:pPr>
              <w:pStyle w:val="style4097"/>
              <w:widowControl w:val="false"/>
              <w:numPr>
                <w:ilvl w:val="0"/>
                <w:numId w:val="1"/>
              </w:numPr>
              <w:pBdr>
                <w:left w:val="nil"/>
                <w:right w:val="nil"/>
                <w:top w:val="nil"/>
                <w:bottom w:val="nil"/>
                <w:between w:val="nil"/>
              </w:pBdr>
              <w:spacing w:lineRule="auto" w:line="360"/>
              <w:jc w:val="both"/>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Less political violation.</w:t>
            </w:r>
          </w:p>
        </w:tc>
        <w:tc>
          <w:tcPr>
            <w:tcW w:w="1590" w:type="dxa"/>
            <w:tcBorders/>
            <w:shd w:val="clear" w:color="auto" w:fill="auto"/>
            <w:tcMar>
              <w:top w:w="100" w:type="dxa"/>
              <w:left w:w="100" w:type="dxa"/>
              <w:bottom w:w="100" w:type="dxa"/>
              <w:right w:w="100" w:type="dxa"/>
            </w:tcMar>
          </w:tcPr>
          <w:p>
            <w:pPr>
              <w:pStyle w:val="style4097"/>
              <w:widowControl w:val="false"/>
              <w:pBdr>
                <w:left w:val="nil"/>
                <w:right w:val="nil"/>
                <w:top w:val="nil"/>
                <w:bottom w:val="nil"/>
                <w:between w:val="nil"/>
              </w:pBdr>
              <w:spacing w:lineRule="auto" w:line="360"/>
              <w:jc w:val="both"/>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Positive</w:t>
            </w:r>
          </w:p>
        </w:tc>
      </w:tr>
      <w:tr>
        <w:tblPrEx/>
        <w:trPr>
          <w:cantSplit/>
          <w:tblHeader/>
        </w:trPr>
        <w:tc>
          <w:tcPr>
            <w:tcW w:w="2400" w:type="dxa"/>
            <w:tcBorders/>
            <w:shd w:val="clear" w:color="auto" w:fill="auto"/>
            <w:tcMar>
              <w:top w:w="100" w:type="dxa"/>
              <w:left w:w="100" w:type="dxa"/>
              <w:bottom w:w="100" w:type="dxa"/>
              <w:right w:w="100" w:type="dxa"/>
            </w:tcMar>
          </w:tcPr>
          <w:p>
            <w:pPr>
              <w:pStyle w:val="style4097"/>
              <w:widowControl w:val="false"/>
              <w:pBdr>
                <w:left w:val="nil"/>
                <w:right w:val="nil"/>
                <w:top w:val="nil"/>
                <w:bottom w:val="nil"/>
                <w:between w:val="nil"/>
              </w:pBdr>
              <w:spacing w:lineRule="auto" w:line="360"/>
              <w:jc w:val="both"/>
              <w:rPr>
                <w:rFonts w:ascii="Times New Roman" w:cs="Times New Roman" w:eastAsia="Times New Roman" w:hAnsi="Times New Roman"/>
                <w:b/>
                <w:sz w:val="24"/>
                <w:szCs w:val="24"/>
                <w:lang w:val="en-GB"/>
              </w:rPr>
            </w:pPr>
            <w:r>
              <w:rPr>
                <w:rFonts w:ascii="Times New Roman" w:cs="Times New Roman" w:eastAsia="Times New Roman" w:hAnsi="Times New Roman"/>
                <w:b/>
                <w:sz w:val="24"/>
                <w:szCs w:val="24"/>
                <w:lang w:val="en-GB"/>
              </w:rPr>
              <w:t>Economical factor</w:t>
            </w:r>
          </w:p>
        </w:tc>
        <w:tc>
          <w:tcPr>
            <w:tcW w:w="5010" w:type="dxa"/>
            <w:tcBorders/>
            <w:shd w:val="clear" w:color="auto" w:fill="auto"/>
            <w:tcMar>
              <w:top w:w="100" w:type="dxa"/>
              <w:left w:w="100" w:type="dxa"/>
              <w:bottom w:w="100" w:type="dxa"/>
              <w:right w:w="100" w:type="dxa"/>
            </w:tcMar>
          </w:tcPr>
          <w:p>
            <w:pPr>
              <w:pStyle w:val="style4097"/>
              <w:widowControl w:val="false"/>
              <w:numPr>
                <w:ilvl w:val="0"/>
                <w:numId w:val="6"/>
              </w:numPr>
              <w:pBdr>
                <w:left w:val="nil"/>
                <w:right w:val="nil"/>
                <w:top w:val="nil"/>
                <w:bottom w:val="nil"/>
                <w:between w:val="nil"/>
              </w:pBdr>
              <w:spacing w:lineRule="auto" w:line="360"/>
              <w:jc w:val="both"/>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The burden of tax rates is high (65.4%) creating difficulties to manage financial stability.</w:t>
            </w:r>
          </w:p>
          <w:p>
            <w:pPr>
              <w:pStyle w:val="style4097"/>
              <w:widowControl w:val="false"/>
              <w:numPr>
                <w:ilvl w:val="0"/>
                <w:numId w:val="6"/>
              </w:numPr>
              <w:pBdr>
                <w:left w:val="nil"/>
                <w:right w:val="nil"/>
                <w:top w:val="nil"/>
                <w:bottom w:val="nil"/>
                <w:between w:val="nil"/>
              </w:pBdr>
              <w:spacing w:lineRule="auto" w:line="360"/>
              <w:jc w:val="both"/>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The growth of GDP is around 0.2% in the first quarter indicating a lack of financial growth (tradingeconomics.com, 2023).</w:t>
            </w:r>
          </w:p>
        </w:tc>
        <w:tc>
          <w:tcPr>
            <w:tcW w:w="1590" w:type="dxa"/>
            <w:tcBorders/>
            <w:shd w:val="clear" w:color="auto" w:fill="auto"/>
            <w:tcMar>
              <w:top w:w="100" w:type="dxa"/>
              <w:left w:w="100" w:type="dxa"/>
              <w:bottom w:w="100" w:type="dxa"/>
              <w:right w:w="100" w:type="dxa"/>
            </w:tcMar>
          </w:tcPr>
          <w:p>
            <w:pPr>
              <w:pStyle w:val="style4097"/>
              <w:widowControl w:val="false"/>
              <w:pBdr>
                <w:left w:val="nil"/>
                <w:right w:val="nil"/>
                <w:top w:val="nil"/>
                <w:bottom w:val="nil"/>
                <w:between w:val="nil"/>
              </w:pBdr>
              <w:spacing w:lineRule="auto" w:line="360"/>
              <w:jc w:val="both"/>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Negative</w:t>
            </w:r>
          </w:p>
        </w:tc>
      </w:tr>
      <w:tr>
        <w:tblPrEx/>
        <w:trPr>
          <w:cantSplit/>
          <w:tblHeader/>
        </w:trPr>
        <w:tc>
          <w:tcPr>
            <w:tcW w:w="2400" w:type="dxa"/>
            <w:tcBorders/>
            <w:shd w:val="clear" w:color="auto" w:fill="auto"/>
            <w:tcMar>
              <w:top w:w="100" w:type="dxa"/>
              <w:left w:w="100" w:type="dxa"/>
              <w:bottom w:w="100" w:type="dxa"/>
              <w:right w:w="100" w:type="dxa"/>
            </w:tcMar>
          </w:tcPr>
          <w:p>
            <w:pPr>
              <w:pStyle w:val="style4097"/>
              <w:widowControl w:val="false"/>
              <w:pBdr>
                <w:left w:val="nil"/>
                <w:right w:val="nil"/>
                <w:top w:val="nil"/>
                <w:bottom w:val="nil"/>
                <w:between w:val="nil"/>
              </w:pBdr>
              <w:spacing w:lineRule="auto" w:line="360"/>
              <w:jc w:val="both"/>
              <w:rPr>
                <w:rFonts w:ascii="Times New Roman" w:cs="Times New Roman" w:eastAsia="Times New Roman" w:hAnsi="Times New Roman"/>
                <w:b/>
                <w:sz w:val="24"/>
                <w:szCs w:val="24"/>
                <w:lang w:val="en-GB"/>
              </w:rPr>
            </w:pPr>
            <w:r>
              <w:rPr>
                <w:rFonts w:ascii="Times New Roman" w:cs="Times New Roman" w:eastAsia="Times New Roman" w:hAnsi="Times New Roman"/>
                <w:b/>
                <w:sz w:val="24"/>
                <w:szCs w:val="24"/>
                <w:lang w:val="en-GB"/>
              </w:rPr>
              <w:t>Sociological factor</w:t>
            </w:r>
          </w:p>
        </w:tc>
        <w:tc>
          <w:tcPr>
            <w:tcW w:w="5010" w:type="dxa"/>
            <w:tcBorders/>
            <w:shd w:val="clear" w:color="auto" w:fill="auto"/>
            <w:tcMar>
              <w:top w:w="100" w:type="dxa"/>
              <w:left w:w="100" w:type="dxa"/>
              <w:bottom w:w="100" w:type="dxa"/>
              <w:right w:w="100" w:type="dxa"/>
            </w:tcMar>
          </w:tcPr>
          <w:p>
            <w:pPr>
              <w:pStyle w:val="style4097"/>
              <w:widowControl w:val="false"/>
              <w:numPr>
                <w:ilvl w:val="0"/>
                <w:numId w:val="4"/>
              </w:numPr>
              <w:pBdr>
                <w:left w:val="nil"/>
                <w:right w:val="nil"/>
                <w:top w:val="nil"/>
                <w:bottom w:val="nil"/>
                <w:between w:val="nil"/>
              </w:pBdr>
              <w:spacing w:lineRule="auto" w:line="360"/>
              <w:jc w:val="both"/>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A huge population of the UK around 68941486 creates better market demands (worldometers.info, 2023).</w:t>
            </w:r>
          </w:p>
          <w:p>
            <w:pPr>
              <w:pStyle w:val="style4097"/>
              <w:widowControl w:val="false"/>
              <w:numPr>
                <w:ilvl w:val="0"/>
                <w:numId w:val="4"/>
              </w:numPr>
              <w:pBdr>
                <w:left w:val="nil"/>
                <w:right w:val="nil"/>
                <w:top w:val="nil"/>
                <w:bottom w:val="nil"/>
                <w:between w:val="nil"/>
              </w:pBdr>
              <w:spacing w:lineRule="auto" w:line="360"/>
              <w:jc w:val="both"/>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The urban population of this country is 82.3% of the total population.</w:t>
            </w:r>
            <w:r>
              <w:rPr>
                <w:rFonts w:ascii="Times New Roman" w:cs="Times New Roman" w:eastAsia="Times New Roman" w:hAnsi="Times New Roman"/>
                <w:sz w:val="24"/>
                <w:szCs w:val="24"/>
                <w:lang w:val="en-GB"/>
              </w:rPr>
              <w:t xml:space="preserve"> </w:t>
            </w:r>
          </w:p>
        </w:tc>
        <w:tc>
          <w:tcPr>
            <w:tcW w:w="1590" w:type="dxa"/>
            <w:tcBorders/>
            <w:shd w:val="clear" w:color="auto" w:fill="auto"/>
            <w:tcMar>
              <w:top w:w="100" w:type="dxa"/>
              <w:left w:w="100" w:type="dxa"/>
              <w:bottom w:w="100" w:type="dxa"/>
              <w:right w:w="100" w:type="dxa"/>
            </w:tcMar>
          </w:tcPr>
          <w:p>
            <w:pPr>
              <w:pStyle w:val="style4097"/>
              <w:widowControl w:val="false"/>
              <w:spacing w:lineRule="auto" w:line="360"/>
              <w:jc w:val="both"/>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Positive</w:t>
            </w:r>
          </w:p>
        </w:tc>
      </w:tr>
      <w:tr>
        <w:tblPrEx/>
        <w:trPr>
          <w:cantSplit/>
          <w:tblHeader/>
        </w:trPr>
        <w:tc>
          <w:tcPr>
            <w:tcW w:w="2400" w:type="dxa"/>
            <w:tcBorders/>
            <w:shd w:val="clear" w:color="auto" w:fill="auto"/>
            <w:tcMar>
              <w:top w:w="100" w:type="dxa"/>
              <w:left w:w="100" w:type="dxa"/>
              <w:bottom w:w="100" w:type="dxa"/>
              <w:right w:w="100" w:type="dxa"/>
            </w:tcMar>
          </w:tcPr>
          <w:p>
            <w:pPr>
              <w:pStyle w:val="style4097"/>
              <w:widowControl w:val="false"/>
              <w:pBdr>
                <w:left w:val="nil"/>
                <w:right w:val="nil"/>
                <w:top w:val="nil"/>
                <w:bottom w:val="nil"/>
                <w:between w:val="nil"/>
              </w:pBdr>
              <w:spacing w:lineRule="auto" w:line="360"/>
              <w:jc w:val="both"/>
              <w:rPr>
                <w:rFonts w:ascii="Times New Roman" w:cs="Times New Roman" w:eastAsia="Times New Roman" w:hAnsi="Times New Roman"/>
                <w:b/>
                <w:sz w:val="24"/>
                <w:szCs w:val="24"/>
                <w:lang w:val="en-GB"/>
              </w:rPr>
            </w:pPr>
            <w:r>
              <w:rPr>
                <w:rFonts w:ascii="Times New Roman" w:cs="Times New Roman" w:eastAsia="Times New Roman" w:hAnsi="Times New Roman"/>
                <w:b/>
                <w:sz w:val="24"/>
                <w:szCs w:val="24"/>
                <w:lang w:val="en-GB"/>
              </w:rPr>
              <w:t>Technological factor</w:t>
            </w:r>
          </w:p>
        </w:tc>
        <w:tc>
          <w:tcPr>
            <w:tcW w:w="5010" w:type="dxa"/>
            <w:tcBorders/>
            <w:shd w:val="clear" w:color="auto" w:fill="auto"/>
            <w:tcMar>
              <w:top w:w="100" w:type="dxa"/>
              <w:left w:w="100" w:type="dxa"/>
              <w:bottom w:w="100" w:type="dxa"/>
              <w:right w:w="100" w:type="dxa"/>
            </w:tcMar>
          </w:tcPr>
          <w:p>
            <w:pPr>
              <w:pStyle w:val="style4097"/>
              <w:widowControl w:val="false"/>
              <w:numPr>
                <w:ilvl w:val="0"/>
                <w:numId w:val="2"/>
              </w:numPr>
              <w:pBdr>
                <w:left w:val="nil"/>
                <w:right w:val="nil"/>
                <w:top w:val="nil"/>
                <w:bottom w:val="nil"/>
                <w:between w:val="nil"/>
              </w:pBdr>
              <w:spacing w:lineRule="auto" w:line="360"/>
              <w:jc w:val="both"/>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Based on the “global innovation index (GII)” the technological rank of this country was 4th in 2020 (wipo.int, 2020).</w:t>
            </w:r>
          </w:p>
          <w:p>
            <w:pPr>
              <w:pStyle w:val="style4097"/>
              <w:widowControl w:val="false"/>
              <w:numPr>
                <w:ilvl w:val="0"/>
                <w:numId w:val="2"/>
              </w:numPr>
              <w:pBdr>
                <w:left w:val="nil"/>
                <w:right w:val="nil"/>
                <w:top w:val="nil"/>
                <w:bottom w:val="nil"/>
                <w:between w:val="nil"/>
              </w:pBdr>
              <w:spacing w:lineRule="auto" w:line="360"/>
              <w:jc w:val="both"/>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 xml:space="preserve">The UK people prefer technological pharmaceutical services. </w:t>
            </w:r>
          </w:p>
          <w:p>
            <w:pPr>
              <w:pStyle w:val="style4097"/>
              <w:widowControl w:val="false"/>
              <w:numPr>
                <w:ilvl w:val="0"/>
                <w:numId w:val="2"/>
              </w:numPr>
              <w:pBdr>
                <w:left w:val="nil"/>
                <w:right w:val="nil"/>
                <w:top w:val="nil"/>
                <w:bottom w:val="nil"/>
                <w:between w:val="nil"/>
              </w:pBdr>
              <w:spacing w:lineRule="auto" w:line="360"/>
              <w:jc w:val="both"/>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The government provides financial support for developing technological infrastructure.</w:t>
            </w:r>
          </w:p>
        </w:tc>
        <w:tc>
          <w:tcPr>
            <w:tcW w:w="1590" w:type="dxa"/>
            <w:tcBorders/>
            <w:shd w:val="clear" w:color="auto" w:fill="auto"/>
            <w:tcMar>
              <w:top w:w="100" w:type="dxa"/>
              <w:left w:w="100" w:type="dxa"/>
              <w:bottom w:w="100" w:type="dxa"/>
              <w:right w:w="100" w:type="dxa"/>
            </w:tcMar>
          </w:tcPr>
          <w:p>
            <w:pPr>
              <w:pStyle w:val="style4097"/>
              <w:widowControl w:val="false"/>
              <w:spacing w:lineRule="auto" w:line="360"/>
              <w:jc w:val="both"/>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Positive</w:t>
            </w:r>
          </w:p>
        </w:tc>
      </w:tr>
      <w:tr>
        <w:tblPrEx/>
        <w:trPr>
          <w:cantSplit/>
          <w:tblHeader/>
        </w:trPr>
        <w:tc>
          <w:tcPr>
            <w:tcW w:w="2400" w:type="dxa"/>
            <w:tcBorders/>
            <w:shd w:val="clear" w:color="auto" w:fill="auto"/>
            <w:tcMar>
              <w:top w:w="100" w:type="dxa"/>
              <w:left w:w="100" w:type="dxa"/>
              <w:bottom w:w="100" w:type="dxa"/>
              <w:right w:w="100" w:type="dxa"/>
            </w:tcMar>
          </w:tcPr>
          <w:p>
            <w:pPr>
              <w:pStyle w:val="style4097"/>
              <w:widowControl w:val="false"/>
              <w:pBdr>
                <w:left w:val="nil"/>
                <w:right w:val="nil"/>
                <w:top w:val="nil"/>
                <w:bottom w:val="nil"/>
                <w:between w:val="nil"/>
              </w:pBdr>
              <w:spacing w:lineRule="auto" w:line="360"/>
              <w:jc w:val="both"/>
              <w:rPr>
                <w:rFonts w:ascii="Times New Roman" w:cs="Times New Roman" w:eastAsia="Times New Roman" w:hAnsi="Times New Roman"/>
                <w:b/>
                <w:sz w:val="24"/>
                <w:szCs w:val="24"/>
                <w:lang w:val="en-GB"/>
              </w:rPr>
            </w:pPr>
            <w:r>
              <w:rPr>
                <w:rFonts w:ascii="Times New Roman" w:cs="Times New Roman" w:eastAsia="Times New Roman" w:hAnsi="Times New Roman"/>
                <w:b/>
                <w:sz w:val="24"/>
                <w:szCs w:val="24"/>
                <w:lang w:val="en-GB"/>
              </w:rPr>
              <w:t>Legal factor</w:t>
            </w:r>
          </w:p>
        </w:tc>
        <w:tc>
          <w:tcPr>
            <w:tcW w:w="5010" w:type="dxa"/>
            <w:tcBorders/>
            <w:shd w:val="clear" w:color="auto" w:fill="auto"/>
            <w:tcMar>
              <w:top w:w="100" w:type="dxa"/>
              <w:left w:w="100" w:type="dxa"/>
              <w:bottom w:w="100" w:type="dxa"/>
              <w:right w:w="100" w:type="dxa"/>
            </w:tcMar>
          </w:tcPr>
          <w:p>
            <w:pPr>
              <w:pStyle w:val="style4097"/>
              <w:widowControl w:val="false"/>
              <w:numPr>
                <w:ilvl w:val="0"/>
                <w:numId w:val="3"/>
              </w:numPr>
              <w:pBdr>
                <w:left w:val="nil"/>
                <w:right w:val="nil"/>
                <w:top w:val="nil"/>
                <w:bottom w:val="nil"/>
                <w:between w:val="nil"/>
              </w:pBdr>
              <w:spacing w:lineRule="auto" w:line="360"/>
              <w:jc w:val="both"/>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 xml:space="preserve">The “Data Protection Act 2018” helps to protect organisational data to manage the entire business operation (legislation.gov.uk, 2022). </w:t>
            </w:r>
          </w:p>
          <w:p>
            <w:pPr>
              <w:pStyle w:val="style4097"/>
              <w:widowControl w:val="false"/>
              <w:numPr>
                <w:ilvl w:val="0"/>
                <w:numId w:val="3"/>
              </w:numPr>
              <w:pBdr>
                <w:left w:val="nil"/>
                <w:right w:val="nil"/>
                <w:top w:val="nil"/>
                <w:bottom w:val="nil"/>
                <w:between w:val="nil"/>
              </w:pBdr>
              <w:spacing w:lineRule="auto" w:line="360"/>
              <w:jc w:val="both"/>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The “Employment Act 2008” provides guidelines and proper governance to management employees, maintaining equality and diversity (bills.parliament.uk, 2023).</w:t>
            </w:r>
          </w:p>
        </w:tc>
        <w:tc>
          <w:tcPr>
            <w:tcW w:w="1590" w:type="dxa"/>
            <w:tcBorders/>
            <w:shd w:val="clear" w:color="auto" w:fill="auto"/>
            <w:tcMar>
              <w:top w:w="100" w:type="dxa"/>
              <w:left w:w="100" w:type="dxa"/>
              <w:bottom w:w="100" w:type="dxa"/>
              <w:right w:w="100" w:type="dxa"/>
            </w:tcMar>
          </w:tcPr>
          <w:p>
            <w:pPr>
              <w:pStyle w:val="style4097"/>
              <w:widowControl w:val="false"/>
              <w:spacing w:lineRule="auto" w:line="360"/>
              <w:jc w:val="both"/>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Positive</w:t>
            </w:r>
          </w:p>
        </w:tc>
      </w:tr>
      <w:tr>
        <w:tblPrEx/>
        <w:trPr>
          <w:cantSplit/>
          <w:tblHeader/>
        </w:trPr>
        <w:tc>
          <w:tcPr>
            <w:tcW w:w="2400" w:type="dxa"/>
            <w:tcBorders/>
            <w:shd w:val="clear" w:color="auto" w:fill="auto"/>
            <w:tcMar>
              <w:top w:w="100" w:type="dxa"/>
              <w:left w:w="100" w:type="dxa"/>
              <w:bottom w:w="100" w:type="dxa"/>
              <w:right w:w="100" w:type="dxa"/>
            </w:tcMar>
          </w:tcPr>
          <w:p>
            <w:pPr>
              <w:pStyle w:val="style4097"/>
              <w:widowControl w:val="false"/>
              <w:pBdr>
                <w:left w:val="nil"/>
                <w:right w:val="nil"/>
                <w:top w:val="nil"/>
                <w:bottom w:val="nil"/>
                <w:between w:val="nil"/>
              </w:pBdr>
              <w:spacing w:lineRule="auto" w:line="360"/>
              <w:jc w:val="both"/>
              <w:rPr>
                <w:rFonts w:ascii="Times New Roman" w:cs="Times New Roman" w:eastAsia="Times New Roman" w:hAnsi="Times New Roman"/>
                <w:b/>
                <w:sz w:val="24"/>
                <w:szCs w:val="24"/>
                <w:lang w:val="en-GB"/>
              </w:rPr>
            </w:pPr>
            <w:r>
              <w:rPr>
                <w:rFonts w:ascii="Times New Roman" w:cs="Times New Roman" w:eastAsia="Times New Roman" w:hAnsi="Times New Roman"/>
                <w:b/>
                <w:sz w:val="24"/>
                <w:szCs w:val="24"/>
                <w:lang w:val="en-GB"/>
              </w:rPr>
              <w:t>Environmental factor</w:t>
            </w:r>
          </w:p>
        </w:tc>
        <w:tc>
          <w:tcPr>
            <w:tcW w:w="5010" w:type="dxa"/>
            <w:tcBorders/>
            <w:shd w:val="clear" w:color="auto" w:fill="auto"/>
            <w:tcMar>
              <w:top w:w="100" w:type="dxa"/>
              <w:left w:w="100" w:type="dxa"/>
              <w:bottom w:w="100" w:type="dxa"/>
              <w:right w:w="100" w:type="dxa"/>
            </w:tcMar>
          </w:tcPr>
          <w:p>
            <w:pPr>
              <w:pStyle w:val="style4097"/>
              <w:widowControl w:val="false"/>
              <w:numPr>
                <w:ilvl w:val="0"/>
                <w:numId w:val="5"/>
              </w:numPr>
              <w:spacing w:lineRule="auto" w:line="360"/>
              <w:jc w:val="both"/>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Business organisations need to follow the “Environmental Protection Act 2022” to protect the environment from harmful business impacts (legislation.gov.uk, 2022).</w:t>
            </w:r>
          </w:p>
          <w:p>
            <w:pPr>
              <w:pStyle w:val="style4097"/>
              <w:widowControl w:val="false"/>
              <w:numPr>
                <w:ilvl w:val="0"/>
                <w:numId w:val="5"/>
              </w:numPr>
              <w:pBdr>
                <w:left w:val="nil"/>
                <w:right w:val="nil"/>
                <w:top w:val="nil"/>
                <w:bottom w:val="nil"/>
                <w:between w:val="nil"/>
              </w:pBdr>
              <w:spacing w:lineRule="auto" w:line="360"/>
              <w:jc w:val="both"/>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Strict Government regulation impacts business operations majorly.</w:t>
            </w:r>
          </w:p>
        </w:tc>
        <w:tc>
          <w:tcPr>
            <w:tcW w:w="1590" w:type="dxa"/>
            <w:tcBorders/>
            <w:shd w:val="clear" w:color="auto" w:fill="auto"/>
            <w:tcMar>
              <w:top w:w="100" w:type="dxa"/>
              <w:left w:w="100" w:type="dxa"/>
              <w:bottom w:w="100" w:type="dxa"/>
              <w:right w:w="100" w:type="dxa"/>
            </w:tcMar>
          </w:tcPr>
          <w:p>
            <w:pPr>
              <w:pStyle w:val="style4097"/>
              <w:widowControl w:val="false"/>
              <w:spacing w:lineRule="auto" w:line="360"/>
              <w:jc w:val="both"/>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Positive</w:t>
            </w:r>
          </w:p>
        </w:tc>
      </w:tr>
    </w:tbl>
    <w:p>
      <w:pPr>
        <w:pStyle w:val="style4097"/>
        <w:spacing w:lineRule="auto" w:line="360"/>
        <w:jc w:val="center"/>
        <w:rPr>
          <w:rFonts w:ascii="Times New Roman" w:cs="Times New Roman" w:eastAsia="Times New Roman" w:hAnsi="Times New Roman"/>
          <w:b/>
          <w:sz w:val="24"/>
          <w:szCs w:val="24"/>
          <w:lang w:val="en-GB"/>
        </w:rPr>
      </w:pPr>
      <w:r>
        <w:rPr>
          <w:rFonts w:ascii="Times New Roman" w:cs="Times New Roman" w:eastAsia="Times New Roman" w:hAnsi="Times New Roman"/>
          <w:b/>
          <w:sz w:val="24"/>
          <w:szCs w:val="24"/>
          <w:lang w:val="en-GB"/>
        </w:rPr>
        <w:t>Table 1: PESTLE Analysis</w:t>
      </w:r>
    </w:p>
    <w:p>
      <w:pPr>
        <w:pStyle w:val="style4097"/>
        <w:spacing w:lineRule="auto" w:line="360"/>
        <w:jc w:val="both"/>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 xml:space="preserve">The management of GSK faced challenges regarding their growth in the UK in comparison to other competitors. Based on the PESTLE analysis, the political stability of the UK is 0.54 and political violence is less (theglobaleconomy.com, 2021). The UK’s political atmosphere is suitable for GSK to implement strategic decisions and manage internal politics effectively. It is an important strategic tool through which the management of GSK can develop their business strategies by measuring all external factors. A stable government in this country is also beneficial for this company to get support in developing business policy. Management needs to develop their business policies by considering all the political factors in the UK market. As argued by Etale </w:t>
      </w:r>
      <w:r>
        <w:rPr>
          <w:rFonts w:ascii="Times New Roman" w:cs="Times New Roman" w:eastAsia="Times New Roman" w:hAnsi="Times New Roman"/>
          <w:i/>
          <w:sz w:val="24"/>
          <w:szCs w:val="24"/>
          <w:lang w:val="en-GB"/>
        </w:rPr>
        <w:t xml:space="preserve">et al. </w:t>
      </w:r>
      <w:r>
        <w:rPr>
          <w:rFonts w:ascii="Times New Roman" w:cs="Times New Roman" w:eastAsia="Times New Roman" w:hAnsi="Times New Roman"/>
          <w:sz w:val="24"/>
          <w:szCs w:val="24"/>
          <w:lang w:val="en-GB"/>
        </w:rPr>
        <w:t xml:space="preserve">(2020, p.42), GSK needs to implement different social policies to improve its brand image and contribute to society. Analysing the political factors can be beneficial for this company to manage their internal political conflicts for recovering the business growth positively. </w:t>
      </w:r>
    </w:p>
    <w:p>
      <w:pPr>
        <w:pStyle w:val="style4097"/>
        <w:spacing w:lineRule="auto" w:line="360"/>
        <w:jc w:val="both"/>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 xml:space="preserve">The UK’s economic growth majorly impacts the financial position, cash flow and revenue growth of GSK. The tax burden of this country is high in comparison to other developing countries. The tax burden is 65.4% which can negatively impact the financial stability of this pharmaceutical brand (tradingeconomics.com, 2023). Management already faced issues due to slow strategic growth and this higher tax rate can also decrease the competitive advantages. The GDP growth of this country is also slow (0.2% in the first quarter) majorly impacts the pharmaceutical industry in maintaining different vaccination campaigns. The group turnover of GSK in 2022 is £29.3bn which is decreased in comparison to the last financial year (gsk.com, 2022). The lack of financial strategies and poor economic growth of the UK is the main reason for decreasing the turnover of this company. It is important to measure the economic growth of the UK to take appropriate business decisions (Carrascal-Incera </w:t>
      </w:r>
      <w:r>
        <w:rPr>
          <w:rFonts w:ascii="Times New Roman" w:cs="Times New Roman" w:eastAsia="Times New Roman" w:hAnsi="Times New Roman"/>
          <w:i/>
          <w:sz w:val="24"/>
          <w:szCs w:val="24"/>
          <w:lang w:val="en-GB"/>
        </w:rPr>
        <w:t>et al.</w:t>
      </w:r>
      <w:r>
        <w:rPr>
          <w:rFonts w:ascii="Times New Roman" w:cs="Times New Roman" w:eastAsia="Times New Roman" w:hAnsi="Times New Roman"/>
          <w:sz w:val="24"/>
          <w:szCs w:val="24"/>
          <w:lang w:val="en-GB"/>
        </w:rPr>
        <w:t xml:space="preserve"> 2020, p.R6).</w:t>
      </w:r>
      <w:r>
        <w:rPr>
          <w:rFonts w:ascii="Times New Roman" w:cs="Times New Roman" w:eastAsia="Times New Roman" w:hAnsi="Times New Roman"/>
          <w:sz w:val="24"/>
          <w:szCs w:val="24"/>
          <w:lang w:val="en-GB"/>
        </w:rPr>
        <w:t xml:space="preserve"> </w:t>
      </w:r>
      <w:r>
        <w:rPr>
          <w:rFonts w:ascii="Times New Roman" w:cs="Times New Roman" w:eastAsia="Times New Roman" w:hAnsi="Times New Roman"/>
          <w:sz w:val="24"/>
          <w:szCs w:val="24"/>
          <w:lang w:val="en-GB"/>
        </w:rPr>
        <w:t>Therefore, the high tax rate and slow GDP growth of this country can negatively impact the financial operation, and business returns of this company.</w:t>
      </w:r>
      <w:r>
        <w:rPr>
          <w:rFonts w:ascii="Times New Roman" w:cs="Times New Roman" w:eastAsia="Times New Roman" w:hAnsi="Times New Roman"/>
          <w:sz w:val="24"/>
          <w:szCs w:val="24"/>
          <w:lang w:val="en-GB"/>
        </w:rPr>
        <w:t xml:space="preserve"> </w:t>
      </w:r>
    </w:p>
    <w:p>
      <w:pPr>
        <w:pStyle w:val="style4097"/>
        <w:spacing w:lineRule="auto" w:line="360"/>
        <w:jc w:val="both"/>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 xml:space="preserve">Marketers need to address the socio-cultural factors of the UK to focus on the company’s strategic growth issues effectively. The population of this country is 68941486 which can create huge demand for vaccines and medicines for GSK. A larger population can help marketers to target specific customers and increase business revenue. According to the annual report, GSK delivers around 767 million vaccines and 3.7 billion products of consumer health globally (gsk.com, 2021). It indicates that focusing on more consumers will be beneficial for this company to increase their market share in the domestic market. People of this country also prefer good quality vaccines, medicines and other health products that can give better opportunities for GST to minimise their challenges regarding strategic growth. GSK </w:t>
      </w:r>
      <w:r>
        <w:rPr>
          <w:rFonts w:ascii="Times New Roman" w:cs="Times New Roman" w:eastAsia="Times New Roman" w:hAnsi="Times New Roman"/>
          <w:sz w:val="24"/>
          <w:szCs w:val="24"/>
          <w:lang w:val="en-GB"/>
        </w:rPr>
        <w:t>generated around 11.3 billion British pounds by selling speciality medicines (Matej, 2023). GSK facing challenges due to low market growth in the current situation and socio-cultural factors impacts the business operation significantly. GSK generated around 29.3 billion British pounds in 2022 which was 34.1 billion British pounds in 2021 (Matej, 2021). It indicates that the revenue growth of this leading pharmaceutical brand is decreasing gradually. Management needs to focus on the specific target market to improve their growth and get better competitive benefits.</w:t>
      </w:r>
    </w:p>
    <w:p>
      <w:pPr>
        <w:pStyle w:val="style4097"/>
        <w:spacing w:lineRule="auto" w:line="360"/>
        <w:jc w:val="both"/>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The technological rank of this country was 4th which can give motivation for this organisation to implement advanced technology in manufacturing and marketing units. Prioritising a continuous innovation process in vaccination is the main purpose of GSK (us.gsk.com, 2023). Government support and a good technological environment can support the R&amp;D department of this company to fulfil its strategic goals. GSK implemented advance technology like AI and ML to improve their business operations (gsk.com, 2023). The company can raise funds from the UK government to improve its innovation process for competing with other competitors in the pharmaceutical company. As argued by (Kitsios and Kamariotou, 2021, p.2025), technological transformation indicates that AI advancements improve the operational speed and decision-making approach. Henceforth, the technological growth of the UK can give potential advantages for GSK to maintain technological advancement. The UK government is aiming to invest around £3.5 billion in technology and science (gov.uk, 2023). Technological transformation is also necessary to recover the issues regarding the strategic growth of GSK in the UK.</w:t>
      </w:r>
    </w:p>
    <w:p>
      <w:pPr>
        <w:pStyle w:val="style4097"/>
        <w:spacing w:lineRule="auto" w:line="360"/>
        <w:jc w:val="both"/>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The UK government has strong rules and legislation for governing all business activities in this country. The “Employment Act 2008” needs to be followed by the HRM management of GSK to operate their business in this domestic market. The employment act can impact the business policies and procedures of GSK. Through this Act, GSK can manage their employees by giving them proper rights and maintaining equality and workplace diversity. It is also important to maintain patient data, and vaccination-related information for a pharmaceutical company. The management of GSK can obey the “Data Protection Act 2018” to protect all crucial data regarding vaccinations and consumers for managing the entire business operation significantly (legislation.gov.uk, 2022).</w:t>
      </w:r>
      <w:r>
        <w:rPr>
          <w:rFonts w:ascii="Times New Roman" w:cs="Times New Roman" w:eastAsia="Times New Roman" w:hAnsi="Times New Roman"/>
          <w:sz w:val="24"/>
          <w:szCs w:val="24"/>
          <w:lang w:val="en-GB"/>
        </w:rPr>
        <w:t xml:space="preserve"> </w:t>
      </w:r>
      <w:r>
        <w:rPr>
          <w:rFonts w:ascii="Times New Roman" w:cs="Times New Roman" w:eastAsia="Times New Roman" w:hAnsi="Times New Roman"/>
          <w:sz w:val="24"/>
          <w:szCs w:val="24"/>
          <w:lang w:val="en-GB"/>
        </w:rPr>
        <w:t xml:space="preserve">GSK needs to reduce the harmful impacts on the environment by maintaining the "Environmental Protection Act 2022”. As argued by Shanmuganathan (2019, p.43), the new sustainable business strategies of GSK impact the entire value chain from product manufacturing to disposal products. The </w:t>
      </w:r>
      <w:r>
        <w:rPr>
          <w:rFonts w:ascii="Times New Roman" w:cs="Times New Roman" w:eastAsia="Times New Roman" w:hAnsi="Times New Roman"/>
          <w:sz w:val="24"/>
          <w:szCs w:val="24"/>
          <w:lang w:val="en-GB"/>
        </w:rPr>
        <w:t>environmental factors need to be measured by the management for developing sustainable strategies and protecting from carbon footprint, and organisational waste.</w:t>
      </w:r>
      <w:r>
        <w:rPr>
          <w:rFonts w:ascii="Times New Roman" w:cs="Times New Roman" w:eastAsia="Times New Roman" w:hAnsi="Times New Roman"/>
          <w:sz w:val="24"/>
          <w:szCs w:val="24"/>
          <w:lang w:val="en-GB"/>
        </w:rPr>
        <w:t xml:space="preserve"> </w:t>
      </w:r>
    </w:p>
    <w:bookmarkStart w:id="10" w:name="_Toc140916761"/>
    <w:p>
      <w:pPr>
        <w:pStyle w:val="style2"/>
        <w:rPr>
          <w:b w:val="false"/>
          <w:lang w:val="en-GB"/>
        </w:rPr>
      </w:pPr>
      <w:r>
        <w:rPr>
          <w:lang w:val="en-GB"/>
        </w:rPr>
        <w:t>3.2 Internal analysis</w:t>
      </w:r>
      <w:bookmarkEnd w:id="10"/>
      <w:r>
        <w:rPr>
          <w:lang w:val="en-GB"/>
        </w:rPr>
        <w:t xml:space="preserve"> </w:t>
      </w:r>
    </w:p>
    <w:p>
      <w:pPr>
        <w:pStyle w:val="style4097"/>
        <w:spacing w:lineRule="auto" w:line="360"/>
        <w:jc w:val="both"/>
        <w:rPr>
          <w:rFonts w:ascii="Times New Roman" w:cs="Times New Roman" w:eastAsia="Times New Roman" w:hAnsi="Times New Roman"/>
          <w:b/>
          <w:sz w:val="24"/>
          <w:szCs w:val="24"/>
          <w:lang w:val="en-GB"/>
        </w:rPr>
      </w:pPr>
      <w:r>
        <w:rPr>
          <w:rFonts w:ascii="Times New Roman" w:cs="Times New Roman" w:eastAsia="Times New Roman" w:hAnsi="Times New Roman"/>
          <w:b/>
          <w:sz w:val="24"/>
          <w:szCs w:val="24"/>
          <w:lang w:val="en-GB"/>
        </w:rPr>
        <w:t>Bowman's Strategy Clock</w:t>
      </w:r>
    </w:p>
    <w:p>
      <w:pPr>
        <w:pStyle w:val="style4097"/>
        <w:spacing w:lineRule="auto" w:line="360"/>
        <w:jc w:val="both"/>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The “Bowman's Strategy Clock” is an important strategic tool for GSK for understanding the specific market and focusing on differentiation strategies to get good competitive advantages. As per the views of Almutairi (2023), Bowman's strategic clock helps business organisations to analyse markets based on competitors. GSK is facing issues regarding its low market growth in the domestic and global markets as well and failed to share the growth story with the investor (Hannah, 2023). Therefore, it is important to analyse the market for understanding competitors’ activities to make better business strategies. All the factors of Bowman’s strategic tools are discussed below;</w:t>
      </w:r>
      <w:r>
        <w:rPr>
          <w:rFonts w:ascii="Times New Roman" w:cs="Times New Roman" w:eastAsia="Times New Roman" w:hAnsi="Times New Roman"/>
          <w:sz w:val="24"/>
          <w:szCs w:val="24"/>
          <w:lang w:val="en-GB"/>
        </w:rPr>
        <w:t xml:space="preserve"> </w:t>
      </w:r>
    </w:p>
    <w:p>
      <w:pPr>
        <w:pStyle w:val="style4097"/>
        <w:spacing w:lineRule="auto" w:line="360"/>
        <w:jc w:val="center"/>
        <w:rPr>
          <w:rFonts w:ascii="Times New Roman" w:cs="Times New Roman" w:eastAsia="Times New Roman" w:hAnsi="Times New Roman"/>
          <w:sz w:val="24"/>
          <w:szCs w:val="24"/>
          <w:lang w:val="en-GB"/>
        </w:rPr>
      </w:pPr>
      <w:r>
        <w:rPr>
          <w:rFonts w:ascii="Times New Roman" w:cs="Times New Roman" w:eastAsia="Times New Roman" w:hAnsi="Times New Roman"/>
          <w:noProof/>
          <w:sz w:val="24"/>
          <w:szCs w:val="24"/>
        </w:rPr>
        <w:drawing>
          <wp:inline distL="0" distT="0" distB="0" distR="0">
            <wp:extent cx="5486400" cy="3200400"/>
            <wp:effectExtent l="19050" t="0" r="19050" b="0"/>
            <wp:docPr id="1031" name="Diagram 4"/>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pPr>
        <w:pStyle w:val="style4097"/>
        <w:spacing w:lineRule="auto" w:line="360"/>
        <w:jc w:val="center"/>
        <w:rPr>
          <w:rFonts w:ascii="Times New Roman" w:cs="Times New Roman" w:eastAsia="Times New Roman" w:hAnsi="Times New Roman"/>
          <w:b/>
          <w:sz w:val="24"/>
          <w:szCs w:val="24"/>
          <w:lang w:val="en-GB"/>
        </w:rPr>
      </w:pPr>
      <w:r>
        <w:rPr>
          <w:rFonts w:ascii="Times New Roman" w:cs="Times New Roman" w:eastAsia="Times New Roman" w:hAnsi="Times New Roman"/>
          <w:b/>
          <w:sz w:val="24"/>
          <w:szCs w:val="24"/>
          <w:lang w:val="en-GB"/>
        </w:rPr>
        <w:t>Figure 6</w:t>
      </w:r>
      <w:r>
        <w:rPr>
          <w:rFonts w:ascii="Times New Roman" w:cs="Times New Roman" w:eastAsia="Times New Roman" w:hAnsi="Times New Roman"/>
          <w:b/>
          <w:sz w:val="24"/>
          <w:szCs w:val="24"/>
          <w:lang w:val="en-GB"/>
        </w:rPr>
        <w:t>: Factors of Bowman’s Strategic Clock</w:t>
      </w:r>
    </w:p>
    <w:p>
      <w:pPr>
        <w:pStyle w:val="style4097"/>
        <w:spacing w:lineRule="auto" w:line="360"/>
        <w:jc w:val="center"/>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(Source: Influenced by Weston and Nnadi 2021, p.16)</w:t>
      </w:r>
    </w:p>
    <w:p>
      <w:pPr>
        <w:pStyle w:val="style4097"/>
        <w:spacing w:lineRule="auto" w:line="360"/>
        <w:jc w:val="both"/>
        <w:rPr>
          <w:rFonts w:ascii="Times New Roman" w:cs="Times New Roman" w:eastAsia="Times New Roman" w:hAnsi="Times New Roman"/>
          <w:b/>
          <w:i/>
          <w:sz w:val="24"/>
          <w:szCs w:val="24"/>
          <w:lang w:val="en-GB"/>
        </w:rPr>
      </w:pPr>
      <w:r>
        <w:rPr>
          <w:rFonts w:ascii="Times New Roman" w:cs="Times New Roman" w:eastAsia="Times New Roman" w:hAnsi="Times New Roman"/>
          <w:b/>
          <w:i/>
          <w:sz w:val="24"/>
          <w:szCs w:val="24"/>
          <w:lang w:val="en-GB"/>
        </w:rPr>
        <w:t>“Low Price &amp; Low Value Added”</w:t>
      </w:r>
    </w:p>
    <w:p>
      <w:pPr>
        <w:pStyle w:val="style4097"/>
        <w:spacing w:lineRule="auto" w:line="360"/>
        <w:jc w:val="both"/>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 xml:space="preserve">Selling products and services at the lowest price point is important to compete with other competitors in the pharmaceutical industry. The management of GSK can use this strategy to offer good quality vaccines and medicines at the lowest price point. There are many competitors of GSK including AstraZeneca, and Pfizer that create competitors' threats for this company (craft.co, 2023). Therefore developing the pricing strategies will be important for </w:t>
      </w:r>
      <w:r>
        <w:rPr>
          <w:rFonts w:ascii="Times New Roman" w:cs="Times New Roman" w:eastAsia="Times New Roman" w:hAnsi="Times New Roman"/>
          <w:sz w:val="24"/>
          <w:szCs w:val="24"/>
          <w:lang w:val="en-GB"/>
        </w:rPr>
        <w:t xml:space="preserve">GSK to recover their less market growth. GSK prefers the </w:t>
      </w:r>
      <w:r>
        <w:rPr>
          <w:rFonts w:ascii="Times New Roman" w:cs="Times New Roman" w:eastAsia="Times New Roman" w:hAnsi="Times New Roman"/>
          <w:b/>
          <w:i/>
          <w:sz w:val="24"/>
          <w:szCs w:val="24"/>
          <w:lang w:val="en-GB"/>
        </w:rPr>
        <w:t>value-based pricing strategy</w:t>
      </w:r>
      <w:r>
        <w:rPr>
          <w:rFonts w:ascii="Times New Roman" w:cs="Times New Roman" w:eastAsia="Times New Roman" w:hAnsi="Times New Roman"/>
          <w:sz w:val="24"/>
          <w:szCs w:val="24"/>
          <w:lang w:val="en-GB"/>
        </w:rPr>
        <w:t xml:space="preserve"> to offer healthcare products for customers at an affordable price (gsk.com, 2023). The value-based pricing strategy of GSK offers greater value for customers and gives better business returns.</w:t>
      </w:r>
      <w:r>
        <w:rPr>
          <w:rFonts w:ascii="Times New Roman" w:cs="Times New Roman" w:eastAsia="Times New Roman" w:hAnsi="Times New Roman"/>
          <w:sz w:val="24"/>
          <w:szCs w:val="24"/>
          <w:lang w:val="en-GB"/>
        </w:rPr>
        <w:t xml:space="preserve"> </w:t>
      </w:r>
    </w:p>
    <w:p>
      <w:pPr>
        <w:pStyle w:val="style4097"/>
        <w:spacing w:lineRule="auto" w:line="360"/>
        <w:jc w:val="both"/>
        <w:rPr>
          <w:rFonts w:ascii="Times New Roman" w:cs="Times New Roman" w:eastAsia="Times New Roman" w:hAnsi="Times New Roman"/>
          <w:b/>
          <w:i/>
          <w:sz w:val="24"/>
          <w:szCs w:val="24"/>
          <w:lang w:val="en-GB"/>
        </w:rPr>
      </w:pPr>
      <w:r>
        <w:rPr>
          <w:rFonts w:ascii="Times New Roman" w:cs="Times New Roman" w:eastAsia="Times New Roman" w:hAnsi="Times New Roman"/>
          <w:b/>
          <w:i/>
          <w:sz w:val="24"/>
          <w:szCs w:val="24"/>
          <w:lang w:val="en-GB"/>
        </w:rPr>
        <w:t>Low Price</w:t>
      </w:r>
    </w:p>
    <w:p>
      <w:pPr>
        <w:pStyle w:val="style4097"/>
        <w:spacing w:lineRule="auto" w:line="360"/>
        <w:jc w:val="both"/>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The low pricing strategies offer low-cost options for consumers and influence them to select a brand within a market. The competitive force in the UK’s pharmaceutical industry is high therefore adopting a low pricing strategy will be beneficial for this company to achieve long-term benefits. As cited by Weston and Nnadi (2021, p.16), the implementation of Bowman’s strategic model is beneficial to focus on the business sustainability by developing a business reputation. Hence, the management of GSK can use these strategic tools to improve their business reputation by offering consumer healthcare products at the lowest cost. The high-quality level of medicines, health products and vaccines at the lowest cost can increase the sales rate and market growth of GSK.</w:t>
      </w:r>
      <w:r>
        <w:rPr>
          <w:rFonts w:ascii="Times New Roman" w:cs="Times New Roman" w:eastAsia="Times New Roman" w:hAnsi="Times New Roman"/>
          <w:sz w:val="24"/>
          <w:szCs w:val="24"/>
          <w:lang w:val="en-GB"/>
        </w:rPr>
        <w:t xml:space="preserve"> </w:t>
      </w:r>
    </w:p>
    <w:p>
      <w:pPr>
        <w:pStyle w:val="style4097"/>
        <w:spacing w:lineRule="auto" w:line="360"/>
        <w:jc w:val="both"/>
        <w:rPr>
          <w:rFonts w:ascii="Times New Roman" w:cs="Times New Roman" w:eastAsia="Times New Roman" w:hAnsi="Times New Roman"/>
          <w:b/>
          <w:i/>
          <w:sz w:val="24"/>
          <w:szCs w:val="24"/>
          <w:lang w:val="en-GB"/>
        </w:rPr>
      </w:pPr>
      <w:r>
        <w:rPr>
          <w:rFonts w:ascii="Times New Roman" w:cs="Times New Roman" w:eastAsia="Times New Roman" w:hAnsi="Times New Roman"/>
          <w:b/>
          <w:i/>
          <w:sz w:val="24"/>
          <w:szCs w:val="24"/>
          <w:lang w:val="en-GB"/>
        </w:rPr>
        <w:t>Hybrid</w:t>
      </w:r>
    </w:p>
    <w:p>
      <w:pPr>
        <w:pStyle w:val="style4097"/>
        <w:spacing w:lineRule="auto" w:line="360"/>
        <w:jc w:val="both"/>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 xml:space="preserve">The implementation of hybrid strategy is important for GSK to create a balance between operational cost and price. Offering products as well as services at a valuable cost will give competitive advantages for this brand in the UK market. Providing products with higher perceived values at the lowest cost is beneficial as it gives potential benefits to compete with the competitors. As cited by Kasamani </w:t>
      </w:r>
      <w:r>
        <w:rPr>
          <w:rFonts w:ascii="Times New Roman" w:cs="Times New Roman" w:eastAsia="Times New Roman" w:hAnsi="Times New Roman"/>
          <w:i/>
          <w:sz w:val="24"/>
          <w:szCs w:val="24"/>
          <w:lang w:val="en-GB"/>
        </w:rPr>
        <w:t>et al.</w:t>
      </w:r>
      <w:r>
        <w:rPr>
          <w:rFonts w:ascii="Times New Roman" w:cs="Times New Roman" w:eastAsia="Times New Roman" w:hAnsi="Times New Roman"/>
          <w:sz w:val="24"/>
          <w:szCs w:val="24"/>
          <w:lang w:val="en-GB"/>
        </w:rPr>
        <w:t xml:space="preserve"> (2021, p.15), it is crucial to determine the lower pricing strategy for getting completive advantages. </w:t>
      </w:r>
    </w:p>
    <w:p>
      <w:pPr>
        <w:pStyle w:val="style4097"/>
        <w:spacing w:lineRule="auto" w:line="360"/>
        <w:jc w:val="both"/>
        <w:rPr>
          <w:rFonts w:ascii="Times New Roman" w:cs="Times New Roman" w:eastAsia="Times New Roman" w:hAnsi="Times New Roman"/>
          <w:b/>
          <w:i/>
          <w:sz w:val="24"/>
          <w:szCs w:val="24"/>
          <w:lang w:val="en-GB"/>
        </w:rPr>
      </w:pPr>
      <w:r>
        <w:rPr>
          <w:rFonts w:ascii="Times New Roman" w:cs="Times New Roman" w:eastAsia="Times New Roman" w:hAnsi="Times New Roman"/>
          <w:b/>
          <w:i/>
          <w:sz w:val="24"/>
          <w:szCs w:val="24"/>
          <w:lang w:val="en-GB"/>
        </w:rPr>
        <w:t>Differentiation</w:t>
      </w:r>
    </w:p>
    <w:p>
      <w:pPr>
        <w:pStyle w:val="style4097"/>
        <w:spacing w:lineRule="auto" w:line="360"/>
        <w:jc w:val="both"/>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 xml:space="preserve">The strategies of differentiation are important to develop products and differentiate from other competitors as the competitive force is high in the UK’s pharmaceutical market. As cited by Andari </w:t>
      </w:r>
      <w:r>
        <w:rPr>
          <w:rFonts w:ascii="Times New Roman" w:cs="Times New Roman" w:eastAsia="Times New Roman" w:hAnsi="Times New Roman"/>
          <w:i/>
          <w:sz w:val="24"/>
          <w:szCs w:val="24"/>
          <w:lang w:val="en-GB"/>
        </w:rPr>
        <w:t xml:space="preserve">et al. </w:t>
      </w:r>
      <w:r>
        <w:rPr>
          <w:rFonts w:ascii="Times New Roman" w:cs="Times New Roman" w:eastAsia="Times New Roman" w:hAnsi="Times New Roman"/>
          <w:sz w:val="24"/>
          <w:szCs w:val="24"/>
          <w:lang w:val="en-GB"/>
        </w:rPr>
        <w:t>(2022, p.4091), a differentiation strategy indicates the development of unique products different from the market competitors.</w:t>
      </w:r>
      <w:r>
        <w:rPr>
          <w:rFonts w:ascii="Times New Roman" w:cs="Times New Roman" w:eastAsia="Times New Roman" w:hAnsi="Times New Roman"/>
          <w:sz w:val="24"/>
          <w:szCs w:val="24"/>
          <w:lang w:val="en-GB"/>
        </w:rPr>
        <w:t xml:space="preserve"> </w:t>
      </w:r>
      <w:r>
        <w:rPr>
          <w:rFonts w:ascii="Times New Roman" w:cs="Times New Roman" w:eastAsia="Times New Roman" w:hAnsi="Times New Roman"/>
          <w:sz w:val="24"/>
          <w:szCs w:val="24"/>
          <w:lang w:val="en-GB"/>
        </w:rPr>
        <w:t>Sustainable market advantages in a competitive market by focusing on customer demand. The product and service differentiation strategy will be important for GSK to enter in a new market.</w:t>
      </w:r>
      <w:r>
        <w:rPr>
          <w:rFonts w:ascii="Times New Roman" w:cs="Times New Roman" w:eastAsia="Times New Roman" w:hAnsi="Times New Roman"/>
          <w:sz w:val="24"/>
          <w:szCs w:val="24"/>
          <w:lang w:val="en-GB"/>
        </w:rPr>
        <w:t xml:space="preserve"> </w:t>
      </w:r>
      <w:r>
        <w:rPr>
          <w:rFonts w:ascii="Times New Roman" w:cs="Times New Roman" w:eastAsia="Times New Roman" w:hAnsi="Times New Roman"/>
          <w:sz w:val="24"/>
          <w:szCs w:val="24"/>
          <w:lang w:val="en-GB"/>
        </w:rPr>
        <w:t xml:space="preserve">As per the views of Jaya </w:t>
      </w:r>
      <w:r>
        <w:rPr>
          <w:rFonts w:ascii="Times New Roman" w:cs="Times New Roman" w:eastAsia="Times New Roman" w:hAnsi="Times New Roman"/>
          <w:i/>
          <w:sz w:val="24"/>
          <w:szCs w:val="24"/>
          <w:lang w:val="en-GB"/>
        </w:rPr>
        <w:t>et al.</w:t>
      </w:r>
      <w:r>
        <w:rPr>
          <w:rFonts w:ascii="Times New Roman" w:cs="Times New Roman" w:eastAsia="Times New Roman" w:hAnsi="Times New Roman"/>
          <w:sz w:val="24"/>
          <w:szCs w:val="24"/>
          <w:lang w:val="en-GB"/>
        </w:rPr>
        <w:t xml:space="preserve"> (2021, p.41), a differentiation strategy is important to gain sustainable market advantages in a competitive market by focusing on the customer demands.</w:t>
      </w:r>
      <w:r>
        <w:rPr>
          <w:rFonts w:ascii="Times New Roman" w:cs="Times New Roman" w:eastAsia="Times New Roman" w:hAnsi="Times New Roman"/>
          <w:sz w:val="24"/>
          <w:szCs w:val="24"/>
          <w:lang w:val="en-GB"/>
        </w:rPr>
        <w:t xml:space="preserve"> </w:t>
      </w:r>
    </w:p>
    <w:p>
      <w:pPr>
        <w:pStyle w:val="style4097"/>
        <w:spacing w:lineRule="auto" w:line="360"/>
        <w:jc w:val="both"/>
        <w:rPr>
          <w:rFonts w:ascii="Times New Roman" w:cs="Times New Roman" w:eastAsia="Times New Roman" w:hAnsi="Times New Roman"/>
          <w:b/>
          <w:i/>
          <w:sz w:val="24"/>
          <w:szCs w:val="24"/>
          <w:lang w:val="en-GB"/>
        </w:rPr>
      </w:pPr>
      <w:r>
        <w:rPr>
          <w:rFonts w:ascii="Times New Roman" w:cs="Times New Roman" w:eastAsia="Times New Roman" w:hAnsi="Times New Roman"/>
          <w:b/>
          <w:i/>
          <w:sz w:val="24"/>
          <w:szCs w:val="24"/>
          <w:lang w:val="en-GB"/>
        </w:rPr>
        <w:t>Focused Differentiation</w:t>
      </w:r>
    </w:p>
    <w:p>
      <w:pPr>
        <w:pStyle w:val="style4097"/>
        <w:spacing w:lineRule="auto" w:line="360"/>
        <w:jc w:val="both"/>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 xml:space="preserve">Marketers of GSK need to focus on the demands of the domestic and global markets to implement a differentiation strategy. As argued by Lee and Lee (2019, p.1902), differentiation strategies are beneficial for organisations to achieve sustainable earnings and </w:t>
      </w:r>
      <w:r>
        <w:rPr>
          <w:rFonts w:ascii="Times New Roman" w:cs="Times New Roman" w:eastAsia="Times New Roman" w:hAnsi="Times New Roman"/>
          <w:sz w:val="24"/>
          <w:szCs w:val="24"/>
          <w:lang w:val="en-GB"/>
        </w:rPr>
        <w:t>measure the return on assets. The strategy of focused differentiation suggests avoiding the high price at the highest product values which can be beneficial for GSK to gain good market advantages.</w:t>
      </w:r>
      <w:r>
        <w:rPr>
          <w:rFonts w:ascii="Times New Roman" w:cs="Times New Roman" w:eastAsia="Times New Roman" w:hAnsi="Times New Roman"/>
          <w:sz w:val="24"/>
          <w:szCs w:val="24"/>
          <w:lang w:val="en-GB"/>
        </w:rPr>
        <w:t xml:space="preserve"> </w:t>
      </w:r>
    </w:p>
    <w:p>
      <w:pPr>
        <w:pStyle w:val="style4097"/>
        <w:spacing w:lineRule="auto" w:line="360"/>
        <w:jc w:val="both"/>
        <w:rPr>
          <w:rFonts w:ascii="Times New Roman" w:cs="Times New Roman" w:eastAsia="Times New Roman" w:hAnsi="Times New Roman"/>
          <w:b/>
          <w:i/>
          <w:sz w:val="24"/>
          <w:szCs w:val="24"/>
          <w:lang w:val="en-GB"/>
        </w:rPr>
      </w:pPr>
      <w:r>
        <w:rPr>
          <w:rFonts w:ascii="Times New Roman" w:cs="Times New Roman" w:eastAsia="Times New Roman" w:hAnsi="Times New Roman"/>
          <w:b/>
          <w:i/>
          <w:sz w:val="24"/>
          <w:szCs w:val="24"/>
          <w:lang w:val="en-GB"/>
        </w:rPr>
        <w:t>Risky High Margins</w:t>
      </w:r>
    </w:p>
    <w:p>
      <w:pPr>
        <w:pStyle w:val="style4097"/>
        <w:spacing w:lineRule="auto" w:line="360"/>
        <w:jc w:val="both"/>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 xml:space="preserve">The high price point of products raised major risks for business organisations. GSK needs to analyse the market to set specific price points for their consumer healthcare products to gain advantages among other competitors effectively. As cited by Ricardianto </w:t>
      </w:r>
      <w:r>
        <w:rPr>
          <w:rFonts w:ascii="Times New Roman" w:cs="Times New Roman" w:eastAsia="Times New Roman" w:hAnsi="Times New Roman"/>
          <w:i/>
          <w:sz w:val="24"/>
          <w:szCs w:val="24"/>
          <w:lang w:val="en-GB"/>
        </w:rPr>
        <w:t>et al.</w:t>
      </w:r>
      <w:r>
        <w:rPr>
          <w:rFonts w:ascii="Times New Roman" w:cs="Times New Roman" w:eastAsia="Times New Roman" w:hAnsi="Times New Roman"/>
          <w:sz w:val="24"/>
          <w:szCs w:val="24"/>
          <w:lang w:val="en-GB"/>
        </w:rPr>
        <w:t xml:space="preserve"> (2023, p.252), risk management is an integrated strategy that can give competitive advantages and increase company performance. Therefore GSK needs to identify risk aspects of their business to gain competitive advantages.</w:t>
      </w:r>
      <w:r>
        <w:rPr>
          <w:rFonts w:ascii="Times New Roman" w:cs="Times New Roman" w:eastAsia="Times New Roman" w:hAnsi="Times New Roman"/>
          <w:sz w:val="24"/>
          <w:szCs w:val="24"/>
          <w:lang w:val="en-GB"/>
        </w:rPr>
        <w:t xml:space="preserve"> </w:t>
      </w:r>
    </w:p>
    <w:p>
      <w:pPr>
        <w:pStyle w:val="style4097"/>
        <w:spacing w:lineRule="auto" w:line="360"/>
        <w:jc w:val="both"/>
        <w:rPr>
          <w:rFonts w:ascii="Times New Roman" w:cs="Times New Roman" w:eastAsia="Times New Roman" w:hAnsi="Times New Roman"/>
          <w:b/>
          <w:i/>
          <w:sz w:val="24"/>
          <w:szCs w:val="24"/>
          <w:lang w:val="en-GB"/>
        </w:rPr>
      </w:pPr>
      <w:r>
        <w:rPr>
          <w:rFonts w:ascii="Times New Roman" w:cs="Times New Roman" w:eastAsia="Times New Roman" w:hAnsi="Times New Roman"/>
          <w:b/>
          <w:i/>
          <w:sz w:val="24"/>
          <w:szCs w:val="24"/>
          <w:lang w:val="en-GB"/>
        </w:rPr>
        <w:t>Monopoly Pricing</w:t>
      </w:r>
    </w:p>
    <w:p>
      <w:pPr>
        <w:pStyle w:val="style4097"/>
        <w:spacing w:lineRule="auto" w:line="360"/>
        <w:jc w:val="both"/>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 xml:space="preserve">The implementation of a monopoly pricing strategy is essential for GSK to control the market with products and good pricing aspects. The formula of monopoly pricing needs to be implemented to improve the pricing strategies in a specific market (Jullien </w:t>
      </w:r>
      <w:r>
        <w:rPr>
          <w:rFonts w:ascii="Times New Roman" w:cs="Times New Roman" w:eastAsia="Times New Roman" w:hAnsi="Times New Roman"/>
          <w:i/>
          <w:sz w:val="24"/>
          <w:szCs w:val="24"/>
          <w:lang w:val="en-GB"/>
        </w:rPr>
        <w:t xml:space="preserve">et al. </w:t>
      </w:r>
      <w:r>
        <w:rPr>
          <w:rFonts w:ascii="Times New Roman" w:cs="Times New Roman" w:eastAsia="Times New Roman" w:hAnsi="Times New Roman"/>
          <w:sz w:val="24"/>
          <w:szCs w:val="24"/>
          <w:lang w:val="en-GB"/>
        </w:rPr>
        <w:t xml:space="preserve">2021, p.490). GSK needs to develop their pricing strategies to control the UK market and global market to improve its strategic growth. </w:t>
      </w:r>
    </w:p>
    <w:p>
      <w:pPr>
        <w:pStyle w:val="style4097"/>
        <w:spacing w:lineRule="auto" w:line="360"/>
        <w:jc w:val="both"/>
        <w:rPr>
          <w:rFonts w:ascii="Times New Roman" w:cs="Times New Roman" w:eastAsia="Times New Roman" w:hAnsi="Times New Roman"/>
          <w:b/>
          <w:i/>
          <w:sz w:val="24"/>
          <w:szCs w:val="24"/>
          <w:lang w:val="en-GB"/>
        </w:rPr>
      </w:pPr>
      <w:r>
        <w:rPr>
          <w:rFonts w:ascii="Times New Roman" w:cs="Times New Roman" w:eastAsia="Times New Roman" w:hAnsi="Times New Roman"/>
          <w:b/>
          <w:i/>
          <w:sz w:val="24"/>
          <w:szCs w:val="24"/>
          <w:lang w:val="en-GB"/>
        </w:rPr>
        <w:t>Loss of Market Share</w:t>
      </w:r>
    </w:p>
    <w:p>
      <w:pPr>
        <w:pStyle w:val="style4097"/>
        <w:spacing w:lineRule="auto" w:line="360"/>
        <w:jc w:val="both"/>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 xml:space="preserve">The poor positioning of a company can raise the chances of losing market share. Financial analysis is important for GSK to recognize their market share for making appropriate strategic decisions. As argued by Yang </w:t>
      </w:r>
      <w:r>
        <w:rPr>
          <w:rFonts w:ascii="Times New Roman" w:cs="Times New Roman" w:eastAsia="Times New Roman" w:hAnsi="Times New Roman"/>
          <w:i/>
          <w:sz w:val="24"/>
          <w:szCs w:val="24"/>
          <w:lang w:val="en-GB"/>
        </w:rPr>
        <w:t xml:space="preserve">et al. </w:t>
      </w:r>
      <w:r>
        <w:rPr>
          <w:rFonts w:ascii="Times New Roman" w:cs="Times New Roman" w:eastAsia="Times New Roman" w:hAnsi="Times New Roman"/>
          <w:sz w:val="24"/>
          <w:szCs w:val="24"/>
          <w:lang w:val="en-GB"/>
        </w:rPr>
        <w:t xml:space="preserve">(2019), improving the market share is important for a brand by developing products and strategies for pricing wars with competitors. It is important for GSK to improve the quality of consumer health products and develop pricing strategies to achieve a positive market share. </w:t>
      </w:r>
    </w:p>
    <w:bookmarkStart w:id="11" w:name="_Toc140916762"/>
    <w:p>
      <w:pPr>
        <w:pStyle w:val="style1"/>
        <w:rPr/>
      </w:pPr>
      <w:r>
        <w:t>4. Strategic options</w:t>
      </w:r>
      <w:bookmarkEnd w:id="11"/>
    </w:p>
    <w:p>
      <w:pPr>
        <w:pStyle w:val="style4097"/>
        <w:spacing w:lineRule="auto" w:line="360"/>
        <w:jc w:val="both"/>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 xml:space="preserve">Considering GSK’s global market presence, it is evident that this organisation has strong strategic initiatives to preserve its existing competitive advantages. As explained by Abeysekara, Wang, and Kuruppuarachchi (2019, p.1677), collaborative activities often reduce the risks of disruption in the distribution process retaining sufficient competitive advantages for respective markets. The strategic options proposed for GSK in this scenario are directed to improve its market position along with the target to assist the company in accomplishing better organisational performance. </w:t>
      </w:r>
    </w:p>
    <w:p>
      <w:pPr>
        <w:pStyle w:val="style4097"/>
        <w:spacing w:lineRule="auto" w:line="360"/>
        <w:jc w:val="both"/>
        <w:rPr>
          <w:rFonts w:ascii="Times New Roman" w:cs="Times New Roman" w:eastAsia="Times New Roman" w:hAnsi="Times New Roman"/>
          <w:b/>
          <w:i/>
          <w:sz w:val="24"/>
          <w:szCs w:val="24"/>
          <w:lang w:val="en-GB"/>
        </w:rPr>
      </w:pPr>
      <w:r>
        <w:rPr>
          <w:rFonts w:ascii="Times New Roman" w:cs="Times New Roman" w:eastAsia="Times New Roman" w:hAnsi="Times New Roman"/>
          <w:b/>
          <w:i/>
          <w:sz w:val="24"/>
          <w:szCs w:val="24"/>
          <w:lang w:val="en-GB"/>
        </w:rPr>
        <w:t>Implementation of technology such as AR and VR in its operational process</w:t>
      </w:r>
    </w:p>
    <w:p>
      <w:pPr>
        <w:pStyle w:val="style4097"/>
        <w:spacing w:lineRule="auto" w:line="360"/>
        <w:jc w:val="both"/>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 xml:space="preserve">GSK is known to imply advanced technological assistance in its operational activities. For example, the company uses technologies such as AI, data analytics, and machine learning in </w:t>
      </w:r>
      <w:r>
        <w:rPr>
          <w:rFonts w:ascii="Times New Roman" w:cs="Times New Roman" w:eastAsia="Times New Roman" w:hAnsi="Times New Roman"/>
          <w:sz w:val="24"/>
          <w:szCs w:val="24"/>
          <w:lang w:val="en-GB"/>
        </w:rPr>
        <w:t>its operations that allow better medicine production and deployment (</w:t>
      </w:r>
      <w:r>
        <w:rPr>
          <w:rFonts w:ascii="Times New Roman" w:cs="Times New Roman" w:eastAsia="Times New Roman" w:hAnsi="Times New Roman"/>
          <w:sz w:val="24"/>
          <w:szCs w:val="24"/>
          <w:highlight w:val="white"/>
          <w:lang w:val="en-GB"/>
        </w:rPr>
        <w:t>gsk.com, 2023</w:t>
      </w:r>
      <w:r>
        <w:rPr>
          <w:rFonts w:ascii="Times New Roman" w:cs="Times New Roman" w:eastAsia="Times New Roman" w:hAnsi="Times New Roman"/>
          <w:sz w:val="24"/>
          <w:szCs w:val="24"/>
          <w:lang w:val="en-GB"/>
        </w:rPr>
        <w:t xml:space="preserve">). The use of AR and VR can be an effective strategic option for the company to enhance this process although the company already have its application in some cases. Alignment with one of the components in the Ansoff matrix can be considered for this process as well. </w:t>
      </w:r>
    </w:p>
    <w:p>
      <w:pPr>
        <w:pStyle w:val="style4097"/>
        <w:spacing w:lineRule="auto" w:line="360"/>
        <w:jc w:val="both"/>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 xml:space="preserve">The implication of the Ansoff matrix creates a brief description of the current business strategy of GSK in the market for each of the products. As mentioned by Khajezadeh </w:t>
      </w:r>
      <w:r>
        <w:rPr>
          <w:rFonts w:ascii="Times New Roman" w:cs="Times New Roman" w:eastAsia="Times New Roman" w:hAnsi="Times New Roman"/>
          <w:i/>
          <w:sz w:val="24"/>
          <w:szCs w:val="24"/>
          <w:lang w:val="en-GB"/>
        </w:rPr>
        <w:t>et al.</w:t>
      </w:r>
      <w:r>
        <w:rPr>
          <w:rFonts w:ascii="Times New Roman" w:cs="Times New Roman" w:eastAsia="Times New Roman" w:hAnsi="Times New Roman"/>
          <w:sz w:val="24"/>
          <w:szCs w:val="24"/>
          <w:lang w:val="en-GB"/>
        </w:rPr>
        <w:t xml:space="preserve"> (2019, p.822), this framework provides a detailed strategic direction for companies to improve distribution resulting in increased market share.</w:t>
      </w:r>
      <w:r>
        <w:rPr>
          <w:rFonts w:ascii="Times New Roman" w:cs="Times New Roman" w:eastAsia="Times New Roman" w:hAnsi="Times New Roman"/>
          <w:sz w:val="24"/>
          <w:szCs w:val="24"/>
          <w:lang w:val="en-GB"/>
        </w:rPr>
        <w:t xml:space="preserve"> </w:t>
      </w:r>
      <w:r>
        <w:rPr>
          <w:rFonts w:ascii="Times New Roman" w:cs="Times New Roman" w:eastAsia="Times New Roman" w:hAnsi="Times New Roman"/>
          <w:sz w:val="24"/>
          <w:szCs w:val="24"/>
          <w:lang w:val="en-GB"/>
        </w:rPr>
        <w:t>Using VR and AR in this scenario would allow GSK to evaluate product development and diversification since this company already has a strong standpoint in these two factors. Thus, suggesting this initiative as a strategic option for the company is expected to be beneficial.</w:t>
      </w:r>
      <w:r>
        <w:rPr>
          <w:rFonts w:ascii="Times New Roman" w:cs="Times New Roman" w:eastAsia="Times New Roman" w:hAnsi="Times New Roman"/>
          <w:sz w:val="24"/>
          <w:szCs w:val="24"/>
          <w:lang w:val="en-GB"/>
        </w:rPr>
        <w:t xml:space="preserve"> </w:t>
      </w:r>
    </w:p>
    <w:p>
      <w:pPr>
        <w:pStyle w:val="style4097"/>
        <w:spacing w:lineRule="auto" w:line="360"/>
        <w:jc w:val="both"/>
        <w:rPr>
          <w:rFonts w:ascii="Times New Roman" w:cs="Times New Roman" w:eastAsia="Times New Roman" w:hAnsi="Times New Roman"/>
          <w:sz w:val="24"/>
          <w:szCs w:val="24"/>
          <w:lang w:val="en-GB"/>
        </w:rPr>
      </w:pPr>
      <w:r>
        <w:rPr>
          <w:rFonts w:ascii="Times New Roman" w:cs="Times New Roman" w:eastAsia="Times New Roman" w:hAnsi="Times New Roman"/>
          <w:b/>
          <w:i/>
          <w:sz w:val="24"/>
          <w:szCs w:val="24"/>
          <w:lang w:val="en-GB"/>
        </w:rPr>
        <w:t>Utilising “Freeman’s Strategic Management approach” for improving employee management within the organisation</w:t>
      </w:r>
      <w:r>
        <w:rPr>
          <w:rFonts w:ascii="Times New Roman" w:cs="Times New Roman" w:eastAsia="Times New Roman" w:hAnsi="Times New Roman"/>
          <w:i/>
          <w:sz w:val="24"/>
          <w:szCs w:val="24"/>
          <w:lang w:val="en-GB"/>
        </w:rPr>
        <w:t xml:space="preserve"> </w:t>
      </w:r>
    </w:p>
    <w:p>
      <w:pPr>
        <w:pStyle w:val="style4097"/>
        <w:spacing w:lineRule="auto" w:line="360"/>
        <w:jc w:val="both"/>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Employees are considered one of the primary drivers for successful operational activities in business corporations. Regardless of GSK’s notable employee management initiatives, the organisation can further focus on developing those aspects. Based on the viewpoint of Freeman, Dmytriyev, and Phillips (2021, p.1766), confronting effective strategic management is related to the anticipation between competition and cooperation. Therefore, the main focus of GSK’s strategic management needs to involve consideration to benefit its stakeholders including employees.</w:t>
      </w:r>
      <w:r>
        <w:rPr>
          <w:rFonts w:ascii="Times New Roman" w:cs="Times New Roman" w:eastAsia="Times New Roman" w:hAnsi="Times New Roman"/>
          <w:sz w:val="24"/>
          <w:szCs w:val="24"/>
          <w:lang w:val="en-GB"/>
        </w:rPr>
        <w:t xml:space="preserve"> </w:t>
      </w:r>
    </w:p>
    <w:p>
      <w:pPr>
        <w:pStyle w:val="style4097"/>
        <w:spacing w:lineRule="auto" w:line="360"/>
        <w:jc w:val="center"/>
        <w:rPr>
          <w:rFonts w:ascii="Times New Roman" w:cs="Times New Roman" w:eastAsia="Times New Roman" w:hAnsi="Times New Roman"/>
          <w:sz w:val="24"/>
          <w:szCs w:val="24"/>
          <w:lang w:val="en-GB"/>
        </w:rPr>
      </w:pPr>
      <w:r>
        <w:rPr>
          <w:rFonts w:ascii="Times New Roman" w:cs="Times New Roman" w:eastAsia="Times New Roman" w:hAnsi="Times New Roman"/>
          <w:noProof/>
          <w:sz w:val="24"/>
          <w:szCs w:val="24"/>
        </w:rPr>
        <w:drawing>
          <wp:inline distL="0" distT="0" distB="0" distR="0">
            <wp:extent cx="4857872" cy="2816275"/>
            <wp:effectExtent l="12700" t="12700" r="12700" b="12700"/>
            <wp:docPr id="1032" name="image3.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 name="image3.png"/>
                    <pic:cNvPicPr/>
                  </pic:nvPicPr>
                  <pic:blipFill>
                    <a:blip r:embed="rId11" cstate="print"/>
                    <a:srcRect l="0" t="0" r="0" b="0"/>
                    <a:stretch/>
                  </pic:blipFill>
                  <pic:spPr>
                    <a:xfrm rot="0">
                      <a:off x="0" y="0"/>
                      <a:ext cx="4857872" cy="2816275"/>
                    </a:xfrm>
                    <a:prstGeom prst="rect"/>
                    <a:ln cmpd="sng" cap="flat" w="12700">
                      <a:solidFill>
                        <a:srgbClr val="000000"/>
                      </a:solidFill>
                      <a:prstDash val="solid"/>
                      <a:round/>
                      <a:headEnd/>
                      <a:tailEnd/>
                    </a:ln>
                  </pic:spPr>
                </pic:pic>
              </a:graphicData>
            </a:graphic>
          </wp:inline>
        </w:drawing>
      </w:r>
    </w:p>
    <w:p>
      <w:pPr>
        <w:pStyle w:val="style4097"/>
        <w:spacing w:lineRule="auto" w:line="360"/>
        <w:jc w:val="center"/>
        <w:rPr>
          <w:rFonts w:ascii="Times New Roman" w:cs="Times New Roman" w:eastAsia="Times New Roman" w:hAnsi="Times New Roman"/>
          <w:b/>
          <w:sz w:val="24"/>
          <w:szCs w:val="24"/>
          <w:lang w:val="en-GB"/>
        </w:rPr>
      </w:pPr>
      <w:r>
        <w:rPr>
          <w:rFonts w:ascii="Times New Roman" w:cs="Times New Roman" w:eastAsia="Times New Roman" w:hAnsi="Times New Roman"/>
          <w:b/>
          <w:sz w:val="24"/>
          <w:szCs w:val="24"/>
          <w:lang w:val="en-GB"/>
        </w:rPr>
        <w:t>Figure</w:t>
      </w:r>
      <w:r>
        <w:rPr>
          <w:rFonts w:ascii="Times New Roman" w:cs="Times New Roman" w:eastAsia="Times New Roman" w:hAnsi="Times New Roman"/>
          <w:b/>
          <w:sz w:val="24"/>
          <w:szCs w:val="24"/>
          <w:lang w:val="en-GB"/>
        </w:rPr>
        <w:t xml:space="preserve"> </w:t>
      </w:r>
      <w:r>
        <w:rPr>
          <w:rFonts w:ascii="Times New Roman" w:cs="Times New Roman" w:eastAsia="Times New Roman" w:hAnsi="Times New Roman"/>
          <w:b/>
          <w:sz w:val="24"/>
          <w:szCs w:val="24"/>
          <w:lang w:val="en-GB"/>
        </w:rPr>
        <w:t>7</w:t>
      </w:r>
      <w:r>
        <w:rPr>
          <w:rFonts w:ascii="Times New Roman" w:cs="Times New Roman" w:eastAsia="Times New Roman" w:hAnsi="Times New Roman"/>
          <w:b/>
          <w:sz w:val="24"/>
          <w:szCs w:val="24"/>
          <w:lang w:val="en-GB"/>
        </w:rPr>
        <w:t xml:space="preserve">: Interrelation between strategic management process </w:t>
      </w:r>
    </w:p>
    <w:p>
      <w:pPr>
        <w:pStyle w:val="style4097"/>
        <w:spacing w:lineRule="auto" w:line="360"/>
        <w:jc w:val="center"/>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(Source: Taken from Session 1 Introduction)</w:t>
      </w:r>
    </w:p>
    <w:p>
      <w:pPr>
        <w:pStyle w:val="style4097"/>
        <w:spacing w:lineRule="auto" w:line="360"/>
        <w:jc w:val="both"/>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The company may propose both monetary and non-monetary incentives for its employees considering it already has a proper monitoring system to secure a seamless integration in productivity. Moreover, the previous discussion has explained that the company follows a brief regulation such as the “Modern Slavery Act”, “ABAC programme”, “inclusive treatment to employees”, and others (</w:t>
      </w:r>
      <w:r>
        <w:rPr>
          <w:rFonts w:ascii="Times New Roman" w:cs="Times New Roman" w:eastAsia="Times New Roman" w:hAnsi="Times New Roman"/>
          <w:sz w:val="24"/>
          <w:szCs w:val="24"/>
          <w:highlight w:val="white"/>
          <w:lang w:val="en-GB"/>
        </w:rPr>
        <w:t>gsk.com, 2023</w:t>
      </w:r>
      <w:r>
        <w:rPr>
          <w:rFonts w:ascii="Times New Roman" w:cs="Times New Roman" w:eastAsia="Times New Roman" w:hAnsi="Times New Roman"/>
          <w:sz w:val="24"/>
          <w:szCs w:val="24"/>
          <w:lang w:val="en-GB"/>
        </w:rPr>
        <w:t>). Implementing the notion of “Freeman’s Strategic Management approach” in this context would allow the company to put the interests of employees up front rather than just aligning them with regulations. On the other hand, strategic management needs to assist in coordinating decisions for all organisational levels (Bryson and George, 2020, p.9) Freeman’s approach may allow GSK to accomplish that perspective for its employees making this strategic option considerable.</w:t>
      </w:r>
      <w:r>
        <w:rPr>
          <w:rFonts w:ascii="Times New Roman" w:cs="Times New Roman" w:eastAsia="Times New Roman" w:hAnsi="Times New Roman"/>
          <w:sz w:val="24"/>
          <w:szCs w:val="24"/>
          <w:lang w:val="en-GB"/>
        </w:rPr>
        <w:t xml:space="preserve"> </w:t>
      </w:r>
    </w:p>
    <w:p>
      <w:pPr>
        <w:pStyle w:val="style4097"/>
        <w:spacing w:lineRule="auto" w:line="360"/>
        <w:jc w:val="both"/>
        <w:rPr>
          <w:rFonts w:ascii="Times New Roman" w:cs="Times New Roman" w:eastAsia="Times New Roman" w:hAnsi="Times New Roman"/>
          <w:b/>
          <w:i/>
          <w:sz w:val="24"/>
          <w:szCs w:val="24"/>
          <w:lang w:val="en-GB"/>
        </w:rPr>
      </w:pPr>
      <w:r>
        <w:rPr>
          <w:rFonts w:ascii="Times New Roman" w:cs="Times New Roman" w:eastAsia="Times New Roman" w:hAnsi="Times New Roman"/>
          <w:b/>
          <w:i/>
          <w:sz w:val="24"/>
          <w:szCs w:val="24"/>
          <w:lang w:val="en-GB"/>
        </w:rPr>
        <w:t>Increasing productivity with accuracy to prevent issues of patent loss</w:t>
      </w:r>
    </w:p>
    <w:p>
      <w:pPr>
        <w:pStyle w:val="style4097"/>
        <w:spacing w:lineRule="auto" w:line="360"/>
        <w:jc w:val="both"/>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The case of patent infringement is crucial for pharmaceutical companies. Xie (2021) explained that in generic cases, brand manufacturers involve economic incentives to mitigate and settle patent litigation. This is also an immediate approach for GSK to address this issue. Nonetheless, improving productivity with maximum accuracy can be considered.</w:t>
      </w:r>
      <w:r>
        <w:rPr>
          <w:rFonts w:ascii="Times New Roman" w:cs="Times New Roman" w:eastAsia="Times New Roman" w:hAnsi="Times New Roman"/>
          <w:sz w:val="24"/>
          <w:szCs w:val="24"/>
          <w:lang w:val="en-GB"/>
        </w:rPr>
        <w:t xml:space="preserve"> </w:t>
      </w:r>
    </w:p>
    <w:p>
      <w:pPr>
        <w:pStyle w:val="style4097"/>
        <w:spacing w:lineRule="auto" w:line="360"/>
        <w:jc w:val="both"/>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GSK’s operations in the global market have been facing some issues related to the patent. For example, the company has encountered a conflict between GSK, Shionogi and Gilead Sciences, Inc. (Gilead) involving ViiV Healthcare’s patents associating with “dolutegravir”, which is an antiretroviral medication prescribed for HIV treatments (</w:t>
      </w:r>
      <w:r>
        <w:rPr>
          <w:rFonts w:ascii="Times New Roman" w:cs="Times New Roman" w:eastAsia="Times New Roman" w:hAnsi="Times New Roman"/>
          <w:sz w:val="24"/>
          <w:szCs w:val="24"/>
          <w:highlight w:val="white"/>
          <w:lang w:val="en-GB"/>
        </w:rPr>
        <w:t>gsk.com, 2022</w:t>
      </w:r>
      <w:r>
        <w:rPr>
          <w:rFonts w:ascii="Times New Roman" w:cs="Times New Roman" w:eastAsia="Times New Roman" w:hAnsi="Times New Roman"/>
          <w:sz w:val="24"/>
          <w:szCs w:val="24"/>
          <w:lang w:val="en-GB"/>
        </w:rPr>
        <w:t xml:space="preserve">). Such patent issues are affecting the company’s reputation negatively. It is suggested that the company needs to increase transparency in its production process. Using Big data as technology in this context can be suitable for the company to resolve this issue. In b business-level strategy, this is a crucial factor to be considered. </w:t>
      </w:r>
    </w:p>
    <w:p>
      <w:pPr>
        <w:pStyle w:val="style4097"/>
        <w:spacing w:lineRule="auto" w:line="360"/>
        <w:jc w:val="both"/>
        <w:rPr>
          <w:rFonts w:ascii="Times New Roman" w:cs="Times New Roman" w:eastAsia="Times New Roman" w:hAnsi="Times New Roman"/>
          <w:b/>
          <w:i/>
          <w:sz w:val="24"/>
          <w:szCs w:val="24"/>
          <w:lang w:val="en-GB"/>
        </w:rPr>
      </w:pPr>
      <w:r>
        <w:rPr>
          <w:rFonts w:ascii="Times New Roman" w:cs="Times New Roman" w:eastAsia="Times New Roman" w:hAnsi="Times New Roman"/>
          <w:b/>
          <w:i/>
          <w:sz w:val="24"/>
          <w:szCs w:val="24"/>
          <w:lang w:val="en-GB"/>
        </w:rPr>
        <w:t>Focusing on R&amp;D and market expansion to reduce issues such as insufficient growth potential and late product development</w:t>
      </w:r>
    </w:p>
    <w:p>
      <w:pPr>
        <w:pStyle w:val="style4097"/>
        <w:spacing w:lineRule="auto" w:line="360"/>
        <w:jc w:val="both"/>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 xml:space="preserve">Delays in product development along with decreased growth potential for GSK are two of the major challenges that this organisation is facing. According to Voznyak </w:t>
      </w:r>
      <w:r>
        <w:rPr>
          <w:rFonts w:ascii="Times New Roman" w:cs="Times New Roman" w:eastAsia="Times New Roman" w:hAnsi="Times New Roman"/>
          <w:i/>
          <w:sz w:val="24"/>
          <w:szCs w:val="24"/>
          <w:lang w:val="en-GB"/>
        </w:rPr>
        <w:t>et al.</w:t>
      </w:r>
      <w:r>
        <w:rPr>
          <w:rFonts w:ascii="Times New Roman" w:cs="Times New Roman" w:eastAsia="Times New Roman" w:hAnsi="Times New Roman"/>
          <w:sz w:val="24"/>
          <w:szCs w:val="24"/>
          <w:lang w:val="en-GB"/>
        </w:rPr>
        <w:t xml:space="preserve"> (2019, p.122), the decentralisation of the economy may contribute to simultaneous growth opportunities in lower levers in terms of regional competition. However, it seems that GSK is not accessing this possibility properly for addressing its lack of growth potential. Expanding markets at the regional level with adequate product services is advisable in this scenario.</w:t>
      </w:r>
      <w:r>
        <w:rPr>
          <w:rFonts w:ascii="Times New Roman" w:cs="Times New Roman" w:eastAsia="Times New Roman" w:hAnsi="Times New Roman"/>
          <w:sz w:val="24"/>
          <w:szCs w:val="24"/>
          <w:lang w:val="en-GB"/>
        </w:rPr>
        <w:t xml:space="preserve"> </w:t>
      </w:r>
      <w:r>
        <w:rPr>
          <w:rFonts w:ascii="Times New Roman" w:cs="Times New Roman" w:eastAsia="Times New Roman" w:hAnsi="Times New Roman"/>
          <w:sz w:val="24"/>
          <w:szCs w:val="24"/>
          <w:lang w:val="en-GB"/>
        </w:rPr>
        <w:t xml:space="preserve">In contrast, Lim </w:t>
      </w:r>
      <w:r>
        <w:rPr>
          <w:rFonts w:ascii="Times New Roman" w:cs="Times New Roman" w:eastAsia="Times New Roman" w:hAnsi="Times New Roman"/>
          <w:i/>
          <w:sz w:val="24"/>
          <w:szCs w:val="24"/>
          <w:lang w:val="en-GB"/>
        </w:rPr>
        <w:t xml:space="preserve">et al. </w:t>
      </w:r>
      <w:r>
        <w:rPr>
          <w:rFonts w:ascii="Times New Roman" w:cs="Times New Roman" w:eastAsia="Times New Roman" w:hAnsi="Times New Roman"/>
          <w:sz w:val="24"/>
          <w:szCs w:val="24"/>
          <w:lang w:val="en-GB"/>
        </w:rPr>
        <w:t xml:space="preserve">(2023, p.109) mentioned that the cases of late product development involve consideration for previous product success and other causal forces. With the market expansion and </w:t>
      </w:r>
      <w:r>
        <w:rPr>
          <w:rFonts w:ascii="Times New Roman" w:cs="Times New Roman" w:eastAsia="Times New Roman" w:hAnsi="Times New Roman"/>
          <w:sz w:val="24"/>
          <w:szCs w:val="24"/>
          <w:lang w:val="en-GB"/>
        </w:rPr>
        <w:t xml:space="preserve">implementation of the suggested technology, GSK may become able to overcome those issues strategically. </w:t>
      </w:r>
    </w:p>
    <w:p>
      <w:pPr>
        <w:pStyle w:val="style4097"/>
        <w:spacing w:lineRule="auto" w:line="360"/>
        <w:jc w:val="both"/>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 xml:space="preserve">Effective use of technologies is vital for developing high-level strategic options that can be observed from the previous discussion as it associates with technologies such as AR/VR, big data, and others. As per Bogers </w:t>
      </w:r>
      <w:r>
        <w:rPr>
          <w:rFonts w:ascii="Times New Roman" w:cs="Times New Roman" w:eastAsia="Times New Roman" w:hAnsi="Times New Roman"/>
          <w:i/>
          <w:sz w:val="24"/>
          <w:szCs w:val="24"/>
          <w:lang w:val="en-GB"/>
        </w:rPr>
        <w:t xml:space="preserve">et al. </w:t>
      </w:r>
      <w:r>
        <w:rPr>
          <w:rFonts w:ascii="Times New Roman" w:cs="Times New Roman" w:eastAsia="Times New Roman" w:hAnsi="Times New Roman"/>
          <w:sz w:val="24"/>
          <w:szCs w:val="24"/>
          <w:lang w:val="en-GB"/>
        </w:rPr>
        <w:t xml:space="preserve">(2019, p.81), open innovation sheds light on issues in business model choice and issues with strategy. Strategic options proposed for GSK involving technology are expected to deliver an effective outcome for enhancing its operational performance in both domestic and international markets. In contrast, Hillmann and Guenther (2021, p.24) opined that resilience is an important part of strategic options helping in operational growth and overcoming the crisis. The aforementioned initiatives are expected to contribute to improving the resilience of GSK for its operations as well. </w:t>
      </w:r>
    </w:p>
    <w:p>
      <w:pPr>
        <w:pStyle w:val="style4097"/>
        <w:spacing w:lineRule="auto" w:line="360"/>
        <w:jc w:val="center"/>
        <w:rPr>
          <w:rFonts w:ascii="Times New Roman" w:cs="Times New Roman" w:eastAsia="Times New Roman" w:hAnsi="Times New Roman"/>
          <w:sz w:val="24"/>
          <w:szCs w:val="24"/>
          <w:lang w:val="en-GB"/>
        </w:rPr>
      </w:pPr>
      <w:r>
        <w:rPr>
          <w:rFonts w:ascii="Times New Roman" w:cs="Times New Roman" w:eastAsia="Times New Roman" w:hAnsi="Times New Roman"/>
          <w:noProof/>
          <w:sz w:val="24"/>
          <w:szCs w:val="24"/>
        </w:rPr>
        <w:drawing>
          <wp:inline distL="0" distT="0" distB="0" distR="0">
            <wp:extent cx="3548307" cy="2824163"/>
            <wp:effectExtent l="12700" t="12700" r="12700" b="12700"/>
            <wp:docPr id="1033" name="image1.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 name="image1.png"/>
                    <pic:cNvPicPr/>
                  </pic:nvPicPr>
                  <pic:blipFill>
                    <a:blip r:embed="rId12" cstate="print"/>
                    <a:srcRect l="0" t="0" r="0" b="0"/>
                    <a:stretch/>
                  </pic:blipFill>
                  <pic:spPr>
                    <a:xfrm rot="0">
                      <a:off x="0" y="0"/>
                      <a:ext cx="3548307" cy="2824163"/>
                    </a:xfrm>
                    <a:prstGeom prst="rect"/>
                    <a:ln cmpd="sng" cap="flat" w="12700">
                      <a:solidFill>
                        <a:srgbClr val="000000"/>
                      </a:solidFill>
                      <a:prstDash val="solid"/>
                      <a:round/>
                      <a:headEnd/>
                      <a:tailEnd/>
                    </a:ln>
                  </pic:spPr>
                </pic:pic>
              </a:graphicData>
            </a:graphic>
          </wp:inline>
        </w:drawing>
      </w:r>
    </w:p>
    <w:p>
      <w:pPr>
        <w:pStyle w:val="style4097"/>
        <w:spacing w:lineRule="auto" w:line="360"/>
        <w:jc w:val="center"/>
        <w:rPr>
          <w:rFonts w:ascii="Times New Roman" w:cs="Times New Roman" w:eastAsia="Times New Roman" w:hAnsi="Times New Roman"/>
          <w:b/>
          <w:sz w:val="24"/>
          <w:szCs w:val="24"/>
          <w:lang w:val="en-GB"/>
        </w:rPr>
      </w:pPr>
      <w:r>
        <w:rPr>
          <w:rFonts w:ascii="Times New Roman" w:cs="Times New Roman" w:eastAsia="Times New Roman" w:hAnsi="Times New Roman"/>
          <w:b/>
          <w:sz w:val="24"/>
          <w:szCs w:val="24"/>
          <w:lang w:val="en-GB"/>
        </w:rPr>
        <w:t>Figure</w:t>
      </w:r>
      <w:r>
        <w:rPr>
          <w:rFonts w:ascii="Times New Roman" w:cs="Times New Roman" w:eastAsia="Times New Roman" w:hAnsi="Times New Roman"/>
          <w:b/>
          <w:sz w:val="24"/>
          <w:szCs w:val="24"/>
          <w:lang w:val="en-GB"/>
        </w:rPr>
        <w:t xml:space="preserve"> 8</w:t>
      </w:r>
      <w:r>
        <w:rPr>
          <w:rFonts w:ascii="Times New Roman" w:cs="Times New Roman" w:eastAsia="Times New Roman" w:hAnsi="Times New Roman"/>
          <w:b/>
          <w:sz w:val="24"/>
          <w:szCs w:val="24"/>
          <w:lang w:val="en-GB"/>
        </w:rPr>
        <w:t xml:space="preserve">: Delta model </w:t>
      </w:r>
    </w:p>
    <w:p>
      <w:pPr>
        <w:pStyle w:val="style4097"/>
        <w:spacing w:lineRule="auto" w:line="360"/>
        <w:jc w:val="center"/>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(Source: Taken from Lecture Session 4 Generating Strategic Choices)</w:t>
      </w:r>
    </w:p>
    <w:p>
      <w:pPr>
        <w:pStyle w:val="style4097"/>
        <w:spacing w:lineRule="auto" w:line="360"/>
        <w:jc w:val="both"/>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 xml:space="preserve">The current position of GSK demonstrates a strong standpoint in terms of strategic activity the organisation requires further improvements. Often growth promotion succeeds in the normal financial situation </w:t>
      </w:r>
      <w:r>
        <w:rPr>
          <w:rFonts w:ascii="Times New Roman" w:cs="Times New Roman" w:eastAsia="Times New Roman" w:hAnsi="Times New Roman"/>
          <w:sz w:val="24"/>
          <w:szCs w:val="24"/>
          <w:lang w:val="en-GB"/>
        </w:rPr>
        <w:t>however;</w:t>
      </w:r>
      <w:r>
        <w:rPr>
          <w:rFonts w:ascii="Times New Roman" w:cs="Times New Roman" w:eastAsia="Times New Roman" w:hAnsi="Times New Roman"/>
          <w:sz w:val="24"/>
          <w:szCs w:val="24"/>
          <w:lang w:val="en-GB"/>
        </w:rPr>
        <w:t xml:space="preserve"> conservative approaches help in the financial crisis (Miroshnychenko </w:t>
      </w:r>
      <w:r>
        <w:rPr>
          <w:rFonts w:ascii="Times New Roman" w:cs="Times New Roman" w:eastAsia="Times New Roman" w:hAnsi="Times New Roman"/>
          <w:i/>
          <w:sz w:val="24"/>
          <w:szCs w:val="24"/>
          <w:lang w:val="en-GB"/>
        </w:rPr>
        <w:t xml:space="preserve">et al., </w:t>
      </w:r>
      <w:r>
        <w:rPr>
          <w:rFonts w:ascii="Times New Roman" w:cs="Times New Roman" w:eastAsia="Times New Roman" w:hAnsi="Times New Roman"/>
          <w:sz w:val="24"/>
          <w:szCs w:val="24"/>
          <w:lang w:val="en-GB"/>
        </w:rPr>
        <w:t xml:space="preserve">2021, p.30). Therefore, the strategic options proposed for GSK may become relevant or applicable in both financial situations escalating its competency in strategic management. </w:t>
      </w:r>
    </w:p>
    <w:bookmarkStart w:id="12" w:name="_Toc140168833"/>
    <w:bookmarkStart w:id="13" w:name="_Toc140916763"/>
    <w:p>
      <w:pPr>
        <w:pStyle w:val="style1"/>
        <w:rPr/>
      </w:pPr>
      <w:r>
        <w:t>5. Conclusion</w:t>
      </w:r>
      <w:bookmarkEnd w:id="12"/>
      <w:bookmarkEnd w:id="13"/>
      <w:r>
        <w:t xml:space="preserve"> </w:t>
      </w:r>
    </w:p>
    <w:p>
      <w:pPr>
        <w:pStyle w:val="style4097"/>
        <w:spacing w:lineRule="auto" w:line="360"/>
        <w:jc w:val="both"/>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 xml:space="preserve">It can be concluded that the study portrays GSK’s global market presence with initiatives in strategic competencies and mobility in globally operating environments. In the findings, </w:t>
      </w:r>
      <w:r>
        <w:rPr>
          <w:rFonts w:ascii="Times New Roman" w:cs="Times New Roman" w:eastAsia="Times New Roman" w:hAnsi="Times New Roman"/>
          <w:sz w:val="24"/>
          <w:szCs w:val="24"/>
          <w:lang w:val="en-GB"/>
        </w:rPr>
        <w:t xml:space="preserve">UK’s political stability is feasible for GSK to exaggerate the possibilities of politically stabilising the business and managing internationalising trade policies during mergers and acquisitions. On the contrary, technological assistance by the UK government makes investments in technology for the optimisation of automatised technology. GSK intends to implement artificial intelligence, data analytics, and machine learning in its operations for total quality control in business operations. In the post-pandemic period, remote working and virtual communication increased momentum which gave scope for the company to automatise business. In contrast to this, findings show an implementation of a hybrid strategy in order to mobilise cost leadership and differentiation focus on products and services. The hybrid strategy perhaps gives perceived value to the cost of products and increases the competitive niche market growth. </w:t>
      </w:r>
    </w:p>
    <w:p>
      <w:pPr>
        <w:pStyle w:val="style4097"/>
        <w:spacing w:lineRule="auto" w:line="360"/>
        <w:jc w:val="both"/>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In the findings, it has been interpreted that a value-based pricing strategy helps in offering healthcare products to customers at an affordable price. In the post-pandemic era, organisations like AstraZeneca, and Pfizer have become competitive threats creating dilemmas towards increasing competitor threats for the company. On the contrary, the implementation of Bowman’s strategic model helped the company to focus on business sustainability by developing a business brand image. The findings portray that management of GSK under the protecting the data can protect crucial data regarding vaccinations and consumers for managing the entire business operations. Affirmatively, virtual reality and augmented reality in this business allow GSK to evaluate product development and diversification. “Freeman’s Strategic Management approach” helps for improving employee management by implementing HR initiatives in monetary and nonmonetary incentives for its employees.</w:t>
      </w:r>
    </w:p>
    <w:p>
      <w:pPr>
        <w:pStyle w:val="style4097"/>
        <w:spacing w:lineRule="auto" w:line="360"/>
        <w:jc w:val="both"/>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 xml:space="preserve">Further, in conclusion, patent infringement is crucial for GSK for brand manufacturers to involve economic incentives to mitigate and settle patent litigation. In the findings, it has been identified that increased civil and criminal liabilities lead to the unlawful promotion of specific prescription drugs and false price reporting. Thus, organisational mobility helps differentiation strategies. </w:t>
      </w:r>
      <w:r>
        <w:rPr>
          <w:rFonts w:ascii="Times New Roman" w:cs="Times New Roman" w:eastAsia="Times New Roman" w:hAnsi="Times New Roman"/>
          <w:sz w:val="24"/>
          <w:szCs w:val="24"/>
          <w:lang w:val="en-GB"/>
        </w:rPr>
        <w:t>A company</w:t>
      </w:r>
      <w:r>
        <w:rPr>
          <w:rFonts w:ascii="Times New Roman" w:cs="Times New Roman" w:eastAsia="Times New Roman" w:hAnsi="Times New Roman"/>
          <w:sz w:val="24"/>
          <w:szCs w:val="24"/>
          <w:lang w:val="en-GB"/>
        </w:rPr>
        <w:t xml:space="preserve"> provides a wide range of products or develops a unique product or service to make its business different from its competitors. On the other hand, niche market consumer demand by GSK develops market potential with a pricing strategy on the basis of country-specific circumstances and adjusting the end-of-health budget. In this context, low price and low value-added is a position in which a firm provides products at a low price but it adds low quality and value to the products. The aspect of business strategic growth builds scope in the entire value chain from product manufacturing to disposal of </w:t>
      </w:r>
      <w:r>
        <w:rPr>
          <w:rFonts w:ascii="Times New Roman" w:cs="Times New Roman" w:eastAsia="Times New Roman" w:hAnsi="Times New Roman"/>
          <w:sz w:val="24"/>
          <w:szCs w:val="24"/>
          <w:lang w:val="en-GB"/>
        </w:rPr>
        <w:t xml:space="preserve">products. Furthermore, the environmental factors as per external analysis support management for developing sustainable strategies and protecting from carbon footprint and organisational waste. In the findings, the sustainable business strategies of GSK deliver insight into the data securitisation for securitising patient data and vaccination-related information. Therefore, the company can build social, environmental, and economic sustainability in business through strategic initiatives, and investment opportunities in globally operating markets. </w:t>
      </w:r>
    </w:p>
    <w:p>
      <w:pPr>
        <w:pStyle w:val="style4097"/>
        <w:spacing w:lineRule="auto" w:line="360"/>
        <w:jc w:val="both"/>
        <w:rPr>
          <w:rFonts w:ascii="Times New Roman" w:cs="Times New Roman" w:eastAsia="Times New Roman" w:hAnsi="Times New Roman"/>
          <w:sz w:val="24"/>
          <w:szCs w:val="24"/>
          <w:lang w:val="en-GB"/>
        </w:rPr>
      </w:pPr>
    </w:p>
    <w:p>
      <w:pPr>
        <w:pStyle w:val="style0"/>
        <w:rPr>
          <w:rFonts w:ascii="Times New Roman" w:cs="Times New Roman" w:eastAsia="Times New Roman" w:hAnsi="Times New Roman"/>
          <w:b/>
          <w:sz w:val="24"/>
          <w:szCs w:val="24"/>
          <w:lang w:val="en-GB"/>
        </w:rPr>
      </w:pPr>
      <w:r>
        <w:br w:type="page"/>
      </w:r>
    </w:p>
    <w:bookmarkStart w:id="14" w:name="_Toc140916764"/>
    <w:p>
      <w:pPr>
        <w:pStyle w:val="style1"/>
        <w:rPr/>
      </w:pPr>
      <w:r>
        <w:t>References</w:t>
      </w:r>
      <w:bookmarkEnd w:id="14"/>
      <w:r>
        <w:t xml:space="preserve"> </w:t>
      </w:r>
    </w:p>
    <w:p>
      <w:pPr>
        <w:pStyle w:val="style0"/>
        <w:spacing w:before="240" w:lineRule="auto" w:line="360"/>
        <w:jc w:val="both"/>
        <w:rPr>
          <w:rFonts w:ascii="Times New Roman" w:cs="Times New Roman" w:hAnsi="Times New Roman"/>
          <w:sz w:val="24"/>
          <w:szCs w:val="24"/>
        </w:rPr>
      </w:pPr>
      <w:r>
        <w:rPr>
          <w:rFonts w:ascii="Times New Roman" w:cs="Times New Roman" w:hAnsi="Times New Roman"/>
          <w:sz w:val="24"/>
          <w:szCs w:val="24"/>
        </w:rPr>
        <w:t xml:space="preserve">“Abdulwase, R., Ahmed, F., Nasr, F., Abdulwase, A., Alyousofi, A. and Yan, S., (2020). The role of business strategy to create a competitive advantage in the organization. </w:t>
      </w:r>
      <w:r>
        <w:rPr>
          <w:rFonts w:ascii="Times New Roman" w:cs="Times New Roman" w:hAnsi="Times New Roman"/>
          <w:i/>
          <w:iCs/>
          <w:sz w:val="24"/>
          <w:szCs w:val="24"/>
        </w:rPr>
        <w:t>Open Access J Sci</w:t>
      </w:r>
      <w:r>
        <w:rPr>
          <w:rFonts w:ascii="Times New Roman" w:cs="Times New Roman" w:hAnsi="Times New Roman"/>
          <w:sz w:val="24"/>
          <w:szCs w:val="24"/>
        </w:rPr>
        <w:t xml:space="preserve">, </w:t>
      </w:r>
      <w:r>
        <w:rPr>
          <w:rFonts w:ascii="Times New Roman" w:cs="Times New Roman" w:hAnsi="Times New Roman"/>
          <w:i/>
          <w:iCs/>
          <w:sz w:val="24"/>
          <w:szCs w:val="24"/>
        </w:rPr>
        <w:t>4</w:t>
      </w:r>
      <w:r>
        <w:rPr>
          <w:rFonts w:ascii="Times New Roman" w:cs="Times New Roman" w:hAnsi="Times New Roman"/>
          <w:sz w:val="24"/>
          <w:szCs w:val="24"/>
        </w:rPr>
        <w:t>(4), pp.135-138.”</w:t>
      </w:r>
    </w:p>
    <w:p>
      <w:pPr>
        <w:pStyle w:val="style4097"/>
        <w:spacing w:before="240" w:lineRule="auto" w:line="360"/>
        <w:jc w:val="both"/>
        <w:rPr>
          <w:rFonts w:ascii="Times New Roman" w:cs="Times New Roman" w:eastAsia="Times New Roman" w:hAnsi="Times New Roman"/>
          <w:sz w:val="24"/>
          <w:szCs w:val="24"/>
          <w:highlight w:val="white"/>
          <w:lang w:val="en-GB"/>
        </w:rPr>
      </w:pPr>
      <w:r>
        <w:rPr>
          <w:rFonts w:ascii="Times New Roman" w:cs="Times New Roman" w:eastAsia="Times New Roman" w:hAnsi="Times New Roman"/>
          <w:sz w:val="24"/>
          <w:szCs w:val="24"/>
          <w:highlight w:val="white"/>
          <w:lang w:val="en-GB"/>
        </w:rPr>
        <w:t xml:space="preserve">“Abeysekara, N., Wang, H. and Kuruppuarachchi, D., (2019). Effect of supply-chain resilience on firm performance and competitive advantage: A study of the Sri Lankan apparel industry. </w:t>
      </w:r>
      <w:r>
        <w:rPr>
          <w:rFonts w:ascii="Times New Roman" w:cs="Times New Roman" w:eastAsia="Times New Roman" w:hAnsi="Times New Roman"/>
          <w:i/>
          <w:sz w:val="24"/>
          <w:szCs w:val="24"/>
          <w:highlight w:val="white"/>
          <w:lang w:val="en-GB"/>
        </w:rPr>
        <w:t>Business Process Management Journal</w:t>
      </w:r>
      <w:r>
        <w:rPr>
          <w:rFonts w:ascii="Times New Roman" w:cs="Times New Roman" w:eastAsia="Times New Roman" w:hAnsi="Times New Roman"/>
          <w:sz w:val="24"/>
          <w:szCs w:val="24"/>
          <w:highlight w:val="white"/>
          <w:lang w:val="en-GB"/>
        </w:rPr>
        <w:t xml:space="preserve">, </w:t>
      </w:r>
      <w:r>
        <w:rPr>
          <w:rFonts w:ascii="Times New Roman" w:cs="Times New Roman" w:eastAsia="Times New Roman" w:hAnsi="Times New Roman"/>
          <w:i/>
          <w:sz w:val="24"/>
          <w:szCs w:val="24"/>
          <w:highlight w:val="white"/>
          <w:lang w:val="en-GB"/>
        </w:rPr>
        <w:t>25</w:t>
      </w:r>
      <w:r>
        <w:rPr>
          <w:rFonts w:ascii="Times New Roman" w:cs="Times New Roman" w:eastAsia="Times New Roman" w:hAnsi="Times New Roman"/>
          <w:sz w:val="24"/>
          <w:szCs w:val="24"/>
          <w:highlight w:val="white"/>
          <w:lang w:val="en-GB"/>
        </w:rPr>
        <w:t>(7), pp.1673-1695. DOI 10.1108/BPMJ-09-2018-0241.”</w:t>
      </w:r>
    </w:p>
    <w:p>
      <w:pPr>
        <w:pStyle w:val="style0"/>
        <w:spacing w:before="240" w:lineRule="auto" w:line="360"/>
        <w:jc w:val="both"/>
        <w:rPr>
          <w:rFonts w:ascii="Times New Roman" w:cs="Times New Roman" w:hAnsi="Times New Roman"/>
          <w:color w:val="222222"/>
          <w:sz w:val="24"/>
          <w:szCs w:val="24"/>
          <w:shd w:val="clear" w:color="auto" w:fill="ffffff"/>
          <w:lang w:val="en-GB"/>
        </w:rPr>
      </w:pPr>
      <w:r>
        <w:rPr>
          <w:rFonts w:ascii="Times New Roman" w:cs="Times New Roman" w:hAnsi="Times New Roman"/>
          <w:color w:val="222222"/>
          <w:sz w:val="24"/>
          <w:szCs w:val="24"/>
          <w:shd w:val="clear" w:color="auto" w:fill="ffffff"/>
          <w:lang w:val="en-GB"/>
        </w:rPr>
        <w:t>“Almutairi, M.M.Q., (2023). The Impact Of Market Analysis On The Company Strategy. </w:t>
      </w:r>
      <w:r>
        <w:rPr>
          <w:rFonts w:ascii="Times New Roman" w:cs="Times New Roman" w:hAnsi="Times New Roman"/>
          <w:i/>
          <w:iCs/>
          <w:color w:val="222222"/>
          <w:sz w:val="24"/>
          <w:szCs w:val="24"/>
          <w:shd w:val="clear" w:color="auto" w:fill="ffffff"/>
          <w:lang w:val="en-GB"/>
        </w:rPr>
        <w:t>Journal of Positive School Psychology</w:t>
      </w:r>
      <w:r>
        <w:rPr>
          <w:rFonts w:ascii="Times New Roman" w:cs="Times New Roman" w:hAnsi="Times New Roman"/>
          <w:color w:val="222222"/>
          <w:sz w:val="24"/>
          <w:szCs w:val="24"/>
          <w:shd w:val="clear" w:color="auto" w:fill="ffffff"/>
          <w:lang w:val="en-GB"/>
        </w:rPr>
        <w:t>, pp.401-412. https://www.journalppw.com/index.php/jpsp/article/download/16345/10412 “</w:t>
      </w:r>
    </w:p>
    <w:p>
      <w:pPr>
        <w:pStyle w:val="style0"/>
        <w:spacing w:before="240" w:lineRule="auto" w:line="360"/>
        <w:jc w:val="both"/>
        <w:rPr>
          <w:rFonts w:ascii="Times New Roman" w:cs="Times New Roman" w:hAnsi="Times New Roman"/>
          <w:color w:val="222222"/>
          <w:sz w:val="24"/>
          <w:szCs w:val="24"/>
          <w:shd w:val="clear" w:color="auto" w:fill="ffffff"/>
          <w:lang w:val="en-GB"/>
        </w:rPr>
      </w:pPr>
      <w:r>
        <w:rPr>
          <w:rFonts w:ascii="Times New Roman" w:cs="Times New Roman" w:hAnsi="Times New Roman"/>
          <w:color w:val="222222"/>
          <w:sz w:val="24"/>
          <w:szCs w:val="24"/>
          <w:shd w:val="clear" w:color="auto" w:fill="ffffff"/>
          <w:lang w:val="en-GB"/>
        </w:rPr>
        <w:t>“Andari, R., Supartha, I.W.G., Riana, I.G. and Sukawati, T.G.R., (2022). The Strength of Local Wisdom Values as a Differentiation Strategy in Creating Sustainable Tourism Competitiveness. </w:t>
      </w:r>
      <w:r>
        <w:rPr>
          <w:rFonts w:ascii="Times New Roman" w:cs="Times New Roman" w:hAnsi="Times New Roman"/>
          <w:i/>
          <w:iCs/>
          <w:color w:val="222222"/>
          <w:sz w:val="24"/>
          <w:szCs w:val="24"/>
          <w:shd w:val="clear" w:color="auto" w:fill="ffffff"/>
          <w:lang w:val="en-GB"/>
        </w:rPr>
        <w:t>Webology</w:t>
      </w:r>
      <w:r>
        <w:rPr>
          <w:rFonts w:ascii="Times New Roman" w:cs="Times New Roman" w:hAnsi="Times New Roman"/>
          <w:color w:val="222222"/>
          <w:sz w:val="24"/>
          <w:szCs w:val="24"/>
          <w:shd w:val="clear" w:color="auto" w:fill="ffffff"/>
          <w:lang w:val="en-GB"/>
        </w:rPr>
        <w:t>, </w:t>
      </w:r>
      <w:r>
        <w:rPr>
          <w:rFonts w:ascii="Times New Roman" w:cs="Times New Roman" w:hAnsi="Times New Roman"/>
          <w:i/>
          <w:iCs/>
          <w:color w:val="222222"/>
          <w:sz w:val="24"/>
          <w:szCs w:val="24"/>
          <w:shd w:val="clear" w:color="auto" w:fill="ffffff"/>
          <w:lang w:val="en-GB"/>
        </w:rPr>
        <w:t>19</w:t>
      </w:r>
      <w:r>
        <w:rPr>
          <w:rFonts w:ascii="Times New Roman" w:cs="Times New Roman" w:hAnsi="Times New Roman"/>
          <w:color w:val="222222"/>
          <w:sz w:val="24"/>
          <w:szCs w:val="24"/>
          <w:shd w:val="clear" w:color="auto" w:fill="ffffff"/>
          <w:lang w:val="en-GB"/>
        </w:rPr>
        <w:t>(1), pp.4088-4104. https://www.webology.org/data-cms/articles/(2022)0123105641amWEB19269.pdf”</w:t>
      </w:r>
    </w:p>
    <w:p>
      <w:pPr>
        <w:pStyle w:val="style0"/>
        <w:spacing w:before="240" w:lineRule="auto" w:line="360"/>
        <w:jc w:val="both"/>
        <w:rPr>
          <w:rFonts w:ascii="Times New Roman" w:cs="Times New Roman" w:hAnsi="Times New Roman"/>
          <w:sz w:val="24"/>
          <w:szCs w:val="24"/>
        </w:rPr>
      </w:pPr>
      <w:r>
        <w:rPr>
          <w:rFonts w:ascii="Times New Roman" w:cs="Times New Roman" w:hAnsi="Times New Roman"/>
          <w:sz w:val="24"/>
          <w:szCs w:val="24"/>
        </w:rPr>
        <w:t xml:space="preserve">“Baxter, G., (2019). A strategic analysis of Cargolux Airlines International position in the global air cargo supply chain using Porter’s Five Forces Model. </w:t>
      </w:r>
      <w:r>
        <w:rPr>
          <w:rFonts w:ascii="Times New Roman" w:cs="Times New Roman" w:hAnsi="Times New Roman"/>
          <w:i/>
          <w:iCs/>
          <w:sz w:val="24"/>
          <w:szCs w:val="24"/>
        </w:rPr>
        <w:t>Infrastructures</w:t>
      </w:r>
      <w:r>
        <w:rPr>
          <w:rFonts w:ascii="Times New Roman" w:cs="Times New Roman" w:hAnsi="Times New Roman"/>
          <w:sz w:val="24"/>
          <w:szCs w:val="24"/>
        </w:rPr>
        <w:t xml:space="preserve">, </w:t>
      </w:r>
      <w:r>
        <w:rPr>
          <w:rFonts w:ascii="Times New Roman" w:cs="Times New Roman" w:hAnsi="Times New Roman"/>
          <w:i/>
          <w:iCs/>
          <w:sz w:val="24"/>
          <w:szCs w:val="24"/>
        </w:rPr>
        <w:t>4</w:t>
      </w:r>
      <w:r>
        <w:rPr>
          <w:rFonts w:ascii="Times New Roman" w:cs="Times New Roman" w:hAnsi="Times New Roman"/>
          <w:sz w:val="24"/>
          <w:szCs w:val="24"/>
        </w:rPr>
        <w:t>(1), p.6. ”</w:t>
      </w:r>
    </w:p>
    <w:p>
      <w:pPr>
        <w:pStyle w:val="style0"/>
        <w:spacing w:before="240" w:lineRule="auto" w:line="360"/>
        <w:jc w:val="both"/>
        <w:rPr>
          <w:rFonts w:ascii="Times New Roman" w:cs="Times New Roman" w:hAnsi="Times New Roman"/>
          <w:sz w:val="24"/>
          <w:szCs w:val="24"/>
          <w:lang w:val="en-GB"/>
        </w:rPr>
      </w:pPr>
      <w:r>
        <w:rPr>
          <w:rFonts w:ascii="Times New Roman" w:cs="Times New Roman" w:hAnsi="Times New Roman"/>
          <w:sz w:val="24"/>
          <w:szCs w:val="24"/>
          <w:lang w:val="en-GB"/>
        </w:rPr>
        <w:t xml:space="preserve">“bills.parliament.uk, (2023), </w:t>
      </w:r>
      <w:r>
        <w:rPr>
          <w:rFonts w:ascii="Times New Roman" w:cs="Times New Roman" w:hAnsi="Times New Roman"/>
          <w:i/>
          <w:sz w:val="24"/>
          <w:szCs w:val="24"/>
          <w:lang w:val="en-GB"/>
        </w:rPr>
        <w:t>employment act 2008 uk</w:t>
      </w:r>
      <w:r>
        <w:rPr>
          <w:rFonts w:ascii="Times New Roman" w:cs="Times New Roman" w:hAnsi="Times New Roman"/>
          <w:sz w:val="24"/>
          <w:szCs w:val="24"/>
          <w:lang w:val="en-GB"/>
        </w:rPr>
        <w:t>, Available at: https://bills.parliament.uk/bills/243 [Accessed on: 12</w:t>
      </w:r>
      <w:r>
        <w:rPr>
          <w:rFonts w:ascii="Times New Roman" w:cs="Times New Roman" w:hAnsi="Times New Roman"/>
          <w:sz w:val="24"/>
          <w:szCs w:val="24"/>
          <w:vertAlign w:val="superscript"/>
          <w:lang w:val="en-GB"/>
        </w:rPr>
        <w:t>th</w:t>
      </w:r>
      <w:r>
        <w:rPr>
          <w:rFonts w:ascii="Times New Roman" w:cs="Times New Roman" w:hAnsi="Times New Roman"/>
          <w:sz w:val="24"/>
          <w:szCs w:val="24"/>
          <w:lang w:val="en-GB"/>
        </w:rPr>
        <w:t xml:space="preserve"> July, 2023]”</w:t>
      </w:r>
    </w:p>
    <w:p>
      <w:pPr>
        <w:pStyle w:val="style4097"/>
        <w:spacing w:before="240" w:lineRule="auto" w:line="360"/>
        <w:jc w:val="both"/>
        <w:rPr>
          <w:rFonts w:ascii="Times New Roman" w:cs="Times New Roman" w:eastAsia="Times New Roman" w:hAnsi="Times New Roman"/>
          <w:sz w:val="24"/>
          <w:szCs w:val="24"/>
          <w:highlight w:val="white"/>
          <w:lang w:val="en-GB"/>
        </w:rPr>
      </w:pPr>
      <w:r>
        <w:rPr>
          <w:rFonts w:ascii="Times New Roman" w:cs="Times New Roman" w:eastAsia="Times New Roman" w:hAnsi="Times New Roman"/>
          <w:sz w:val="24"/>
          <w:szCs w:val="24"/>
          <w:highlight w:val="white"/>
          <w:lang w:val="en-GB"/>
        </w:rPr>
        <w:t xml:space="preserve">“Bogers, M., Chesbrough, H., Heaton, S. and Teece, D.J., (2019). Strategic management of open innovation: A dynamic capabilities perspective. </w:t>
      </w:r>
      <w:r>
        <w:rPr>
          <w:rFonts w:ascii="Times New Roman" w:cs="Times New Roman" w:eastAsia="Times New Roman" w:hAnsi="Times New Roman"/>
          <w:i/>
          <w:sz w:val="24"/>
          <w:szCs w:val="24"/>
          <w:highlight w:val="white"/>
          <w:lang w:val="en-GB"/>
        </w:rPr>
        <w:t>California Management Review</w:t>
      </w:r>
      <w:r>
        <w:rPr>
          <w:rFonts w:ascii="Times New Roman" w:cs="Times New Roman" w:eastAsia="Times New Roman" w:hAnsi="Times New Roman"/>
          <w:sz w:val="24"/>
          <w:szCs w:val="24"/>
          <w:highlight w:val="white"/>
          <w:lang w:val="en-GB"/>
        </w:rPr>
        <w:t xml:space="preserve">, </w:t>
      </w:r>
      <w:r>
        <w:rPr>
          <w:rFonts w:ascii="Times New Roman" w:cs="Times New Roman" w:eastAsia="Times New Roman" w:hAnsi="Times New Roman"/>
          <w:i/>
          <w:sz w:val="24"/>
          <w:szCs w:val="24"/>
          <w:highlight w:val="white"/>
          <w:lang w:val="en-GB"/>
        </w:rPr>
        <w:t>62</w:t>
      </w:r>
      <w:r>
        <w:rPr>
          <w:rFonts w:ascii="Times New Roman" w:cs="Times New Roman" w:eastAsia="Times New Roman" w:hAnsi="Times New Roman"/>
          <w:sz w:val="24"/>
          <w:szCs w:val="24"/>
          <w:highlight w:val="white"/>
          <w:lang w:val="en-GB"/>
        </w:rPr>
        <w:t>(1), pp.77-94. DOI: https://doi.org/10.1177/0008125619885150.”</w:t>
      </w:r>
    </w:p>
    <w:p>
      <w:pPr>
        <w:pStyle w:val="style4097"/>
        <w:spacing w:before="240" w:lineRule="auto" w:line="360"/>
        <w:jc w:val="both"/>
        <w:rPr>
          <w:rFonts w:ascii="Times New Roman" w:cs="Times New Roman" w:eastAsia="Times New Roman" w:hAnsi="Times New Roman"/>
          <w:sz w:val="24"/>
          <w:szCs w:val="24"/>
          <w:highlight w:val="white"/>
          <w:lang w:val="en-GB"/>
        </w:rPr>
      </w:pPr>
      <w:r>
        <w:rPr>
          <w:rFonts w:ascii="Times New Roman" w:cs="Times New Roman" w:eastAsia="Times New Roman" w:hAnsi="Times New Roman"/>
          <w:sz w:val="24"/>
          <w:szCs w:val="24"/>
          <w:highlight w:val="white"/>
          <w:lang w:val="en-GB"/>
        </w:rPr>
        <w:t xml:space="preserve">“Bryson, J. and George, B., (2020). Strategic management in public administration. In </w:t>
      </w:r>
      <w:r>
        <w:rPr>
          <w:rFonts w:ascii="Times New Roman" w:cs="Times New Roman" w:eastAsia="Times New Roman" w:hAnsi="Times New Roman"/>
          <w:i/>
          <w:sz w:val="24"/>
          <w:szCs w:val="24"/>
          <w:highlight w:val="white"/>
          <w:lang w:val="en-GB"/>
        </w:rPr>
        <w:t>Oxford Research Encyclopedia of Politics</w:t>
      </w:r>
      <w:r>
        <w:rPr>
          <w:rFonts w:ascii="Times New Roman" w:cs="Times New Roman" w:eastAsia="Times New Roman" w:hAnsi="Times New Roman"/>
          <w:sz w:val="24"/>
          <w:szCs w:val="24"/>
          <w:highlight w:val="white"/>
          <w:lang w:val="en-GB"/>
        </w:rPr>
        <w:t xml:space="preserve">. DOI: 10.1093/acrefore/9780190228637.013.1396” </w:t>
      </w:r>
    </w:p>
    <w:p>
      <w:pPr>
        <w:pStyle w:val="style0"/>
        <w:spacing w:before="240" w:lineRule="auto" w:line="360"/>
        <w:jc w:val="both"/>
        <w:rPr>
          <w:rFonts w:ascii="Times New Roman" w:cs="Times New Roman" w:hAnsi="Times New Roman"/>
          <w:color w:val="222222"/>
          <w:sz w:val="24"/>
          <w:szCs w:val="24"/>
          <w:shd w:val="clear" w:color="auto" w:fill="ffffff"/>
          <w:lang w:val="en-GB"/>
        </w:rPr>
      </w:pPr>
      <w:r>
        <w:rPr>
          <w:rFonts w:ascii="Times New Roman" w:cs="Times New Roman" w:hAnsi="Times New Roman"/>
          <w:color w:val="222222"/>
          <w:sz w:val="24"/>
          <w:szCs w:val="24"/>
          <w:shd w:val="clear" w:color="auto" w:fill="ffffff"/>
          <w:lang w:val="en-GB"/>
        </w:rPr>
        <w:t>“Carrascal-Incera, A., McCann, P., Ortega-Argilés, R. and Rodríguez-Pose, A., (2020). UK interregional inequality in a historical and international comparative context. </w:t>
      </w:r>
      <w:r>
        <w:rPr>
          <w:rFonts w:ascii="Times New Roman" w:cs="Times New Roman" w:hAnsi="Times New Roman"/>
          <w:i/>
          <w:iCs/>
          <w:color w:val="222222"/>
          <w:sz w:val="24"/>
          <w:szCs w:val="24"/>
          <w:shd w:val="clear" w:color="auto" w:fill="ffffff"/>
          <w:lang w:val="en-GB"/>
        </w:rPr>
        <w:t>National Institute Economic Review</w:t>
      </w:r>
      <w:r>
        <w:rPr>
          <w:rFonts w:ascii="Times New Roman" w:cs="Times New Roman" w:hAnsi="Times New Roman"/>
          <w:color w:val="222222"/>
          <w:sz w:val="24"/>
          <w:szCs w:val="24"/>
          <w:shd w:val="clear" w:color="auto" w:fill="ffffff"/>
          <w:lang w:val="en-GB"/>
        </w:rPr>
        <w:t>, </w:t>
      </w:r>
      <w:r>
        <w:rPr>
          <w:rFonts w:ascii="Times New Roman" w:cs="Times New Roman" w:hAnsi="Times New Roman"/>
          <w:i/>
          <w:iCs/>
          <w:color w:val="222222"/>
          <w:sz w:val="24"/>
          <w:szCs w:val="24"/>
          <w:shd w:val="clear" w:color="auto" w:fill="ffffff"/>
          <w:lang w:val="en-GB"/>
        </w:rPr>
        <w:t>253</w:t>
      </w:r>
      <w:r>
        <w:rPr>
          <w:rFonts w:ascii="Times New Roman" w:cs="Times New Roman" w:hAnsi="Times New Roman"/>
          <w:color w:val="222222"/>
          <w:sz w:val="24"/>
          <w:szCs w:val="24"/>
          <w:shd w:val="clear" w:color="auto" w:fill="ffffff"/>
          <w:lang w:val="en-GB"/>
        </w:rPr>
        <w:t>, pp.R4-R17.”</w:t>
      </w:r>
    </w:p>
    <w:p>
      <w:pPr>
        <w:pStyle w:val="style0"/>
        <w:spacing w:before="240" w:lineRule="auto" w:line="360"/>
        <w:jc w:val="both"/>
        <w:rPr>
          <w:rFonts w:ascii="Times New Roman" w:cs="Times New Roman" w:hAnsi="Times New Roman"/>
          <w:sz w:val="24"/>
          <w:szCs w:val="24"/>
        </w:rPr>
      </w:pPr>
      <w:r>
        <w:rPr>
          <w:rFonts w:ascii="Times New Roman" w:cs="Times New Roman" w:hAnsi="Times New Roman"/>
          <w:sz w:val="24"/>
          <w:szCs w:val="24"/>
        </w:rPr>
        <w:t xml:space="preserve">“Clarissia, S.M.S., (2020). A study on Ansoff Matrix Technique: As a growth strategy and an adaptive learning technique adopted in the leading brand of products. </w:t>
      </w:r>
      <w:r>
        <w:rPr>
          <w:rFonts w:ascii="Times New Roman" w:cs="Times New Roman" w:hAnsi="Times New Roman"/>
          <w:i/>
          <w:iCs/>
          <w:sz w:val="24"/>
          <w:szCs w:val="24"/>
        </w:rPr>
        <w:t>BIMS Journal of Management</w:t>
      </w:r>
      <w:r>
        <w:rPr>
          <w:rFonts w:ascii="Times New Roman" w:cs="Times New Roman" w:hAnsi="Times New Roman"/>
          <w:sz w:val="24"/>
          <w:szCs w:val="24"/>
        </w:rPr>
        <w:t xml:space="preserve">, </w:t>
      </w:r>
      <w:r>
        <w:rPr>
          <w:rFonts w:ascii="Times New Roman" w:cs="Times New Roman" w:hAnsi="Times New Roman"/>
          <w:i/>
          <w:iCs/>
          <w:sz w:val="24"/>
          <w:szCs w:val="24"/>
        </w:rPr>
        <w:t>18</w:t>
      </w:r>
      <w:r>
        <w:rPr>
          <w:rFonts w:ascii="Times New Roman" w:cs="Times New Roman" w:hAnsi="Times New Roman"/>
          <w:sz w:val="24"/>
          <w:szCs w:val="24"/>
        </w:rPr>
        <w:t>, pp. 17-26.”</w:t>
      </w:r>
    </w:p>
    <w:p>
      <w:pPr>
        <w:pStyle w:val="style0"/>
        <w:spacing w:before="240" w:lineRule="auto" w:line="360"/>
        <w:jc w:val="both"/>
        <w:rPr>
          <w:rFonts w:ascii="Times New Roman" w:cs="Times New Roman" w:hAnsi="Times New Roman"/>
          <w:sz w:val="24"/>
          <w:szCs w:val="24"/>
          <w:lang w:val="en-GB"/>
        </w:rPr>
      </w:pPr>
      <w:r>
        <w:rPr>
          <w:rFonts w:ascii="Times New Roman" w:cs="Times New Roman" w:hAnsi="Times New Roman"/>
          <w:sz w:val="24"/>
          <w:szCs w:val="24"/>
          <w:lang w:val="en-GB"/>
        </w:rPr>
        <w:t xml:space="preserve">“craft.co, (2023), </w:t>
      </w:r>
      <w:r>
        <w:rPr>
          <w:rFonts w:ascii="Times New Roman" w:cs="Times New Roman" w:hAnsi="Times New Roman"/>
          <w:i/>
          <w:sz w:val="24"/>
          <w:szCs w:val="24"/>
          <w:lang w:val="en-GB"/>
        </w:rPr>
        <w:t>competitors of GSK</w:t>
      </w:r>
      <w:r>
        <w:rPr>
          <w:rFonts w:ascii="Times New Roman" w:cs="Times New Roman" w:hAnsi="Times New Roman"/>
          <w:sz w:val="24"/>
          <w:szCs w:val="24"/>
          <w:lang w:val="en-GB"/>
        </w:rPr>
        <w:t>, Available at: https://craft.co/glaxosmithkline/competitors [Accessed on: 12</w:t>
      </w:r>
      <w:r>
        <w:rPr>
          <w:rFonts w:ascii="Times New Roman" w:cs="Times New Roman" w:hAnsi="Times New Roman"/>
          <w:sz w:val="24"/>
          <w:szCs w:val="24"/>
          <w:vertAlign w:val="superscript"/>
          <w:lang w:val="en-GB"/>
        </w:rPr>
        <w:t>th</w:t>
      </w:r>
      <w:r>
        <w:rPr>
          <w:rFonts w:ascii="Times New Roman" w:cs="Times New Roman" w:hAnsi="Times New Roman"/>
          <w:sz w:val="24"/>
          <w:szCs w:val="24"/>
          <w:lang w:val="en-GB"/>
        </w:rPr>
        <w:t xml:space="preserve"> July, 2023]”</w:t>
      </w:r>
    </w:p>
    <w:p>
      <w:pPr>
        <w:pStyle w:val="style0"/>
        <w:spacing w:before="240" w:lineRule="auto" w:line="360"/>
        <w:jc w:val="both"/>
        <w:rPr>
          <w:rFonts w:ascii="Times New Roman" w:cs="Times New Roman" w:hAnsi="Times New Roman"/>
          <w:sz w:val="24"/>
          <w:szCs w:val="24"/>
        </w:rPr>
      </w:pPr>
      <w:r>
        <w:rPr>
          <w:rFonts w:ascii="Times New Roman" w:cs="Times New Roman" w:hAnsi="Times New Roman"/>
          <w:sz w:val="24"/>
          <w:szCs w:val="24"/>
        </w:rPr>
        <w:t xml:space="preserve">“Doan, X.V., Lei, X. and Shen, S., (2020). Pricing of reusable resources under ambiguous distributions of demand and service time with emerging applications. </w:t>
      </w:r>
      <w:r>
        <w:rPr>
          <w:rFonts w:ascii="Times New Roman" w:cs="Times New Roman" w:hAnsi="Times New Roman"/>
          <w:i/>
          <w:iCs/>
          <w:sz w:val="24"/>
          <w:szCs w:val="24"/>
        </w:rPr>
        <w:t>European Journal of Operational Research</w:t>
      </w:r>
      <w:r>
        <w:rPr>
          <w:rFonts w:ascii="Times New Roman" w:cs="Times New Roman" w:hAnsi="Times New Roman"/>
          <w:sz w:val="24"/>
          <w:szCs w:val="24"/>
        </w:rPr>
        <w:t xml:space="preserve">, </w:t>
      </w:r>
      <w:r>
        <w:rPr>
          <w:rFonts w:ascii="Times New Roman" w:cs="Times New Roman" w:hAnsi="Times New Roman"/>
          <w:i/>
          <w:iCs/>
          <w:sz w:val="24"/>
          <w:szCs w:val="24"/>
        </w:rPr>
        <w:t>282</w:t>
      </w:r>
      <w:r>
        <w:rPr>
          <w:rFonts w:ascii="Times New Roman" w:cs="Times New Roman" w:hAnsi="Times New Roman"/>
          <w:sz w:val="24"/>
          <w:szCs w:val="24"/>
        </w:rPr>
        <w:t>(1), pp.235-251.”</w:t>
      </w:r>
    </w:p>
    <w:p>
      <w:pPr>
        <w:pStyle w:val="style0"/>
        <w:spacing w:before="240" w:lineRule="auto" w:line="360"/>
        <w:jc w:val="both"/>
        <w:rPr>
          <w:rFonts w:ascii="Times New Roman" w:cs="Times New Roman" w:hAnsi="Times New Roman"/>
          <w:color w:val="222222"/>
          <w:sz w:val="24"/>
          <w:szCs w:val="24"/>
          <w:shd w:val="clear" w:color="auto" w:fill="ffffff"/>
          <w:lang w:val="en-GB"/>
        </w:rPr>
      </w:pPr>
      <w:r>
        <w:rPr>
          <w:rFonts w:ascii="Times New Roman" w:cs="Times New Roman" w:hAnsi="Times New Roman"/>
          <w:color w:val="222222"/>
          <w:sz w:val="24"/>
          <w:szCs w:val="24"/>
          <w:shd w:val="clear" w:color="auto" w:fill="ffffff"/>
          <w:lang w:val="en-GB"/>
        </w:rPr>
        <w:t>“Etale, L.M., Ochuba, I.S., Ochuba, I.S. and Sawyerr, A.E., (2021). Social cost accounting and profitability of Glaxo Smith Kline Nigeria Plc. listed on the NSE. </w:t>
      </w:r>
      <w:r>
        <w:rPr>
          <w:rFonts w:ascii="Times New Roman" w:cs="Times New Roman" w:hAnsi="Times New Roman"/>
          <w:i/>
          <w:iCs/>
          <w:color w:val="222222"/>
          <w:sz w:val="24"/>
          <w:szCs w:val="24"/>
          <w:shd w:val="clear" w:color="auto" w:fill="ffffff"/>
          <w:lang w:val="en-GB"/>
        </w:rPr>
        <w:t>Ochuba and Sawyerr, Ayaundu E., Social Cost Accounting and Profitability of Glaxo Smith Kline Nigeria Plc. Listed On the NSE (February 8, (2021)). Lyndon M. Etale, Ikechukwu S. Ochuba and Ayaundu E. Sawyerr</w:t>
      </w:r>
      <w:r>
        <w:rPr>
          <w:rFonts w:ascii="Times New Roman" w:cs="Times New Roman" w:hAnsi="Times New Roman"/>
          <w:color w:val="222222"/>
          <w:sz w:val="24"/>
          <w:szCs w:val="24"/>
          <w:shd w:val="clear" w:color="auto" w:fill="ffffff"/>
          <w:lang w:val="en-GB"/>
        </w:rPr>
        <w:t>, pp.31-52. https://www.busrentaldelhi.com/wp-content/uploads/Social-Cost-Accounting-and-Profitability-of-Glaxo-Smith-Kline-Nig</w:t>
      </w:r>
      <w:r>
        <w:rPr>
          <w:rFonts w:ascii="Times New Roman" w:cs="Times New Roman" w:hAnsi="Times New Roman"/>
          <w:color w:val="222222"/>
          <w:sz w:val="24"/>
          <w:szCs w:val="24"/>
          <w:shd w:val="clear" w:color="auto" w:fill="ffffff"/>
          <w:lang w:val="en-GB"/>
        </w:rPr>
        <w:t>eria-Plc-Listed-On-the-NSE.pdf"</w:t>
      </w:r>
    </w:p>
    <w:p>
      <w:pPr>
        <w:pStyle w:val="style0"/>
        <w:spacing w:before="240" w:lineRule="auto" w:line="360"/>
        <w:jc w:val="both"/>
        <w:rPr>
          <w:rFonts w:ascii="Times New Roman" w:cs="Times New Roman" w:hAnsi="Times New Roman"/>
          <w:color w:val="222222"/>
          <w:sz w:val="32"/>
          <w:szCs w:val="24"/>
          <w:shd w:val="clear" w:color="auto" w:fill="ffffff"/>
          <w:lang w:val="en-GB"/>
        </w:rPr>
      </w:pPr>
      <w:r>
        <w:rPr>
          <w:rFonts w:ascii="Times New Roman" w:cs="Times New Roman" w:hAnsi="Times New Roman"/>
          <w:color w:val="222222"/>
          <w:sz w:val="24"/>
          <w:szCs w:val="20"/>
          <w:shd w:val="clear" w:color="auto" w:fill="ffffff"/>
        </w:rPr>
        <w:t>"Falahatgar, S., Chamanzamin, M.R. and Taleghani, M., 2021. The Effect of Competitive Advantage Strategies on Customer Loyalty: Mediated role of Brand Identification and Brand Awareness (Case study: Parsian Insurance customers). </w:t>
      </w:r>
      <w:r>
        <w:rPr>
          <w:rFonts w:ascii="Times New Roman" w:cs="Times New Roman" w:hAnsi="Times New Roman"/>
          <w:i/>
          <w:iCs/>
          <w:color w:val="222222"/>
          <w:sz w:val="24"/>
          <w:szCs w:val="20"/>
          <w:shd w:val="clear" w:color="auto" w:fill="ffffff"/>
        </w:rPr>
        <w:t>Journal of System Management</w:t>
      </w:r>
      <w:r>
        <w:rPr>
          <w:rFonts w:ascii="Times New Roman" w:cs="Times New Roman" w:hAnsi="Times New Roman"/>
          <w:color w:val="222222"/>
          <w:sz w:val="24"/>
          <w:szCs w:val="20"/>
          <w:shd w:val="clear" w:color="auto" w:fill="ffffff"/>
        </w:rPr>
        <w:t>, </w:t>
      </w:r>
      <w:r>
        <w:rPr>
          <w:rFonts w:ascii="Times New Roman" w:cs="Times New Roman" w:hAnsi="Times New Roman"/>
          <w:i/>
          <w:iCs/>
          <w:color w:val="222222"/>
          <w:sz w:val="24"/>
          <w:szCs w:val="20"/>
          <w:shd w:val="clear" w:color="auto" w:fill="ffffff"/>
        </w:rPr>
        <w:t>7</w:t>
      </w:r>
      <w:r>
        <w:rPr>
          <w:rFonts w:ascii="Times New Roman" w:cs="Times New Roman" w:hAnsi="Times New Roman"/>
          <w:color w:val="222222"/>
          <w:sz w:val="24"/>
          <w:szCs w:val="20"/>
          <w:shd w:val="clear" w:color="auto" w:fill="ffffff"/>
        </w:rPr>
        <w:t>(4), pp.229-252."</w:t>
      </w:r>
    </w:p>
    <w:p>
      <w:pPr>
        <w:pStyle w:val="style4097"/>
        <w:spacing w:before="240" w:lineRule="auto" w:line="360"/>
        <w:jc w:val="both"/>
        <w:rPr>
          <w:rFonts w:ascii="Times New Roman" w:cs="Times New Roman" w:eastAsia="Times New Roman" w:hAnsi="Times New Roman"/>
          <w:sz w:val="24"/>
          <w:szCs w:val="24"/>
          <w:highlight w:val="white"/>
          <w:lang w:val="en-GB"/>
        </w:rPr>
      </w:pPr>
      <w:r>
        <w:rPr>
          <w:rFonts w:ascii="Times New Roman" w:cs="Times New Roman" w:eastAsia="Times New Roman" w:hAnsi="Times New Roman"/>
          <w:sz w:val="24"/>
          <w:szCs w:val="24"/>
          <w:highlight w:val="white"/>
          <w:lang w:val="en-GB"/>
        </w:rPr>
        <w:t xml:space="preserve">“Freeman, R.E., Dmytriyev, S.D. and Phillips, R.A., (2021). Stakeholder theory and the resource-based view of the firm. </w:t>
      </w:r>
      <w:r>
        <w:rPr>
          <w:rFonts w:ascii="Times New Roman" w:cs="Times New Roman" w:eastAsia="Times New Roman" w:hAnsi="Times New Roman"/>
          <w:i/>
          <w:sz w:val="24"/>
          <w:szCs w:val="24"/>
          <w:highlight w:val="white"/>
          <w:lang w:val="en-GB"/>
        </w:rPr>
        <w:t>Journal of Management</w:t>
      </w:r>
      <w:r>
        <w:rPr>
          <w:rFonts w:ascii="Times New Roman" w:cs="Times New Roman" w:eastAsia="Times New Roman" w:hAnsi="Times New Roman"/>
          <w:sz w:val="24"/>
          <w:szCs w:val="24"/>
          <w:highlight w:val="white"/>
          <w:lang w:val="en-GB"/>
        </w:rPr>
        <w:t xml:space="preserve">, </w:t>
      </w:r>
      <w:r>
        <w:rPr>
          <w:rFonts w:ascii="Times New Roman" w:cs="Times New Roman" w:eastAsia="Times New Roman" w:hAnsi="Times New Roman"/>
          <w:i/>
          <w:sz w:val="24"/>
          <w:szCs w:val="24"/>
          <w:highlight w:val="white"/>
          <w:lang w:val="en-GB"/>
        </w:rPr>
        <w:t>47</w:t>
      </w:r>
      <w:r>
        <w:rPr>
          <w:rFonts w:ascii="Times New Roman" w:cs="Times New Roman" w:eastAsia="Times New Roman" w:hAnsi="Times New Roman"/>
          <w:sz w:val="24"/>
          <w:szCs w:val="24"/>
          <w:highlight w:val="white"/>
          <w:lang w:val="en-GB"/>
        </w:rPr>
        <w:t>(7), pp.1757-1770. DOI: https://doi.org/10.1177/0149206321993576.”</w:t>
      </w:r>
    </w:p>
    <w:p>
      <w:pPr>
        <w:pStyle w:val="style4097"/>
        <w:spacing w:before="240" w:lineRule="auto" w:line="360"/>
        <w:rPr>
          <w:rFonts w:ascii="Times New Roman" w:cs="Times New Roman" w:hAnsi="Times New Roman"/>
          <w:color w:val="222222"/>
          <w:sz w:val="24"/>
          <w:szCs w:val="24"/>
          <w:shd w:val="clear" w:color="auto" w:fill="ffffff"/>
        </w:rPr>
      </w:pPr>
      <w:r>
        <w:rPr>
          <w:rFonts w:ascii="Times New Roman" w:cs="Times New Roman" w:hAnsi="Times New Roman"/>
          <w:color w:val="222222"/>
          <w:sz w:val="24"/>
          <w:szCs w:val="24"/>
          <w:shd w:val="clear" w:color="auto" w:fill="ffffff"/>
        </w:rPr>
        <w:t>"</w:t>
      </w:r>
      <w:r>
        <w:rPr>
          <w:rFonts w:ascii="Times New Roman" w:cs="Times New Roman" w:hAnsi="Times New Roman"/>
          <w:color w:val="222222"/>
          <w:sz w:val="24"/>
          <w:szCs w:val="24"/>
          <w:shd w:val="clear" w:color="auto" w:fill="ffffff"/>
        </w:rPr>
        <w:t>Fuertes, G., Alfaro, M., Vargas, M., Gutierrez, S., Ternero, R. and Sabattin, J., (2020). Conceptual framework for the strategic management: a literature review—descriptive. </w:t>
      </w:r>
      <w:r>
        <w:rPr>
          <w:rFonts w:ascii="Times New Roman" w:cs="Times New Roman" w:hAnsi="Times New Roman"/>
          <w:i/>
          <w:iCs/>
          <w:color w:val="222222"/>
          <w:sz w:val="24"/>
          <w:szCs w:val="24"/>
          <w:shd w:val="clear" w:color="auto" w:fill="ffffff"/>
        </w:rPr>
        <w:t>Journal of Engineering</w:t>
      </w:r>
      <w:r>
        <w:rPr>
          <w:rFonts w:ascii="Times New Roman" w:cs="Times New Roman" w:hAnsi="Times New Roman"/>
          <w:color w:val="222222"/>
          <w:sz w:val="24"/>
          <w:szCs w:val="24"/>
          <w:shd w:val="clear" w:color="auto" w:fill="ffffff"/>
        </w:rPr>
        <w:t>, </w:t>
      </w:r>
      <w:r>
        <w:rPr>
          <w:rFonts w:ascii="Times New Roman" w:cs="Times New Roman" w:hAnsi="Times New Roman"/>
          <w:i/>
          <w:iCs/>
          <w:color w:val="222222"/>
          <w:sz w:val="24"/>
          <w:szCs w:val="24"/>
          <w:shd w:val="clear" w:color="auto" w:fill="ffffff"/>
        </w:rPr>
        <w:t>2020</w:t>
      </w:r>
      <w:r>
        <w:rPr>
          <w:rFonts w:ascii="Times New Roman" w:cs="Times New Roman" w:hAnsi="Times New Roman"/>
          <w:color w:val="222222"/>
          <w:sz w:val="24"/>
          <w:szCs w:val="24"/>
          <w:shd w:val="clear" w:color="auto" w:fill="ffffff"/>
        </w:rPr>
        <w:t>, pp.1-21.</w:t>
      </w:r>
      <w:r>
        <w:rPr>
          <w:rFonts w:ascii="Times New Roman" w:cs="Times New Roman" w:hAnsi="Times New Roman"/>
          <w:color w:val="222222"/>
          <w:sz w:val="24"/>
          <w:szCs w:val="24"/>
          <w:shd w:val="clear" w:color="auto" w:fill="ffffff"/>
        </w:rPr>
        <w:t>"</w:t>
      </w:r>
    </w:p>
    <w:p>
      <w:pPr>
        <w:pStyle w:val="style0"/>
        <w:spacing w:before="240" w:lineRule="auto" w:line="360"/>
        <w:jc w:val="both"/>
        <w:rPr>
          <w:rFonts w:ascii="Times New Roman" w:cs="Times New Roman" w:hAnsi="Times New Roman"/>
          <w:sz w:val="24"/>
          <w:szCs w:val="24"/>
          <w:lang w:val="en-GB"/>
        </w:rPr>
      </w:pPr>
      <w:r>
        <w:rPr>
          <w:rFonts w:ascii="Times New Roman" w:cs="Times New Roman" w:hAnsi="Times New Roman"/>
          <w:color w:val="222222"/>
          <w:sz w:val="24"/>
          <w:szCs w:val="24"/>
          <w:shd w:val="clear" w:color="auto" w:fill="ffffff"/>
          <w:lang w:val="en-GB"/>
        </w:rPr>
        <w:t xml:space="preserve">“gov.uk, (2023), </w:t>
      </w:r>
      <w:r>
        <w:rPr>
          <w:rFonts w:ascii="Times New Roman" w:cs="Times New Roman" w:hAnsi="Times New Roman"/>
          <w:i/>
          <w:color w:val="222222"/>
          <w:sz w:val="24"/>
          <w:szCs w:val="24"/>
          <w:shd w:val="clear" w:color="auto" w:fill="ffffff"/>
          <w:lang w:val="en-GB"/>
        </w:rPr>
        <w:t>Government commits up to £3.5 billion to future of tech and science</w:t>
      </w:r>
      <w:r>
        <w:rPr>
          <w:rFonts w:ascii="Times New Roman" w:cs="Times New Roman" w:hAnsi="Times New Roman"/>
          <w:color w:val="222222"/>
          <w:sz w:val="24"/>
          <w:szCs w:val="24"/>
          <w:shd w:val="clear" w:color="auto" w:fill="ffffff"/>
          <w:lang w:val="en-GB"/>
        </w:rPr>
        <w:t xml:space="preserve">, Available at: https://www.gov.uk/government/news/government-commits-up-to-35-billion-to-future-of-tech-and-science </w:t>
      </w:r>
      <w:r>
        <w:rPr>
          <w:rFonts w:ascii="Times New Roman" w:cs="Times New Roman" w:hAnsi="Times New Roman"/>
          <w:sz w:val="24"/>
          <w:szCs w:val="24"/>
          <w:lang w:val="en-GB"/>
        </w:rPr>
        <w:t>[Accessed on: 12</w:t>
      </w:r>
      <w:r>
        <w:rPr>
          <w:rFonts w:ascii="Times New Roman" w:cs="Times New Roman" w:hAnsi="Times New Roman"/>
          <w:sz w:val="24"/>
          <w:szCs w:val="24"/>
          <w:vertAlign w:val="superscript"/>
          <w:lang w:val="en-GB"/>
        </w:rPr>
        <w:t>th</w:t>
      </w:r>
      <w:r>
        <w:rPr>
          <w:rFonts w:ascii="Times New Roman" w:cs="Times New Roman" w:hAnsi="Times New Roman"/>
          <w:sz w:val="24"/>
          <w:szCs w:val="24"/>
          <w:lang w:val="en-GB"/>
        </w:rPr>
        <w:t xml:space="preserve"> July, 2023]”</w:t>
      </w:r>
    </w:p>
    <w:p>
      <w:pPr>
        <w:pStyle w:val="style0"/>
        <w:spacing w:before="240" w:lineRule="auto" w:line="360"/>
        <w:jc w:val="both"/>
        <w:rPr>
          <w:rFonts w:ascii="Times New Roman" w:cs="Times New Roman" w:hAnsi="Times New Roman"/>
          <w:sz w:val="24"/>
          <w:szCs w:val="24"/>
        </w:rPr>
      </w:pPr>
      <w:r>
        <w:rPr>
          <w:rFonts w:ascii="Times New Roman" w:cs="Times New Roman" w:hAnsi="Times New Roman"/>
          <w:sz w:val="24"/>
          <w:szCs w:val="24"/>
        </w:rPr>
        <w:t xml:space="preserve">“Goyal, A., (2020). A critical analysis of Porter’s 5 forces model of competitive advantage. </w:t>
      </w:r>
      <w:r>
        <w:rPr>
          <w:rFonts w:ascii="Times New Roman" w:cs="Times New Roman" w:hAnsi="Times New Roman"/>
          <w:i/>
          <w:iCs/>
          <w:sz w:val="24"/>
          <w:szCs w:val="24"/>
        </w:rPr>
        <w:t>Journal of Emerging Technologies and Innovative Research, 7</w:t>
      </w:r>
      <w:r>
        <w:rPr>
          <w:rFonts w:ascii="Times New Roman" w:cs="Times New Roman" w:hAnsi="Times New Roman"/>
          <w:sz w:val="24"/>
          <w:szCs w:val="24"/>
        </w:rPr>
        <w:t>(7), pp. 149-152. ”</w:t>
      </w:r>
    </w:p>
    <w:p>
      <w:pPr>
        <w:pStyle w:val="style0"/>
        <w:spacing w:before="240" w:lineRule="auto" w:line="360"/>
        <w:jc w:val="both"/>
        <w:rPr>
          <w:rFonts w:ascii="Times New Roman" w:cs="Times New Roman" w:hAnsi="Times New Roman"/>
          <w:sz w:val="24"/>
          <w:szCs w:val="24"/>
        </w:rPr>
      </w:pPr>
      <w:r>
        <w:rPr>
          <w:rFonts w:ascii="Times New Roman" w:cs="Times New Roman" w:hAnsi="Times New Roman"/>
          <w:sz w:val="24"/>
          <w:szCs w:val="24"/>
        </w:rPr>
        <w:t>“GSK. (2023a). “</w:t>
      </w:r>
      <w:r>
        <w:rPr>
          <w:rFonts w:ascii="Times New Roman" w:cs="Times New Roman" w:hAnsi="Times New Roman"/>
          <w:i/>
          <w:iCs/>
          <w:sz w:val="24"/>
          <w:szCs w:val="24"/>
        </w:rPr>
        <w:t>Our product areas”.</w:t>
      </w:r>
      <w:r>
        <w:rPr>
          <w:rFonts w:ascii="Times New Roman" w:cs="Times New Roman" w:hAnsi="Times New Roman"/>
          <w:sz w:val="24"/>
          <w:szCs w:val="24"/>
        </w:rPr>
        <w:t xml:space="preserve">  Available at: https://www.gsk.com/en-gb/products/our-product-areas/  [Accessed: 13 July 2023].”</w:t>
      </w:r>
    </w:p>
    <w:p>
      <w:pPr>
        <w:pStyle w:val="style0"/>
        <w:spacing w:before="240" w:lineRule="auto" w:line="360"/>
        <w:jc w:val="both"/>
        <w:rPr>
          <w:rFonts w:ascii="Times New Roman" w:cs="Times New Roman" w:hAnsi="Times New Roman"/>
          <w:sz w:val="24"/>
          <w:szCs w:val="24"/>
        </w:rPr>
      </w:pPr>
      <w:r>
        <w:rPr>
          <w:rFonts w:ascii="Times New Roman" w:cs="Times New Roman" w:hAnsi="Times New Roman"/>
          <w:sz w:val="24"/>
          <w:szCs w:val="24"/>
        </w:rPr>
        <w:t>“GSK. (2023b). “</w:t>
      </w:r>
      <w:r>
        <w:rPr>
          <w:rFonts w:ascii="Times New Roman" w:cs="Times New Roman" w:hAnsi="Times New Roman"/>
          <w:i/>
          <w:iCs/>
          <w:sz w:val="24"/>
          <w:szCs w:val="24"/>
        </w:rPr>
        <w:t>GSK delivers strong 2022 performance with full year sales”.</w:t>
      </w:r>
      <w:r>
        <w:rPr>
          <w:rFonts w:ascii="Times New Roman" w:cs="Times New Roman" w:hAnsi="Times New Roman"/>
          <w:sz w:val="24"/>
          <w:szCs w:val="24"/>
        </w:rPr>
        <w:t xml:space="preserve">  Available at: https://www.gsk.com/en-gb/media/press-releases/gsk-delivers-strong-2022-performance-with-full-year-sales-of-293-billion/  [Accessed: 13 July 2023].”</w:t>
      </w:r>
    </w:p>
    <w:p>
      <w:pPr>
        <w:pStyle w:val="style0"/>
        <w:spacing w:before="240" w:lineRule="auto" w:line="360"/>
        <w:jc w:val="both"/>
        <w:rPr>
          <w:rFonts w:ascii="Times New Roman" w:cs="Times New Roman" w:hAnsi="Times New Roman"/>
          <w:sz w:val="24"/>
          <w:szCs w:val="24"/>
        </w:rPr>
      </w:pPr>
      <w:r>
        <w:rPr>
          <w:rFonts w:ascii="Times New Roman" w:cs="Times New Roman" w:hAnsi="Times New Roman"/>
          <w:sz w:val="24"/>
          <w:szCs w:val="24"/>
        </w:rPr>
        <w:t>“GSK. (2023c). “</w:t>
      </w:r>
      <w:r>
        <w:rPr>
          <w:rFonts w:ascii="Times New Roman" w:cs="Times New Roman" w:hAnsi="Times New Roman"/>
          <w:i/>
          <w:iCs/>
          <w:sz w:val="24"/>
          <w:szCs w:val="24"/>
        </w:rPr>
        <w:t xml:space="preserve">Our position on Pricing and Access”.  </w:t>
      </w:r>
      <w:r>
        <w:rPr>
          <w:rFonts w:ascii="Times New Roman" w:cs="Times New Roman" w:hAnsi="Times New Roman"/>
          <w:sz w:val="24"/>
          <w:szCs w:val="24"/>
        </w:rPr>
        <w:t>Available at: https://www.gsk.com/media/8873/gsk-position-on-pricing-access-2-july-2022.pdf  [Accessed: 13 July 2023].”</w:t>
      </w:r>
    </w:p>
    <w:p>
      <w:pPr>
        <w:pStyle w:val="style0"/>
        <w:spacing w:before="240" w:lineRule="auto" w:line="360"/>
        <w:jc w:val="both"/>
        <w:rPr>
          <w:rFonts w:ascii="Times New Roman" w:cs="Times New Roman" w:hAnsi="Times New Roman"/>
          <w:sz w:val="24"/>
          <w:szCs w:val="24"/>
          <w:lang w:val="en-GB"/>
        </w:rPr>
      </w:pPr>
      <w:r>
        <w:rPr>
          <w:rFonts w:ascii="Times New Roman" w:cs="Times New Roman" w:hAnsi="Times New Roman"/>
          <w:sz w:val="24"/>
          <w:szCs w:val="24"/>
          <w:lang w:val="en-GB"/>
        </w:rPr>
        <w:t>“gsk.com, (2021), annual report 2021, Available at: https://www.gsk.com/media/7462/annual-report-(2021).pdf [Accessed on: 12</w:t>
      </w:r>
      <w:r>
        <w:rPr>
          <w:rFonts w:ascii="Times New Roman" w:cs="Times New Roman" w:hAnsi="Times New Roman"/>
          <w:sz w:val="24"/>
          <w:szCs w:val="24"/>
          <w:vertAlign w:val="superscript"/>
          <w:lang w:val="en-GB"/>
        </w:rPr>
        <w:t>th</w:t>
      </w:r>
      <w:r>
        <w:rPr>
          <w:rFonts w:ascii="Times New Roman" w:cs="Times New Roman" w:hAnsi="Times New Roman"/>
          <w:sz w:val="24"/>
          <w:szCs w:val="24"/>
          <w:lang w:val="en-GB"/>
        </w:rPr>
        <w:t xml:space="preserve"> July, 2023]”</w:t>
      </w:r>
    </w:p>
    <w:p>
      <w:pPr>
        <w:pStyle w:val="style0"/>
        <w:spacing w:before="240" w:lineRule="auto" w:line="360"/>
        <w:jc w:val="both"/>
        <w:rPr>
          <w:rFonts w:ascii="Times New Roman" w:cs="Times New Roman" w:hAnsi="Times New Roman"/>
          <w:sz w:val="24"/>
          <w:szCs w:val="24"/>
          <w:lang w:val="en-GB"/>
        </w:rPr>
      </w:pPr>
      <w:r>
        <w:rPr>
          <w:rFonts w:ascii="Times New Roman" w:cs="Times New Roman" w:hAnsi="Times New Roman"/>
          <w:sz w:val="24"/>
          <w:szCs w:val="24"/>
          <w:lang w:val="en-GB"/>
        </w:rPr>
        <w:t xml:space="preserve">“gsk.com, (2022), </w:t>
      </w:r>
      <w:r>
        <w:rPr>
          <w:rFonts w:ascii="Times New Roman" w:cs="Times New Roman" w:hAnsi="Times New Roman"/>
          <w:i/>
          <w:sz w:val="24"/>
          <w:szCs w:val="24"/>
          <w:lang w:val="en-GB"/>
        </w:rPr>
        <w:t>annual report (2022)</w:t>
      </w:r>
      <w:r>
        <w:rPr>
          <w:rFonts w:ascii="Times New Roman" w:cs="Times New Roman" w:hAnsi="Times New Roman"/>
          <w:sz w:val="24"/>
          <w:szCs w:val="24"/>
          <w:lang w:val="en-GB"/>
        </w:rPr>
        <w:t>, Available at: https://www.gsk.com/en-gb/investors/financial-reports/annual-report-2022/ [Accessed on: 12</w:t>
      </w:r>
      <w:r>
        <w:rPr>
          <w:rFonts w:ascii="Times New Roman" w:cs="Times New Roman" w:hAnsi="Times New Roman"/>
          <w:sz w:val="24"/>
          <w:szCs w:val="24"/>
          <w:vertAlign w:val="superscript"/>
          <w:lang w:val="en-GB"/>
        </w:rPr>
        <w:t>th</w:t>
      </w:r>
      <w:r>
        <w:rPr>
          <w:rFonts w:ascii="Times New Roman" w:cs="Times New Roman" w:hAnsi="Times New Roman"/>
          <w:sz w:val="24"/>
          <w:szCs w:val="24"/>
          <w:lang w:val="en-GB"/>
        </w:rPr>
        <w:t xml:space="preserve"> July, 2023]”</w:t>
      </w:r>
    </w:p>
    <w:p>
      <w:pPr>
        <w:pStyle w:val="style4097"/>
        <w:spacing w:before="240" w:lineRule="auto" w:line="360"/>
        <w:jc w:val="both"/>
        <w:rPr>
          <w:rFonts w:ascii="Times New Roman" w:cs="Times New Roman" w:eastAsia="Times New Roman" w:hAnsi="Times New Roman"/>
          <w:sz w:val="24"/>
          <w:szCs w:val="24"/>
          <w:highlight w:val="white"/>
          <w:lang w:val="en-GB"/>
        </w:rPr>
      </w:pPr>
      <w:r>
        <w:rPr>
          <w:rFonts w:ascii="Times New Roman" w:cs="Times New Roman" w:eastAsia="Times New Roman" w:hAnsi="Times New Roman"/>
          <w:sz w:val="24"/>
          <w:szCs w:val="24"/>
          <w:highlight w:val="white"/>
          <w:lang w:val="en-GB"/>
        </w:rPr>
        <w:t xml:space="preserve">“Gsk.com, (2022). </w:t>
      </w:r>
      <w:r>
        <w:rPr>
          <w:rFonts w:ascii="Times New Roman" w:cs="Times New Roman" w:eastAsia="Times New Roman" w:hAnsi="Times New Roman"/>
          <w:i/>
          <w:sz w:val="24"/>
          <w:szCs w:val="24"/>
          <w:highlight w:val="white"/>
          <w:lang w:val="en-GB"/>
        </w:rPr>
        <w:t xml:space="preserve">“GSK announces settlement between ViiV Healthcare and Gilead Sciences, Inc. resolving litigation relating to Biktarvy and ViiV’s dolutegravir patents and entry into a patent licence agreement”. </w:t>
      </w:r>
      <w:r>
        <w:rPr>
          <w:rFonts w:ascii="Times New Roman" w:cs="Times New Roman" w:eastAsia="Times New Roman" w:hAnsi="Times New Roman"/>
          <w:sz w:val="24"/>
          <w:szCs w:val="24"/>
          <w:highlight w:val="white"/>
          <w:lang w:val="en-GB"/>
        </w:rPr>
        <w:t>Available at: https://www.gsk.com/en-gb/media/press-releases/gsk-announces-settlement-between-viiv-healthcare-and-gilead-sciences/. [Accessed on: 7th July 2023]”</w:t>
      </w:r>
    </w:p>
    <w:p>
      <w:pPr>
        <w:pStyle w:val="style0"/>
        <w:spacing w:before="240" w:lineRule="auto" w:line="360"/>
        <w:jc w:val="both"/>
        <w:rPr>
          <w:rFonts w:ascii="Times New Roman" w:cs="Times New Roman" w:hAnsi="Times New Roman"/>
          <w:sz w:val="24"/>
          <w:szCs w:val="24"/>
          <w:lang w:val="en-GB"/>
        </w:rPr>
      </w:pPr>
      <w:r>
        <w:rPr>
          <w:rFonts w:ascii="Times New Roman" w:cs="Times New Roman" w:hAnsi="Times New Roman"/>
          <w:sz w:val="24"/>
          <w:szCs w:val="24"/>
          <w:lang w:val="en-GB"/>
        </w:rPr>
        <w:t xml:space="preserve">“gsk.com, (2023), </w:t>
      </w:r>
      <w:r>
        <w:rPr>
          <w:rFonts w:ascii="Times New Roman" w:cs="Times New Roman" w:hAnsi="Times New Roman"/>
          <w:i/>
          <w:sz w:val="24"/>
          <w:szCs w:val="24"/>
          <w:lang w:val="en-GB"/>
        </w:rPr>
        <w:t>gsk position pricing</w:t>
      </w:r>
      <w:r>
        <w:rPr>
          <w:rFonts w:ascii="Times New Roman" w:cs="Times New Roman" w:hAnsi="Times New Roman"/>
          <w:sz w:val="24"/>
          <w:szCs w:val="24"/>
          <w:lang w:val="en-GB"/>
        </w:rPr>
        <w:t>, Available at: https://www.gsk.com/media/8873/gsk-position-on-pricing-access-2-july-(2022).pdf [Accessed on: 12</w:t>
      </w:r>
      <w:r>
        <w:rPr>
          <w:rFonts w:ascii="Times New Roman" w:cs="Times New Roman" w:hAnsi="Times New Roman"/>
          <w:sz w:val="24"/>
          <w:szCs w:val="24"/>
          <w:vertAlign w:val="superscript"/>
          <w:lang w:val="en-GB"/>
        </w:rPr>
        <w:t>th</w:t>
      </w:r>
      <w:r>
        <w:rPr>
          <w:rFonts w:ascii="Times New Roman" w:cs="Times New Roman" w:hAnsi="Times New Roman"/>
          <w:sz w:val="24"/>
          <w:szCs w:val="24"/>
          <w:lang w:val="en-GB"/>
        </w:rPr>
        <w:t xml:space="preserve"> July, 2023]”</w:t>
      </w:r>
    </w:p>
    <w:p>
      <w:pPr>
        <w:pStyle w:val="style0"/>
        <w:spacing w:before="240" w:lineRule="auto" w:line="360"/>
        <w:jc w:val="both"/>
        <w:rPr>
          <w:rFonts w:ascii="Times New Roman" w:cs="Times New Roman" w:hAnsi="Times New Roman"/>
          <w:sz w:val="24"/>
          <w:szCs w:val="24"/>
          <w:lang w:val="en-GB"/>
        </w:rPr>
      </w:pPr>
      <w:r>
        <w:rPr>
          <w:rFonts w:ascii="Times New Roman" w:cs="Times New Roman" w:hAnsi="Times New Roman"/>
          <w:sz w:val="24"/>
          <w:szCs w:val="24"/>
          <w:lang w:val="en-GB"/>
        </w:rPr>
        <w:t xml:space="preserve">“gsk.com, (2023), </w:t>
      </w:r>
      <w:r>
        <w:rPr>
          <w:rFonts w:ascii="Times New Roman" w:cs="Times New Roman" w:hAnsi="Times New Roman"/>
          <w:i/>
          <w:sz w:val="24"/>
          <w:szCs w:val="24"/>
          <w:lang w:val="en-GB"/>
        </w:rPr>
        <w:t>technology innovation</w:t>
      </w:r>
      <w:r>
        <w:rPr>
          <w:rFonts w:ascii="Times New Roman" w:cs="Times New Roman" w:hAnsi="Times New Roman"/>
          <w:sz w:val="24"/>
          <w:szCs w:val="24"/>
          <w:lang w:val="en-GB"/>
        </w:rPr>
        <w:t>, Available at: https://www.gsk.com/en-gb/innovation/technologies/#:~:text=We%20have%20expertise%20in%20AI,of%20speed%2C%20precision%20and%20scale. [Accessed on: 12</w:t>
      </w:r>
      <w:r>
        <w:rPr>
          <w:rFonts w:ascii="Times New Roman" w:cs="Times New Roman" w:hAnsi="Times New Roman"/>
          <w:sz w:val="24"/>
          <w:szCs w:val="24"/>
          <w:vertAlign w:val="superscript"/>
          <w:lang w:val="en-GB"/>
        </w:rPr>
        <w:t>th</w:t>
      </w:r>
      <w:r>
        <w:rPr>
          <w:rFonts w:ascii="Times New Roman" w:cs="Times New Roman" w:hAnsi="Times New Roman"/>
          <w:sz w:val="24"/>
          <w:szCs w:val="24"/>
          <w:lang w:val="en-GB"/>
        </w:rPr>
        <w:t xml:space="preserve"> July, 2023]”</w:t>
      </w:r>
    </w:p>
    <w:p>
      <w:pPr>
        <w:pStyle w:val="style4097"/>
        <w:spacing w:before="240" w:lineRule="auto" w:line="360"/>
        <w:jc w:val="both"/>
        <w:rPr>
          <w:rFonts w:ascii="Times New Roman" w:cs="Times New Roman" w:eastAsia="Times New Roman" w:hAnsi="Times New Roman"/>
          <w:sz w:val="24"/>
          <w:szCs w:val="24"/>
          <w:highlight w:val="white"/>
          <w:lang w:val="en-GB"/>
        </w:rPr>
      </w:pPr>
      <w:r>
        <w:rPr>
          <w:rFonts w:ascii="Times New Roman" w:cs="Times New Roman" w:eastAsia="Times New Roman" w:hAnsi="Times New Roman"/>
          <w:sz w:val="24"/>
          <w:szCs w:val="24"/>
          <w:highlight w:val="white"/>
          <w:lang w:val="en-GB"/>
        </w:rPr>
        <w:t xml:space="preserve">“Gsk.com, (2023). </w:t>
      </w:r>
      <w:r>
        <w:rPr>
          <w:rFonts w:ascii="Times New Roman" w:cs="Times New Roman" w:eastAsia="Times New Roman" w:hAnsi="Times New Roman"/>
          <w:i/>
          <w:sz w:val="24"/>
          <w:szCs w:val="24"/>
          <w:highlight w:val="white"/>
          <w:lang w:val="en-GB"/>
        </w:rPr>
        <w:t xml:space="preserve">“Codes, standards and reports”. </w:t>
      </w:r>
      <w:r>
        <w:rPr>
          <w:rFonts w:ascii="Times New Roman" w:cs="Times New Roman" w:eastAsia="Times New Roman" w:hAnsi="Times New Roman"/>
          <w:sz w:val="24"/>
          <w:szCs w:val="24"/>
          <w:highlight w:val="white"/>
          <w:lang w:val="en-GB"/>
        </w:rPr>
        <w:t>Available at: https://www.gsk.com/en-gb/company/codes-standards-and-reports/. [Accessed on: 7th July 2023]”</w:t>
      </w:r>
    </w:p>
    <w:p>
      <w:pPr>
        <w:pStyle w:val="style4097"/>
        <w:spacing w:before="240" w:lineRule="auto" w:line="360"/>
        <w:jc w:val="both"/>
        <w:rPr>
          <w:rFonts w:ascii="Times New Roman" w:cs="Times New Roman" w:eastAsia="Times New Roman" w:hAnsi="Times New Roman"/>
          <w:sz w:val="24"/>
          <w:szCs w:val="24"/>
          <w:highlight w:val="white"/>
          <w:lang w:val="en-GB"/>
        </w:rPr>
      </w:pPr>
      <w:r>
        <w:rPr>
          <w:rFonts w:ascii="Times New Roman" w:cs="Times New Roman" w:eastAsia="Times New Roman" w:hAnsi="Times New Roman"/>
          <w:sz w:val="24"/>
          <w:szCs w:val="24"/>
          <w:highlight w:val="white"/>
          <w:lang w:val="en-GB"/>
        </w:rPr>
        <w:t xml:space="preserve">“Gsk.com, (2023). </w:t>
      </w:r>
      <w:r>
        <w:rPr>
          <w:rFonts w:ascii="Times New Roman" w:cs="Times New Roman" w:eastAsia="Times New Roman" w:hAnsi="Times New Roman"/>
          <w:i/>
          <w:sz w:val="24"/>
          <w:szCs w:val="24"/>
          <w:highlight w:val="white"/>
          <w:lang w:val="en-GB"/>
        </w:rPr>
        <w:t xml:space="preserve">“Technology”. </w:t>
      </w:r>
      <w:r>
        <w:rPr>
          <w:rFonts w:ascii="Times New Roman" w:cs="Times New Roman" w:eastAsia="Times New Roman" w:hAnsi="Times New Roman"/>
          <w:sz w:val="24"/>
          <w:szCs w:val="24"/>
          <w:highlight w:val="white"/>
          <w:lang w:val="en-GB"/>
        </w:rPr>
        <w:t>Available at: https://www.gsk.com/en-gb/careers/experienced-professionals/technology/#rd-tech. [Accessed on: 7th July 2023]”</w:t>
      </w:r>
    </w:p>
    <w:p>
      <w:pPr>
        <w:pStyle w:val="style0"/>
        <w:spacing w:before="240" w:lineRule="auto" w:line="360"/>
        <w:jc w:val="both"/>
        <w:rPr>
          <w:rFonts w:ascii="Times New Roman" w:cs="Times New Roman" w:hAnsi="Times New Roman"/>
          <w:sz w:val="24"/>
          <w:szCs w:val="24"/>
          <w:lang w:val="en-GB"/>
        </w:rPr>
      </w:pPr>
      <w:r>
        <w:rPr>
          <w:rFonts w:ascii="Times New Roman" w:cs="Times New Roman" w:hAnsi="Times New Roman"/>
          <w:sz w:val="24"/>
          <w:szCs w:val="24"/>
          <w:lang w:val="en-GB"/>
        </w:rPr>
        <w:t xml:space="preserve">“Hannah, Kuchler., (2023), </w:t>
      </w:r>
      <w:r>
        <w:rPr>
          <w:rFonts w:ascii="Times New Roman" w:cs="Times New Roman" w:hAnsi="Times New Roman"/>
          <w:i/>
          <w:sz w:val="24"/>
          <w:szCs w:val="24"/>
          <w:lang w:val="en-GB"/>
        </w:rPr>
        <w:t>gsk struggling with their growth</w:t>
      </w:r>
      <w:r>
        <w:rPr>
          <w:rFonts w:ascii="Times New Roman" w:cs="Times New Roman" w:hAnsi="Times New Roman"/>
          <w:sz w:val="24"/>
          <w:szCs w:val="24"/>
          <w:lang w:val="en-GB"/>
        </w:rPr>
        <w:t>, Available at: https://www.ft.com/content/a0bd6cba-fef4-4186-9a48-cc5dc6a322f4 [Accessed on: 12</w:t>
      </w:r>
      <w:r>
        <w:rPr>
          <w:rFonts w:ascii="Times New Roman" w:cs="Times New Roman" w:hAnsi="Times New Roman"/>
          <w:sz w:val="24"/>
          <w:szCs w:val="24"/>
          <w:vertAlign w:val="superscript"/>
          <w:lang w:val="en-GB"/>
        </w:rPr>
        <w:t>th</w:t>
      </w:r>
      <w:r>
        <w:rPr>
          <w:rFonts w:ascii="Times New Roman" w:cs="Times New Roman" w:hAnsi="Times New Roman"/>
          <w:sz w:val="24"/>
          <w:szCs w:val="24"/>
          <w:lang w:val="en-GB"/>
        </w:rPr>
        <w:t xml:space="preserve"> July, 2023]”</w:t>
      </w:r>
    </w:p>
    <w:p>
      <w:pPr>
        <w:pStyle w:val="style4097"/>
        <w:spacing w:before="240" w:lineRule="auto" w:line="360"/>
        <w:jc w:val="both"/>
        <w:rPr>
          <w:rFonts w:ascii="Times New Roman" w:cs="Times New Roman" w:eastAsia="Times New Roman" w:hAnsi="Times New Roman"/>
          <w:sz w:val="24"/>
          <w:szCs w:val="24"/>
          <w:highlight w:val="white"/>
          <w:lang w:val="en-GB"/>
        </w:rPr>
      </w:pPr>
      <w:r>
        <w:rPr>
          <w:rFonts w:ascii="Times New Roman" w:cs="Times New Roman" w:eastAsia="Times New Roman" w:hAnsi="Times New Roman"/>
          <w:sz w:val="24"/>
          <w:szCs w:val="24"/>
          <w:highlight w:val="white"/>
          <w:lang w:val="en-GB"/>
        </w:rPr>
        <w:t xml:space="preserve">“Hillmann, J. and Guenther, E., (2021). Organizational resilience: a valuable construct for management research?. </w:t>
      </w:r>
      <w:r>
        <w:rPr>
          <w:rFonts w:ascii="Times New Roman" w:cs="Times New Roman" w:eastAsia="Times New Roman" w:hAnsi="Times New Roman"/>
          <w:i/>
          <w:sz w:val="24"/>
          <w:szCs w:val="24"/>
          <w:highlight w:val="white"/>
          <w:lang w:val="en-GB"/>
        </w:rPr>
        <w:t>International Journal of Management Reviews</w:t>
      </w:r>
      <w:r>
        <w:rPr>
          <w:rFonts w:ascii="Times New Roman" w:cs="Times New Roman" w:eastAsia="Times New Roman" w:hAnsi="Times New Roman"/>
          <w:sz w:val="24"/>
          <w:szCs w:val="24"/>
          <w:highlight w:val="white"/>
          <w:lang w:val="en-GB"/>
        </w:rPr>
        <w:t xml:space="preserve">, </w:t>
      </w:r>
      <w:r>
        <w:rPr>
          <w:rFonts w:ascii="Times New Roman" w:cs="Times New Roman" w:eastAsia="Times New Roman" w:hAnsi="Times New Roman"/>
          <w:i/>
          <w:sz w:val="24"/>
          <w:szCs w:val="24"/>
          <w:highlight w:val="white"/>
          <w:lang w:val="en-GB"/>
        </w:rPr>
        <w:t>23</w:t>
      </w:r>
      <w:r>
        <w:rPr>
          <w:rFonts w:ascii="Times New Roman" w:cs="Times New Roman" w:eastAsia="Times New Roman" w:hAnsi="Times New Roman"/>
          <w:sz w:val="24"/>
          <w:szCs w:val="24"/>
          <w:highlight w:val="white"/>
          <w:lang w:val="en-GB"/>
        </w:rPr>
        <w:t>(1), pp.7-44. DOI: 10.1111/ijmr.12239”</w:t>
      </w:r>
    </w:p>
    <w:p>
      <w:pPr>
        <w:pStyle w:val="style4097"/>
        <w:spacing w:before="240" w:lineRule="auto" w:line="360"/>
        <w:jc w:val="both"/>
        <w:rPr>
          <w:rFonts w:ascii="Times New Roman" w:cs="Times New Roman" w:eastAsia="Times New Roman" w:hAnsi="Times New Roman"/>
          <w:sz w:val="24"/>
          <w:szCs w:val="24"/>
          <w:highlight w:val="white"/>
          <w:lang w:val="en-GB"/>
        </w:rPr>
      </w:pPr>
      <w:r>
        <w:rPr>
          <w:rFonts w:ascii="Times New Roman" w:cs="Times New Roman" w:eastAsia="Times New Roman" w:hAnsi="Times New Roman"/>
          <w:sz w:val="24"/>
          <w:szCs w:val="24"/>
          <w:highlight w:val="white"/>
          <w:lang w:val="en-GB"/>
        </w:rPr>
        <w:t>“</w:t>
      </w:r>
      <w:r>
        <w:rPr>
          <w:rFonts w:ascii="Times New Roman" w:cs="Times New Roman" w:eastAsia="Times New Roman" w:hAnsi="Times New Roman"/>
          <w:sz w:val="24"/>
          <w:szCs w:val="24"/>
        </w:rPr>
        <w:t xml:space="preserve">Hitt, M.A., Ireland, R.D. and Hoskisson, R.E., </w:t>
      </w:r>
      <w:r>
        <w:rPr>
          <w:rFonts w:ascii="Times New Roman" w:cs="Times New Roman" w:eastAsia="Times New Roman" w:hAnsi="Times New Roman"/>
          <w:sz w:val="24"/>
          <w:szCs w:val="24"/>
        </w:rPr>
        <w:t>(</w:t>
      </w:r>
      <w:r>
        <w:rPr>
          <w:rFonts w:ascii="Times New Roman" w:cs="Times New Roman" w:eastAsia="Times New Roman" w:hAnsi="Times New Roman"/>
          <w:sz w:val="24"/>
          <w:szCs w:val="24"/>
        </w:rPr>
        <w:t>2019</w:t>
      </w:r>
      <w:r>
        <w:rPr>
          <w:rFonts w:ascii="Times New Roman" w:cs="Times New Roman" w:eastAsia="Times New Roman" w:hAnsi="Times New Roman"/>
          <w:sz w:val="24"/>
          <w:szCs w:val="24"/>
          <w:highlight w:val="white"/>
        </w:rPr>
        <w:t>)</w:t>
      </w:r>
      <w:r>
        <w:rPr>
          <w:rFonts w:ascii="Times New Roman" w:cs="Times New Roman" w:eastAsia="Times New Roman" w:hAnsi="Times New Roman"/>
          <w:sz w:val="24"/>
          <w:szCs w:val="24"/>
        </w:rPr>
        <w:t>. </w:t>
      </w:r>
      <w:r>
        <w:rPr>
          <w:rFonts w:ascii="Times New Roman" w:cs="Times New Roman" w:eastAsia="Times New Roman" w:hAnsi="Times New Roman"/>
          <w:i/>
          <w:iCs/>
          <w:sz w:val="24"/>
          <w:szCs w:val="24"/>
        </w:rPr>
        <w:t>Strategic management: Concepts and cases: Competitiveness and globalization</w:t>
      </w:r>
      <w:r>
        <w:rPr>
          <w:rFonts w:ascii="Times New Roman" w:cs="Times New Roman" w:eastAsia="Times New Roman" w:hAnsi="Times New Roman"/>
          <w:sz w:val="24"/>
          <w:szCs w:val="24"/>
        </w:rPr>
        <w:t>. Cengage Learning.</w:t>
      </w:r>
      <w:r>
        <w:rPr>
          <w:rFonts w:ascii="Times New Roman" w:cs="Times New Roman" w:eastAsia="Times New Roman" w:hAnsi="Times New Roman"/>
          <w:sz w:val="24"/>
          <w:szCs w:val="24"/>
          <w:highlight w:val="white"/>
          <w:lang w:val="en-GB"/>
        </w:rPr>
        <w:t>”</w:t>
      </w:r>
    </w:p>
    <w:p>
      <w:pPr>
        <w:pStyle w:val="style0"/>
        <w:spacing w:before="240" w:lineRule="auto" w:line="360"/>
        <w:jc w:val="both"/>
        <w:rPr>
          <w:rFonts w:ascii="Times New Roman" w:cs="Times New Roman" w:hAnsi="Times New Roman"/>
          <w:sz w:val="24"/>
          <w:szCs w:val="24"/>
        </w:rPr>
      </w:pPr>
      <w:r>
        <w:rPr>
          <w:rFonts w:ascii="Times New Roman" w:cs="Times New Roman" w:hAnsi="Times New Roman"/>
          <w:sz w:val="24"/>
          <w:szCs w:val="24"/>
        </w:rPr>
        <w:t xml:space="preserve">“Islami, X., Mustafa, N. and Topuzovska Latkovikj, M., (2020). Linking Porter’s generic strategies to firm performance. </w:t>
      </w:r>
      <w:r>
        <w:rPr>
          <w:rFonts w:ascii="Times New Roman" w:cs="Times New Roman" w:hAnsi="Times New Roman"/>
          <w:i/>
          <w:iCs/>
          <w:sz w:val="24"/>
          <w:szCs w:val="24"/>
        </w:rPr>
        <w:t>Future Business Journal</w:t>
      </w:r>
      <w:r>
        <w:rPr>
          <w:rFonts w:ascii="Times New Roman" w:cs="Times New Roman" w:hAnsi="Times New Roman"/>
          <w:sz w:val="24"/>
          <w:szCs w:val="24"/>
        </w:rPr>
        <w:t xml:space="preserve">, </w:t>
      </w:r>
      <w:r>
        <w:rPr>
          <w:rFonts w:ascii="Times New Roman" w:cs="Times New Roman" w:hAnsi="Times New Roman"/>
          <w:i/>
          <w:iCs/>
          <w:sz w:val="24"/>
          <w:szCs w:val="24"/>
        </w:rPr>
        <w:t>6</w:t>
      </w:r>
      <w:r>
        <w:rPr>
          <w:rFonts w:ascii="Times New Roman" w:cs="Times New Roman" w:hAnsi="Times New Roman"/>
          <w:sz w:val="24"/>
          <w:szCs w:val="24"/>
        </w:rPr>
        <w:t>, pp.1-15. https://doi.org/10.1186/s43093-020-0009-1”</w:t>
      </w:r>
    </w:p>
    <w:p>
      <w:pPr>
        <w:pStyle w:val="style0"/>
        <w:spacing w:before="240" w:lineRule="auto" w:line="360"/>
        <w:jc w:val="both"/>
        <w:rPr>
          <w:rFonts w:ascii="Times New Roman" w:cs="Times New Roman" w:hAnsi="Times New Roman"/>
          <w:color w:val="222222"/>
          <w:sz w:val="24"/>
          <w:szCs w:val="24"/>
          <w:shd w:val="clear" w:color="auto" w:fill="ffffff"/>
          <w:lang w:val="en-GB"/>
        </w:rPr>
      </w:pPr>
      <w:r>
        <w:rPr>
          <w:rFonts w:ascii="Times New Roman" w:cs="Times New Roman" w:hAnsi="Times New Roman"/>
          <w:color w:val="222222"/>
          <w:sz w:val="24"/>
          <w:szCs w:val="24"/>
          <w:shd w:val="clear" w:color="auto" w:fill="ffffff"/>
          <w:lang w:val="en-GB"/>
        </w:rPr>
        <w:t>“Jaya, Y.F.T., Nasir, M. and Dewi, P., (2021). The Impact of External Environment on Competitive Advantage through SME Differentiation Strategy in Central Java. </w:t>
      </w:r>
      <w:r>
        <w:rPr>
          <w:rFonts w:ascii="Times New Roman" w:cs="Times New Roman" w:hAnsi="Times New Roman"/>
          <w:i/>
          <w:iCs/>
          <w:color w:val="222222"/>
          <w:sz w:val="24"/>
          <w:szCs w:val="24"/>
          <w:shd w:val="clear" w:color="auto" w:fill="ffffff"/>
          <w:lang w:val="en-GB"/>
        </w:rPr>
        <w:t>Universal Journal of Management</w:t>
      </w:r>
      <w:r>
        <w:rPr>
          <w:rFonts w:ascii="Times New Roman" w:cs="Times New Roman" w:hAnsi="Times New Roman"/>
          <w:color w:val="222222"/>
          <w:sz w:val="24"/>
          <w:szCs w:val="24"/>
          <w:shd w:val="clear" w:color="auto" w:fill="ffffff"/>
          <w:lang w:val="en-GB"/>
        </w:rPr>
        <w:t>, </w:t>
      </w:r>
      <w:r>
        <w:rPr>
          <w:rFonts w:ascii="Times New Roman" w:cs="Times New Roman" w:hAnsi="Times New Roman"/>
          <w:i/>
          <w:iCs/>
          <w:color w:val="222222"/>
          <w:sz w:val="24"/>
          <w:szCs w:val="24"/>
          <w:shd w:val="clear" w:color="auto" w:fill="ffffff"/>
          <w:lang w:val="en-GB"/>
        </w:rPr>
        <w:t>9</w:t>
      </w:r>
      <w:r>
        <w:rPr>
          <w:rFonts w:ascii="Times New Roman" w:cs="Times New Roman" w:hAnsi="Times New Roman"/>
          <w:color w:val="222222"/>
          <w:sz w:val="24"/>
          <w:szCs w:val="24"/>
          <w:shd w:val="clear" w:color="auto" w:fill="ffffff"/>
          <w:lang w:val="en-GB"/>
        </w:rPr>
        <w:t>(2), pp.38-43. https://pdfs.semanticscholar.org/dc3b/ba08f521bbb97c196c6ddf0d403c7f73f557.pdf”</w:t>
      </w:r>
    </w:p>
    <w:p>
      <w:pPr>
        <w:pStyle w:val="style0"/>
        <w:spacing w:before="240" w:lineRule="auto" w:line="360"/>
        <w:jc w:val="both"/>
        <w:rPr>
          <w:rFonts w:ascii="Times New Roman" w:cs="Times New Roman" w:hAnsi="Times New Roman"/>
          <w:color w:val="222222"/>
          <w:sz w:val="24"/>
          <w:szCs w:val="24"/>
          <w:shd w:val="clear" w:color="auto" w:fill="ffffff"/>
          <w:lang w:val="en-GB"/>
        </w:rPr>
      </w:pPr>
      <w:r>
        <w:rPr>
          <w:rFonts w:ascii="Times New Roman" w:cs="Times New Roman" w:hAnsi="Times New Roman"/>
          <w:color w:val="222222"/>
          <w:sz w:val="24"/>
          <w:szCs w:val="24"/>
          <w:shd w:val="clear" w:color="auto" w:fill="ffffff"/>
          <w:lang w:val="en-GB"/>
        </w:rPr>
        <w:t>“Jullien, B., Pavan, A. and Rysman, M., (2021). Two-sided markets, pricing, and network effects. In </w:t>
      </w:r>
      <w:r>
        <w:rPr>
          <w:rFonts w:ascii="Times New Roman" w:cs="Times New Roman" w:hAnsi="Times New Roman"/>
          <w:i/>
          <w:iCs/>
          <w:color w:val="222222"/>
          <w:sz w:val="24"/>
          <w:szCs w:val="24"/>
          <w:shd w:val="clear" w:color="auto" w:fill="ffffff"/>
          <w:lang w:val="en-GB"/>
        </w:rPr>
        <w:t>Handbook of Industrial Organization</w:t>
      </w:r>
      <w:r>
        <w:rPr>
          <w:rFonts w:ascii="Times New Roman" w:cs="Times New Roman" w:hAnsi="Times New Roman"/>
          <w:color w:val="222222"/>
          <w:sz w:val="24"/>
          <w:szCs w:val="24"/>
          <w:shd w:val="clear" w:color="auto" w:fill="ffffff"/>
          <w:lang w:val="en-GB"/>
        </w:rPr>
        <w:t> (Vol. 4, No. 1, pp. 485-592). Elsevier.</w:t>
      </w:r>
      <w:r>
        <w:rPr>
          <w:rFonts w:ascii="Times New Roman" w:cs="Times New Roman" w:hAnsi="Times New Roman"/>
          <w:sz w:val="24"/>
          <w:szCs w:val="24"/>
          <w:lang w:val="en-GB"/>
        </w:rPr>
        <w:t xml:space="preserve"> </w:t>
      </w:r>
      <w:r>
        <w:rPr>
          <w:rFonts w:ascii="Times New Roman" w:cs="Times New Roman" w:hAnsi="Times New Roman"/>
          <w:color w:val="222222"/>
          <w:sz w:val="24"/>
          <w:szCs w:val="24"/>
          <w:shd w:val="clear" w:color="auto" w:fill="ffffff"/>
          <w:lang w:val="en-GB"/>
        </w:rPr>
        <w:t>https://publications.ut-capitole.fr/id/eprint/43722/1/wp_tse_1238.pdf”</w:t>
      </w:r>
    </w:p>
    <w:p>
      <w:pPr>
        <w:pStyle w:val="style0"/>
        <w:spacing w:before="240" w:lineRule="auto" w:line="360"/>
        <w:jc w:val="both"/>
        <w:rPr>
          <w:rFonts w:ascii="Times New Roman" w:cs="Times New Roman" w:hAnsi="Times New Roman"/>
          <w:sz w:val="24"/>
          <w:szCs w:val="24"/>
        </w:rPr>
      </w:pPr>
      <w:r>
        <w:rPr>
          <w:rFonts w:ascii="Times New Roman" w:cs="Times New Roman" w:hAnsi="Times New Roman"/>
          <w:sz w:val="24"/>
          <w:szCs w:val="24"/>
        </w:rPr>
        <w:t>“Justice.gov. (2023). “</w:t>
      </w:r>
      <w:r>
        <w:rPr>
          <w:rFonts w:ascii="Times New Roman" w:cs="Times New Roman" w:hAnsi="Times New Roman"/>
          <w:i/>
          <w:iCs/>
          <w:sz w:val="24"/>
          <w:szCs w:val="24"/>
        </w:rPr>
        <w:t>GlaxoSmithKline to Plead Guilty and Pay $3 Billion to Resolve Fraud Allegations and Failure to Report Safety Data”</w:t>
      </w:r>
      <w:r>
        <w:rPr>
          <w:rFonts w:ascii="Times New Roman" w:cs="Times New Roman" w:hAnsi="Times New Roman"/>
          <w:sz w:val="24"/>
          <w:szCs w:val="24"/>
        </w:rPr>
        <w:t>. Available at:  https://www.justice.gov/opa/pr/glaxosmithkline-plead-guilty-and-pay-3-billion-resolve-fraud-allegations-and-failure-report#:~:text=GSK%20agreed%20to%20plead%20guilty,and%20Drug%20Administration%20(FDA).  [Accessed: 13 July 2023].”</w:t>
      </w:r>
    </w:p>
    <w:p>
      <w:pPr>
        <w:pStyle w:val="style0"/>
        <w:spacing w:before="240" w:lineRule="auto" w:line="360"/>
        <w:jc w:val="both"/>
        <w:rPr>
          <w:rFonts w:ascii="Times New Roman" w:cs="Times New Roman" w:hAnsi="Times New Roman"/>
          <w:color w:val="222222"/>
          <w:sz w:val="24"/>
          <w:szCs w:val="24"/>
          <w:shd w:val="clear" w:color="auto" w:fill="ffffff"/>
          <w:lang w:val="en-GB"/>
        </w:rPr>
      </w:pPr>
      <w:r>
        <w:rPr>
          <w:rFonts w:ascii="Times New Roman" w:cs="Times New Roman" w:hAnsi="Times New Roman"/>
          <w:color w:val="222222"/>
          <w:sz w:val="24"/>
          <w:szCs w:val="24"/>
          <w:shd w:val="clear" w:color="auto" w:fill="ffffff"/>
          <w:lang w:val="en-GB"/>
        </w:rPr>
        <w:t>“Kasamani, G.I., Omido, K. and Chepkulei, B., (2021). Effect of school based programmes and fees subsidization on organizational growth of Universities in coastal counties of Kenya. </w:t>
      </w:r>
      <w:r>
        <w:rPr>
          <w:rFonts w:ascii="Times New Roman" w:cs="Times New Roman" w:hAnsi="Times New Roman"/>
          <w:i/>
          <w:iCs/>
          <w:color w:val="222222"/>
          <w:sz w:val="24"/>
          <w:szCs w:val="24"/>
          <w:shd w:val="clear" w:color="auto" w:fill="ffffff"/>
          <w:lang w:val="en-GB"/>
        </w:rPr>
        <w:t>International Journal of Development and Management Review</w:t>
      </w:r>
      <w:r>
        <w:rPr>
          <w:rFonts w:ascii="Times New Roman" w:cs="Times New Roman" w:hAnsi="Times New Roman"/>
          <w:color w:val="222222"/>
          <w:sz w:val="24"/>
          <w:szCs w:val="24"/>
          <w:shd w:val="clear" w:color="auto" w:fill="ffffff"/>
          <w:lang w:val="en-GB"/>
        </w:rPr>
        <w:t>, </w:t>
      </w:r>
      <w:r>
        <w:rPr>
          <w:rFonts w:ascii="Times New Roman" w:cs="Times New Roman" w:hAnsi="Times New Roman"/>
          <w:i/>
          <w:iCs/>
          <w:color w:val="222222"/>
          <w:sz w:val="24"/>
          <w:szCs w:val="24"/>
          <w:shd w:val="clear" w:color="auto" w:fill="ffffff"/>
          <w:lang w:val="en-GB"/>
        </w:rPr>
        <w:t>16</w:t>
      </w:r>
      <w:r>
        <w:rPr>
          <w:rFonts w:ascii="Times New Roman" w:cs="Times New Roman" w:hAnsi="Times New Roman"/>
          <w:color w:val="222222"/>
          <w:sz w:val="24"/>
          <w:szCs w:val="24"/>
          <w:shd w:val="clear" w:color="auto" w:fill="ffffff"/>
          <w:lang w:val="en-GB"/>
        </w:rPr>
        <w:t>(1), pp.1-17.</w:t>
      </w:r>
      <w:r>
        <w:rPr>
          <w:rFonts w:ascii="Times New Roman" w:cs="Times New Roman" w:hAnsi="Times New Roman"/>
          <w:sz w:val="24"/>
          <w:szCs w:val="24"/>
          <w:lang w:val="en-GB"/>
        </w:rPr>
        <w:t xml:space="preserve"> </w:t>
      </w:r>
      <w:r>
        <w:rPr>
          <w:rFonts w:ascii="Times New Roman" w:cs="Times New Roman" w:hAnsi="Times New Roman"/>
          <w:color w:val="222222"/>
          <w:sz w:val="24"/>
          <w:szCs w:val="24"/>
          <w:shd w:val="clear" w:color="auto" w:fill="ffffff"/>
          <w:lang w:val="en-GB"/>
        </w:rPr>
        <w:t>https://www.ajol.info/index.php/ijdmr/article/download/208106/196160”</w:t>
      </w:r>
    </w:p>
    <w:p>
      <w:pPr>
        <w:pStyle w:val="style0"/>
        <w:spacing w:before="240" w:lineRule="auto" w:line="360"/>
        <w:jc w:val="both"/>
        <w:rPr>
          <w:rFonts w:ascii="Times New Roman" w:cs="Times New Roman" w:hAnsi="Times New Roman"/>
          <w:sz w:val="24"/>
          <w:szCs w:val="24"/>
        </w:rPr>
      </w:pPr>
      <w:r>
        <w:rPr>
          <w:rFonts w:ascii="Times New Roman" w:cs="Times New Roman" w:hAnsi="Times New Roman"/>
          <w:sz w:val="24"/>
          <w:szCs w:val="24"/>
        </w:rPr>
        <w:t xml:space="preserve">“Khajezadeh, M., Niasar, M.S.F., Asli, S.A., Davari, D.D., Godarzi, M. and Asgari, Y., (2019). Application of neural network in portfolio product companies: Integration of Boston Consulting Group Matrix and Ansoff Matrix. </w:t>
      </w:r>
      <w:r>
        <w:rPr>
          <w:rFonts w:ascii="Times New Roman" w:cs="Times New Roman" w:hAnsi="Times New Roman"/>
          <w:i/>
          <w:iCs/>
          <w:sz w:val="24"/>
          <w:szCs w:val="24"/>
        </w:rPr>
        <w:t>International Journal of Economics and Management Engineering</w:t>
      </w:r>
      <w:r>
        <w:rPr>
          <w:rFonts w:ascii="Times New Roman" w:cs="Times New Roman" w:hAnsi="Times New Roman"/>
          <w:sz w:val="24"/>
          <w:szCs w:val="24"/>
        </w:rPr>
        <w:t xml:space="preserve">, </w:t>
      </w:r>
      <w:r>
        <w:rPr>
          <w:rFonts w:ascii="Times New Roman" w:cs="Times New Roman" w:hAnsi="Times New Roman"/>
          <w:i/>
          <w:iCs/>
          <w:sz w:val="24"/>
          <w:szCs w:val="24"/>
        </w:rPr>
        <w:t>13</w:t>
      </w:r>
      <w:r>
        <w:rPr>
          <w:rFonts w:ascii="Times New Roman" w:cs="Times New Roman" w:hAnsi="Times New Roman"/>
          <w:sz w:val="24"/>
          <w:szCs w:val="24"/>
        </w:rPr>
        <w:t>(6), pp.821-825.”</w:t>
      </w:r>
    </w:p>
    <w:p>
      <w:pPr>
        <w:pStyle w:val="style0"/>
        <w:spacing w:before="240" w:lineRule="auto" w:line="360"/>
        <w:jc w:val="both"/>
        <w:rPr>
          <w:rFonts w:ascii="Times New Roman" w:cs="Times New Roman" w:hAnsi="Times New Roman"/>
          <w:sz w:val="24"/>
          <w:szCs w:val="24"/>
          <w:lang w:val="en-GB"/>
        </w:rPr>
      </w:pPr>
      <w:r>
        <w:rPr>
          <w:rFonts w:ascii="Times New Roman" w:cs="Times New Roman" w:hAnsi="Times New Roman"/>
          <w:sz w:val="24"/>
          <w:szCs w:val="24"/>
          <w:lang w:val="en-GB"/>
        </w:rPr>
        <w:t>“Kitsios, F. and Kamariotou, M., (2021). Artificial intelligence and business strategy towards digital transformation: A research agenda</w:t>
      </w:r>
      <w:r>
        <w:rPr>
          <w:rFonts w:ascii="Times New Roman" w:cs="Times New Roman" w:hAnsi="Times New Roman"/>
          <w:i/>
          <w:sz w:val="24"/>
          <w:szCs w:val="24"/>
          <w:lang w:val="en-GB"/>
        </w:rPr>
        <w:t>. Sustainability</w:t>
      </w:r>
      <w:r>
        <w:rPr>
          <w:rFonts w:ascii="Times New Roman" w:cs="Times New Roman" w:hAnsi="Times New Roman"/>
          <w:sz w:val="24"/>
          <w:szCs w:val="24"/>
          <w:lang w:val="en-GB"/>
        </w:rPr>
        <w:t>, 13(4), p.2025. https://www.mdpi.com/2071-1050/13/4/2025/pdf”</w:t>
      </w:r>
    </w:p>
    <w:p>
      <w:pPr>
        <w:pStyle w:val="style0"/>
        <w:spacing w:before="240" w:lineRule="auto" w:line="360"/>
        <w:jc w:val="both"/>
        <w:rPr>
          <w:rFonts w:ascii="Times New Roman" w:cs="Times New Roman" w:hAnsi="Times New Roman"/>
          <w:color w:val="222222"/>
          <w:sz w:val="24"/>
          <w:szCs w:val="24"/>
          <w:shd w:val="clear" w:color="auto" w:fill="ffffff"/>
          <w:lang w:val="en-GB"/>
        </w:rPr>
      </w:pPr>
      <w:r>
        <w:rPr>
          <w:rFonts w:ascii="Times New Roman" w:cs="Times New Roman" w:hAnsi="Times New Roman"/>
          <w:color w:val="222222"/>
          <w:sz w:val="24"/>
          <w:szCs w:val="24"/>
          <w:shd w:val="clear" w:color="auto" w:fill="ffffff"/>
          <w:lang w:val="en-GB"/>
        </w:rPr>
        <w:t>“Lee, N. and Lee, J., (2019). Differentiation Strategy, R&amp;D Intensity, and Sustainability of Accounting Earnings: With a Focus on Biotech Firms. </w:t>
      </w:r>
      <w:r>
        <w:rPr>
          <w:rFonts w:ascii="Times New Roman" w:cs="Times New Roman" w:hAnsi="Times New Roman"/>
          <w:i/>
          <w:iCs/>
          <w:color w:val="222222"/>
          <w:sz w:val="24"/>
          <w:szCs w:val="24"/>
          <w:shd w:val="clear" w:color="auto" w:fill="ffffff"/>
          <w:lang w:val="en-GB"/>
        </w:rPr>
        <w:t>Sustainability</w:t>
      </w:r>
      <w:r>
        <w:rPr>
          <w:rFonts w:ascii="Times New Roman" w:cs="Times New Roman" w:hAnsi="Times New Roman"/>
          <w:color w:val="222222"/>
          <w:sz w:val="24"/>
          <w:szCs w:val="24"/>
          <w:shd w:val="clear" w:color="auto" w:fill="ffffff"/>
          <w:lang w:val="en-GB"/>
        </w:rPr>
        <w:t>, </w:t>
      </w:r>
      <w:r>
        <w:rPr>
          <w:rFonts w:ascii="Times New Roman" w:cs="Times New Roman" w:hAnsi="Times New Roman"/>
          <w:i/>
          <w:iCs/>
          <w:color w:val="222222"/>
          <w:sz w:val="24"/>
          <w:szCs w:val="24"/>
          <w:shd w:val="clear" w:color="auto" w:fill="ffffff"/>
          <w:lang w:val="en-GB"/>
        </w:rPr>
        <w:t>11</w:t>
      </w:r>
      <w:r>
        <w:rPr>
          <w:rFonts w:ascii="Times New Roman" w:cs="Times New Roman" w:hAnsi="Times New Roman"/>
          <w:color w:val="222222"/>
          <w:sz w:val="24"/>
          <w:szCs w:val="24"/>
          <w:shd w:val="clear" w:color="auto" w:fill="ffffff"/>
          <w:lang w:val="en-GB"/>
        </w:rPr>
        <w:t>(7), p.1902.</w:t>
      </w:r>
      <w:r>
        <w:rPr>
          <w:rFonts w:ascii="Times New Roman" w:cs="Times New Roman" w:hAnsi="Times New Roman"/>
          <w:sz w:val="24"/>
          <w:szCs w:val="24"/>
          <w:lang w:val="en-GB"/>
        </w:rPr>
        <w:t xml:space="preserve"> </w:t>
      </w:r>
      <w:r>
        <w:rPr>
          <w:rFonts w:ascii="Times New Roman" w:cs="Times New Roman" w:hAnsi="Times New Roman"/>
          <w:color w:val="222222"/>
          <w:sz w:val="24"/>
          <w:szCs w:val="24"/>
          <w:shd w:val="clear" w:color="auto" w:fill="ffffff"/>
          <w:lang w:val="en-GB"/>
        </w:rPr>
        <w:t>https://www.mdpi.com/2071-1050/11/7/1902/pdf”</w:t>
      </w:r>
    </w:p>
    <w:p>
      <w:pPr>
        <w:pStyle w:val="style0"/>
        <w:spacing w:before="240" w:lineRule="auto" w:line="360"/>
        <w:jc w:val="both"/>
        <w:rPr>
          <w:rFonts w:ascii="Times New Roman" w:cs="Times New Roman" w:hAnsi="Times New Roman"/>
          <w:sz w:val="24"/>
          <w:szCs w:val="24"/>
          <w:lang w:val="en-GB"/>
        </w:rPr>
      </w:pPr>
      <w:r>
        <w:rPr>
          <w:rFonts w:ascii="Times New Roman" w:cs="Times New Roman" w:hAnsi="Times New Roman"/>
          <w:sz w:val="24"/>
          <w:szCs w:val="24"/>
          <w:lang w:val="en-GB"/>
        </w:rPr>
        <w:t xml:space="preserve">“legislation.gov.uk, (2022), </w:t>
      </w:r>
      <w:r>
        <w:rPr>
          <w:rFonts w:ascii="Times New Roman" w:cs="Times New Roman" w:hAnsi="Times New Roman"/>
          <w:i/>
          <w:sz w:val="24"/>
          <w:szCs w:val="24"/>
          <w:lang w:val="en-GB"/>
        </w:rPr>
        <w:t>employment act uk</w:t>
      </w:r>
      <w:r>
        <w:rPr>
          <w:rFonts w:ascii="Times New Roman" w:cs="Times New Roman" w:hAnsi="Times New Roman"/>
          <w:sz w:val="24"/>
          <w:szCs w:val="24"/>
          <w:lang w:val="en-GB"/>
        </w:rPr>
        <w:t>, Available at: https://www.legislation.gov.uk/ukpga/2002/22/contents [Accessed on: 12</w:t>
      </w:r>
      <w:r>
        <w:rPr>
          <w:rFonts w:ascii="Times New Roman" w:cs="Times New Roman" w:hAnsi="Times New Roman"/>
          <w:sz w:val="24"/>
          <w:szCs w:val="24"/>
          <w:vertAlign w:val="superscript"/>
          <w:lang w:val="en-GB"/>
        </w:rPr>
        <w:t>th</w:t>
      </w:r>
      <w:r>
        <w:rPr>
          <w:rFonts w:ascii="Times New Roman" w:cs="Times New Roman" w:hAnsi="Times New Roman"/>
          <w:sz w:val="24"/>
          <w:szCs w:val="24"/>
          <w:lang w:val="en-GB"/>
        </w:rPr>
        <w:t xml:space="preserve"> July, 2023]”</w:t>
      </w:r>
    </w:p>
    <w:p>
      <w:pPr>
        <w:pStyle w:val="style0"/>
        <w:spacing w:before="240" w:lineRule="auto" w:line="360"/>
        <w:jc w:val="both"/>
        <w:rPr>
          <w:rFonts w:ascii="Times New Roman" w:cs="Times New Roman" w:hAnsi="Times New Roman"/>
          <w:sz w:val="24"/>
          <w:szCs w:val="24"/>
          <w:lang w:val="en-GB"/>
        </w:rPr>
      </w:pPr>
      <w:r>
        <w:rPr>
          <w:rFonts w:ascii="Times New Roman" w:cs="Times New Roman" w:hAnsi="Times New Roman"/>
          <w:sz w:val="24"/>
          <w:szCs w:val="24"/>
          <w:lang w:val="en-GB"/>
        </w:rPr>
        <w:t xml:space="preserve">“legislation.gov.uk, (2023), </w:t>
      </w:r>
      <w:r>
        <w:rPr>
          <w:rFonts w:ascii="Times New Roman" w:cs="Times New Roman" w:hAnsi="Times New Roman"/>
          <w:i/>
          <w:sz w:val="24"/>
          <w:szCs w:val="24"/>
          <w:lang w:val="en-GB"/>
        </w:rPr>
        <w:t>environmental act</w:t>
      </w:r>
      <w:r>
        <w:rPr>
          <w:rFonts w:ascii="Times New Roman" w:cs="Times New Roman" w:hAnsi="Times New Roman"/>
          <w:sz w:val="24"/>
          <w:szCs w:val="24"/>
          <w:lang w:val="en-GB"/>
        </w:rPr>
        <w:t>, Available at: https://www.legislation.gov.uk/ukpga/(2021)/30/contents/enacted [Accessed on: 12</w:t>
      </w:r>
      <w:r>
        <w:rPr>
          <w:rFonts w:ascii="Times New Roman" w:cs="Times New Roman" w:hAnsi="Times New Roman"/>
          <w:sz w:val="24"/>
          <w:szCs w:val="24"/>
          <w:vertAlign w:val="superscript"/>
          <w:lang w:val="en-GB"/>
        </w:rPr>
        <w:t>th</w:t>
      </w:r>
      <w:r>
        <w:rPr>
          <w:rFonts w:ascii="Times New Roman" w:cs="Times New Roman" w:hAnsi="Times New Roman"/>
          <w:sz w:val="24"/>
          <w:szCs w:val="24"/>
          <w:lang w:val="en-GB"/>
        </w:rPr>
        <w:t xml:space="preserve"> July, 2023]</w:t>
      </w:r>
    </w:p>
    <w:p>
      <w:pPr>
        <w:pStyle w:val="style4097"/>
        <w:spacing w:before="240" w:lineRule="auto" w:line="360"/>
        <w:jc w:val="both"/>
        <w:rPr>
          <w:rFonts w:ascii="Times New Roman" w:cs="Times New Roman" w:eastAsia="Times New Roman" w:hAnsi="Times New Roman"/>
          <w:sz w:val="24"/>
          <w:szCs w:val="24"/>
          <w:highlight w:val="white"/>
          <w:lang w:val="en-GB"/>
        </w:rPr>
      </w:pPr>
      <w:r>
        <w:rPr>
          <w:rFonts w:ascii="Times New Roman" w:cs="Times New Roman" w:eastAsia="Times New Roman" w:hAnsi="Times New Roman"/>
          <w:sz w:val="24"/>
          <w:szCs w:val="24"/>
          <w:highlight w:val="white"/>
          <w:lang w:val="en-GB"/>
        </w:rPr>
        <w:t xml:space="preserve">“Lim, T., Pan, T., Ong, C.S., Chen, S. and Chia, J.J.J., (2023). Theory-Guided Analytics Process: Using Theories to Underpin an Analytics Process for New Banking Product Development Using Segmentation-Based Marketing Analytics Leveraging on Marketing Intelligence. </w:t>
      </w:r>
      <w:r>
        <w:rPr>
          <w:rFonts w:ascii="Times New Roman" w:cs="Times New Roman" w:eastAsia="Times New Roman" w:hAnsi="Times New Roman"/>
          <w:i/>
          <w:sz w:val="24"/>
          <w:szCs w:val="24"/>
          <w:highlight w:val="white"/>
          <w:lang w:val="en-GB"/>
        </w:rPr>
        <w:t>Analytics</w:t>
      </w:r>
      <w:r>
        <w:rPr>
          <w:rFonts w:ascii="Times New Roman" w:cs="Times New Roman" w:eastAsia="Times New Roman" w:hAnsi="Times New Roman"/>
          <w:sz w:val="24"/>
          <w:szCs w:val="24"/>
          <w:highlight w:val="white"/>
          <w:lang w:val="en-GB"/>
        </w:rPr>
        <w:t xml:space="preserve">, </w:t>
      </w:r>
      <w:r>
        <w:rPr>
          <w:rFonts w:ascii="Times New Roman" w:cs="Times New Roman" w:eastAsia="Times New Roman" w:hAnsi="Times New Roman"/>
          <w:i/>
          <w:sz w:val="24"/>
          <w:szCs w:val="24"/>
          <w:highlight w:val="white"/>
          <w:lang w:val="en-GB"/>
        </w:rPr>
        <w:t>2</w:t>
      </w:r>
      <w:r>
        <w:rPr>
          <w:rFonts w:ascii="Times New Roman" w:cs="Times New Roman" w:eastAsia="Times New Roman" w:hAnsi="Times New Roman"/>
          <w:sz w:val="24"/>
          <w:szCs w:val="24"/>
          <w:highlight w:val="white"/>
          <w:lang w:val="en-GB"/>
        </w:rPr>
        <w:t xml:space="preserve">(1), pp.105-131. DOI: https://doi.org/10.3390/analytics2010007.” </w:t>
      </w:r>
    </w:p>
    <w:p>
      <w:pPr>
        <w:pStyle w:val="style0"/>
        <w:spacing w:before="240" w:lineRule="auto" w:line="360"/>
        <w:jc w:val="both"/>
        <w:rPr>
          <w:rFonts w:ascii="Times New Roman" w:cs="Times New Roman" w:hAnsi="Times New Roman"/>
          <w:sz w:val="24"/>
          <w:szCs w:val="24"/>
          <w:lang w:val="en-GB"/>
        </w:rPr>
      </w:pPr>
      <w:r>
        <w:rPr>
          <w:rFonts w:ascii="Times New Roman" w:cs="Times New Roman" w:hAnsi="Times New Roman"/>
          <w:sz w:val="24"/>
          <w:szCs w:val="24"/>
          <w:lang w:val="en-GB"/>
        </w:rPr>
        <w:t xml:space="preserve">“Matej, Mikulic., (2021), </w:t>
      </w:r>
      <w:r>
        <w:rPr>
          <w:rFonts w:ascii="Times New Roman" w:cs="Times New Roman" w:hAnsi="Times New Roman"/>
          <w:i/>
          <w:sz w:val="24"/>
          <w:szCs w:val="24"/>
          <w:lang w:val="en-GB"/>
        </w:rPr>
        <w:t>revenue of gsk</w:t>
      </w:r>
      <w:r>
        <w:rPr>
          <w:rFonts w:ascii="Times New Roman" w:cs="Times New Roman" w:hAnsi="Times New Roman"/>
          <w:sz w:val="24"/>
          <w:szCs w:val="24"/>
          <w:lang w:val="en-GB"/>
        </w:rPr>
        <w:t>, Available at: https://www.statista.com/statistics/266297/glaxosmithkline-revenue-since-2006/#:~:text=In%202022%2C%20the%20company%20generated,to%2034.1%20billion%20in%(2020)21. [Accessed on: 12</w:t>
      </w:r>
      <w:r>
        <w:rPr>
          <w:rFonts w:ascii="Times New Roman" w:cs="Times New Roman" w:hAnsi="Times New Roman"/>
          <w:sz w:val="24"/>
          <w:szCs w:val="24"/>
          <w:vertAlign w:val="superscript"/>
          <w:lang w:val="en-GB"/>
        </w:rPr>
        <w:t>th</w:t>
      </w:r>
      <w:r>
        <w:rPr>
          <w:rFonts w:ascii="Times New Roman" w:cs="Times New Roman" w:hAnsi="Times New Roman"/>
          <w:sz w:val="24"/>
          <w:szCs w:val="24"/>
          <w:lang w:val="en-GB"/>
        </w:rPr>
        <w:t xml:space="preserve"> July, 2023]”</w:t>
      </w:r>
    </w:p>
    <w:p>
      <w:pPr>
        <w:pStyle w:val="style0"/>
        <w:spacing w:before="240" w:lineRule="auto" w:line="360"/>
        <w:jc w:val="both"/>
        <w:rPr>
          <w:rFonts w:ascii="Times New Roman" w:cs="Times New Roman" w:hAnsi="Times New Roman"/>
          <w:sz w:val="24"/>
          <w:szCs w:val="24"/>
        </w:rPr>
      </w:pPr>
      <w:r>
        <w:rPr>
          <w:rFonts w:ascii="Times New Roman" w:cs="Times New Roman" w:hAnsi="Times New Roman"/>
          <w:sz w:val="24"/>
          <w:szCs w:val="24"/>
        </w:rPr>
        <w:t>“Mihajlović, V. and Miletić, V., (2022). Limiting factors of strategic positioning within established businesses.</w:t>
      </w:r>
      <w:r>
        <w:rPr>
          <w:rFonts w:ascii="Times New Roman" w:cs="Times New Roman" w:hAnsi="Times New Roman"/>
          <w:i/>
          <w:iCs/>
          <w:sz w:val="24"/>
          <w:szCs w:val="24"/>
        </w:rPr>
        <w:t xml:space="preserve"> Ekonomski signali: poslovni magazin, 17</w:t>
      </w:r>
      <w:r>
        <w:rPr>
          <w:rFonts w:ascii="Times New Roman" w:cs="Times New Roman" w:hAnsi="Times New Roman"/>
          <w:sz w:val="24"/>
          <w:szCs w:val="24"/>
        </w:rPr>
        <w:t>(1), pp.107-119. DOI: 10.5937/ekonsig2201107M”</w:t>
      </w:r>
    </w:p>
    <w:p>
      <w:pPr>
        <w:pStyle w:val="style4097"/>
        <w:spacing w:before="240" w:lineRule="auto" w:line="360"/>
        <w:jc w:val="both"/>
        <w:rPr>
          <w:rFonts w:ascii="Times New Roman" w:cs="Times New Roman" w:eastAsia="Times New Roman" w:hAnsi="Times New Roman"/>
          <w:b/>
          <w:sz w:val="24"/>
          <w:szCs w:val="24"/>
          <w:lang w:val="en-GB"/>
        </w:rPr>
      </w:pPr>
      <w:r>
        <w:rPr>
          <w:rFonts w:ascii="Times New Roman" w:cs="Times New Roman" w:eastAsia="Times New Roman" w:hAnsi="Times New Roman"/>
          <w:sz w:val="24"/>
          <w:szCs w:val="24"/>
          <w:highlight w:val="white"/>
          <w:lang w:val="en-GB"/>
        </w:rPr>
        <w:t xml:space="preserve">“Miroshnychenko, I., De Massis, A., Miller, D. and Barontini, R., (2021). Family business growth around the world. </w:t>
      </w:r>
      <w:r>
        <w:rPr>
          <w:rFonts w:ascii="Times New Roman" w:cs="Times New Roman" w:eastAsia="Times New Roman" w:hAnsi="Times New Roman"/>
          <w:i/>
          <w:sz w:val="24"/>
          <w:szCs w:val="24"/>
          <w:highlight w:val="white"/>
          <w:lang w:val="en-GB"/>
        </w:rPr>
        <w:t>Entrepreneurship Theory and Practice</w:t>
      </w:r>
      <w:r>
        <w:rPr>
          <w:rFonts w:ascii="Times New Roman" w:cs="Times New Roman" w:eastAsia="Times New Roman" w:hAnsi="Times New Roman"/>
          <w:sz w:val="24"/>
          <w:szCs w:val="24"/>
          <w:highlight w:val="white"/>
          <w:lang w:val="en-GB"/>
        </w:rPr>
        <w:t xml:space="preserve">, </w:t>
      </w:r>
      <w:r>
        <w:rPr>
          <w:rFonts w:ascii="Times New Roman" w:cs="Times New Roman" w:eastAsia="Times New Roman" w:hAnsi="Times New Roman"/>
          <w:i/>
          <w:sz w:val="24"/>
          <w:szCs w:val="24"/>
          <w:highlight w:val="white"/>
          <w:lang w:val="en-GB"/>
        </w:rPr>
        <w:t>45</w:t>
      </w:r>
      <w:r>
        <w:rPr>
          <w:rFonts w:ascii="Times New Roman" w:cs="Times New Roman" w:eastAsia="Times New Roman" w:hAnsi="Times New Roman"/>
          <w:sz w:val="24"/>
          <w:szCs w:val="24"/>
          <w:highlight w:val="white"/>
          <w:lang w:val="en-GB"/>
        </w:rPr>
        <w:t xml:space="preserve">(4), pp.682-708. </w:t>
      </w:r>
      <w:r>
        <w:rPr>
          <w:rFonts w:ascii="Times New Roman" w:cs="Times New Roman" w:eastAsia="Times New Roman" w:hAnsi="Times New Roman"/>
          <w:sz w:val="24"/>
          <w:szCs w:val="24"/>
          <w:highlight w:val="white"/>
          <w:lang w:val="en-GB"/>
        </w:rPr>
        <w:t>https://eprints.lancs.ac.uk/id/eprint/142635/1/Family_firm_growth_MANUSCRIPT_Dec7.pdf.”</w:t>
      </w:r>
    </w:p>
    <w:p>
      <w:pPr>
        <w:pStyle w:val="style0"/>
        <w:spacing w:before="240" w:lineRule="auto" w:line="360"/>
        <w:jc w:val="both"/>
        <w:rPr>
          <w:rFonts w:ascii="Times New Roman" w:cs="Times New Roman" w:hAnsi="Times New Roman"/>
          <w:sz w:val="24"/>
          <w:szCs w:val="24"/>
        </w:rPr>
      </w:pPr>
      <w:r>
        <w:rPr>
          <w:rFonts w:ascii="Times New Roman" w:cs="Times New Roman" w:hAnsi="Times New Roman"/>
          <w:sz w:val="24"/>
          <w:szCs w:val="24"/>
        </w:rPr>
        <w:t xml:space="preserve">“Puthusserry, P., Khan, Z., Knight, G. and Miller, K., (2020). How do rapidly internationalizing SMEs learn? Exploring the link between network relationships, learning approaches and post-entry growth of rapidly internationalizing SMEs from emerging markets. </w:t>
      </w:r>
      <w:r>
        <w:rPr>
          <w:rFonts w:ascii="Times New Roman" w:cs="Times New Roman" w:hAnsi="Times New Roman"/>
          <w:i/>
          <w:iCs/>
          <w:sz w:val="24"/>
          <w:szCs w:val="24"/>
        </w:rPr>
        <w:t>Management International Review</w:t>
      </w:r>
      <w:r>
        <w:rPr>
          <w:rFonts w:ascii="Times New Roman" w:cs="Times New Roman" w:hAnsi="Times New Roman"/>
          <w:sz w:val="24"/>
          <w:szCs w:val="24"/>
        </w:rPr>
        <w:t xml:space="preserve">, </w:t>
      </w:r>
      <w:r>
        <w:rPr>
          <w:rFonts w:ascii="Times New Roman" w:cs="Times New Roman" w:hAnsi="Times New Roman"/>
          <w:i/>
          <w:iCs/>
          <w:sz w:val="24"/>
          <w:szCs w:val="24"/>
        </w:rPr>
        <w:t>60</w:t>
      </w:r>
      <w:r>
        <w:rPr>
          <w:rFonts w:ascii="Times New Roman" w:cs="Times New Roman" w:hAnsi="Times New Roman"/>
          <w:sz w:val="24"/>
          <w:szCs w:val="24"/>
        </w:rPr>
        <w:t>(4), pp.515-542. https://doi.org/10.1007/s11575-020-00424-9”</w:t>
      </w:r>
    </w:p>
    <w:p>
      <w:pPr>
        <w:pStyle w:val="style0"/>
        <w:spacing w:before="240" w:lineRule="auto" w:line="360"/>
        <w:jc w:val="both"/>
        <w:rPr>
          <w:rFonts w:ascii="Times New Roman" w:cs="Times New Roman" w:hAnsi="Times New Roman"/>
          <w:color w:val="222222"/>
          <w:sz w:val="24"/>
          <w:szCs w:val="24"/>
          <w:shd w:val="clear" w:color="auto" w:fill="ffffff"/>
          <w:lang w:val="en-GB"/>
        </w:rPr>
      </w:pPr>
      <w:r>
        <w:rPr>
          <w:rFonts w:ascii="Times New Roman" w:cs="Times New Roman" w:hAnsi="Times New Roman"/>
          <w:color w:val="222222"/>
          <w:sz w:val="24"/>
          <w:szCs w:val="24"/>
          <w:shd w:val="clear" w:color="auto" w:fill="ffffff"/>
          <w:lang w:val="en-GB"/>
        </w:rPr>
        <w:t>“Ricardianto, P., Lembang, A., Tatiana, Y., Ruminda, M., Kholdun, A., Kusuma, I., Sembiring, H., Sudewo, G., Suryani, D. and Endri, E., 2023. Enterprise risk management and business strategy on firm performance: The role of mediating competitive advantage. </w:t>
      </w:r>
      <w:r>
        <w:rPr>
          <w:rFonts w:ascii="Times New Roman" w:cs="Times New Roman" w:hAnsi="Times New Roman"/>
          <w:i/>
          <w:iCs/>
          <w:color w:val="222222"/>
          <w:sz w:val="24"/>
          <w:szCs w:val="24"/>
          <w:shd w:val="clear" w:color="auto" w:fill="ffffff"/>
          <w:lang w:val="en-GB"/>
        </w:rPr>
        <w:t>Uncertain Supply Chain Management</w:t>
      </w:r>
      <w:r>
        <w:rPr>
          <w:rFonts w:ascii="Times New Roman" w:cs="Times New Roman" w:hAnsi="Times New Roman"/>
          <w:color w:val="222222"/>
          <w:sz w:val="24"/>
          <w:szCs w:val="24"/>
          <w:shd w:val="clear" w:color="auto" w:fill="ffffff"/>
          <w:lang w:val="en-GB"/>
        </w:rPr>
        <w:t>, </w:t>
      </w:r>
      <w:r>
        <w:rPr>
          <w:rFonts w:ascii="Times New Roman" w:cs="Times New Roman" w:hAnsi="Times New Roman"/>
          <w:i/>
          <w:iCs/>
          <w:color w:val="222222"/>
          <w:sz w:val="24"/>
          <w:szCs w:val="24"/>
          <w:shd w:val="clear" w:color="auto" w:fill="ffffff"/>
          <w:lang w:val="en-GB"/>
        </w:rPr>
        <w:t>11</w:t>
      </w:r>
      <w:r>
        <w:rPr>
          <w:rFonts w:ascii="Times New Roman" w:cs="Times New Roman" w:hAnsi="Times New Roman"/>
          <w:color w:val="222222"/>
          <w:sz w:val="24"/>
          <w:szCs w:val="24"/>
          <w:shd w:val="clear" w:color="auto" w:fill="ffffff"/>
          <w:lang w:val="en-GB"/>
        </w:rPr>
        <w:t>(1), pp.249-260.</w:t>
      </w:r>
      <w:r>
        <w:rPr>
          <w:rFonts w:ascii="Times New Roman" w:cs="Times New Roman" w:hAnsi="Times New Roman"/>
          <w:sz w:val="24"/>
          <w:szCs w:val="24"/>
          <w:lang w:val="en-GB"/>
        </w:rPr>
        <w:t xml:space="preserve"> </w:t>
      </w:r>
      <w:r>
        <w:rPr>
          <w:rFonts w:ascii="Times New Roman" w:cs="Times New Roman" w:hAnsi="Times New Roman"/>
          <w:color w:val="222222"/>
          <w:sz w:val="24"/>
          <w:szCs w:val="24"/>
          <w:shd w:val="clear" w:color="auto" w:fill="ffffff"/>
          <w:lang w:val="en-GB"/>
        </w:rPr>
        <w:t>http://growingscience.com/uscm/Vol11/uscm_(2022)_116.pdf”</w:t>
      </w:r>
    </w:p>
    <w:p>
      <w:pPr>
        <w:pStyle w:val="style0"/>
        <w:spacing w:before="240" w:lineRule="auto" w:line="360"/>
        <w:jc w:val="both"/>
        <w:rPr>
          <w:rFonts w:ascii="Times New Roman" w:cs="Times New Roman" w:hAnsi="Times New Roman"/>
          <w:color w:val="222222"/>
          <w:sz w:val="24"/>
          <w:szCs w:val="24"/>
          <w:shd w:val="clear" w:color="auto" w:fill="ffffff"/>
          <w:lang w:val="en-GB"/>
        </w:rPr>
      </w:pPr>
      <w:r>
        <w:rPr>
          <w:rFonts w:ascii="Times New Roman" w:cs="Times New Roman" w:hAnsi="Times New Roman"/>
          <w:color w:val="222222"/>
          <w:sz w:val="24"/>
          <w:szCs w:val="24"/>
          <w:shd w:val="clear" w:color="auto" w:fill="ffffff"/>
          <w:lang w:val="en-GB"/>
        </w:rPr>
        <w:t>“Shanmuganathan, M., (2019), September. CSR and Sustainability Reporting: Longitudinal Case Study from GlaxoSmithKline. In </w:t>
      </w:r>
      <w:r>
        <w:rPr>
          <w:rFonts w:ascii="Times New Roman" w:cs="Times New Roman" w:hAnsi="Times New Roman"/>
          <w:i/>
          <w:iCs/>
          <w:color w:val="222222"/>
          <w:sz w:val="24"/>
          <w:szCs w:val="24"/>
          <w:shd w:val="clear" w:color="auto" w:fill="ffffff"/>
          <w:lang w:val="en-GB"/>
        </w:rPr>
        <w:t>CSR COMMUNICATION CONFERENCE</w:t>
      </w:r>
      <w:r>
        <w:rPr>
          <w:rFonts w:ascii="Times New Roman" w:cs="Times New Roman" w:hAnsi="Times New Roman"/>
          <w:color w:val="222222"/>
          <w:sz w:val="24"/>
          <w:szCs w:val="24"/>
          <w:shd w:val="clear" w:color="auto" w:fill="ffffff"/>
          <w:lang w:val="en-GB"/>
        </w:rPr>
        <w:t> (p. 43). http://csr-com.org/img/upload/proceedings2019_final.pdf#page=43”</w:t>
      </w:r>
    </w:p>
    <w:p>
      <w:pPr>
        <w:pStyle w:val="style0"/>
        <w:spacing w:before="240" w:lineRule="auto" w:line="360"/>
        <w:jc w:val="both"/>
        <w:rPr>
          <w:rFonts w:ascii="Times New Roman" w:cs="Times New Roman" w:hAnsi="Times New Roman"/>
          <w:b/>
          <w:bCs/>
          <w:sz w:val="24"/>
          <w:szCs w:val="24"/>
        </w:rPr>
      </w:pPr>
      <w:r>
        <w:rPr>
          <w:rFonts w:ascii="Times New Roman" w:cs="Times New Roman" w:hAnsi="Times New Roman"/>
          <w:sz w:val="24"/>
          <w:szCs w:val="24"/>
        </w:rPr>
        <w:t>“Statista. (2023). “</w:t>
      </w:r>
      <w:r>
        <w:rPr>
          <w:rFonts w:ascii="Times New Roman" w:cs="Times New Roman" w:hAnsi="Times New Roman"/>
          <w:i/>
          <w:iCs/>
          <w:sz w:val="24"/>
          <w:szCs w:val="24"/>
        </w:rPr>
        <w:t>GSK revenue 2006-2022”.</w:t>
      </w:r>
      <w:r>
        <w:rPr>
          <w:rFonts w:ascii="Times New Roman" w:cs="Times New Roman" w:hAnsi="Times New Roman"/>
          <w:sz w:val="24"/>
          <w:szCs w:val="24"/>
        </w:rPr>
        <w:t xml:space="preserve"> Available at: https://www.statista.com/statistics/266297/glaxosmithkline-revenue-since-2006/ [Accessed: 13 July 2023].”</w:t>
      </w:r>
    </w:p>
    <w:p>
      <w:pPr>
        <w:pStyle w:val="style0"/>
        <w:spacing w:before="240" w:lineRule="auto" w:line="360"/>
        <w:jc w:val="both"/>
        <w:rPr>
          <w:rFonts w:ascii="Times New Roman" w:cs="Times New Roman" w:hAnsi="Times New Roman"/>
          <w:sz w:val="24"/>
          <w:szCs w:val="24"/>
        </w:rPr>
      </w:pPr>
      <w:r>
        <w:rPr>
          <w:rFonts w:ascii="Times New Roman" w:cs="Times New Roman" w:hAnsi="Times New Roman"/>
          <w:sz w:val="24"/>
          <w:szCs w:val="24"/>
        </w:rPr>
        <w:t>“Sukma, D., Lubis, P.H. and Utami, S., (2019). Analysis of Marketing Strategy of Minyeuk Pret Using STP, Ansoff Matrix, and Marketing Mix. East African Scholars Journal of Economics, Business and Management, 2(10), pp.601-606.”</w:t>
      </w:r>
    </w:p>
    <w:p>
      <w:pPr>
        <w:pStyle w:val="style0"/>
        <w:spacing w:before="240" w:after="240" w:lineRule="auto" w:line="360"/>
        <w:jc w:val="both"/>
        <w:rPr>
          <w:rFonts w:ascii="Times New Roman" w:cs="Times New Roman" w:hAnsi="Times New Roman"/>
          <w:sz w:val="24"/>
          <w:szCs w:val="24"/>
          <w:lang w:val="en-GB"/>
        </w:rPr>
      </w:pPr>
      <w:r>
        <w:rPr>
          <w:rFonts w:ascii="Times New Roman" w:cs="Times New Roman" w:hAnsi="Times New Roman"/>
          <w:sz w:val="24"/>
          <w:szCs w:val="24"/>
          <w:lang w:val="en-GB"/>
        </w:rPr>
        <w:t xml:space="preserve">“theglobaleconomy.com, (2021), </w:t>
      </w:r>
      <w:r>
        <w:rPr>
          <w:rFonts w:ascii="Times New Roman" w:cs="Times New Roman" w:hAnsi="Times New Roman"/>
          <w:i/>
          <w:sz w:val="24"/>
          <w:szCs w:val="24"/>
          <w:lang w:val="en-GB"/>
        </w:rPr>
        <w:t>united kingdom political stability</w:t>
      </w:r>
      <w:r>
        <w:rPr>
          <w:rFonts w:ascii="Times New Roman" w:cs="Times New Roman" w:hAnsi="Times New Roman"/>
          <w:sz w:val="24"/>
          <w:szCs w:val="24"/>
          <w:lang w:val="en-GB"/>
        </w:rPr>
        <w:t xml:space="preserve">, Available at: </w:t>
      </w:r>
      <w:r>
        <w:rPr>
          <w:rFonts w:ascii="Times New Roman" w:cs="Times New Roman" w:hAnsi="Times New Roman"/>
          <w:spacing w:val="3"/>
          <w:sz w:val="24"/>
          <w:szCs w:val="24"/>
          <w:lang w:val="en-GB"/>
        </w:rPr>
        <w:t>https://www.theglobaleconomy.com/United-Kingdom/wb_political_stability/</w:t>
      </w:r>
      <w:r>
        <w:rPr>
          <w:rFonts w:ascii="Times New Roman" w:cs="Times New Roman" w:hAnsi="Times New Roman"/>
          <w:sz w:val="24"/>
          <w:szCs w:val="24"/>
          <w:lang w:val="en-GB"/>
        </w:rPr>
        <w:t xml:space="preserve"> [Accessed 12</w:t>
      </w:r>
      <w:r>
        <w:rPr>
          <w:rFonts w:ascii="Times New Roman" w:cs="Times New Roman" w:hAnsi="Times New Roman"/>
          <w:sz w:val="24"/>
          <w:szCs w:val="24"/>
          <w:vertAlign w:val="superscript"/>
          <w:lang w:val="en-GB"/>
        </w:rPr>
        <w:t>th</w:t>
      </w:r>
      <w:r>
        <w:rPr>
          <w:rFonts w:ascii="Times New Roman" w:cs="Times New Roman" w:hAnsi="Times New Roman"/>
          <w:sz w:val="24"/>
          <w:szCs w:val="24"/>
          <w:lang w:val="en-GB"/>
        </w:rPr>
        <w:t xml:space="preserve"> July, 2023]”</w:t>
      </w:r>
    </w:p>
    <w:p>
      <w:pPr>
        <w:pStyle w:val="style0"/>
        <w:spacing w:before="240" w:after="240" w:lineRule="auto" w:line="360"/>
        <w:jc w:val="both"/>
        <w:rPr>
          <w:rFonts w:ascii="Times New Roman" w:cs="Times New Roman" w:hAnsi="Times New Roman"/>
          <w:sz w:val="24"/>
          <w:szCs w:val="24"/>
          <w:lang w:val="en-GB"/>
        </w:rPr>
      </w:pPr>
      <w:r>
        <w:rPr>
          <w:rFonts w:ascii="Times New Roman" w:cs="Times New Roman" w:hAnsi="Times New Roman"/>
          <w:sz w:val="24"/>
          <w:szCs w:val="24"/>
          <w:lang w:val="en-GB"/>
        </w:rPr>
        <w:t>“tradingeconomics.com, (2023)</w:t>
      </w:r>
      <w:r>
        <w:rPr>
          <w:rFonts w:ascii="Times New Roman" w:cs="Times New Roman" w:hAnsi="Times New Roman"/>
          <w:i/>
          <w:sz w:val="24"/>
          <w:szCs w:val="24"/>
          <w:lang w:val="en-GB"/>
        </w:rPr>
        <w:t>, annual gdp growth uk</w:t>
      </w:r>
      <w:r>
        <w:rPr>
          <w:rFonts w:ascii="Times New Roman" w:cs="Times New Roman" w:hAnsi="Times New Roman"/>
          <w:sz w:val="24"/>
          <w:szCs w:val="24"/>
          <w:lang w:val="en-GB"/>
        </w:rPr>
        <w:t xml:space="preserve">, Available at: </w:t>
      </w:r>
      <w:r>
        <w:rPr>
          <w:rFonts w:ascii="Times New Roman" w:cs="Times New Roman" w:hAnsi="Times New Roman"/>
          <w:spacing w:val="3"/>
          <w:sz w:val="24"/>
          <w:szCs w:val="24"/>
          <w:shd w:val="clear" w:color="auto" w:fill="ffffff"/>
          <w:lang w:val="en-GB"/>
        </w:rPr>
        <w:t>https://tradingeconomics.com/united-kingdom/gdp-growth-annual</w:t>
      </w:r>
      <w:r>
        <w:rPr>
          <w:rFonts w:ascii="Times New Roman" w:cs="Times New Roman" w:hAnsi="Times New Roman"/>
          <w:sz w:val="24"/>
          <w:szCs w:val="24"/>
          <w:lang w:val="en-GB"/>
        </w:rPr>
        <w:t xml:space="preserve"> [Accessed 12</w:t>
      </w:r>
      <w:r>
        <w:rPr>
          <w:rFonts w:ascii="Times New Roman" w:cs="Times New Roman" w:hAnsi="Times New Roman"/>
          <w:sz w:val="24"/>
          <w:szCs w:val="24"/>
          <w:vertAlign w:val="superscript"/>
          <w:lang w:val="en-GB"/>
        </w:rPr>
        <w:t>th</w:t>
      </w:r>
      <w:r>
        <w:rPr>
          <w:rFonts w:ascii="Times New Roman" w:cs="Times New Roman" w:hAnsi="Times New Roman"/>
          <w:sz w:val="24"/>
          <w:szCs w:val="24"/>
          <w:lang w:val="en-GB"/>
        </w:rPr>
        <w:t xml:space="preserve"> July, 2023]”</w:t>
      </w:r>
    </w:p>
    <w:p>
      <w:pPr>
        <w:pStyle w:val="style0"/>
        <w:spacing w:before="240" w:lineRule="auto" w:line="360"/>
        <w:jc w:val="both"/>
        <w:rPr>
          <w:rFonts w:ascii="Times New Roman" w:cs="Times New Roman" w:hAnsi="Times New Roman"/>
          <w:sz w:val="24"/>
          <w:szCs w:val="24"/>
          <w:lang w:val="en-GB"/>
        </w:rPr>
      </w:pPr>
      <w:r>
        <w:rPr>
          <w:rFonts w:ascii="Times New Roman" w:cs="Times New Roman" w:hAnsi="Times New Roman"/>
          <w:sz w:val="24"/>
          <w:szCs w:val="24"/>
          <w:lang w:val="en-GB"/>
        </w:rPr>
        <w:t xml:space="preserve">“us.gsk.com, (2023), </w:t>
      </w:r>
      <w:r>
        <w:rPr>
          <w:rFonts w:ascii="Times New Roman" w:cs="Times New Roman" w:hAnsi="Times New Roman"/>
          <w:i/>
          <w:sz w:val="24"/>
          <w:szCs w:val="24"/>
          <w:lang w:val="en-GB"/>
        </w:rPr>
        <w:t>purpose strategy culture</w:t>
      </w:r>
      <w:r>
        <w:rPr>
          <w:rFonts w:ascii="Times New Roman" w:cs="Times New Roman" w:hAnsi="Times New Roman"/>
          <w:sz w:val="24"/>
          <w:szCs w:val="24"/>
          <w:lang w:val="en-GB"/>
        </w:rPr>
        <w:t>, Available at: https://us.gsk.com/en-us/company/purpose-strategy-and-culture/#:~:text=video%20on%20YouTube-,Our%20strategy,to%20prevent%20and%20treat%20disease. [Accessed on: 12</w:t>
      </w:r>
      <w:r>
        <w:rPr>
          <w:rFonts w:ascii="Times New Roman" w:cs="Times New Roman" w:hAnsi="Times New Roman"/>
          <w:sz w:val="24"/>
          <w:szCs w:val="24"/>
          <w:vertAlign w:val="superscript"/>
          <w:lang w:val="en-GB"/>
        </w:rPr>
        <w:t>th</w:t>
      </w:r>
      <w:r>
        <w:rPr>
          <w:rFonts w:ascii="Times New Roman" w:cs="Times New Roman" w:hAnsi="Times New Roman"/>
          <w:sz w:val="24"/>
          <w:szCs w:val="24"/>
          <w:lang w:val="en-GB"/>
        </w:rPr>
        <w:t xml:space="preserve"> July, 2023]”</w:t>
      </w:r>
    </w:p>
    <w:p>
      <w:pPr>
        <w:pStyle w:val="style4097"/>
        <w:spacing w:before="240" w:lineRule="auto" w:line="360"/>
        <w:jc w:val="both"/>
        <w:rPr>
          <w:rFonts w:ascii="Times New Roman" w:cs="Times New Roman" w:eastAsia="Times New Roman" w:hAnsi="Times New Roman"/>
          <w:sz w:val="24"/>
          <w:szCs w:val="24"/>
          <w:highlight w:val="white"/>
          <w:lang w:val="en-GB"/>
        </w:rPr>
      </w:pPr>
      <w:r>
        <w:rPr>
          <w:rFonts w:ascii="Times New Roman" w:cs="Times New Roman" w:eastAsia="Times New Roman" w:hAnsi="Times New Roman"/>
          <w:sz w:val="24"/>
          <w:szCs w:val="24"/>
          <w:highlight w:val="white"/>
          <w:lang w:val="en-GB"/>
        </w:rPr>
        <w:t xml:space="preserve">“Voznyak, H., Panukhnyk, O., Khymych, H. and Popadynets, N., (2019), October. Development of regional economic systems under the impact of financial decentralization: display, challenges and new opportunities. In </w:t>
      </w:r>
      <w:r>
        <w:rPr>
          <w:rFonts w:ascii="Times New Roman" w:cs="Times New Roman" w:eastAsia="Times New Roman" w:hAnsi="Times New Roman"/>
          <w:i/>
          <w:sz w:val="24"/>
          <w:szCs w:val="24"/>
          <w:highlight w:val="white"/>
          <w:lang w:val="en-GB"/>
        </w:rPr>
        <w:t>2019 7th International Conference on Modeling, Development and Strategic Management of Economic System (MDSMES 2019)</w:t>
      </w:r>
      <w:r>
        <w:rPr>
          <w:rFonts w:ascii="Times New Roman" w:cs="Times New Roman" w:eastAsia="Times New Roman" w:hAnsi="Times New Roman"/>
          <w:sz w:val="24"/>
          <w:szCs w:val="24"/>
          <w:highlight w:val="white"/>
          <w:lang w:val="en-GB"/>
        </w:rPr>
        <w:t xml:space="preserve"> (pp. 121-126). Atlantis Press. http://creativecommons.org/licenses/by-nc/4.0/.”</w:t>
      </w:r>
    </w:p>
    <w:p>
      <w:pPr>
        <w:pStyle w:val="style0"/>
        <w:spacing w:before="240" w:lineRule="auto" w:line="360"/>
        <w:jc w:val="both"/>
        <w:rPr>
          <w:rFonts w:ascii="Times New Roman" w:cs="Times New Roman" w:hAnsi="Times New Roman"/>
          <w:sz w:val="24"/>
          <w:szCs w:val="24"/>
        </w:rPr>
      </w:pPr>
      <w:r>
        <w:rPr>
          <w:rFonts w:ascii="Times New Roman" w:cs="Times New Roman" w:hAnsi="Times New Roman"/>
          <w:sz w:val="24"/>
          <w:szCs w:val="24"/>
        </w:rPr>
        <w:t xml:space="preserve">“Werawatta, R. (2021). Tools for Generating Strategic Options in Strategic Management Process. </w:t>
      </w:r>
      <w:r>
        <w:rPr>
          <w:rFonts w:ascii="Times New Roman" w:cs="Times New Roman" w:hAnsi="Times New Roman"/>
          <w:i/>
          <w:iCs/>
          <w:sz w:val="24"/>
          <w:szCs w:val="24"/>
        </w:rPr>
        <w:t>Nagananda International Institute for Buddhist Studies</w:t>
      </w:r>
      <w:r>
        <w:rPr>
          <w:rFonts w:ascii="Times New Roman" w:cs="Times New Roman" w:hAnsi="Times New Roman"/>
          <w:sz w:val="24"/>
          <w:szCs w:val="24"/>
        </w:rPr>
        <w:t>, pp. 2-18.”</w:t>
      </w:r>
    </w:p>
    <w:p>
      <w:pPr>
        <w:pStyle w:val="style0"/>
        <w:spacing w:before="240" w:lineRule="auto" w:line="360"/>
        <w:jc w:val="both"/>
        <w:rPr>
          <w:rFonts w:ascii="Times New Roman" w:cs="Times New Roman" w:hAnsi="Times New Roman"/>
          <w:color w:val="222222"/>
          <w:sz w:val="24"/>
          <w:szCs w:val="24"/>
          <w:shd w:val="clear" w:color="auto" w:fill="ffffff"/>
          <w:lang w:val="en-GB"/>
        </w:rPr>
      </w:pPr>
      <w:r>
        <w:rPr>
          <w:rFonts w:ascii="Times New Roman" w:cs="Times New Roman" w:hAnsi="Times New Roman"/>
          <w:color w:val="222222"/>
          <w:sz w:val="24"/>
          <w:szCs w:val="24"/>
          <w:shd w:val="clear" w:color="auto" w:fill="ffffff"/>
          <w:lang w:val="en-GB"/>
        </w:rPr>
        <w:t>“Weston, P. and Nnadi, M., (2021). Evaluation of strategic and financial variables of corporate sustainability and ESG policies on corporate finance performance. </w:t>
      </w:r>
      <w:r>
        <w:rPr>
          <w:rFonts w:ascii="Times New Roman" w:cs="Times New Roman" w:hAnsi="Times New Roman"/>
          <w:i/>
          <w:iCs/>
          <w:color w:val="222222"/>
          <w:sz w:val="24"/>
          <w:szCs w:val="24"/>
          <w:shd w:val="clear" w:color="auto" w:fill="ffffff"/>
          <w:lang w:val="en-GB"/>
        </w:rPr>
        <w:t>Journal of Sustainable Finance &amp; Investment</w:t>
      </w:r>
      <w:r>
        <w:rPr>
          <w:rFonts w:ascii="Times New Roman" w:cs="Times New Roman" w:hAnsi="Times New Roman"/>
          <w:color w:val="222222"/>
          <w:sz w:val="24"/>
          <w:szCs w:val="24"/>
          <w:shd w:val="clear" w:color="auto" w:fill="ffffff"/>
          <w:lang w:val="en-GB"/>
        </w:rPr>
        <w:t>, pp.1-17. https://www.tandfonline.com/doi/pdf/10.1080/20430795.(2021).1883984”</w:t>
      </w:r>
    </w:p>
    <w:p>
      <w:pPr>
        <w:pStyle w:val="style0"/>
        <w:spacing w:before="240" w:after="240" w:lineRule="auto" w:line="360"/>
        <w:jc w:val="both"/>
        <w:rPr>
          <w:rFonts w:ascii="Times New Roman" w:cs="Times New Roman" w:hAnsi="Times New Roman"/>
          <w:sz w:val="24"/>
          <w:szCs w:val="24"/>
          <w:lang w:val="en-GB"/>
        </w:rPr>
      </w:pPr>
      <w:r>
        <w:rPr>
          <w:rFonts w:ascii="Times New Roman" w:cs="Times New Roman" w:hAnsi="Times New Roman"/>
          <w:sz w:val="24"/>
          <w:szCs w:val="24"/>
          <w:lang w:val="en-GB"/>
        </w:rPr>
        <w:t xml:space="preserve">“wipo.int, (2020), </w:t>
      </w:r>
      <w:r>
        <w:rPr>
          <w:rFonts w:ascii="Times New Roman" w:cs="Times New Roman" w:hAnsi="Times New Roman"/>
          <w:i/>
          <w:sz w:val="24"/>
          <w:szCs w:val="24"/>
          <w:lang w:val="en-GB"/>
        </w:rPr>
        <w:t>gii index</w:t>
      </w:r>
      <w:r>
        <w:rPr>
          <w:rFonts w:ascii="Times New Roman" w:cs="Times New Roman" w:hAnsi="Times New Roman"/>
          <w:sz w:val="24"/>
          <w:szCs w:val="24"/>
          <w:lang w:val="en-GB"/>
        </w:rPr>
        <w:t xml:space="preserve">, Available at: </w:t>
      </w:r>
      <w:r>
        <w:rPr>
          <w:rFonts w:ascii="Times New Roman" w:cs="Times New Roman" w:hAnsi="Times New Roman"/>
          <w:spacing w:val="3"/>
          <w:sz w:val="24"/>
          <w:szCs w:val="24"/>
          <w:shd w:val="clear" w:color="auto" w:fill="ffffff"/>
          <w:lang w:val="en-GB"/>
        </w:rPr>
        <w:t>https://www.wipo.int/edocs/pubdocs/en/wipo_pub_gii_(2020)/gb.pdf</w:t>
      </w:r>
      <w:r>
        <w:rPr>
          <w:rFonts w:ascii="Times New Roman" w:cs="Times New Roman" w:hAnsi="Times New Roman"/>
          <w:sz w:val="24"/>
          <w:szCs w:val="24"/>
          <w:lang w:val="en-GB"/>
        </w:rPr>
        <w:t xml:space="preserve"> [Accessed 12</w:t>
      </w:r>
      <w:r>
        <w:rPr>
          <w:rFonts w:ascii="Times New Roman" w:cs="Times New Roman" w:hAnsi="Times New Roman"/>
          <w:sz w:val="24"/>
          <w:szCs w:val="24"/>
          <w:vertAlign w:val="superscript"/>
          <w:lang w:val="en-GB"/>
        </w:rPr>
        <w:t>th</w:t>
      </w:r>
      <w:r>
        <w:rPr>
          <w:rFonts w:ascii="Times New Roman" w:cs="Times New Roman" w:hAnsi="Times New Roman"/>
          <w:sz w:val="24"/>
          <w:szCs w:val="24"/>
          <w:lang w:val="en-GB"/>
        </w:rPr>
        <w:t xml:space="preserve"> July, 2023]”</w:t>
      </w:r>
    </w:p>
    <w:p>
      <w:pPr>
        <w:pStyle w:val="style0"/>
        <w:spacing w:before="240" w:after="240" w:lineRule="auto" w:line="360"/>
        <w:jc w:val="both"/>
        <w:rPr>
          <w:rFonts w:ascii="Times New Roman" w:cs="Times New Roman" w:hAnsi="Times New Roman"/>
          <w:sz w:val="24"/>
          <w:szCs w:val="24"/>
          <w:lang w:val="en-GB"/>
        </w:rPr>
      </w:pPr>
      <w:r>
        <w:rPr>
          <w:rFonts w:ascii="Times New Roman" w:cs="Times New Roman" w:hAnsi="Times New Roman"/>
          <w:sz w:val="24"/>
          <w:szCs w:val="24"/>
          <w:lang w:val="en-GB"/>
        </w:rPr>
        <w:t xml:space="preserve">“worldometers.info, (2023), </w:t>
      </w:r>
      <w:r>
        <w:rPr>
          <w:rFonts w:ascii="Times New Roman" w:cs="Times New Roman" w:hAnsi="Times New Roman"/>
          <w:i/>
          <w:sz w:val="24"/>
          <w:szCs w:val="24"/>
          <w:lang w:val="en-GB"/>
        </w:rPr>
        <w:t>uk population</w:t>
      </w:r>
      <w:r>
        <w:rPr>
          <w:rFonts w:ascii="Times New Roman" w:cs="Times New Roman" w:hAnsi="Times New Roman"/>
          <w:sz w:val="24"/>
          <w:szCs w:val="24"/>
          <w:lang w:val="en-GB"/>
        </w:rPr>
        <w:t xml:space="preserve">, Available at: </w:t>
      </w:r>
      <w:r>
        <w:rPr>
          <w:rFonts w:ascii="Times New Roman" w:cs="Times New Roman" w:hAnsi="Times New Roman"/>
          <w:spacing w:val="3"/>
          <w:sz w:val="24"/>
          <w:szCs w:val="24"/>
          <w:shd w:val="clear" w:color="auto" w:fill="ffffff"/>
          <w:lang w:val="en-GB"/>
        </w:rPr>
        <w:t>https://www.worldometers.info/world-population/uk-population/</w:t>
      </w:r>
      <w:r>
        <w:rPr>
          <w:rFonts w:ascii="Times New Roman" w:cs="Times New Roman" w:hAnsi="Times New Roman"/>
          <w:sz w:val="24"/>
          <w:szCs w:val="24"/>
          <w:lang w:val="en-GB"/>
        </w:rPr>
        <w:t xml:space="preserve"> [Accessed 12</w:t>
      </w:r>
      <w:r>
        <w:rPr>
          <w:rFonts w:ascii="Times New Roman" w:cs="Times New Roman" w:hAnsi="Times New Roman"/>
          <w:sz w:val="24"/>
          <w:szCs w:val="24"/>
          <w:vertAlign w:val="superscript"/>
          <w:lang w:val="en-GB"/>
        </w:rPr>
        <w:t>th</w:t>
      </w:r>
      <w:r>
        <w:rPr>
          <w:rFonts w:ascii="Times New Roman" w:cs="Times New Roman" w:hAnsi="Times New Roman"/>
          <w:sz w:val="24"/>
          <w:szCs w:val="24"/>
          <w:lang w:val="en-GB"/>
        </w:rPr>
        <w:t xml:space="preserve"> July, 2023]”</w:t>
      </w:r>
    </w:p>
    <w:p>
      <w:pPr>
        <w:pStyle w:val="style4097"/>
        <w:spacing w:before="240" w:lineRule="auto" w:line="360"/>
        <w:jc w:val="both"/>
        <w:rPr>
          <w:rFonts w:ascii="Times New Roman" w:cs="Times New Roman" w:eastAsia="Times New Roman" w:hAnsi="Times New Roman"/>
          <w:sz w:val="24"/>
          <w:szCs w:val="24"/>
          <w:highlight w:val="white"/>
          <w:lang w:val="en-GB"/>
        </w:rPr>
      </w:pPr>
      <w:r>
        <w:rPr>
          <w:rFonts w:ascii="Times New Roman" w:cs="Times New Roman" w:eastAsia="Times New Roman" w:hAnsi="Times New Roman"/>
          <w:sz w:val="24"/>
          <w:szCs w:val="24"/>
          <w:highlight w:val="white"/>
          <w:lang w:val="en-GB"/>
        </w:rPr>
        <w:t xml:space="preserve">“Xie, J., (2021). Horizontal Shareholdings and Paragraph IV Generic Entry in the US Pharmaceutical Industry. </w:t>
      </w:r>
      <w:r>
        <w:rPr>
          <w:rFonts w:ascii="Times New Roman" w:cs="Times New Roman" w:eastAsia="Times New Roman" w:hAnsi="Times New Roman"/>
          <w:i/>
          <w:sz w:val="24"/>
          <w:szCs w:val="24"/>
          <w:highlight w:val="white"/>
          <w:lang w:val="en-GB"/>
        </w:rPr>
        <w:t>The Antitrust Bulletin</w:t>
      </w:r>
      <w:r>
        <w:rPr>
          <w:rFonts w:ascii="Times New Roman" w:cs="Times New Roman" w:eastAsia="Times New Roman" w:hAnsi="Times New Roman"/>
          <w:sz w:val="24"/>
          <w:szCs w:val="24"/>
          <w:highlight w:val="white"/>
          <w:lang w:val="en-GB"/>
        </w:rPr>
        <w:t xml:space="preserve">, </w:t>
      </w:r>
      <w:r>
        <w:rPr>
          <w:rFonts w:ascii="Times New Roman" w:cs="Times New Roman" w:eastAsia="Times New Roman" w:hAnsi="Times New Roman"/>
          <w:i/>
          <w:sz w:val="24"/>
          <w:szCs w:val="24"/>
          <w:highlight w:val="white"/>
          <w:lang w:val="en-GB"/>
        </w:rPr>
        <w:t>66</w:t>
      </w:r>
      <w:r>
        <w:rPr>
          <w:rFonts w:ascii="Times New Roman" w:cs="Times New Roman" w:eastAsia="Times New Roman" w:hAnsi="Times New Roman"/>
          <w:sz w:val="24"/>
          <w:szCs w:val="24"/>
          <w:highlight w:val="white"/>
          <w:lang w:val="en-GB"/>
        </w:rPr>
        <w:t xml:space="preserve">(1), pp.100-112. DOI: https://doi.org/10.1177/0003603X20985797.” </w:t>
      </w:r>
    </w:p>
    <w:p>
      <w:pPr>
        <w:pStyle w:val="style4097"/>
        <w:spacing w:before="240" w:lineRule="auto" w:line="360"/>
        <w:jc w:val="both"/>
        <w:rPr>
          <w:rFonts w:ascii="Times New Roman" w:cs="Times New Roman" w:hAnsi="Times New Roman"/>
          <w:color w:val="222222"/>
          <w:sz w:val="24"/>
          <w:szCs w:val="24"/>
          <w:shd w:val="clear" w:color="auto" w:fill="ffffff"/>
          <w:lang w:val="en-GB"/>
        </w:rPr>
      </w:pPr>
      <w:r>
        <w:rPr>
          <w:rFonts w:ascii="Times New Roman" w:cs="Times New Roman" w:hAnsi="Times New Roman"/>
          <w:color w:val="222222"/>
          <w:sz w:val="24"/>
          <w:szCs w:val="24"/>
          <w:shd w:val="clear" w:color="auto" w:fill="ffffff"/>
          <w:lang w:val="en-GB"/>
        </w:rPr>
        <w:t>“Yang, D.X., Qiu, L.S., Yan, J.J., Chen, Z.Y. and Jiang, M., (2019). The government regulation and market behavior of the new energy automotive industry. </w:t>
      </w:r>
      <w:r>
        <w:rPr>
          <w:rFonts w:ascii="Times New Roman" w:cs="Times New Roman" w:hAnsi="Times New Roman"/>
          <w:i/>
          <w:iCs/>
          <w:color w:val="222222"/>
          <w:sz w:val="24"/>
          <w:szCs w:val="24"/>
          <w:shd w:val="clear" w:color="auto" w:fill="ffffff"/>
          <w:lang w:val="en-GB"/>
        </w:rPr>
        <w:t>Journal of cleaner production</w:t>
      </w:r>
      <w:r>
        <w:rPr>
          <w:rFonts w:ascii="Times New Roman" w:cs="Times New Roman" w:hAnsi="Times New Roman"/>
          <w:color w:val="222222"/>
          <w:sz w:val="24"/>
          <w:szCs w:val="24"/>
          <w:shd w:val="clear" w:color="auto" w:fill="ffffff"/>
          <w:lang w:val="en-GB"/>
        </w:rPr>
        <w:t>, </w:t>
      </w:r>
      <w:r>
        <w:rPr>
          <w:rFonts w:ascii="Times New Roman" w:cs="Times New Roman" w:hAnsi="Times New Roman"/>
          <w:i/>
          <w:iCs/>
          <w:color w:val="222222"/>
          <w:sz w:val="24"/>
          <w:szCs w:val="24"/>
          <w:shd w:val="clear" w:color="auto" w:fill="ffffff"/>
          <w:lang w:val="en-GB"/>
        </w:rPr>
        <w:t>210</w:t>
      </w:r>
      <w:r>
        <w:rPr>
          <w:rFonts w:ascii="Times New Roman" w:cs="Times New Roman" w:hAnsi="Times New Roman"/>
          <w:color w:val="222222"/>
          <w:sz w:val="24"/>
          <w:szCs w:val="24"/>
          <w:shd w:val="clear" w:color="auto" w:fill="ffffff"/>
          <w:lang w:val="en-GB"/>
        </w:rPr>
        <w:t>, pp.1281-1288.</w:t>
      </w:r>
      <w:r>
        <w:rPr>
          <w:rFonts w:ascii="Times New Roman" w:cs="Times New Roman" w:hAnsi="Times New Roman"/>
          <w:sz w:val="24"/>
          <w:szCs w:val="24"/>
          <w:lang w:val="en-GB"/>
        </w:rPr>
        <w:t xml:space="preserve"> </w:t>
      </w:r>
      <w:r>
        <w:rPr>
          <w:rFonts w:ascii="Times New Roman" w:cs="Times New Roman" w:hAnsi="Times New Roman"/>
          <w:color w:val="222222"/>
          <w:sz w:val="24"/>
          <w:szCs w:val="24"/>
          <w:shd w:val="clear" w:color="auto" w:fill="ffffff"/>
          <w:lang w:val="en-GB"/>
        </w:rPr>
        <w:t>https://ntnuopen.ntnu.no/ntnu-xmlui/bitstream/handle/11250/2649569/Yang.pdf?sequence=4”</w:t>
      </w:r>
    </w:p>
    <w:p>
      <w:pPr>
        <w:pStyle w:val="style4097"/>
        <w:spacing w:before="240" w:lineRule="auto" w:line="360"/>
        <w:jc w:val="both"/>
        <w:rPr>
          <w:rFonts w:ascii="Times New Roman" w:cs="Times New Roman" w:hAnsi="Times New Roman"/>
          <w:color w:val="222222"/>
          <w:sz w:val="24"/>
          <w:szCs w:val="24"/>
          <w:shd w:val="clear" w:color="auto" w:fill="ffffff"/>
          <w:lang w:val="en-GB"/>
        </w:rPr>
      </w:pPr>
    </w:p>
    <w:sectPr>
      <w:footerReference w:type="default" r:id="rId13"/>
      <w:pgSz w:w="11909" w:h="16834" w:orient="portrait"/>
      <w:pgMar w:top="1440" w:right="1440" w:bottom="1440" w:left="1440" w:header="720" w:footer="720" w:gutter="0"/>
      <w:pgNumType w:start="0"/>
      <w:cols w:space="720"/>
      <w:titlePg/>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004020304"/>
    <w:charset w:val="00"/>
    <w:family w:val="roman"/>
    <w:pitch w:val="variable"/>
    <w:sig w:usb0="E0002AFF" w:usb1="C0007841" w:usb2="00000009" w:usb3="00000000" w:csb0="000001FF" w:csb1="00000000"/>
  </w:font>
  <w:font w:name="Arial">
    <w:altName w:val="Arial"/>
    <w:panose1 w:val="020b0604020002020204"/>
    <w:charset w:val="00"/>
    <w:family w:val="swiss"/>
    <w:pitch w:val="variable"/>
    <w:sig w:usb0="E0002AFF" w:usb1="C0007843" w:usb2="00000009" w:usb3="00000000" w:csb0="000001FF" w:csb1="00000000"/>
  </w:font>
  <w:font w:name="Tahoma">
    <w:altName w:val="Tahoma"/>
    <w:panose1 w:val="020b0604030005040204"/>
    <w:charset w:val="00"/>
    <w:family w:val="swiss"/>
    <w:pitch w:val="variable"/>
    <w:sig w:usb0="E1002EFF" w:usb1="C000605B" w:usb2="00000029" w:usb3="00000000" w:csb0="000101FF" w:csb1="00000000"/>
  </w:font>
  <w:font w:name="Calibri">
    <w:altName w:val="Calibri"/>
    <w:panose1 w:val="020f0502020002030204"/>
    <w:charset w:val="00"/>
    <w:family w:val="swiss"/>
    <w:pitch w:val="variable"/>
    <w:sig w:usb0="E00002FF" w:usb1="4000ACFF" w:usb2="00000001" w:usb3="00000000" w:csb0="0000019F" w:csb1="00000000"/>
  </w:font>
  <w:font w:name="STIXGeneral-Regular">
    <w:altName w:val="Times New Roman"/>
    <w:panose1 w:val="00000000000000000000"/>
    <w:charset w:val="00"/>
    <w:family w:val="roman"/>
    <w:pitch w:val="default"/>
    <w:sig w:usb0="00000000" w:usb1="00000000" w:usb2="00000000" w:usb3="00000000" w:csb0="00000000" w:csb1="00000000"/>
  </w:font>
  <w:font w:name="Cambria">
    <w:altName w:val="Cambria"/>
    <w:panose1 w:val="02040503050004030204"/>
    <w:charset w:val="00"/>
    <w:family w:val="roman"/>
    <w:pitch w:val="variable"/>
    <w:sig w:usb0="E00002FF" w:usb1="400004FF" w:usb2="00000000" w:usb3="00000000" w:csb0="0000019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jc w:val="right"/>
      <w:rPr>
        <w:rFonts w:ascii="Times New Roman" w:cs="Times New Roman" w:hAnsi="Times New Roman"/>
        <w:sz w:val="20"/>
        <w:szCs w:val="20"/>
      </w:rPr>
    </w:pPr>
    <w:r>
      <w:rPr>
        <w:rFonts w:ascii="Times New Roman" w:cs="Times New Roman" w:hAnsi="Times New Roman"/>
        <w:sz w:val="20"/>
        <w:szCs w:val="20"/>
      </w:rPr>
      <w:fldChar w:fldCharType="begin"/>
    </w:r>
    <w:r>
      <w:rPr>
        <w:rFonts w:ascii="Times New Roman" w:cs="Times New Roman" w:hAnsi="Times New Roman"/>
        <w:sz w:val="20"/>
        <w:szCs w:val="20"/>
      </w:rPr>
      <w:instrText xml:space="preserve"> PAGE   \* MERGEFORMAT </w:instrText>
    </w:r>
    <w:r>
      <w:rPr>
        <w:rFonts w:ascii="Times New Roman" w:cs="Times New Roman" w:hAnsi="Times New Roman"/>
        <w:sz w:val="20"/>
        <w:szCs w:val="20"/>
      </w:rPr>
      <w:fldChar w:fldCharType="separate"/>
    </w:r>
    <w:r>
      <w:rPr>
        <w:rFonts w:ascii="Times New Roman" w:cs="Times New Roman" w:hAnsi="Times New Roman"/>
        <w:noProof/>
        <w:sz w:val="20"/>
        <w:szCs w:val="20"/>
      </w:rPr>
      <w:t>1</w:t>
    </w:r>
    <w:r>
      <w:rPr>
        <w:rFonts w:ascii="Times New Roman" w:cs="Times New Roman" w:hAnsi="Times New Roman"/>
        <w:sz w:val="20"/>
        <w:szCs w:val="20"/>
      </w:rPr>
      <w:fldChar w:fldCharType="end"/>
    </w:r>
  </w:p>
  <w:p>
    <w:pPr>
      <w:pStyle w:val="style32"/>
      <w:rPr>
        <w:rFonts w:ascii="Times New Roman" w:cs="Times New Roman" w:hAnsi="Times New Roman"/>
        <w:sz w:val="20"/>
        <w:szCs w:val="20"/>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00000000"/>
    <w:lvl w:ilvl="0" w:tplc="48648248">
      <w:start w:val="1"/>
      <w:numFmt w:val="bullet"/>
      <w:lvlText w:val="●"/>
      <w:lvlJc w:val="left"/>
      <w:pPr>
        <w:ind w:left="720" w:hanging="360"/>
      </w:pPr>
      <w:rPr>
        <w:u w:val="none"/>
      </w:rPr>
    </w:lvl>
    <w:lvl w:ilvl="1" w:tplc="90CEBA60">
      <w:start w:val="1"/>
      <w:numFmt w:val="bullet"/>
      <w:lvlText w:val="○"/>
      <w:lvlJc w:val="left"/>
      <w:pPr>
        <w:ind w:left="1440" w:hanging="360"/>
      </w:pPr>
      <w:rPr>
        <w:u w:val="none"/>
      </w:rPr>
    </w:lvl>
    <w:lvl w:ilvl="2" w:tplc="9D42742E">
      <w:start w:val="1"/>
      <w:numFmt w:val="bullet"/>
      <w:lvlText w:val="■"/>
      <w:lvlJc w:val="left"/>
      <w:pPr>
        <w:ind w:left="2160" w:hanging="360"/>
      </w:pPr>
      <w:rPr>
        <w:u w:val="none"/>
      </w:rPr>
    </w:lvl>
    <w:lvl w:ilvl="3" w:tplc="8FA8C830">
      <w:start w:val="1"/>
      <w:numFmt w:val="bullet"/>
      <w:lvlText w:val="●"/>
      <w:lvlJc w:val="left"/>
      <w:pPr>
        <w:ind w:left="2880" w:hanging="360"/>
      </w:pPr>
      <w:rPr>
        <w:u w:val="none"/>
      </w:rPr>
    </w:lvl>
    <w:lvl w:ilvl="4" w:tplc="7500DF5A">
      <w:start w:val="1"/>
      <w:numFmt w:val="bullet"/>
      <w:lvlText w:val="○"/>
      <w:lvlJc w:val="left"/>
      <w:pPr>
        <w:ind w:left="3600" w:hanging="360"/>
      </w:pPr>
      <w:rPr>
        <w:u w:val="none"/>
      </w:rPr>
    </w:lvl>
    <w:lvl w:ilvl="5" w:tplc="4246F0A4">
      <w:start w:val="1"/>
      <w:numFmt w:val="bullet"/>
      <w:lvlText w:val="■"/>
      <w:lvlJc w:val="left"/>
      <w:pPr>
        <w:ind w:left="4320" w:hanging="360"/>
      </w:pPr>
      <w:rPr>
        <w:u w:val="none"/>
      </w:rPr>
    </w:lvl>
    <w:lvl w:ilvl="6" w:tplc="61BCC3A0">
      <w:start w:val="1"/>
      <w:numFmt w:val="bullet"/>
      <w:lvlText w:val="●"/>
      <w:lvlJc w:val="left"/>
      <w:pPr>
        <w:ind w:left="5040" w:hanging="360"/>
      </w:pPr>
      <w:rPr>
        <w:u w:val="none"/>
      </w:rPr>
    </w:lvl>
    <w:lvl w:ilvl="7" w:tplc="7200DB36">
      <w:start w:val="1"/>
      <w:numFmt w:val="bullet"/>
      <w:lvlText w:val="○"/>
      <w:lvlJc w:val="left"/>
      <w:pPr>
        <w:ind w:left="5760" w:hanging="360"/>
      </w:pPr>
      <w:rPr>
        <w:u w:val="none"/>
      </w:rPr>
    </w:lvl>
    <w:lvl w:ilvl="8" w:tplc="6172AE9A">
      <w:start w:val="1"/>
      <w:numFmt w:val="bullet"/>
      <w:lvlText w:val="■"/>
      <w:lvlJc w:val="left"/>
      <w:pPr>
        <w:ind w:left="6480" w:hanging="360"/>
      </w:pPr>
      <w:rPr>
        <w:u w:val="none"/>
      </w:rPr>
    </w:lvl>
  </w:abstractNum>
  <w:abstractNum w:abstractNumId="1">
    <w:nsid w:val="00000001"/>
    <w:multiLevelType w:val="hybridMultilevel"/>
    <w:tmpl w:val="00000000"/>
    <w:lvl w:ilvl="0" w:tplc="280A5334">
      <w:start w:val="1"/>
      <w:numFmt w:val="bullet"/>
      <w:lvlText w:val="●"/>
      <w:lvlJc w:val="left"/>
      <w:pPr>
        <w:ind w:left="720" w:hanging="360"/>
      </w:pPr>
      <w:rPr>
        <w:u w:val="none"/>
      </w:rPr>
    </w:lvl>
    <w:lvl w:ilvl="1" w:tplc="644E6826">
      <w:start w:val="1"/>
      <w:numFmt w:val="bullet"/>
      <w:lvlText w:val="○"/>
      <w:lvlJc w:val="left"/>
      <w:pPr>
        <w:ind w:left="1440" w:hanging="360"/>
      </w:pPr>
      <w:rPr>
        <w:u w:val="none"/>
      </w:rPr>
    </w:lvl>
    <w:lvl w:ilvl="2" w:tplc="1B5CF690">
      <w:start w:val="1"/>
      <w:numFmt w:val="bullet"/>
      <w:lvlText w:val="■"/>
      <w:lvlJc w:val="left"/>
      <w:pPr>
        <w:ind w:left="2160" w:hanging="360"/>
      </w:pPr>
      <w:rPr>
        <w:u w:val="none"/>
      </w:rPr>
    </w:lvl>
    <w:lvl w:ilvl="3" w:tplc="A4E2F1FC">
      <w:start w:val="1"/>
      <w:numFmt w:val="bullet"/>
      <w:lvlText w:val="●"/>
      <w:lvlJc w:val="left"/>
      <w:pPr>
        <w:ind w:left="2880" w:hanging="360"/>
      </w:pPr>
      <w:rPr>
        <w:u w:val="none"/>
      </w:rPr>
    </w:lvl>
    <w:lvl w:ilvl="4" w:tplc="F1BC5B1C">
      <w:start w:val="1"/>
      <w:numFmt w:val="bullet"/>
      <w:lvlText w:val="○"/>
      <w:lvlJc w:val="left"/>
      <w:pPr>
        <w:ind w:left="3600" w:hanging="360"/>
      </w:pPr>
      <w:rPr>
        <w:u w:val="none"/>
      </w:rPr>
    </w:lvl>
    <w:lvl w:ilvl="5" w:tplc="CB785DC2">
      <w:start w:val="1"/>
      <w:numFmt w:val="bullet"/>
      <w:lvlText w:val="■"/>
      <w:lvlJc w:val="left"/>
      <w:pPr>
        <w:ind w:left="4320" w:hanging="360"/>
      </w:pPr>
      <w:rPr>
        <w:u w:val="none"/>
      </w:rPr>
    </w:lvl>
    <w:lvl w:ilvl="6" w:tplc="4036CAA4">
      <w:start w:val="1"/>
      <w:numFmt w:val="bullet"/>
      <w:lvlText w:val="●"/>
      <w:lvlJc w:val="left"/>
      <w:pPr>
        <w:ind w:left="5040" w:hanging="360"/>
      </w:pPr>
      <w:rPr>
        <w:u w:val="none"/>
      </w:rPr>
    </w:lvl>
    <w:lvl w:ilvl="7" w:tplc="7A6889B0">
      <w:start w:val="1"/>
      <w:numFmt w:val="bullet"/>
      <w:lvlText w:val="○"/>
      <w:lvlJc w:val="left"/>
      <w:pPr>
        <w:ind w:left="5760" w:hanging="360"/>
      </w:pPr>
      <w:rPr>
        <w:u w:val="none"/>
      </w:rPr>
    </w:lvl>
    <w:lvl w:ilvl="8" w:tplc="C14AB132">
      <w:start w:val="1"/>
      <w:numFmt w:val="bullet"/>
      <w:lvlText w:val="■"/>
      <w:lvlJc w:val="left"/>
      <w:pPr>
        <w:ind w:left="6480" w:hanging="360"/>
      </w:pPr>
      <w:rPr>
        <w:u w:val="none"/>
      </w:rPr>
    </w:lvl>
  </w:abstractNum>
  <w:abstractNum w:abstractNumId="2">
    <w:nsid w:val="00000002"/>
    <w:multiLevelType w:val="hybridMultilevel"/>
    <w:tmpl w:val="00000000"/>
    <w:lvl w:ilvl="0" w:tplc="2B12CDDA">
      <w:start w:val="1"/>
      <w:numFmt w:val="bullet"/>
      <w:lvlText w:val="●"/>
      <w:lvlJc w:val="left"/>
      <w:pPr>
        <w:ind w:left="720" w:hanging="360"/>
      </w:pPr>
      <w:rPr>
        <w:u w:val="none"/>
      </w:rPr>
    </w:lvl>
    <w:lvl w:ilvl="1" w:tplc="D0B08A20">
      <w:start w:val="1"/>
      <w:numFmt w:val="bullet"/>
      <w:lvlText w:val="○"/>
      <w:lvlJc w:val="left"/>
      <w:pPr>
        <w:ind w:left="1440" w:hanging="360"/>
      </w:pPr>
      <w:rPr>
        <w:u w:val="none"/>
      </w:rPr>
    </w:lvl>
    <w:lvl w:ilvl="2" w:tplc="53EE285C">
      <w:start w:val="1"/>
      <w:numFmt w:val="bullet"/>
      <w:lvlText w:val="■"/>
      <w:lvlJc w:val="left"/>
      <w:pPr>
        <w:ind w:left="2160" w:hanging="360"/>
      </w:pPr>
      <w:rPr>
        <w:u w:val="none"/>
      </w:rPr>
    </w:lvl>
    <w:lvl w:ilvl="3" w:tplc="99780858">
      <w:start w:val="1"/>
      <w:numFmt w:val="bullet"/>
      <w:lvlText w:val="●"/>
      <w:lvlJc w:val="left"/>
      <w:pPr>
        <w:ind w:left="2880" w:hanging="360"/>
      </w:pPr>
      <w:rPr>
        <w:u w:val="none"/>
      </w:rPr>
    </w:lvl>
    <w:lvl w:ilvl="4" w:tplc="9CAE6314">
      <w:start w:val="1"/>
      <w:numFmt w:val="bullet"/>
      <w:lvlText w:val="○"/>
      <w:lvlJc w:val="left"/>
      <w:pPr>
        <w:ind w:left="3600" w:hanging="360"/>
      </w:pPr>
      <w:rPr>
        <w:u w:val="none"/>
      </w:rPr>
    </w:lvl>
    <w:lvl w:ilvl="5" w:tplc="4D423A7E">
      <w:start w:val="1"/>
      <w:numFmt w:val="bullet"/>
      <w:lvlText w:val="■"/>
      <w:lvlJc w:val="left"/>
      <w:pPr>
        <w:ind w:left="4320" w:hanging="360"/>
      </w:pPr>
      <w:rPr>
        <w:u w:val="none"/>
      </w:rPr>
    </w:lvl>
    <w:lvl w:ilvl="6" w:tplc="3FCE4C2E">
      <w:start w:val="1"/>
      <w:numFmt w:val="bullet"/>
      <w:lvlText w:val="●"/>
      <w:lvlJc w:val="left"/>
      <w:pPr>
        <w:ind w:left="5040" w:hanging="360"/>
      </w:pPr>
      <w:rPr>
        <w:u w:val="none"/>
      </w:rPr>
    </w:lvl>
    <w:lvl w:ilvl="7" w:tplc="E4C04686">
      <w:start w:val="1"/>
      <w:numFmt w:val="bullet"/>
      <w:lvlText w:val="○"/>
      <w:lvlJc w:val="left"/>
      <w:pPr>
        <w:ind w:left="5760" w:hanging="360"/>
      </w:pPr>
      <w:rPr>
        <w:u w:val="none"/>
      </w:rPr>
    </w:lvl>
    <w:lvl w:ilvl="8" w:tplc="E618EAC0">
      <w:start w:val="1"/>
      <w:numFmt w:val="bullet"/>
      <w:lvlText w:val="■"/>
      <w:lvlJc w:val="left"/>
      <w:pPr>
        <w:ind w:left="6480" w:hanging="360"/>
      </w:pPr>
      <w:rPr>
        <w:u w:val="none"/>
      </w:rPr>
    </w:lvl>
  </w:abstractNum>
  <w:abstractNum w:abstractNumId="3">
    <w:nsid w:val="00000003"/>
    <w:multiLevelType w:val="hybridMultilevel"/>
    <w:tmpl w:val="00000000"/>
    <w:lvl w:ilvl="0" w:tplc="A50E8534">
      <w:start w:val="1"/>
      <w:numFmt w:val="bullet"/>
      <w:lvlText w:val="●"/>
      <w:lvlJc w:val="left"/>
      <w:pPr>
        <w:ind w:left="720" w:hanging="360"/>
      </w:pPr>
      <w:rPr>
        <w:u w:val="none"/>
      </w:rPr>
    </w:lvl>
    <w:lvl w:ilvl="1" w:tplc="9D60FFE6">
      <w:start w:val="1"/>
      <w:numFmt w:val="bullet"/>
      <w:lvlText w:val="○"/>
      <w:lvlJc w:val="left"/>
      <w:pPr>
        <w:ind w:left="1440" w:hanging="360"/>
      </w:pPr>
      <w:rPr>
        <w:u w:val="none"/>
      </w:rPr>
    </w:lvl>
    <w:lvl w:ilvl="2" w:tplc="D69CAF96">
      <w:start w:val="1"/>
      <w:numFmt w:val="bullet"/>
      <w:lvlText w:val="■"/>
      <w:lvlJc w:val="left"/>
      <w:pPr>
        <w:ind w:left="2160" w:hanging="360"/>
      </w:pPr>
      <w:rPr>
        <w:u w:val="none"/>
      </w:rPr>
    </w:lvl>
    <w:lvl w:ilvl="3" w:tplc="7F6A9F2C">
      <w:start w:val="1"/>
      <w:numFmt w:val="bullet"/>
      <w:lvlText w:val="●"/>
      <w:lvlJc w:val="left"/>
      <w:pPr>
        <w:ind w:left="2880" w:hanging="360"/>
      </w:pPr>
      <w:rPr>
        <w:u w:val="none"/>
      </w:rPr>
    </w:lvl>
    <w:lvl w:ilvl="4" w:tplc="D8327D1C">
      <w:start w:val="1"/>
      <w:numFmt w:val="bullet"/>
      <w:lvlText w:val="○"/>
      <w:lvlJc w:val="left"/>
      <w:pPr>
        <w:ind w:left="3600" w:hanging="360"/>
      </w:pPr>
      <w:rPr>
        <w:u w:val="none"/>
      </w:rPr>
    </w:lvl>
    <w:lvl w:ilvl="5" w:tplc="20A857B6">
      <w:start w:val="1"/>
      <w:numFmt w:val="bullet"/>
      <w:lvlText w:val="■"/>
      <w:lvlJc w:val="left"/>
      <w:pPr>
        <w:ind w:left="4320" w:hanging="360"/>
      </w:pPr>
      <w:rPr>
        <w:u w:val="none"/>
      </w:rPr>
    </w:lvl>
    <w:lvl w:ilvl="6" w:tplc="5A18D5D4">
      <w:start w:val="1"/>
      <w:numFmt w:val="bullet"/>
      <w:lvlText w:val="●"/>
      <w:lvlJc w:val="left"/>
      <w:pPr>
        <w:ind w:left="5040" w:hanging="360"/>
      </w:pPr>
      <w:rPr>
        <w:u w:val="none"/>
      </w:rPr>
    </w:lvl>
    <w:lvl w:ilvl="7" w:tplc="A38227C2">
      <w:start w:val="1"/>
      <w:numFmt w:val="bullet"/>
      <w:lvlText w:val="○"/>
      <w:lvlJc w:val="left"/>
      <w:pPr>
        <w:ind w:left="5760" w:hanging="360"/>
      </w:pPr>
      <w:rPr>
        <w:u w:val="none"/>
      </w:rPr>
    </w:lvl>
    <w:lvl w:ilvl="8" w:tplc="9D14A3E0">
      <w:start w:val="1"/>
      <w:numFmt w:val="bullet"/>
      <w:lvlText w:val="■"/>
      <w:lvlJc w:val="left"/>
      <w:pPr>
        <w:ind w:left="6480" w:hanging="360"/>
      </w:pPr>
      <w:rPr>
        <w:u w:val="none"/>
      </w:rPr>
    </w:lvl>
  </w:abstractNum>
  <w:abstractNum w:abstractNumId="4">
    <w:nsid w:val="00000004"/>
    <w:multiLevelType w:val="hybridMultilevel"/>
    <w:tmpl w:val="00000000"/>
    <w:lvl w:ilvl="0" w:tplc="A1FE2974">
      <w:start w:val="1"/>
      <w:numFmt w:val="bullet"/>
      <w:lvlText w:val="●"/>
      <w:lvlJc w:val="left"/>
      <w:pPr>
        <w:ind w:left="720" w:hanging="360"/>
      </w:pPr>
      <w:rPr>
        <w:u w:val="none"/>
      </w:rPr>
    </w:lvl>
    <w:lvl w:ilvl="1" w:tplc="C366C3D6">
      <w:start w:val="1"/>
      <w:numFmt w:val="bullet"/>
      <w:lvlText w:val="○"/>
      <w:lvlJc w:val="left"/>
      <w:pPr>
        <w:ind w:left="1440" w:hanging="360"/>
      </w:pPr>
      <w:rPr>
        <w:u w:val="none"/>
      </w:rPr>
    </w:lvl>
    <w:lvl w:ilvl="2" w:tplc="984035F2">
      <w:start w:val="1"/>
      <w:numFmt w:val="bullet"/>
      <w:lvlText w:val="■"/>
      <w:lvlJc w:val="left"/>
      <w:pPr>
        <w:ind w:left="2160" w:hanging="360"/>
      </w:pPr>
      <w:rPr>
        <w:u w:val="none"/>
      </w:rPr>
    </w:lvl>
    <w:lvl w:ilvl="3" w:tplc="1558382A">
      <w:start w:val="1"/>
      <w:numFmt w:val="bullet"/>
      <w:lvlText w:val="●"/>
      <w:lvlJc w:val="left"/>
      <w:pPr>
        <w:ind w:left="2880" w:hanging="360"/>
      </w:pPr>
      <w:rPr>
        <w:u w:val="none"/>
      </w:rPr>
    </w:lvl>
    <w:lvl w:ilvl="4" w:tplc="205E07F0">
      <w:start w:val="1"/>
      <w:numFmt w:val="bullet"/>
      <w:lvlText w:val="○"/>
      <w:lvlJc w:val="left"/>
      <w:pPr>
        <w:ind w:left="3600" w:hanging="360"/>
      </w:pPr>
      <w:rPr>
        <w:u w:val="none"/>
      </w:rPr>
    </w:lvl>
    <w:lvl w:ilvl="5" w:tplc="E1FC032C">
      <w:start w:val="1"/>
      <w:numFmt w:val="bullet"/>
      <w:lvlText w:val="■"/>
      <w:lvlJc w:val="left"/>
      <w:pPr>
        <w:ind w:left="4320" w:hanging="360"/>
      </w:pPr>
      <w:rPr>
        <w:u w:val="none"/>
      </w:rPr>
    </w:lvl>
    <w:lvl w:ilvl="6" w:tplc="EF02B6EE">
      <w:start w:val="1"/>
      <w:numFmt w:val="bullet"/>
      <w:lvlText w:val="●"/>
      <w:lvlJc w:val="left"/>
      <w:pPr>
        <w:ind w:left="5040" w:hanging="360"/>
      </w:pPr>
      <w:rPr>
        <w:u w:val="none"/>
      </w:rPr>
    </w:lvl>
    <w:lvl w:ilvl="7" w:tplc="44B66E4A">
      <w:start w:val="1"/>
      <w:numFmt w:val="bullet"/>
      <w:lvlText w:val="○"/>
      <w:lvlJc w:val="left"/>
      <w:pPr>
        <w:ind w:left="5760" w:hanging="360"/>
      </w:pPr>
      <w:rPr>
        <w:u w:val="none"/>
      </w:rPr>
    </w:lvl>
    <w:lvl w:ilvl="8" w:tplc="69B02168">
      <w:start w:val="1"/>
      <w:numFmt w:val="bullet"/>
      <w:lvlText w:val="■"/>
      <w:lvlJc w:val="left"/>
      <w:pPr>
        <w:ind w:left="6480" w:hanging="360"/>
      </w:pPr>
      <w:rPr>
        <w:u w:val="none"/>
      </w:rPr>
    </w:lvl>
  </w:abstractNum>
  <w:abstractNum w:abstractNumId="5">
    <w:nsid w:val="00000005"/>
    <w:multiLevelType w:val="hybridMultilevel"/>
    <w:tmpl w:val="FD72A3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0000006"/>
    <w:multiLevelType w:val="hybridMultilevel"/>
    <w:tmpl w:val="00000000"/>
    <w:lvl w:ilvl="0" w:tplc="29C0F59E">
      <w:start w:val="1"/>
      <w:numFmt w:val="bullet"/>
      <w:lvlText w:val="●"/>
      <w:lvlJc w:val="left"/>
      <w:pPr>
        <w:ind w:left="720" w:hanging="360"/>
      </w:pPr>
      <w:rPr>
        <w:u w:val="none"/>
      </w:rPr>
    </w:lvl>
    <w:lvl w:ilvl="1" w:tplc="3D1CBB62">
      <w:start w:val="1"/>
      <w:numFmt w:val="bullet"/>
      <w:lvlText w:val="○"/>
      <w:lvlJc w:val="left"/>
      <w:pPr>
        <w:ind w:left="1440" w:hanging="360"/>
      </w:pPr>
      <w:rPr>
        <w:u w:val="none"/>
      </w:rPr>
    </w:lvl>
    <w:lvl w:ilvl="2" w:tplc="2EFE3360">
      <w:start w:val="1"/>
      <w:numFmt w:val="bullet"/>
      <w:lvlText w:val="■"/>
      <w:lvlJc w:val="left"/>
      <w:pPr>
        <w:ind w:left="2160" w:hanging="360"/>
      </w:pPr>
      <w:rPr>
        <w:u w:val="none"/>
      </w:rPr>
    </w:lvl>
    <w:lvl w:ilvl="3" w:tplc="66C2A454">
      <w:start w:val="1"/>
      <w:numFmt w:val="bullet"/>
      <w:lvlText w:val="●"/>
      <w:lvlJc w:val="left"/>
      <w:pPr>
        <w:ind w:left="2880" w:hanging="360"/>
      </w:pPr>
      <w:rPr>
        <w:u w:val="none"/>
      </w:rPr>
    </w:lvl>
    <w:lvl w:ilvl="4" w:tplc="AB1E4D52">
      <w:start w:val="1"/>
      <w:numFmt w:val="bullet"/>
      <w:lvlText w:val="○"/>
      <w:lvlJc w:val="left"/>
      <w:pPr>
        <w:ind w:left="3600" w:hanging="360"/>
      </w:pPr>
      <w:rPr>
        <w:u w:val="none"/>
      </w:rPr>
    </w:lvl>
    <w:lvl w:ilvl="5" w:tplc="D2709E7C">
      <w:start w:val="1"/>
      <w:numFmt w:val="bullet"/>
      <w:lvlText w:val="■"/>
      <w:lvlJc w:val="left"/>
      <w:pPr>
        <w:ind w:left="4320" w:hanging="360"/>
      </w:pPr>
      <w:rPr>
        <w:u w:val="none"/>
      </w:rPr>
    </w:lvl>
    <w:lvl w:ilvl="6" w:tplc="A084643E">
      <w:start w:val="1"/>
      <w:numFmt w:val="bullet"/>
      <w:lvlText w:val="●"/>
      <w:lvlJc w:val="left"/>
      <w:pPr>
        <w:ind w:left="5040" w:hanging="360"/>
      </w:pPr>
      <w:rPr>
        <w:u w:val="none"/>
      </w:rPr>
    </w:lvl>
    <w:lvl w:ilvl="7" w:tplc="158043DA">
      <w:start w:val="1"/>
      <w:numFmt w:val="bullet"/>
      <w:lvlText w:val="○"/>
      <w:lvlJc w:val="left"/>
      <w:pPr>
        <w:ind w:left="5760" w:hanging="360"/>
      </w:pPr>
      <w:rPr>
        <w:u w:val="none"/>
      </w:rPr>
    </w:lvl>
    <w:lvl w:ilvl="8" w:tplc="923C6C9C">
      <w:start w:val="1"/>
      <w:numFmt w:val="bullet"/>
      <w:lvlText w:val="■"/>
      <w:lvlJc w:val="left"/>
      <w:pPr>
        <w:ind w:left="6480" w:hanging="360"/>
      </w:pPr>
      <w:rPr>
        <w:u w:val="none"/>
      </w:rPr>
    </w:lvl>
  </w:abstractNum>
  <w:num w:numId="1">
    <w:abstractNumId w:val="1"/>
  </w:num>
  <w:num w:numId="2">
    <w:abstractNumId w:val="3"/>
  </w:num>
  <w:num w:numId="3">
    <w:abstractNumId w:val="4"/>
  </w:num>
  <w:num w:numId="4">
    <w:abstractNumId w:val="6"/>
  </w:num>
  <w:num w:numId="5">
    <w:abstractNumId w:val="2"/>
  </w:num>
  <w:num w:numId="6">
    <w:abstractNumId w:val="0"/>
  </w:num>
  <w:num w:numId="7">
    <w:abstractNumId w:val="5"/>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drawingGridHorizontalSpacing w:val="110"/>
  <w:displayHorizontalDrawingGridEvery w:val="2"/>
  <w:characterSpacingControl w:val="doNotCompress"/>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Arial" w:cs="Arial" w:eastAsia="Arial" w:hAnsi="Arial"/>
        <w:sz w:val="22"/>
        <w:szCs w:val="22"/>
        <w:lang w:val="en-US" w:bidi="ar-SA" w:eastAsia="en-US"/>
      </w:rPr>
    </w:rPrDefault>
    <w:pPrDefault>
      <w:pPr>
        <w:spacing w:lineRule="auto" w:line="276"/>
      </w:pPr>
    </w:pPrDefault>
  </w:docDefaults>
  <w:style w:type="paragraph" w:default="1" w:styleId="style0">
    <w:name w:val="Normal"/>
    <w:next w:val="style0"/>
    <w:qFormat/>
    <w:pPr/>
  </w:style>
  <w:style w:type="paragraph" w:styleId="style1">
    <w:name w:val="heading 1"/>
    <w:basedOn w:val="style4097"/>
    <w:next w:val="style4097"/>
    <w:pPr>
      <w:spacing w:lineRule="auto" w:line="360"/>
      <w:jc w:val="both"/>
      <w:outlineLvl w:val="0"/>
    </w:pPr>
    <w:rPr>
      <w:rFonts w:ascii="Times New Roman" w:cs="Times New Roman" w:eastAsia="Times New Roman" w:hAnsi="Times New Roman"/>
      <w:b/>
      <w:sz w:val="24"/>
      <w:szCs w:val="24"/>
      <w:lang w:val="en-GB"/>
    </w:rPr>
  </w:style>
  <w:style w:type="paragraph" w:styleId="style2">
    <w:name w:val="heading 2"/>
    <w:basedOn w:val="style4097"/>
    <w:next w:val="style4097"/>
    <w:pPr>
      <w:keepNext/>
      <w:keepLines/>
      <w:spacing w:before="360" w:after="120" w:lineRule="auto" w:line="360"/>
      <w:jc w:val="both"/>
      <w:outlineLvl w:val="1"/>
    </w:pPr>
    <w:rPr>
      <w:rFonts w:ascii="Times New Roman" w:hAnsi="Times New Roman"/>
      <w:b/>
      <w:sz w:val="24"/>
      <w:szCs w:val="32"/>
    </w:rPr>
  </w:style>
  <w:style w:type="paragraph" w:styleId="style3">
    <w:name w:val="heading 3"/>
    <w:basedOn w:val="style4097"/>
    <w:next w:val="style4097"/>
    <w:pPr>
      <w:keepNext/>
      <w:keepLines/>
      <w:spacing w:before="320" w:after="80"/>
      <w:outlineLvl w:val="2"/>
    </w:pPr>
    <w:rPr>
      <w:color w:val="434343"/>
      <w:sz w:val="28"/>
      <w:szCs w:val="28"/>
    </w:rPr>
  </w:style>
  <w:style w:type="paragraph" w:styleId="style4">
    <w:name w:val="heading 4"/>
    <w:basedOn w:val="style4097"/>
    <w:next w:val="style4097"/>
    <w:pPr>
      <w:keepNext/>
      <w:keepLines/>
      <w:spacing w:before="280" w:after="80"/>
      <w:outlineLvl w:val="3"/>
    </w:pPr>
    <w:rPr>
      <w:color w:val="666666"/>
      <w:sz w:val="24"/>
      <w:szCs w:val="24"/>
    </w:rPr>
  </w:style>
  <w:style w:type="paragraph" w:styleId="style5">
    <w:name w:val="heading 5"/>
    <w:basedOn w:val="style4097"/>
    <w:next w:val="style4097"/>
    <w:pPr>
      <w:keepNext/>
      <w:keepLines/>
      <w:spacing w:before="240" w:after="80"/>
      <w:outlineLvl w:val="4"/>
    </w:pPr>
    <w:rPr>
      <w:color w:val="666666"/>
    </w:rPr>
  </w:style>
  <w:style w:type="paragraph" w:styleId="style6">
    <w:name w:val="heading 6"/>
    <w:basedOn w:val="style4097"/>
    <w:next w:val="style4097"/>
    <w:pPr>
      <w:keepNext/>
      <w:keepLines/>
      <w:spacing w:before="240" w:after="80"/>
      <w:outlineLvl w:val="5"/>
    </w:pPr>
    <w:rPr>
      <w:i/>
      <w:color w:val="666666"/>
    </w:rPr>
  </w:style>
  <w:style w:type="character" w:default="1" w:styleId="style65">
    <w:name w:val="Default Paragraph Font"/>
    <w:next w:val="style65"/>
    <w:uiPriority w:val="1"/>
  </w:style>
  <w:style w:type="table" w:default="1" w:styleId="style105">
    <w:name w:val="Normal Table"/>
    <w:next w:val="style105"/>
    <w:qFormat/>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customStyle="1" w:styleId="style4097">
    <w:name w:val="normal"/>
    <w:next w:val="style4097"/>
    <w:pPr/>
  </w:style>
  <w:style w:type="paragraph" w:styleId="style62">
    <w:name w:val="Title"/>
    <w:basedOn w:val="style4097"/>
    <w:next w:val="style4097"/>
    <w:pPr>
      <w:keepNext/>
      <w:keepLines/>
      <w:spacing w:after="60"/>
    </w:pPr>
    <w:rPr>
      <w:sz w:val="52"/>
      <w:szCs w:val="52"/>
    </w:rPr>
  </w:style>
  <w:style w:type="paragraph" w:styleId="style74">
    <w:name w:val="Subtitle"/>
    <w:basedOn w:val="style4097"/>
    <w:next w:val="style4097"/>
    <w:pPr>
      <w:keepNext/>
      <w:keepLines/>
      <w:spacing w:after="320"/>
    </w:pPr>
    <w:rPr>
      <w:color w:val="666666"/>
      <w:sz w:val="30"/>
      <w:szCs w:val="30"/>
    </w:rPr>
  </w:style>
  <w:style w:type="paragraph" w:styleId="style30">
    <w:name w:val="annotation text"/>
    <w:basedOn w:val="style0"/>
    <w:next w:val="style30"/>
    <w:link w:val="style4098"/>
    <w:uiPriority w:val="99"/>
    <w:pPr>
      <w:spacing w:lineRule="auto" w:line="240"/>
    </w:pPr>
    <w:rPr>
      <w:sz w:val="20"/>
      <w:szCs w:val="20"/>
    </w:rPr>
  </w:style>
  <w:style w:type="character" w:customStyle="1" w:styleId="style4098">
    <w:name w:val="Comment Text Char"/>
    <w:basedOn w:val="style65"/>
    <w:next w:val="style4098"/>
    <w:link w:val="style30"/>
    <w:uiPriority w:val="99"/>
    <w:rPr>
      <w:sz w:val="20"/>
      <w:szCs w:val="20"/>
    </w:rPr>
  </w:style>
  <w:style w:type="character" w:styleId="style39">
    <w:name w:val="annotation reference"/>
    <w:basedOn w:val="style65"/>
    <w:next w:val="style39"/>
    <w:uiPriority w:val="99"/>
    <w:rPr>
      <w:sz w:val="16"/>
      <w:szCs w:val="16"/>
    </w:rPr>
  </w:style>
  <w:style w:type="paragraph" w:styleId="style153">
    <w:name w:val="Balloon Text"/>
    <w:basedOn w:val="style0"/>
    <w:next w:val="style153"/>
    <w:link w:val="style4099"/>
    <w:uiPriority w:val="99"/>
    <w:pPr>
      <w:spacing w:lineRule="auto" w:line="240"/>
    </w:pPr>
    <w:rPr>
      <w:rFonts w:ascii="Tahoma" w:cs="Tahoma" w:hAnsi="Tahoma"/>
      <w:sz w:val="16"/>
      <w:szCs w:val="16"/>
    </w:rPr>
  </w:style>
  <w:style w:type="character" w:customStyle="1" w:styleId="style4099">
    <w:name w:val="Balloon Text Char"/>
    <w:basedOn w:val="style65"/>
    <w:next w:val="style4099"/>
    <w:link w:val="style153"/>
    <w:uiPriority w:val="99"/>
    <w:rPr>
      <w:rFonts w:ascii="Tahoma" w:cs="Tahoma" w:hAnsi="Tahoma"/>
      <w:sz w:val="16"/>
      <w:szCs w:val="16"/>
    </w:rPr>
  </w:style>
  <w:style w:type="paragraph" w:styleId="style31">
    <w:name w:val="header"/>
    <w:basedOn w:val="style0"/>
    <w:next w:val="style31"/>
    <w:link w:val="style4100"/>
    <w:uiPriority w:val="99"/>
    <w:pPr>
      <w:tabs>
        <w:tab w:val="center" w:leader="none" w:pos="4680"/>
        <w:tab w:val="right" w:leader="none" w:pos="9360"/>
      </w:tabs>
      <w:spacing w:lineRule="auto" w:line="240"/>
    </w:pPr>
    <w:rPr/>
  </w:style>
  <w:style w:type="character" w:customStyle="1" w:styleId="style4100">
    <w:name w:val="Header Char_04ce1f39-3dc7-43cf-930a-a3e7e9e6f43b"/>
    <w:basedOn w:val="style65"/>
    <w:next w:val="style4100"/>
    <w:link w:val="style31"/>
    <w:uiPriority w:val="99"/>
  </w:style>
  <w:style w:type="paragraph" w:styleId="style32">
    <w:name w:val="footer"/>
    <w:basedOn w:val="style0"/>
    <w:next w:val="style32"/>
    <w:link w:val="style4101"/>
    <w:uiPriority w:val="99"/>
    <w:pPr>
      <w:tabs>
        <w:tab w:val="center" w:leader="none" w:pos="4680"/>
        <w:tab w:val="right" w:leader="none" w:pos="9360"/>
      </w:tabs>
      <w:spacing w:lineRule="auto" w:line="240"/>
    </w:pPr>
    <w:rPr/>
  </w:style>
  <w:style w:type="character" w:customStyle="1" w:styleId="style4101">
    <w:name w:val="Footer Char_b9d080c6-803b-4aa7-a816-d45eeb8210d0"/>
    <w:basedOn w:val="style65"/>
    <w:next w:val="style4101"/>
    <w:link w:val="style32"/>
    <w:uiPriority w:val="99"/>
  </w:style>
  <w:style w:type="character" w:styleId="style85">
    <w:name w:val="Hyperlink"/>
    <w:basedOn w:val="style65"/>
    <w:next w:val="style85"/>
    <w:uiPriority w:val="99"/>
    <w:rPr>
      <w:color w:val="0000ff"/>
      <w:u w:val="single"/>
    </w:rPr>
  </w:style>
  <w:style w:type="paragraph" w:styleId="style266">
    <w:name w:val="TOC Heading"/>
    <w:basedOn w:val="style1"/>
    <w:next w:val="style0"/>
    <w:qFormat/>
    <w:uiPriority w:val="39"/>
    <w:pPr>
      <w:keepNext/>
      <w:keepLines/>
      <w:spacing w:before="480" w:lineRule="auto" w:line="276"/>
      <w:jc w:val="left"/>
      <w:outlineLvl w:val="9"/>
    </w:pPr>
    <w:rPr>
      <w:rFonts w:ascii="Calibri" w:cs="宋体" w:eastAsia="宋体" w:hAnsi="Calibri"/>
      <w:bCs/>
      <w:color w:val="365f91"/>
      <w:sz w:val="28"/>
      <w:szCs w:val="28"/>
      <w:lang w:val="en-US"/>
    </w:rPr>
  </w:style>
  <w:style w:type="paragraph" w:styleId="style19">
    <w:name w:val="toc 1"/>
    <w:basedOn w:val="style0"/>
    <w:next w:val="style0"/>
    <w:uiPriority w:val="39"/>
    <w:pPr>
      <w:spacing w:after="100"/>
    </w:pPr>
    <w:rPr/>
  </w:style>
  <w:style w:type="table" w:customStyle="1" w:styleId="style4102">
    <w:name w:val="Table1"/>
    <w:basedOn w:val="style105"/>
    <w:next w:val="style4102"/>
    <w:pPr/>
    <w:rPr/>
    <w:tblPr>
      <w:tblStyleRowBandSize w:val="1"/>
      <w:tblStyleColBandSize w:val="1"/>
      <w:tblInd w:w="0" w:type="dxa"/>
      <w:tblCellMar>
        <w:top w:w="100" w:type="dxa"/>
        <w:left w:w="100" w:type="dxa"/>
        <w:bottom w:w="100" w:type="dxa"/>
        <w:right w:w="100" w:type="dxa"/>
      </w:tblCellMar>
    </w:tblPr>
    <w:tcPr>
      <w:tcBorders/>
    </w:tcPr>
  </w:style>
  <w:style w:type="paragraph" w:styleId="style179">
    <w:name w:val="List Paragraph"/>
    <w:basedOn w:val="style0"/>
    <w:next w:val="style179"/>
    <w:qFormat/>
    <w:uiPriority w:val="34"/>
    <w:pPr>
      <w:ind w:left="720"/>
      <w:contextualSpacing/>
    </w:pPr>
    <w:rPr/>
  </w:style>
  <w:style w:type="paragraph" w:styleId="style20">
    <w:name w:val="toc 2"/>
    <w:basedOn w:val="style0"/>
    <w:next w:val="style0"/>
    <w:uiPriority w:val="39"/>
    <w:pPr>
      <w:spacing w:after="100"/>
      <w:ind w:left="220"/>
    </w:pPr>
    <w:rPr/>
  </w:style>
  <w:style w:type="paragraph" w:styleId="style89">
    <w:name w:val="Document Map"/>
    <w:basedOn w:val="style0"/>
    <w:next w:val="style89"/>
    <w:link w:val="style4103"/>
    <w:uiPriority w:val="99"/>
    <w:pPr>
      <w:spacing w:lineRule="auto" w:line="240"/>
    </w:pPr>
    <w:rPr>
      <w:rFonts w:ascii="Tahoma" w:cs="Tahoma" w:hAnsi="Tahoma"/>
      <w:sz w:val="16"/>
      <w:szCs w:val="16"/>
    </w:rPr>
  </w:style>
  <w:style w:type="character" w:customStyle="1" w:styleId="style4103">
    <w:name w:val="Document Map Char"/>
    <w:basedOn w:val="style65"/>
    <w:next w:val="style4103"/>
    <w:link w:val="style89"/>
    <w:uiPriority w:val="99"/>
    <w:rPr>
      <w:rFonts w:ascii="Tahoma" w:cs="Tahoma" w:hAnsi="Tahoma"/>
      <w:sz w:val="16"/>
      <w:szCs w:val="16"/>
    </w:rPr>
  </w:style>
</w:styles>
</file>

<file path=word/_rels/document.xml.rels><?xml version="1.0" encoding="UTF-8"?>
<Relationships xmlns="http://schemas.openxmlformats.org/package/2006/relationships"><Relationship Id="rId11" Type="http://schemas.openxmlformats.org/officeDocument/2006/relationships/image" Target="media/image6.png"/><Relationship Id="rId10" Type="http://schemas.openxmlformats.org/officeDocument/2006/relationships/diagramColors" Target="diagrams/colors1.xml"/><Relationship Id="rId13" Type="http://schemas.openxmlformats.org/officeDocument/2006/relationships/footer" Target="footer1.xml"/><Relationship Id="rId12" Type="http://schemas.openxmlformats.org/officeDocument/2006/relationships/image" Target="media/image7.png"/><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9" Type="http://schemas.openxmlformats.org/officeDocument/2006/relationships/diagramQuickStyle" Target="diagrams/quickStyle1.xml"/><Relationship Id="rId15" Type="http://schemas.openxmlformats.org/officeDocument/2006/relationships/fontTable" Target="fontTable.xml"/><Relationship Id="rId14" Type="http://schemas.openxmlformats.org/officeDocument/2006/relationships/styles" Target="styles.xml"/><Relationship Id="rId17" Type="http://schemas.openxmlformats.org/officeDocument/2006/relationships/theme" Target="theme/theme1.xml"/><Relationship Id="rId16" Type="http://schemas.openxmlformats.org/officeDocument/2006/relationships/settings" Target="settings.xml"/><Relationship Id="rId5" Type="http://schemas.openxmlformats.org/officeDocument/2006/relationships/image" Target="media/image4.png"/><Relationship Id="rId6" Type="http://schemas.openxmlformats.org/officeDocument/2006/relationships/image" Target="media/image5.png"/><Relationship Id="rId18" Type="http://schemas.openxmlformats.org/officeDocument/2006/relationships/customXml" Target="../customXml/item1.xml"/><Relationship Id="rId7" Type="http://schemas.openxmlformats.org/officeDocument/2006/relationships/diagramData" Target="diagrams/data1.xml"/><Relationship Id="rId8" Type="http://schemas.openxmlformats.org/officeDocument/2006/relationships/diagramLayout" Target="diagrams/layout1.xm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C6BE368-0510-410C-94D2-373B740A5384}" type="doc">
      <dgm:prSet loTypeId="urn:microsoft.com/office/officeart/2005/8/layout/list1" loCatId="list" qsTypeId="urn:microsoft.com/office/officeart/2005/8/quickstyle/simple1" qsCatId="simple" csTypeId="urn:microsoft.com/office/officeart/2005/8/colors/colorful2" csCatId="colorful" phldr="1"/>
      <dgm:spPr/>
      <dgm:t>
        <a:bodyPr/>
        <a:lstStyle/>
        <a:p>
          <a:endParaRPr lang="en-IN"/>
        </a:p>
      </dgm:t>
    </dgm:pt>
    <dgm:pt modelId="{CF69D92F-C76C-41A3-B636-C31DFDC721BA}">
      <dgm:prSet phldrT="[Text]" custT="1"/>
      <dgm:spPr/>
      <dgm:t>
        <a:bodyPr/>
        <a:lstStyle/>
        <a:p>
          <a:r>
            <a:rPr lang="en-GB" sz="1600" b="1" i="0">
              <a:solidFill>
                <a:sysClr val="windowText" lastClr="000000"/>
              </a:solidFill>
              <a:latin typeface="Times New Roman" pitchFamily="18" charset="0"/>
              <a:cs typeface="Times New Roman" pitchFamily="18" charset="0"/>
            </a:rPr>
            <a:t>Low Price &amp; Low Value Added</a:t>
          </a:r>
          <a:endParaRPr lang="en-IN" sz="1600" i="0">
            <a:solidFill>
              <a:sysClr val="windowText" lastClr="000000"/>
            </a:solidFill>
            <a:latin typeface="Times New Roman" pitchFamily="18" charset="0"/>
            <a:cs typeface="Times New Roman" pitchFamily="18" charset="0"/>
          </a:endParaRPr>
        </a:p>
      </dgm:t>
    </dgm:pt>
    <dgm:pt modelId="{85886021-A555-4F4A-8FF3-6FFC5F05ACED}" type="parTrans" cxnId="{98076632-4E6C-4E43-9FEA-60AAFC01A84C}">
      <dgm:prSet/>
      <dgm:spPr/>
      <dgm:t>
        <a:bodyPr/>
        <a:lstStyle/>
        <a:p>
          <a:endParaRPr lang="en-IN"/>
        </a:p>
      </dgm:t>
    </dgm:pt>
    <dgm:pt modelId="{9F20E2F8-AEE6-49BE-A4BB-AAEF340602ED}" type="sibTrans" cxnId="{98076632-4E6C-4E43-9FEA-60AAFC01A84C}">
      <dgm:prSet/>
      <dgm:spPr/>
      <dgm:t>
        <a:bodyPr/>
        <a:lstStyle/>
        <a:p>
          <a:endParaRPr lang="en-IN"/>
        </a:p>
      </dgm:t>
    </dgm:pt>
    <dgm:pt modelId="{72C65C79-1611-47C2-B593-9851F60F225C}">
      <dgm:prSet custT="1"/>
      <dgm:spPr/>
      <dgm:t>
        <a:bodyPr/>
        <a:lstStyle/>
        <a:p>
          <a:r>
            <a:rPr lang="en-GB" sz="1600" b="1" i="0">
              <a:solidFill>
                <a:sysClr val="windowText" lastClr="000000"/>
              </a:solidFill>
              <a:latin typeface="Times New Roman" pitchFamily="18" charset="0"/>
              <a:cs typeface="Times New Roman" pitchFamily="18" charset="0"/>
            </a:rPr>
            <a:t>Low Price</a:t>
          </a:r>
          <a:endParaRPr lang="en-IN" sz="1600" i="0">
            <a:solidFill>
              <a:sysClr val="windowText" lastClr="000000"/>
            </a:solidFill>
            <a:latin typeface="Times New Roman" pitchFamily="18" charset="0"/>
            <a:cs typeface="Times New Roman" pitchFamily="18" charset="0"/>
          </a:endParaRPr>
        </a:p>
      </dgm:t>
    </dgm:pt>
    <dgm:pt modelId="{25DBCC38-87A7-4DB1-AAC2-C807903BDB93}" type="parTrans" cxnId="{64EDD83E-2B1D-44CC-94FB-DE8AE94F3026}">
      <dgm:prSet/>
      <dgm:spPr/>
      <dgm:t>
        <a:bodyPr/>
        <a:lstStyle/>
        <a:p>
          <a:endParaRPr lang="en-IN"/>
        </a:p>
      </dgm:t>
    </dgm:pt>
    <dgm:pt modelId="{93CDE3AD-1942-4491-8EC3-6C8A8E0EB086}" type="sibTrans" cxnId="{64EDD83E-2B1D-44CC-94FB-DE8AE94F3026}">
      <dgm:prSet/>
      <dgm:spPr/>
      <dgm:t>
        <a:bodyPr/>
        <a:lstStyle/>
        <a:p>
          <a:endParaRPr lang="en-IN"/>
        </a:p>
      </dgm:t>
    </dgm:pt>
    <dgm:pt modelId="{86FF9BEB-312F-474C-ACBE-119CA18A8F0D}">
      <dgm:prSet custT="1"/>
      <dgm:spPr/>
      <dgm:t>
        <a:bodyPr/>
        <a:lstStyle/>
        <a:p>
          <a:r>
            <a:rPr lang="en-GB" sz="1600" b="1" i="0">
              <a:solidFill>
                <a:sysClr val="windowText" lastClr="000000"/>
              </a:solidFill>
              <a:latin typeface="Times New Roman" pitchFamily="18" charset="0"/>
              <a:cs typeface="Times New Roman" pitchFamily="18" charset="0"/>
            </a:rPr>
            <a:t>Hybrid</a:t>
          </a:r>
          <a:endParaRPr lang="en-IN" sz="1600" i="0">
            <a:solidFill>
              <a:sysClr val="windowText" lastClr="000000"/>
            </a:solidFill>
            <a:latin typeface="Times New Roman" pitchFamily="18" charset="0"/>
            <a:cs typeface="Times New Roman" pitchFamily="18" charset="0"/>
          </a:endParaRPr>
        </a:p>
      </dgm:t>
    </dgm:pt>
    <dgm:pt modelId="{107D64E6-649E-4D38-A14F-951D3357C27E}" type="parTrans" cxnId="{CFB1C2A1-D6C6-4402-990B-B5EE58A04994}">
      <dgm:prSet/>
      <dgm:spPr/>
      <dgm:t>
        <a:bodyPr/>
        <a:lstStyle/>
        <a:p>
          <a:endParaRPr lang="en-IN"/>
        </a:p>
      </dgm:t>
    </dgm:pt>
    <dgm:pt modelId="{2F589B81-FE2B-4186-BF30-E020C55EEDBC}" type="sibTrans" cxnId="{CFB1C2A1-D6C6-4402-990B-B5EE58A04994}">
      <dgm:prSet/>
      <dgm:spPr/>
      <dgm:t>
        <a:bodyPr/>
        <a:lstStyle/>
        <a:p>
          <a:endParaRPr lang="en-IN"/>
        </a:p>
      </dgm:t>
    </dgm:pt>
    <dgm:pt modelId="{90AAA9CF-E25F-4445-8003-CCD55E91C882}">
      <dgm:prSet custT="1"/>
      <dgm:spPr/>
      <dgm:t>
        <a:bodyPr/>
        <a:lstStyle/>
        <a:p>
          <a:r>
            <a:rPr lang="en-GB" sz="1600" b="1" i="0">
              <a:solidFill>
                <a:sysClr val="windowText" lastClr="000000"/>
              </a:solidFill>
              <a:latin typeface="Times New Roman" pitchFamily="18" charset="0"/>
              <a:cs typeface="Times New Roman" pitchFamily="18" charset="0"/>
            </a:rPr>
            <a:t>Differentiation</a:t>
          </a:r>
          <a:endParaRPr lang="en-IN" sz="1600" i="0">
            <a:solidFill>
              <a:sysClr val="windowText" lastClr="000000"/>
            </a:solidFill>
            <a:latin typeface="Times New Roman" pitchFamily="18" charset="0"/>
            <a:cs typeface="Times New Roman" pitchFamily="18" charset="0"/>
          </a:endParaRPr>
        </a:p>
      </dgm:t>
    </dgm:pt>
    <dgm:pt modelId="{A471795D-C463-419A-AC9C-C1E6E341D958}" type="parTrans" cxnId="{B815BEBB-FE4A-4477-B2ED-F29935321608}">
      <dgm:prSet/>
      <dgm:spPr/>
      <dgm:t>
        <a:bodyPr/>
        <a:lstStyle/>
        <a:p>
          <a:endParaRPr lang="en-IN"/>
        </a:p>
      </dgm:t>
    </dgm:pt>
    <dgm:pt modelId="{6E11D355-071D-4C55-99CC-0EC8BAEC2AAD}" type="sibTrans" cxnId="{B815BEBB-FE4A-4477-B2ED-F29935321608}">
      <dgm:prSet/>
      <dgm:spPr/>
      <dgm:t>
        <a:bodyPr/>
        <a:lstStyle/>
        <a:p>
          <a:endParaRPr lang="en-IN"/>
        </a:p>
      </dgm:t>
    </dgm:pt>
    <dgm:pt modelId="{B7FBB736-D043-4982-8147-EAB7F01CE6A4}">
      <dgm:prSet custT="1"/>
      <dgm:spPr/>
      <dgm:t>
        <a:bodyPr/>
        <a:lstStyle/>
        <a:p>
          <a:r>
            <a:rPr lang="en-GB" sz="1600" b="1" i="0">
              <a:solidFill>
                <a:sysClr val="windowText" lastClr="000000"/>
              </a:solidFill>
              <a:latin typeface="Times New Roman" pitchFamily="18" charset="0"/>
              <a:cs typeface="Times New Roman" pitchFamily="18" charset="0"/>
            </a:rPr>
            <a:t>Focused Differentiation</a:t>
          </a:r>
          <a:endParaRPr lang="en-IN" sz="1600" i="0">
            <a:solidFill>
              <a:sysClr val="windowText" lastClr="000000"/>
            </a:solidFill>
            <a:latin typeface="Times New Roman" pitchFamily="18" charset="0"/>
            <a:cs typeface="Times New Roman" pitchFamily="18" charset="0"/>
          </a:endParaRPr>
        </a:p>
      </dgm:t>
    </dgm:pt>
    <dgm:pt modelId="{B43E7000-83D4-49F2-AE31-B13D6F97103B}" type="parTrans" cxnId="{4F5E60EF-8D75-477C-9552-6D26ED8B8F11}">
      <dgm:prSet/>
      <dgm:spPr/>
      <dgm:t>
        <a:bodyPr/>
        <a:lstStyle/>
        <a:p>
          <a:endParaRPr lang="en-IN"/>
        </a:p>
      </dgm:t>
    </dgm:pt>
    <dgm:pt modelId="{5A484F42-2647-4E6C-B4B9-34114C91C7ED}" type="sibTrans" cxnId="{4F5E60EF-8D75-477C-9552-6D26ED8B8F11}">
      <dgm:prSet/>
      <dgm:spPr/>
      <dgm:t>
        <a:bodyPr/>
        <a:lstStyle/>
        <a:p>
          <a:endParaRPr lang="en-IN"/>
        </a:p>
      </dgm:t>
    </dgm:pt>
    <dgm:pt modelId="{35D2A28B-681E-4230-BB36-194039C0D134}">
      <dgm:prSet custT="1"/>
      <dgm:spPr/>
      <dgm:t>
        <a:bodyPr/>
        <a:lstStyle/>
        <a:p>
          <a:r>
            <a:rPr lang="en-GB" sz="1600" b="1" i="0">
              <a:solidFill>
                <a:sysClr val="windowText" lastClr="000000"/>
              </a:solidFill>
              <a:latin typeface="Times New Roman" pitchFamily="18" charset="0"/>
              <a:cs typeface="Times New Roman" pitchFamily="18" charset="0"/>
            </a:rPr>
            <a:t>Risky High Margins</a:t>
          </a:r>
          <a:endParaRPr lang="en-IN" sz="1600" i="0">
            <a:solidFill>
              <a:sysClr val="windowText" lastClr="000000"/>
            </a:solidFill>
            <a:latin typeface="Times New Roman" pitchFamily="18" charset="0"/>
            <a:cs typeface="Times New Roman" pitchFamily="18" charset="0"/>
          </a:endParaRPr>
        </a:p>
      </dgm:t>
    </dgm:pt>
    <dgm:pt modelId="{BDDAB8F5-B00F-42EA-B045-0E3CF4E53158}" type="parTrans" cxnId="{36AD3D69-F020-427C-B2E0-7BED171C8753}">
      <dgm:prSet/>
      <dgm:spPr/>
      <dgm:t>
        <a:bodyPr/>
        <a:lstStyle/>
        <a:p>
          <a:endParaRPr lang="en-IN"/>
        </a:p>
      </dgm:t>
    </dgm:pt>
    <dgm:pt modelId="{1A44B940-0491-49D0-BD1A-4216368EC13B}" type="sibTrans" cxnId="{36AD3D69-F020-427C-B2E0-7BED171C8753}">
      <dgm:prSet/>
      <dgm:spPr/>
      <dgm:t>
        <a:bodyPr/>
        <a:lstStyle/>
        <a:p>
          <a:endParaRPr lang="en-IN"/>
        </a:p>
      </dgm:t>
    </dgm:pt>
    <dgm:pt modelId="{DFB61A2E-88ED-4156-A5E7-B65E2676EE48}">
      <dgm:prSet custT="1"/>
      <dgm:spPr/>
      <dgm:t>
        <a:bodyPr/>
        <a:lstStyle/>
        <a:p>
          <a:r>
            <a:rPr lang="en-GB" sz="1600" b="1" i="0">
              <a:solidFill>
                <a:sysClr val="windowText" lastClr="000000"/>
              </a:solidFill>
              <a:latin typeface="Times New Roman" pitchFamily="18" charset="0"/>
              <a:cs typeface="Times New Roman" pitchFamily="18" charset="0"/>
            </a:rPr>
            <a:t>Monopoly Pricing</a:t>
          </a:r>
          <a:endParaRPr lang="en-IN" sz="1600" i="0">
            <a:solidFill>
              <a:sysClr val="windowText" lastClr="000000"/>
            </a:solidFill>
            <a:latin typeface="Times New Roman" pitchFamily="18" charset="0"/>
            <a:cs typeface="Times New Roman" pitchFamily="18" charset="0"/>
          </a:endParaRPr>
        </a:p>
      </dgm:t>
    </dgm:pt>
    <dgm:pt modelId="{34170C9A-F179-4C9A-9C2A-90B140DBBCD5}" type="parTrans" cxnId="{6E24FEA6-7399-43FD-A012-C8EA0C88C9E5}">
      <dgm:prSet/>
      <dgm:spPr/>
      <dgm:t>
        <a:bodyPr/>
        <a:lstStyle/>
        <a:p>
          <a:endParaRPr lang="en-IN"/>
        </a:p>
      </dgm:t>
    </dgm:pt>
    <dgm:pt modelId="{E8EE62A9-5741-4E8A-B7ED-31ABFA0FC8FE}" type="sibTrans" cxnId="{6E24FEA6-7399-43FD-A012-C8EA0C88C9E5}">
      <dgm:prSet/>
      <dgm:spPr/>
      <dgm:t>
        <a:bodyPr/>
        <a:lstStyle/>
        <a:p>
          <a:endParaRPr lang="en-IN"/>
        </a:p>
      </dgm:t>
    </dgm:pt>
    <dgm:pt modelId="{56BCEA5F-B160-4A62-A4B3-F828FE9BDA2B}">
      <dgm:prSet custT="1"/>
      <dgm:spPr/>
      <dgm:t>
        <a:bodyPr/>
        <a:lstStyle/>
        <a:p>
          <a:r>
            <a:rPr lang="en-GB" sz="1600" b="1" i="0">
              <a:solidFill>
                <a:sysClr val="windowText" lastClr="000000"/>
              </a:solidFill>
              <a:latin typeface="Times New Roman" pitchFamily="18" charset="0"/>
              <a:cs typeface="Times New Roman" pitchFamily="18" charset="0"/>
            </a:rPr>
            <a:t>Loss of Market Share</a:t>
          </a:r>
          <a:endParaRPr lang="en-IN" sz="1600" i="0">
            <a:solidFill>
              <a:sysClr val="windowText" lastClr="000000"/>
            </a:solidFill>
            <a:latin typeface="Times New Roman" pitchFamily="18" charset="0"/>
            <a:cs typeface="Times New Roman" pitchFamily="18" charset="0"/>
          </a:endParaRPr>
        </a:p>
      </dgm:t>
    </dgm:pt>
    <dgm:pt modelId="{CDE4D05E-80FD-4A72-92DF-9F351D3039B0}" type="parTrans" cxnId="{D59B730D-0FDD-4ECB-978D-FBA007D882B8}">
      <dgm:prSet/>
      <dgm:spPr/>
      <dgm:t>
        <a:bodyPr/>
        <a:lstStyle/>
        <a:p>
          <a:endParaRPr lang="en-IN"/>
        </a:p>
      </dgm:t>
    </dgm:pt>
    <dgm:pt modelId="{47814474-0F7B-4BFD-AD91-0A8D51944274}" type="sibTrans" cxnId="{D59B730D-0FDD-4ECB-978D-FBA007D882B8}">
      <dgm:prSet/>
      <dgm:spPr/>
      <dgm:t>
        <a:bodyPr/>
        <a:lstStyle/>
        <a:p>
          <a:endParaRPr lang="en-IN"/>
        </a:p>
      </dgm:t>
    </dgm:pt>
    <dgm:pt modelId="{F3C3B42D-DF4F-4EF2-89EE-F4770987ACD0}" type="pres">
      <dgm:prSet presAssocID="{BC6BE368-0510-410C-94D2-373B740A5384}" presName="linear" presStyleCnt="0">
        <dgm:presLayoutVars>
          <dgm:dir/>
          <dgm:animLvl val="lvl"/>
          <dgm:resizeHandles val="exact"/>
        </dgm:presLayoutVars>
      </dgm:prSet>
      <dgm:spPr/>
      <dgm:t>
        <a:bodyPr/>
        <a:lstStyle/>
        <a:p>
          <a:endParaRPr lang="en-US"/>
        </a:p>
      </dgm:t>
    </dgm:pt>
    <dgm:pt modelId="{12181949-FC2E-40EC-A823-A8EA552F377A}" type="pres">
      <dgm:prSet presAssocID="{CF69D92F-C76C-41A3-B636-C31DFDC721BA}" presName="parentLin" presStyleCnt="0"/>
      <dgm:spPr/>
    </dgm:pt>
    <dgm:pt modelId="{8659B981-427A-4B8B-85B9-92231D58F2E1}" type="pres">
      <dgm:prSet presAssocID="{CF69D92F-C76C-41A3-B636-C31DFDC721BA}" presName="parentLeftMargin" presStyleLbl="node1" presStyleIdx="0" presStyleCnt="8"/>
      <dgm:spPr/>
      <dgm:t>
        <a:bodyPr/>
        <a:lstStyle/>
        <a:p>
          <a:endParaRPr lang="en-US"/>
        </a:p>
      </dgm:t>
    </dgm:pt>
    <dgm:pt modelId="{27AF6824-1ECE-4718-8C8B-FAA71AFBECA3}" type="pres">
      <dgm:prSet presAssocID="{CF69D92F-C76C-41A3-B636-C31DFDC721BA}" presName="parentText" presStyleLbl="node1" presStyleIdx="0" presStyleCnt="8">
        <dgm:presLayoutVars>
          <dgm:chMax val="0"/>
          <dgm:bulletEnabled val="1"/>
        </dgm:presLayoutVars>
      </dgm:prSet>
      <dgm:spPr/>
      <dgm:t>
        <a:bodyPr/>
        <a:lstStyle/>
        <a:p>
          <a:endParaRPr lang="en-IN"/>
        </a:p>
      </dgm:t>
    </dgm:pt>
    <dgm:pt modelId="{C027F736-6FA0-43C8-A67B-2E8321D7B4D0}" type="pres">
      <dgm:prSet presAssocID="{CF69D92F-C76C-41A3-B636-C31DFDC721BA}" presName="negativeSpace" presStyleCnt="0"/>
      <dgm:spPr/>
    </dgm:pt>
    <dgm:pt modelId="{BC157962-07A3-455B-9AF6-A1F4C41A89B5}" type="pres">
      <dgm:prSet presAssocID="{CF69D92F-C76C-41A3-B636-C31DFDC721BA}" presName="childText" presStyleLbl="conFgAcc1" presStyleIdx="0" presStyleCnt="8">
        <dgm:presLayoutVars>
          <dgm:bulletEnabled val="1"/>
        </dgm:presLayoutVars>
      </dgm:prSet>
      <dgm:spPr/>
    </dgm:pt>
    <dgm:pt modelId="{B66B28D4-2A44-426D-93EC-BC9AB49AEA2C}" type="pres">
      <dgm:prSet presAssocID="{9F20E2F8-AEE6-49BE-A4BB-AAEF340602ED}" presName="spaceBetweenRectangles" presStyleCnt="0"/>
      <dgm:spPr/>
    </dgm:pt>
    <dgm:pt modelId="{A8A30E7D-5100-4C4E-BCAE-55EE246C4BE9}" type="pres">
      <dgm:prSet presAssocID="{72C65C79-1611-47C2-B593-9851F60F225C}" presName="parentLin" presStyleCnt="0"/>
      <dgm:spPr/>
    </dgm:pt>
    <dgm:pt modelId="{0CFE65D2-BACE-4265-B8E1-DC31F13B1C80}" type="pres">
      <dgm:prSet presAssocID="{72C65C79-1611-47C2-B593-9851F60F225C}" presName="parentLeftMargin" presStyleLbl="node1" presStyleIdx="0" presStyleCnt="8"/>
      <dgm:spPr/>
      <dgm:t>
        <a:bodyPr/>
        <a:lstStyle/>
        <a:p>
          <a:endParaRPr lang="en-US"/>
        </a:p>
      </dgm:t>
    </dgm:pt>
    <dgm:pt modelId="{4C9CFB76-7EB0-4B0F-A489-3A2B1D1FE221}" type="pres">
      <dgm:prSet presAssocID="{72C65C79-1611-47C2-B593-9851F60F225C}" presName="parentText" presStyleLbl="node1" presStyleIdx="1" presStyleCnt="8">
        <dgm:presLayoutVars>
          <dgm:chMax val="0"/>
          <dgm:bulletEnabled val="1"/>
        </dgm:presLayoutVars>
      </dgm:prSet>
      <dgm:spPr/>
      <dgm:t>
        <a:bodyPr/>
        <a:lstStyle/>
        <a:p>
          <a:endParaRPr lang="en-US"/>
        </a:p>
      </dgm:t>
    </dgm:pt>
    <dgm:pt modelId="{90C2CA77-8196-45B0-A068-702918FF9BB1}" type="pres">
      <dgm:prSet presAssocID="{72C65C79-1611-47C2-B593-9851F60F225C}" presName="negativeSpace" presStyleCnt="0"/>
      <dgm:spPr/>
    </dgm:pt>
    <dgm:pt modelId="{9ED8A320-5866-4F27-93F9-CB633917216E}" type="pres">
      <dgm:prSet presAssocID="{72C65C79-1611-47C2-B593-9851F60F225C}" presName="childText" presStyleLbl="conFgAcc1" presStyleIdx="1" presStyleCnt="8">
        <dgm:presLayoutVars>
          <dgm:bulletEnabled val="1"/>
        </dgm:presLayoutVars>
      </dgm:prSet>
      <dgm:spPr/>
    </dgm:pt>
    <dgm:pt modelId="{553D8AE3-6614-406A-97AA-0B0A0A3D4625}" type="pres">
      <dgm:prSet presAssocID="{93CDE3AD-1942-4491-8EC3-6C8A8E0EB086}" presName="spaceBetweenRectangles" presStyleCnt="0"/>
      <dgm:spPr/>
    </dgm:pt>
    <dgm:pt modelId="{BC9FAC6E-3341-473F-8BA8-23C3481AEBE7}" type="pres">
      <dgm:prSet presAssocID="{86FF9BEB-312F-474C-ACBE-119CA18A8F0D}" presName="parentLin" presStyleCnt="0"/>
      <dgm:spPr/>
    </dgm:pt>
    <dgm:pt modelId="{BF051DD6-1812-40AF-A9EC-E9633FE3C612}" type="pres">
      <dgm:prSet presAssocID="{86FF9BEB-312F-474C-ACBE-119CA18A8F0D}" presName="parentLeftMargin" presStyleLbl="node1" presStyleIdx="1" presStyleCnt="8"/>
      <dgm:spPr/>
      <dgm:t>
        <a:bodyPr/>
        <a:lstStyle/>
        <a:p>
          <a:endParaRPr lang="en-US"/>
        </a:p>
      </dgm:t>
    </dgm:pt>
    <dgm:pt modelId="{2FCEFC83-B556-4AEF-A252-2016FA3F354A}" type="pres">
      <dgm:prSet presAssocID="{86FF9BEB-312F-474C-ACBE-119CA18A8F0D}" presName="parentText" presStyleLbl="node1" presStyleIdx="2" presStyleCnt="8">
        <dgm:presLayoutVars>
          <dgm:chMax val="0"/>
          <dgm:bulletEnabled val="1"/>
        </dgm:presLayoutVars>
      </dgm:prSet>
      <dgm:spPr/>
      <dgm:t>
        <a:bodyPr/>
        <a:lstStyle/>
        <a:p>
          <a:endParaRPr lang="en-US"/>
        </a:p>
      </dgm:t>
    </dgm:pt>
    <dgm:pt modelId="{7CD7493D-2F4A-46AC-A652-3B6C514207FC}" type="pres">
      <dgm:prSet presAssocID="{86FF9BEB-312F-474C-ACBE-119CA18A8F0D}" presName="negativeSpace" presStyleCnt="0"/>
      <dgm:spPr/>
    </dgm:pt>
    <dgm:pt modelId="{8483F192-21E3-4B60-A2A9-2C3394B388A9}" type="pres">
      <dgm:prSet presAssocID="{86FF9BEB-312F-474C-ACBE-119CA18A8F0D}" presName="childText" presStyleLbl="conFgAcc1" presStyleIdx="2" presStyleCnt="8">
        <dgm:presLayoutVars>
          <dgm:bulletEnabled val="1"/>
        </dgm:presLayoutVars>
      </dgm:prSet>
      <dgm:spPr/>
    </dgm:pt>
    <dgm:pt modelId="{C97E3736-D9F0-4DC3-A844-464823D7619B}" type="pres">
      <dgm:prSet presAssocID="{2F589B81-FE2B-4186-BF30-E020C55EEDBC}" presName="spaceBetweenRectangles" presStyleCnt="0"/>
      <dgm:spPr/>
    </dgm:pt>
    <dgm:pt modelId="{20D7F458-22E6-44FC-9123-F02E46DD7EEA}" type="pres">
      <dgm:prSet presAssocID="{90AAA9CF-E25F-4445-8003-CCD55E91C882}" presName="parentLin" presStyleCnt="0"/>
      <dgm:spPr/>
    </dgm:pt>
    <dgm:pt modelId="{2390ED67-3B5F-4279-A8E9-473BCF55853D}" type="pres">
      <dgm:prSet presAssocID="{90AAA9CF-E25F-4445-8003-CCD55E91C882}" presName="parentLeftMargin" presStyleLbl="node1" presStyleIdx="2" presStyleCnt="8"/>
      <dgm:spPr/>
      <dgm:t>
        <a:bodyPr/>
        <a:lstStyle/>
        <a:p>
          <a:endParaRPr lang="en-US"/>
        </a:p>
      </dgm:t>
    </dgm:pt>
    <dgm:pt modelId="{8FDCF036-718C-4956-8840-F32315E35546}" type="pres">
      <dgm:prSet presAssocID="{90AAA9CF-E25F-4445-8003-CCD55E91C882}" presName="parentText" presStyleLbl="node1" presStyleIdx="3" presStyleCnt="8">
        <dgm:presLayoutVars>
          <dgm:chMax val="0"/>
          <dgm:bulletEnabled val="1"/>
        </dgm:presLayoutVars>
      </dgm:prSet>
      <dgm:spPr/>
      <dgm:t>
        <a:bodyPr/>
        <a:lstStyle/>
        <a:p>
          <a:endParaRPr lang="en-US"/>
        </a:p>
      </dgm:t>
    </dgm:pt>
    <dgm:pt modelId="{4632FF32-F14E-4F38-AC76-04F50A0BCFEC}" type="pres">
      <dgm:prSet presAssocID="{90AAA9CF-E25F-4445-8003-CCD55E91C882}" presName="negativeSpace" presStyleCnt="0"/>
      <dgm:spPr/>
    </dgm:pt>
    <dgm:pt modelId="{196AEE47-209C-464D-B401-5CF581EB8FF7}" type="pres">
      <dgm:prSet presAssocID="{90AAA9CF-E25F-4445-8003-CCD55E91C882}" presName="childText" presStyleLbl="conFgAcc1" presStyleIdx="3" presStyleCnt="8">
        <dgm:presLayoutVars>
          <dgm:bulletEnabled val="1"/>
        </dgm:presLayoutVars>
      </dgm:prSet>
      <dgm:spPr/>
    </dgm:pt>
    <dgm:pt modelId="{3C8A31E5-CE2B-43C4-97C8-2B3AD55A5BA6}" type="pres">
      <dgm:prSet presAssocID="{6E11D355-071D-4C55-99CC-0EC8BAEC2AAD}" presName="spaceBetweenRectangles" presStyleCnt="0"/>
      <dgm:spPr/>
    </dgm:pt>
    <dgm:pt modelId="{172189EA-F0FD-4CFC-9BFF-EBCAF5A7CE85}" type="pres">
      <dgm:prSet presAssocID="{B7FBB736-D043-4982-8147-EAB7F01CE6A4}" presName="parentLin" presStyleCnt="0"/>
      <dgm:spPr/>
    </dgm:pt>
    <dgm:pt modelId="{DE89536F-2ABB-4262-87EE-607B02A64C74}" type="pres">
      <dgm:prSet presAssocID="{B7FBB736-D043-4982-8147-EAB7F01CE6A4}" presName="parentLeftMargin" presStyleLbl="node1" presStyleIdx="3" presStyleCnt="8"/>
      <dgm:spPr/>
      <dgm:t>
        <a:bodyPr/>
        <a:lstStyle/>
        <a:p>
          <a:endParaRPr lang="en-US"/>
        </a:p>
      </dgm:t>
    </dgm:pt>
    <dgm:pt modelId="{56F59F74-1ADD-4C86-AB66-D92787D69C84}" type="pres">
      <dgm:prSet presAssocID="{B7FBB736-D043-4982-8147-EAB7F01CE6A4}" presName="parentText" presStyleLbl="node1" presStyleIdx="4" presStyleCnt="8">
        <dgm:presLayoutVars>
          <dgm:chMax val="0"/>
          <dgm:bulletEnabled val="1"/>
        </dgm:presLayoutVars>
      </dgm:prSet>
      <dgm:spPr/>
      <dgm:t>
        <a:bodyPr/>
        <a:lstStyle/>
        <a:p>
          <a:endParaRPr lang="en-US"/>
        </a:p>
      </dgm:t>
    </dgm:pt>
    <dgm:pt modelId="{AB66BB0E-0410-433D-AC1F-90DCB4834CF6}" type="pres">
      <dgm:prSet presAssocID="{B7FBB736-D043-4982-8147-EAB7F01CE6A4}" presName="negativeSpace" presStyleCnt="0"/>
      <dgm:spPr/>
    </dgm:pt>
    <dgm:pt modelId="{C3A6578A-7494-4330-BE80-CF65547B50CB}" type="pres">
      <dgm:prSet presAssocID="{B7FBB736-D043-4982-8147-EAB7F01CE6A4}" presName="childText" presStyleLbl="conFgAcc1" presStyleIdx="4" presStyleCnt="8">
        <dgm:presLayoutVars>
          <dgm:bulletEnabled val="1"/>
        </dgm:presLayoutVars>
      </dgm:prSet>
      <dgm:spPr/>
    </dgm:pt>
    <dgm:pt modelId="{19942B22-38AD-4A82-BBB4-479AA4474640}" type="pres">
      <dgm:prSet presAssocID="{5A484F42-2647-4E6C-B4B9-34114C91C7ED}" presName="spaceBetweenRectangles" presStyleCnt="0"/>
      <dgm:spPr/>
    </dgm:pt>
    <dgm:pt modelId="{9A71E132-BFF5-4877-963F-8364D0DF9FBF}" type="pres">
      <dgm:prSet presAssocID="{35D2A28B-681E-4230-BB36-194039C0D134}" presName="parentLin" presStyleCnt="0"/>
      <dgm:spPr/>
    </dgm:pt>
    <dgm:pt modelId="{1EE6ABAB-8236-4D69-B372-73BDEF2F5D91}" type="pres">
      <dgm:prSet presAssocID="{35D2A28B-681E-4230-BB36-194039C0D134}" presName="parentLeftMargin" presStyleLbl="node1" presStyleIdx="4" presStyleCnt="8"/>
      <dgm:spPr/>
      <dgm:t>
        <a:bodyPr/>
        <a:lstStyle/>
        <a:p>
          <a:endParaRPr lang="en-US"/>
        </a:p>
      </dgm:t>
    </dgm:pt>
    <dgm:pt modelId="{92B2FE75-3328-4142-97A4-18FF8A812F55}" type="pres">
      <dgm:prSet presAssocID="{35D2A28B-681E-4230-BB36-194039C0D134}" presName="parentText" presStyleLbl="node1" presStyleIdx="5" presStyleCnt="8">
        <dgm:presLayoutVars>
          <dgm:chMax val="0"/>
          <dgm:bulletEnabled val="1"/>
        </dgm:presLayoutVars>
      </dgm:prSet>
      <dgm:spPr/>
      <dgm:t>
        <a:bodyPr/>
        <a:lstStyle/>
        <a:p>
          <a:endParaRPr lang="en-US"/>
        </a:p>
      </dgm:t>
    </dgm:pt>
    <dgm:pt modelId="{C283330B-B31B-4ED7-8CFB-7DF23183D03E}" type="pres">
      <dgm:prSet presAssocID="{35D2A28B-681E-4230-BB36-194039C0D134}" presName="negativeSpace" presStyleCnt="0"/>
      <dgm:spPr/>
    </dgm:pt>
    <dgm:pt modelId="{30EC231E-2CE4-482B-B178-D8FA27044B5E}" type="pres">
      <dgm:prSet presAssocID="{35D2A28B-681E-4230-BB36-194039C0D134}" presName="childText" presStyleLbl="conFgAcc1" presStyleIdx="5" presStyleCnt="8">
        <dgm:presLayoutVars>
          <dgm:bulletEnabled val="1"/>
        </dgm:presLayoutVars>
      </dgm:prSet>
      <dgm:spPr/>
    </dgm:pt>
    <dgm:pt modelId="{EAD70056-062F-460A-83AD-9387B36CA711}" type="pres">
      <dgm:prSet presAssocID="{1A44B940-0491-49D0-BD1A-4216368EC13B}" presName="spaceBetweenRectangles" presStyleCnt="0"/>
      <dgm:spPr/>
    </dgm:pt>
    <dgm:pt modelId="{BCE22530-CFDC-44C1-915E-F830E8CC6D9D}" type="pres">
      <dgm:prSet presAssocID="{DFB61A2E-88ED-4156-A5E7-B65E2676EE48}" presName="parentLin" presStyleCnt="0"/>
      <dgm:spPr/>
    </dgm:pt>
    <dgm:pt modelId="{20BFACAE-BC54-4177-91C0-AAA126A65EF8}" type="pres">
      <dgm:prSet presAssocID="{DFB61A2E-88ED-4156-A5E7-B65E2676EE48}" presName="parentLeftMargin" presStyleLbl="node1" presStyleIdx="5" presStyleCnt="8"/>
      <dgm:spPr/>
      <dgm:t>
        <a:bodyPr/>
        <a:lstStyle/>
        <a:p>
          <a:endParaRPr lang="en-US"/>
        </a:p>
      </dgm:t>
    </dgm:pt>
    <dgm:pt modelId="{FD947F71-5E33-4F24-8B1A-D018CCAAB7AC}" type="pres">
      <dgm:prSet presAssocID="{DFB61A2E-88ED-4156-A5E7-B65E2676EE48}" presName="parentText" presStyleLbl="node1" presStyleIdx="6" presStyleCnt="8">
        <dgm:presLayoutVars>
          <dgm:chMax val="0"/>
          <dgm:bulletEnabled val="1"/>
        </dgm:presLayoutVars>
      </dgm:prSet>
      <dgm:spPr/>
      <dgm:t>
        <a:bodyPr/>
        <a:lstStyle/>
        <a:p>
          <a:endParaRPr lang="en-US"/>
        </a:p>
      </dgm:t>
    </dgm:pt>
    <dgm:pt modelId="{AB656C6B-79FC-4745-BCE8-A67DD8F6B43F}" type="pres">
      <dgm:prSet presAssocID="{DFB61A2E-88ED-4156-A5E7-B65E2676EE48}" presName="negativeSpace" presStyleCnt="0"/>
      <dgm:spPr/>
    </dgm:pt>
    <dgm:pt modelId="{BE8BF5BD-0C24-4988-A608-A675A596E058}" type="pres">
      <dgm:prSet presAssocID="{DFB61A2E-88ED-4156-A5E7-B65E2676EE48}" presName="childText" presStyleLbl="conFgAcc1" presStyleIdx="6" presStyleCnt="8">
        <dgm:presLayoutVars>
          <dgm:bulletEnabled val="1"/>
        </dgm:presLayoutVars>
      </dgm:prSet>
      <dgm:spPr/>
    </dgm:pt>
    <dgm:pt modelId="{E2E01EB2-713A-4A73-A7D6-1407C92E20D9}" type="pres">
      <dgm:prSet presAssocID="{E8EE62A9-5741-4E8A-B7ED-31ABFA0FC8FE}" presName="spaceBetweenRectangles" presStyleCnt="0"/>
      <dgm:spPr/>
    </dgm:pt>
    <dgm:pt modelId="{ED68F149-0617-4768-A3AC-969E6CF13EBF}" type="pres">
      <dgm:prSet presAssocID="{56BCEA5F-B160-4A62-A4B3-F828FE9BDA2B}" presName="parentLin" presStyleCnt="0"/>
      <dgm:spPr/>
    </dgm:pt>
    <dgm:pt modelId="{E46A434F-6A8D-41F4-B585-38E7A446E58C}" type="pres">
      <dgm:prSet presAssocID="{56BCEA5F-B160-4A62-A4B3-F828FE9BDA2B}" presName="parentLeftMargin" presStyleLbl="node1" presStyleIdx="6" presStyleCnt="8"/>
      <dgm:spPr/>
      <dgm:t>
        <a:bodyPr/>
        <a:lstStyle/>
        <a:p>
          <a:endParaRPr lang="en-US"/>
        </a:p>
      </dgm:t>
    </dgm:pt>
    <dgm:pt modelId="{682D9DD8-75AF-4E84-B4F1-F8A134B5D4B2}" type="pres">
      <dgm:prSet presAssocID="{56BCEA5F-B160-4A62-A4B3-F828FE9BDA2B}" presName="parentText" presStyleLbl="node1" presStyleIdx="7" presStyleCnt="8">
        <dgm:presLayoutVars>
          <dgm:chMax val="0"/>
          <dgm:bulletEnabled val="1"/>
        </dgm:presLayoutVars>
      </dgm:prSet>
      <dgm:spPr/>
      <dgm:t>
        <a:bodyPr/>
        <a:lstStyle/>
        <a:p>
          <a:endParaRPr lang="en-US"/>
        </a:p>
      </dgm:t>
    </dgm:pt>
    <dgm:pt modelId="{2DA335E2-A05C-46B9-BCB7-1CC3AB720559}" type="pres">
      <dgm:prSet presAssocID="{56BCEA5F-B160-4A62-A4B3-F828FE9BDA2B}" presName="negativeSpace" presStyleCnt="0"/>
      <dgm:spPr/>
    </dgm:pt>
    <dgm:pt modelId="{C24A5EBF-7FCD-42CF-8E40-87A007F001F0}" type="pres">
      <dgm:prSet presAssocID="{56BCEA5F-B160-4A62-A4B3-F828FE9BDA2B}" presName="childText" presStyleLbl="conFgAcc1" presStyleIdx="7" presStyleCnt="8">
        <dgm:presLayoutVars>
          <dgm:bulletEnabled val="1"/>
        </dgm:presLayoutVars>
      </dgm:prSet>
      <dgm:spPr/>
    </dgm:pt>
  </dgm:ptLst>
  <dgm:cxnLst>
    <dgm:cxn modelId="{2413D8E8-038A-4B62-AFF1-31D1F43D5574}" type="presOf" srcId="{90AAA9CF-E25F-4445-8003-CCD55E91C882}" destId="{2390ED67-3B5F-4279-A8E9-473BCF55853D}" srcOrd="0" destOrd="0" presId="urn:microsoft.com/office/officeart/2005/8/layout/list1"/>
    <dgm:cxn modelId="{B815BEBB-FE4A-4477-B2ED-F29935321608}" srcId="{BC6BE368-0510-410C-94D2-373B740A5384}" destId="{90AAA9CF-E25F-4445-8003-CCD55E91C882}" srcOrd="3" destOrd="0" parTransId="{A471795D-C463-419A-AC9C-C1E6E341D958}" sibTransId="{6E11D355-071D-4C55-99CC-0EC8BAEC2AAD}"/>
    <dgm:cxn modelId="{64EDD83E-2B1D-44CC-94FB-DE8AE94F3026}" srcId="{BC6BE368-0510-410C-94D2-373B740A5384}" destId="{72C65C79-1611-47C2-B593-9851F60F225C}" srcOrd="1" destOrd="0" parTransId="{25DBCC38-87A7-4DB1-AAC2-C807903BDB93}" sibTransId="{93CDE3AD-1942-4491-8EC3-6C8A8E0EB086}"/>
    <dgm:cxn modelId="{DD98D2CB-6F07-413A-855A-933C4CD26AC9}" type="presOf" srcId="{DFB61A2E-88ED-4156-A5E7-B65E2676EE48}" destId="{FD947F71-5E33-4F24-8B1A-D018CCAAB7AC}" srcOrd="1" destOrd="0" presId="urn:microsoft.com/office/officeart/2005/8/layout/list1"/>
    <dgm:cxn modelId="{CFB1C2A1-D6C6-4402-990B-B5EE58A04994}" srcId="{BC6BE368-0510-410C-94D2-373B740A5384}" destId="{86FF9BEB-312F-474C-ACBE-119CA18A8F0D}" srcOrd="2" destOrd="0" parTransId="{107D64E6-649E-4D38-A14F-951D3357C27E}" sibTransId="{2F589B81-FE2B-4186-BF30-E020C55EEDBC}"/>
    <dgm:cxn modelId="{5643E265-A27B-4E3A-9B20-F94C0363828D}" type="presOf" srcId="{B7FBB736-D043-4982-8147-EAB7F01CE6A4}" destId="{56F59F74-1ADD-4C86-AB66-D92787D69C84}" srcOrd="1" destOrd="0" presId="urn:microsoft.com/office/officeart/2005/8/layout/list1"/>
    <dgm:cxn modelId="{6E24FEA6-7399-43FD-A012-C8EA0C88C9E5}" srcId="{BC6BE368-0510-410C-94D2-373B740A5384}" destId="{DFB61A2E-88ED-4156-A5E7-B65E2676EE48}" srcOrd="6" destOrd="0" parTransId="{34170C9A-F179-4C9A-9C2A-90B140DBBCD5}" sibTransId="{E8EE62A9-5741-4E8A-B7ED-31ABFA0FC8FE}"/>
    <dgm:cxn modelId="{7A96EFC7-44C0-4A9F-851F-ABF3207B9DC6}" type="presOf" srcId="{56BCEA5F-B160-4A62-A4B3-F828FE9BDA2B}" destId="{E46A434F-6A8D-41F4-B585-38E7A446E58C}" srcOrd="0" destOrd="0" presId="urn:microsoft.com/office/officeart/2005/8/layout/list1"/>
    <dgm:cxn modelId="{4CED6DB4-4254-436C-9A43-2295B0F70CBA}" type="presOf" srcId="{90AAA9CF-E25F-4445-8003-CCD55E91C882}" destId="{8FDCF036-718C-4956-8840-F32315E35546}" srcOrd="1" destOrd="0" presId="urn:microsoft.com/office/officeart/2005/8/layout/list1"/>
    <dgm:cxn modelId="{90577D75-B31D-450A-A07E-10A4DC4520C4}" type="presOf" srcId="{B7FBB736-D043-4982-8147-EAB7F01CE6A4}" destId="{DE89536F-2ABB-4262-87EE-607B02A64C74}" srcOrd="0" destOrd="0" presId="urn:microsoft.com/office/officeart/2005/8/layout/list1"/>
    <dgm:cxn modelId="{C083B7B6-182B-4C3E-A8A3-8B8E4F9FB22B}" type="presOf" srcId="{CF69D92F-C76C-41A3-B636-C31DFDC721BA}" destId="{8659B981-427A-4B8B-85B9-92231D58F2E1}" srcOrd="0" destOrd="0" presId="urn:microsoft.com/office/officeart/2005/8/layout/list1"/>
    <dgm:cxn modelId="{4152C0B6-DA8C-4A46-BDBF-00AF08101C09}" type="presOf" srcId="{72C65C79-1611-47C2-B593-9851F60F225C}" destId="{0CFE65D2-BACE-4265-B8E1-DC31F13B1C80}" srcOrd="0" destOrd="0" presId="urn:microsoft.com/office/officeart/2005/8/layout/list1"/>
    <dgm:cxn modelId="{98076632-4E6C-4E43-9FEA-60AAFC01A84C}" srcId="{BC6BE368-0510-410C-94D2-373B740A5384}" destId="{CF69D92F-C76C-41A3-B636-C31DFDC721BA}" srcOrd="0" destOrd="0" parTransId="{85886021-A555-4F4A-8FF3-6FFC5F05ACED}" sibTransId="{9F20E2F8-AEE6-49BE-A4BB-AAEF340602ED}"/>
    <dgm:cxn modelId="{7FEDB4D6-D07F-4AE0-AF1E-94199D300D6D}" type="presOf" srcId="{35D2A28B-681E-4230-BB36-194039C0D134}" destId="{1EE6ABAB-8236-4D69-B372-73BDEF2F5D91}" srcOrd="0" destOrd="0" presId="urn:microsoft.com/office/officeart/2005/8/layout/list1"/>
    <dgm:cxn modelId="{6DEEB139-1C02-4C0E-B008-0679245004DC}" type="presOf" srcId="{BC6BE368-0510-410C-94D2-373B740A5384}" destId="{F3C3B42D-DF4F-4EF2-89EE-F4770987ACD0}" srcOrd="0" destOrd="0" presId="urn:microsoft.com/office/officeart/2005/8/layout/list1"/>
    <dgm:cxn modelId="{D59B730D-0FDD-4ECB-978D-FBA007D882B8}" srcId="{BC6BE368-0510-410C-94D2-373B740A5384}" destId="{56BCEA5F-B160-4A62-A4B3-F828FE9BDA2B}" srcOrd="7" destOrd="0" parTransId="{CDE4D05E-80FD-4A72-92DF-9F351D3039B0}" sibTransId="{47814474-0F7B-4BFD-AD91-0A8D51944274}"/>
    <dgm:cxn modelId="{37713CD8-B0BE-4C41-AD3F-4081EB88A84F}" type="presOf" srcId="{86FF9BEB-312F-474C-ACBE-119CA18A8F0D}" destId="{2FCEFC83-B556-4AEF-A252-2016FA3F354A}" srcOrd="1" destOrd="0" presId="urn:microsoft.com/office/officeart/2005/8/layout/list1"/>
    <dgm:cxn modelId="{36AD3D69-F020-427C-B2E0-7BED171C8753}" srcId="{BC6BE368-0510-410C-94D2-373B740A5384}" destId="{35D2A28B-681E-4230-BB36-194039C0D134}" srcOrd="5" destOrd="0" parTransId="{BDDAB8F5-B00F-42EA-B045-0E3CF4E53158}" sibTransId="{1A44B940-0491-49D0-BD1A-4216368EC13B}"/>
    <dgm:cxn modelId="{620A385F-05BF-443F-A258-DF3B41F614B4}" type="presOf" srcId="{35D2A28B-681E-4230-BB36-194039C0D134}" destId="{92B2FE75-3328-4142-97A4-18FF8A812F55}" srcOrd="1" destOrd="0" presId="urn:microsoft.com/office/officeart/2005/8/layout/list1"/>
    <dgm:cxn modelId="{127B5CA8-A81D-44B4-9523-6A276819C0B7}" type="presOf" srcId="{56BCEA5F-B160-4A62-A4B3-F828FE9BDA2B}" destId="{682D9DD8-75AF-4E84-B4F1-F8A134B5D4B2}" srcOrd="1" destOrd="0" presId="urn:microsoft.com/office/officeart/2005/8/layout/list1"/>
    <dgm:cxn modelId="{EF5DBC73-8C54-4071-B1B1-C7DC37EF0A42}" type="presOf" srcId="{CF69D92F-C76C-41A3-B636-C31DFDC721BA}" destId="{27AF6824-1ECE-4718-8C8B-FAA71AFBECA3}" srcOrd="1" destOrd="0" presId="urn:microsoft.com/office/officeart/2005/8/layout/list1"/>
    <dgm:cxn modelId="{0F70C89D-40AF-48FC-BA3D-A118CDA0AF69}" type="presOf" srcId="{86FF9BEB-312F-474C-ACBE-119CA18A8F0D}" destId="{BF051DD6-1812-40AF-A9EC-E9633FE3C612}" srcOrd="0" destOrd="0" presId="urn:microsoft.com/office/officeart/2005/8/layout/list1"/>
    <dgm:cxn modelId="{D42A7084-60F2-41CB-B0F4-94F5EE5BF269}" type="presOf" srcId="{72C65C79-1611-47C2-B593-9851F60F225C}" destId="{4C9CFB76-7EB0-4B0F-A489-3A2B1D1FE221}" srcOrd="1" destOrd="0" presId="urn:microsoft.com/office/officeart/2005/8/layout/list1"/>
    <dgm:cxn modelId="{4F5E60EF-8D75-477C-9552-6D26ED8B8F11}" srcId="{BC6BE368-0510-410C-94D2-373B740A5384}" destId="{B7FBB736-D043-4982-8147-EAB7F01CE6A4}" srcOrd="4" destOrd="0" parTransId="{B43E7000-83D4-49F2-AE31-B13D6F97103B}" sibTransId="{5A484F42-2647-4E6C-B4B9-34114C91C7ED}"/>
    <dgm:cxn modelId="{D94F2480-E659-45AE-8717-3F53C15A4717}" type="presOf" srcId="{DFB61A2E-88ED-4156-A5E7-B65E2676EE48}" destId="{20BFACAE-BC54-4177-91C0-AAA126A65EF8}" srcOrd="0" destOrd="0" presId="urn:microsoft.com/office/officeart/2005/8/layout/list1"/>
    <dgm:cxn modelId="{972A9B55-FBA1-4DE1-974B-0E04AEF510D0}" type="presParOf" srcId="{F3C3B42D-DF4F-4EF2-89EE-F4770987ACD0}" destId="{12181949-FC2E-40EC-A823-A8EA552F377A}" srcOrd="0" destOrd="0" presId="urn:microsoft.com/office/officeart/2005/8/layout/list1"/>
    <dgm:cxn modelId="{F6B2C51B-7670-4912-B3D3-C53057117A93}" type="presParOf" srcId="{12181949-FC2E-40EC-A823-A8EA552F377A}" destId="{8659B981-427A-4B8B-85B9-92231D58F2E1}" srcOrd="0" destOrd="0" presId="urn:microsoft.com/office/officeart/2005/8/layout/list1"/>
    <dgm:cxn modelId="{AD9A7C52-2B7A-4A61-A5D2-61146ABF3773}" type="presParOf" srcId="{12181949-FC2E-40EC-A823-A8EA552F377A}" destId="{27AF6824-1ECE-4718-8C8B-FAA71AFBECA3}" srcOrd="1" destOrd="0" presId="urn:microsoft.com/office/officeart/2005/8/layout/list1"/>
    <dgm:cxn modelId="{20C5923F-2AD7-4852-B821-67E16644D183}" type="presParOf" srcId="{F3C3B42D-DF4F-4EF2-89EE-F4770987ACD0}" destId="{C027F736-6FA0-43C8-A67B-2E8321D7B4D0}" srcOrd="1" destOrd="0" presId="urn:microsoft.com/office/officeart/2005/8/layout/list1"/>
    <dgm:cxn modelId="{C90E6E95-0AB5-4B5C-AC62-3B97A1545B47}" type="presParOf" srcId="{F3C3B42D-DF4F-4EF2-89EE-F4770987ACD0}" destId="{BC157962-07A3-455B-9AF6-A1F4C41A89B5}" srcOrd="2" destOrd="0" presId="urn:microsoft.com/office/officeart/2005/8/layout/list1"/>
    <dgm:cxn modelId="{422CDFCF-2B3E-4B9C-B9C5-67427320936E}" type="presParOf" srcId="{F3C3B42D-DF4F-4EF2-89EE-F4770987ACD0}" destId="{B66B28D4-2A44-426D-93EC-BC9AB49AEA2C}" srcOrd="3" destOrd="0" presId="urn:microsoft.com/office/officeart/2005/8/layout/list1"/>
    <dgm:cxn modelId="{65CF7588-9E99-4E63-8735-1BB97A6E986D}" type="presParOf" srcId="{F3C3B42D-DF4F-4EF2-89EE-F4770987ACD0}" destId="{A8A30E7D-5100-4C4E-BCAE-55EE246C4BE9}" srcOrd="4" destOrd="0" presId="urn:microsoft.com/office/officeart/2005/8/layout/list1"/>
    <dgm:cxn modelId="{4139C5FC-B7AA-4AD7-B4C5-4C3D337DB423}" type="presParOf" srcId="{A8A30E7D-5100-4C4E-BCAE-55EE246C4BE9}" destId="{0CFE65D2-BACE-4265-B8E1-DC31F13B1C80}" srcOrd="0" destOrd="0" presId="urn:microsoft.com/office/officeart/2005/8/layout/list1"/>
    <dgm:cxn modelId="{0DD7AD38-8FFA-42CF-85D0-4B0DF854E0C7}" type="presParOf" srcId="{A8A30E7D-5100-4C4E-BCAE-55EE246C4BE9}" destId="{4C9CFB76-7EB0-4B0F-A489-3A2B1D1FE221}" srcOrd="1" destOrd="0" presId="urn:microsoft.com/office/officeart/2005/8/layout/list1"/>
    <dgm:cxn modelId="{F4213729-D1E7-4451-80CB-BF0CD21DCE3C}" type="presParOf" srcId="{F3C3B42D-DF4F-4EF2-89EE-F4770987ACD0}" destId="{90C2CA77-8196-45B0-A068-702918FF9BB1}" srcOrd="5" destOrd="0" presId="urn:microsoft.com/office/officeart/2005/8/layout/list1"/>
    <dgm:cxn modelId="{31CF57BD-6541-4E7A-AB56-175D09CFD517}" type="presParOf" srcId="{F3C3B42D-DF4F-4EF2-89EE-F4770987ACD0}" destId="{9ED8A320-5866-4F27-93F9-CB633917216E}" srcOrd="6" destOrd="0" presId="urn:microsoft.com/office/officeart/2005/8/layout/list1"/>
    <dgm:cxn modelId="{152D8136-268E-4665-AFA4-E8A6613C6C3E}" type="presParOf" srcId="{F3C3B42D-DF4F-4EF2-89EE-F4770987ACD0}" destId="{553D8AE3-6614-406A-97AA-0B0A0A3D4625}" srcOrd="7" destOrd="0" presId="urn:microsoft.com/office/officeart/2005/8/layout/list1"/>
    <dgm:cxn modelId="{DA86F067-330F-414C-902E-95A296CEC0B2}" type="presParOf" srcId="{F3C3B42D-DF4F-4EF2-89EE-F4770987ACD0}" destId="{BC9FAC6E-3341-473F-8BA8-23C3481AEBE7}" srcOrd="8" destOrd="0" presId="urn:microsoft.com/office/officeart/2005/8/layout/list1"/>
    <dgm:cxn modelId="{ACBC6A05-F55F-4C3F-A2A4-855263621B50}" type="presParOf" srcId="{BC9FAC6E-3341-473F-8BA8-23C3481AEBE7}" destId="{BF051DD6-1812-40AF-A9EC-E9633FE3C612}" srcOrd="0" destOrd="0" presId="urn:microsoft.com/office/officeart/2005/8/layout/list1"/>
    <dgm:cxn modelId="{02AB1BED-992B-4AC9-8854-499A2F23C43E}" type="presParOf" srcId="{BC9FAC6E-3341-473F-8BA8-23C3481AEBE7}" destId="{2FCEFC83-B556-4AEF-A252-2016FA3F354A}" srcOrd="1" destOrd="0" presId="urn:microsoft.com/office/officeart/2005/8/layout/list1"/>
    <dgm:cxn modelId="{8D09EA5F-DBD5-4647-9FDF-A000F3F118F2}" type="presParOf" srcId="{F3C3B42D-DF4F-4EF2-89EE-F4770987ACD0}" destId="{7CD7493D-2F4A-46AC-A652-3B6C514207FC}" srcOrd="9" destOrd="0" presId="urn:microsoft.com/office/officeart/2005/8/layout/list1"/>
    <dgm:cxn modelId="{801477B7-D66F-44BD-A6FE-01C8C72FE6A6}" type="presParOf" srcId="{F3C3B42D-DF4F-4EF2-89EE-F4770987ACD0}" destId="{8483F192-21E3-4B60-A2A9-2C3394B388A9}" srcOrd="10" destOrd="0" presId="urn:microsoft.com/office/officeart/2005/8/layout/list1"/>
    <dgm:cxn modelId="{33581AF6-7AD6-4DEB-A17E-F04A0227284E}" type="presParOf" srcId="{F3C3B42D-DF4F-4EF2-89EE-F4770987ACD0}" destId="{C97E3736-D9F0-4DC3-A844-464823D7619B}" srcOrd="11" destOrd="0" presId="urn:microsoft.com/office/officeart/2005/8/layout/list1"/>
    <dgm:cxn modelId="{53BD1B60-DEF3-4784-BC20-4668FAC97BEB}" type="presParOf" srcId="{F3C3B42D-DF4F-4EF2-89EE-F4770987ACD0}" destId="{20D7F458-22E6-44FC-9123-F02E46DD7EEA}" srcOrd="12" destOrd="0" presId="urn:microsoft.com/office/officeart/2005/8/layout/list1"/>
    <dgm:cxn modelId="{05BF1EAF-AEE9-4782-80EF-5FD901F8A7FE}" type="presParOf" srcId="{20D7F458-22E6-44FC-9123-F02E46DD7EEA}" destId="{2390ED67-3B5F-4279-A8E9-473BCF55853D}" srcOrd="0" destOrd="0" presId="urn:microsoft.com/office/officeart/2005/8/layout/list1"/>
    <dgm:cxn modelId="{6C4B2D6E-2EF9-49B4-870E-02C0C1981FDC}" type="presParOf" srcId="{20D7F458-22E6-44FC-9123-F02E46DD7EEA}" destId="{8FDCF036-718C-4956-8840-F32315E35546}" srcOrd="1" destOrd="0" presId="urn:microsoft.com/office/officeart/2005/8/layout/list1"/>
    <dgm:cxn modelId="{C54452C8-29B9-4F52-8457-5C3FD4FEFD21}" type="presParOf" srcId="{F3C3B42D-DF4F-4EF2-89EE-F4770987ACD0}" destId="{4632FF32-F14E-4F38-AC76-04F50A0BCFEC}" srcOrd="13" destOrd="0" presId="urn:microsoft.com/office/officeart/2005/8/layout/list1"/>
    <dgm:cxn modelId="{A247AD51-BF3E-4427-A7E0-BD26DE15F346}" type="presParOf" srcId="{F3C3B42D-DF4F-4EF2-89EE-F4770987ACD0}" destId="{196AEE47-209C-464D-B401-5CF581EB8FF7}" srcOrd="14" destOrd="0" presId="urn:microsoft.com/office/officeart/2005/8/layout/list1"/>
    <dgm:cxn modelId="{B4C2DAAD-19C2-414D-BDDE-0422D77C8361}" type="presParOf" srcId="{F3C3B42D-DF4F-4EF2-89EE-F4770987ACD0}" destId="{3C8A31E5-CE2B-43C4-97C8-2B3AD55A5BA6}" srcOrd="15" destOrd="0" presId="urn:microsoft.com/office/officeart/2005/8/layout/list1"/>
    <dgm:cxn modelId="{C2ABCADE-B867-440C-95CD-1996D88E73AC}" type="presParOf" srcId="{F3C3B42D-DF4F-4EF2-89EE-F4770987ACD0}" destId="{172189EA-F0FD-4CFC-9BFF-EBCAF5A7CE85}" srcOrd="16" destOrd="0" presId="urn:microsoft.com/office/officeart/2005/8/layout/list1"/>
    <dgm:cxn modelId="{9DD5CAAE-1130-4270-BCDC-FF02944D49CF}" type="presParOf" srcId="{172189EA-F0FD-4CFC-9BFF-EBCAF5A7CE85}" destId="{DE89536F-2ABB-4262-87EE-607B02A64C74}" srcOrd="0" destOrd="0" presId="urn:microsoft.com/office/officeart/2005/8/layout/list1"/>
    <dgm:cxn modelId="{EAB11BF7-D3A9-4261-A0ED-A2A69488DD3B}" type="presParOf" srcId="{172189EA-F0FD-4CFC-9BFF-EBCAF5A7CE85}" destId="{56F59F74-1ADD-4C86-AB66-D92787D69C84}" srcOrd="1" destOrd="0" presId="urn:microsoft.com/office/officeart/2005/8/layout/list1"/>
    <dgm:cxn modelId="{72C4BAB2-027D-4ABD-A71A-EDD2DAA4DDF7}" type="presParOf" srcId="{F3C3B42D-DF4F-4EF2-89EE-F4770987ACD0}" destId="{AB66BB0E-0410-433D-AC1F-90DCB4834CF6}" srcOrd="17" destOrd="0" presId="urn:microsoft.com/office/officeart/2005/8/layout/list1"/>
    <dgm:cxn modelId="{978A227E-D6CE-4187-A089-2C678153329D}" type="presParOf" srcId="{F3C3B42D-DF4F-4EF2-89EE-F4770987ACD0}" destId="{C3A6578A-7494-4330-BE80-CF65547B50CB}" srcOrd="18" destOrd="0" presId="urn:microsoft.com/office/officeart/2005/8/layout/list1"/>
    <dgm:cxn modelId="{5DB25D40-72AE-4989-8696-486CEDA319F1}" type="presParOf" srcId="{F3C3B42D-DF4F-4EF2-89EE-F4770987ACD0}" destId="{19942B22-38AD-4A82-BBB4-479AA4474640}" srcOrd="19" destOrd="0" presId="urn:microsoft.com/office/officeart/2005/8/layout/list1"/>
    <dgm:cxn modelId="{5F303766-E519-4214-B457-06A2EC6A2476}" type="presParOf" srcId="{F3C3B42D-DF4F-4EF2-89EE-F4770987ACD0}" destId="{9A71E132-BFF5-4877-963F-8364D0DF9FBF}" srcOrd="20" destOrd="0" presId="urn:microsoft.com/office/officeart/2005/8/layout/list1"/>
    <dgm:cxn modelId="{F6F3F1F0-0756-422B-B208-B9CE39CB60CF}" type="presParOf" srcId="{9A71E132-BFF5-4877-963F-8364D0DF9FBF}" destId="{1EE6ABAB-8236-4D69-B372-73BDEF2F5D91}" srcOrd="0" destOrd="0" presId="urn:microsoft.com/office/officeart/2005/8/layout/list1"/>
    <dgm:cxn modelId="{2C604D80-51E8-408A-867B-DBDC017FC185}" type="presParOf" srcId="{9A71E132-BFF5-4877-963F-8364D0DF9FBF}" destId="{92B2FE75-3328-4142-97A4-18FF8A812F55}" srcOrd="1" destOrd="0" presId="urn:microsoft.com/office/officeart/2005/8/layout/list1"/>
    <dgm:cxn modelId="{A8F61E05-7EE2-4A0E-95BD-A1676B510989}" type="presParOf" srcId="{F3C3B42D-DF4F-4EF2-89EE-F4770987ACD0}" destId="{C283330B-B31B-4ED7-8CFB-7DF23183D03E}" srcOrd="21" destOrd="0" presId="urn:microsoft.com/office/officeart/2005/8/layout/list1"/>
    <dgm:cxn modelId="{5D562CC7-CDF3-4ACD-804C-CDA50F180B5C}" type="presParOf" srcId="{F3C3B42D-DF4F-4EF2-89EE-F4770987ACD0}" destId="{30EC231E-2CE4-482B-B178-D8FA27044B5E}" srcOrd="22" destOrd="0" presId="urn:microsoft.com/office/officeart/2005/8/layout/list1"/>
    <dgm:cxn modelId="{7C407729-D19F-47C1-BB6A-8E97A52C2382}" type="presParOf" srcId="{F3C3B42D-DF4F-4EF2-89EE-F4770987ACD0}" destId="{EAD70056-062F-460A-83AD-9387B36CA711}" srcOrd="23" destOrd="0" presId="urn:microsoft.com/office/officeart/2005/8/layout/list1"/>
    <dgm:cxn modelId="{CB344F13-F57A-462B-A622-1ED635F3EE0D}" type="presParOf" srcId="{F3C3B42D-DF4F-4EF2-89EE-F4770987ACD0}" destId="{BCE22530-CFDC-44C1-915E-F830E8CC6D9D}" srcOrd="24" destOrd="0" presId="urn:microsoft.com/office/officeart/2005/8/layout/list1"/>
    <dgm:cxn modelId="{870A0E2A-89BD-4582-954E-8252EF921596}" type="presParOf" srcId="{BCE22530-CFDC-44C1-915E-F830E8CC6D9D}" destId="{20BFACAE-BC54-4177-91C0-AAA126A65EF8}" srcOrd="0" destOrd="0" presId="urn:microsoft.com/office/officeart/2005/8/layout/list1"/>
    <dgm:cxn modelId="{330C68F4-AF50-44DD-8EFB-433AA4CD3F87}" type="presParOf" srcId="{BCE22530-CFDC-44C1-915E-F830E8CC6D9D}" destId="{FD947F71-5E33-4F24-8B1A-D018CCAAB7AC}" srcOrd="1" destOrd="0" presId="urn:microsoft.com/office/officeart/2005/8/layout/list1"/>
    <dgm:cxn modelId="{086A492B-2564-4E67-BD69-F6299C80BF0C}" type="presParOf" srcId="{F3C3B42D-DF4F-4EF2-89EE-F4770987ACD0}" destId="{AB656C6B-79FC-4745-BCE8-A67DD8F6B43F}" srcOrd="25" destOrd="0" presId="urn:microsoft.com/office/officeart/2005/8/layout/list1"/>
    <dgm:cxn modelId="{2309BF87-8A51-4F16-8F67-8AF2E0918CD5}" type="presParOf" srcId="{F3C3B42D-DF4F-4EF2-89EE-F4770987ACD0}" destId="{BE8BF5BD-0C24-4988-A608-A675A596E058}" srcOrd="26" destOrd="0" presId="urn:microsoft.com/office/officeart/2005/8/layout/list1"/>
    <dgm:cxn modelId="{C6AEACB8-43B6-4579-A103-3A36131290A5}" type="presParOf" srcId="{F3C3B42D-DF4F-4EF2-89EE-F4770987ACD0}" destId="{E2E01EB2-713A-4A73-A7D6-1407C92E20D9}" srcOrd="27" destOrd="0" presId="urn:microsoft.com/office/officeart/2005/8/layout/list1"/>
    <dgm:cxn modelId="{E90EE450-772A-4978-8E49-7A5A1707AC2E}" type="presParOf" srcId="{F3C3B42D-DF4F-4EF2-89EE-F4770987ACD0}" destId="{ED68F149-0617-4768-A3AC-969E6CF13EBF}" srcOrd="28" destOrd="0" presId="urn:microsoft.com/office/officeart/2005/8/layout/list1"/>
    <dgm:cxn modelId="{46A7606C-78E0-4F89-91AB-02AAB9137A96}" type="presParOf" srcId="{ED68F149-0617-4768-A3AC-969E6CF13EBF}" destId="{E46A434F-6A8D-41F4-B585-38E7A446E58C}" srcOrd="0" destOrd="0" presId="urn:microsoft.com/office/officeart/2005/8/layout/list1"/>
    <dgm:cxn modelId="{5CD4F741-CB81-44F5-952C-8AFE77878D02}" type="presParOf" srcId="{ED68F149-0617-4768-A3AC-969E6CF13EBF}" destId="{682D9DD8-75AF-4E84-B4F1-F8A134B5D4B2}" srcOrd="1" destOrd="0" presId="urn:microsoft.com/office/officeart/2005/8/layout/list1"/>
    <dgm:cxn modelId="{0D48DE02-4B3F-44EE-B7F6-7A2903CE8FBB}" type="presParOf" srcId="{F3C3B42D-DF4F-4EF2-89EE-F4770987ACD0}" destId="{2DA335E2-A05C-46B9-BCB7-1CC3AB720559}" srcOrd="29" destOrd="0" presId="urn:microsoft.com/office/officeart/2005/8/layout/list1"/>
    <dgm:cxn modelId="{405661B3-E209-463C-B2E4-0C4232E330FB}" type="presParOf" srcId="{F3C3B42D-DF4F-4EF2-89EE-F4770987ACD0}" destId="{C24A5EBF-7FCD-42CF-8E40-87A007F001F0}" srcOrd="30" destOrd="0" presId="urn:microsoft.com/office/officeart/2005/8/layout/list1"/>
  </dgm:cxnLst>
  <dgm:bg/>
  <dgm:whole/>
</dgm:dataModel>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05881F-03DD-49E4-9250-B1C6FB37AA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Words>6788</Words>
  <Pages>28</Pages>
  <Characters>43101</Characters>
  <Application>WPS Office</Application>
  <DocSecurity>0</DocSecurity>
  <Paragraphs>227</Paragraphs>
  <ScaleCrop>false</ScaleCrop>
  <LinksUpToDate>false</LinksUpToDate>
  <CharactersWithSpaces>49759</CharactersWithSpaces>
  <SharedDoc>false</SharedDoc>
  <HyperlinksChanged>false</HyperlinksChanged>
  <AppVersion>12.000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2023-07-13T14:12:00Z</dcterms:created>
  <dc:creator>WPS Office</dc:creator>
  <lastModifiedBy>V2205</lastModifiedBy>
  <dcterms:modified xsi:type="dcterms:W3CDTF">2023-07-22T07:05:00Z</dcterms:modified>
  <revision>74</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54eee41354ea4b00903c8c5c5aef3362</vt:lpwstr>
  </property>
</Properties>
</file>