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543A39" w14:textId="77777777" w:rsidR="005010E1" w:rsidRPr="0019763B" w:rsidRDefault="005010E1" w:rsidP="00330C09">
      <w:pPr>
        <w:spacing w:line="360" w:lineRule="auto"/>
        <w:jc w:val="center"/>
        <w:rPr>
          <w:rFonts w:ascii="Arial" w:hAnsi="Arial" w:cs="Arial"/>
          <w:b/>
          <w:bCs/>
          <w:sz w:val="40"/>
          <w:szCs w:val="40"/>
        </w:rPr>
      </w:pPr>
      <w:r w:rsidRPr="0019763B">
        <w:rPr>
          <w:rFonts w:ascii="Arial" w:hAnsi="Arial" w:cs="Arial"/>
          <w:b/>
          <w:bCs/>
          <w:sz w:val="40"/>
          <w:szCs w:val="40"/>
        </w:rPr>
        <w:t>Personnel Resourcing and Development</w:t>
      </w:r>
    </w:p>
    <w:p w14:paraId="4B08BB24" w14:textId="2B9D970C" w:rsidR="005010E1" w:rsidRPr="0019763B" w:rsidRDefault="005010E1" w:rsidP="00330C09">
      <w:pPr>
        <w:spacing w:line="360" w:lineRule="auto"/>
        <w:jc w:val="center"/>
        <w:rPr>
          <w:rFonts w:ascii="Arial" w:hAnsi="Arial" w:cs="Arial"/>
          <w:b/>
          <w:bCs/>
          <w:sz w:val="24"/>
          <w:szCs w:val="24"/>
        </w:rPr>
      </w:pPr>
      <w:r w:rsidRPr="0019763B">
        <w:rPr>
          <w:rFonts w:ascii="Arial" w:hAnsi="Arial" w:cs="Arial"/>
          <w:b/>
          <w:bCs/>
          <w:sz w:val="24"/>
          <w:szCs w:val="24"/>
        </w:rPr>
        <w:t>BMIH5005</w:t>
      </w:r>
    </w:p>
    <w:p w14:paraId="61A3F558" w14:textId="5D30602D" w:rsidR="00734FB4" w:rsidRDefault="005010E1" w:rsidP="00330C09">
      <w:pPr>
        <w:spacing w:line="360" w:lineRule="auto"/>
        <w:jc w:val="center"/>
        <w:rPr>
          <w:rFonts w:ascii="Arial" w:hAnsi="Arial" w:cs="Arial"/>
          <w:b/>
          <w:bCs/>
          <w:sz w:val="24"/>
          <w:szCs w:val="24"/>
        </w:rPr>
      </w:pPr>
      <w:r w:rsidRPr="00734FB4">
        <w:rPr>
          <w:rFonts w:ascii="Arial" w:hAnsi="Arial" w:cs="Arial"/>
          <w:b/>
          <w:bCs/>
          <w:sz w:val="24"/>
          <w:szCs w:val="24"/>
        </w:rPr>
        <w:t>Research Project Proposal</w:t>
      </w:r>
    </w:p>
    <w:p w14:paraId="585BE013" w14:textId="77777777" w:rsidR="00734FB4" w:rsidRDefault="00734FB4" w:rsidP="00330C09">
      <w:pPr>
        <w:spacing w:line="360" w:lineRule="auto"/>
        <w:jc w:val="center"/>
        <w:rPr>
          <w:rFonts w:ascii="Arial" w:hAnsi="Arial" w:cs="Arial"/>
          <w:b/>
          <w:bCs/>
          <w:sz w:val="24"/>
          <w:szCs w:val="24"/>
        </w:rPr>
      </w:pPr>
    </w:p>
    <w:p w14:paraId="1A4FE33D" w14:textId="77777777" w:rsidR="00734FB4" w:rsidRDefault="00734FB4" w:rsidP="00330C09">
      <w:pPr>
        <w:spacing w:line="360" w:lineRule="auto"/>
        <w:jc w:val="center"/>
        <w:rPr>
          <w:rFonts w:ascii="Arial" w:hAnsi="Arial" w:cs="Arial"/>
          <w:b/>
          <w:bCs/>
          <w:sz w:val="24"/>
          <w:szCs w:val="24"/>
        </w:rPr>
      </w:pPr>
    </w:p>
    <w:p w14:paraId="331A54B0" w14:textId="77777777" w:rsidR="00734FB4" w:rsidRPr="00734FB4" w:rsidRDefault="00734FB4" w:rsidP="00330C09">
      <w:pPr>
        <w:spacing w:line="360" w:lineRule="auto"/>
        <w:jc w:val="center"/>
        <w:rPr>
          <w:rFonts w:ascii="Arial" w:hAnsi="Arial" w:cs="Arial"/>
          <w:b/>
          <w:bCs/>
          <w:sz w:val="24"/>
          <w:szCs w:val="24"/>
        </w:rPr>
      </w:pPr>
    </w:p>
    <w:p w14:paraId="290035C9" w14:textId="6A0815AC" w:rsidR="005010E1" w:rsidRPr="0019763B" w:rsidRDefault="005010E1" w:rsidP="00330C09">
      <w:pPr>
        <w:spacing w:line="360" w:lineRule="auto"/>
        <w:jc w:val="center"/>
        <w:rPr>
          <w:rFonts w:ascii="Arial" w:hAnsi="Arial" w:cs="Arial"/>
          <w:sz w:val="24"/>
          <w:szCs w:val="24"/>
        </w:rPr>
      </w:pPr>
      <w:r w:rsidRPr="0019763B">
        <w:rPr>
          <w:rFonts w:ascii="Arial" w:hAnsi="Arial" w:cs="Arial"/>
          <w:sz w:val="24"/>
          <w:szCs w:val="24"/>
        </w:rPr>
        <w:t>Impact of current challenges on the human resource department relating to recruitment and retention.</w:t>
      </w:r>
    </w:p>
    <w:p w14:paraId="081C3478" w14:textId="77777777" w:rsidR="005010E1" w:rsidRPr="0019763B" w:rsidRDefault="005010E1" w:rsidP="0019763B">
      <w:pPr>
        <w:spacing w:line="360" w:lineRule="auto"/>
        <w:jc w:val="center"/>
        <w:rPr>
          <w:rFonts w:ascii="Arial" w:hAnsi="Arial" w:cs="Arial"/>
          <w:sz w:val="24"/>
          <w:szCs w:val="24"/>
        </w:rPr>
      </w:pPr>
    </w:p>
    <w:p w14:paraId="3D1587E8" w14:textId="77777777" w:rsidR="005010E1" w:rsidRDefault="005010E1" w:rsidP="0019763B">
      <w:pPr>
        <w:spacing w:line="360" w:lineRule="auto"/>
        <w:jc w:val="center"/>
        <w:rPr>
          <w:rFonts w:ascii="Arial" w:hAnsi="Arial" w:cs="Arial"/>
          <w:sz w:val="24"/>
          <w:szCs w:val="24"/>
        </w:rPr>
      </w:pPr>
    </w:p>
    <w:p w14:paraId="596AC3CD" w14:textId="77777777" w:rsidR="0019763B" w:rsidRDefault="0019763B" w:rsidP="0019763B">
      <w:pPr>
        <w:spacing w:line="360" w:lineRule="auto"/>
        <w:jc w:val="center"/>
        <w:rPr>
          <w:rFonts w:ascii="Arial" w:hAnsi="Arial" w:cs="Arial"/>
          <w:sz w:val="24"/>
          <w:szCs w:val="24"/>
        </w:rPr>
      </w:pPr>
    </w:p>
    <w:p w14:paraId="77571D3B" w14:textId="77777777" w:rsidR="0019763B" w:rsidRDefault="0019763B" w:rsidP="0019763B">
      <w:pPr>
        <w:spacing w:line="360" w:lineRule="auto"/>
        <w:jc w:val="center"/>
        <w:rPr>
          <w:rFonts w:ascii="Arial" w:hAnsi="Arial" w:cs="Arial"/>
          <w:sz w:val="24"/>
          <w:szCs w:val="24"/>
        </w:rPr>
      </w:pPr>
    </w:p>
    <w:p w14:paraId="52C24D85" w14:textId="77777777" w:rsidR="0019763B" w:rsidRDefault="0019763B" w:rsidP="00330C09">
      <w:pPr>
        <w:spacing w:line="360" w:lineRule="auto"/>
        <w:jc w:val="center"/>
        <w:rPr>
          <w:rFonts w:ascii="Arial" w:hAnsi="Arial" w:cs="Arial"/>
          <w:sz w:val="24"/>
          <w:szCs w:val="24"/>
        </w:rPr>
      </w:pPr>
    </w:p>
    <w:p w14:paraId="332A17AE" w14:textId="77777777" w:rsidR="0019763B" w:rsidRDefault="0019763B" w:rsidP="00330C09">
      <w:pPr>
        <w:spacing w:line="360" w:lineRule="auto"/>
        <w:jc w:val="center"/>
        <w:rPr>
          <w:rFonts w:ascii="Arial" w:hAnsi="Arial" w:cs="Arial"/>
          <w:sz w:val="24"/>
          <w:szCs w:val="24"/>
        </w:rPr>
      </w:pPr>
    </w:p>
    <w:p w14:paraId="259EF7F6" w14:textId="77777777" w:rsidR="0019763B" w:rsidRPr="0019763B" w:rsidRDefault="0019763B" w:rsidP="00330C09">
      <w:pPr>
        <w:spacing w:line="360" w:lineRule="auto"/>
        <w:jc w:val="center"/>
        <w:rPr>
          <w:rFonts w:ascii="Arial" w:hAnsi="Arial" w:cs="Arial"/>
          <w:sz w:val="24"/>
          <w:szCs w:val="24"/>
        </w:rPr>
      </w:pPr>
    </w:p>
    <w:p w14:paraId="7E0B9E7A" w14:textId="41D00C8D" w:rsidR="005010E1" w:rsidRPr="0019763B" w:rsidRDefault="005010E1" w:rsidP="00330C09">
      <w:pPr>
        <w:spacing w:line="360" w:lineRule="auto"/>
        <w:jc w:val="center"/>
        <w:rPr>
          <w:rFonts w:ascii="Arial" w:hAnsi="Arial" w:cs="Arial"/>
          <w:sz w:val="24"/>
          <w:szCs w:val="24"/>
        </w:rPr>
      </w:pPr>
      <w:r w:rsidRPr="0019763B">
        <w:rPr>
          <w:rFonts w:ascii="Arial" w:hAnsi="Arial" w:cs="Arial"/>
          <w:sz w:val="24"/>
          <w:szCs w:val="24"/>
        </w:rPr>
        <w:t>Lecturer name:</w:t>
      </w:r>
      <w:r w:rsidR="005D3835">
        <w:rPr>
          <w:rFonts w:ascii="Arial" w:hAnsi="Arial" w:cs="Arial"/>
          <w:sz w:val="24"/>
          <w:szCs w:val="24"/>
        </w:rPr>
        <w:t xml:space="preserve"> Deborah Lloyd</w:t>
      </w:r>
    </w:p>
    <w:p w14:paraId="1ECBAE4D" w14:textId="2CA3B640" w:rsidR="005010E1" w:rsidRPr="0019763B" w:rsidRDefault="005010E1" w:rsidP="00330C09">
      <w:pPr>
        <w:spacing w:line="360" w:lineRule="auto"/>
        <w:jc w:val="center"/>
        <w:rPr>
          <w:rFonts w:ascii="Arial" w:hAnsi="Arial" w:cs="Arial"/>
          <w:sz w:val="24"/>
          <w:szCs w:val="24"/>
        </w:rPr>
      </w:pPr>
      <w:r w:rsidRPr="0019763B">
        <w:rPr>
          <w:rFonts w:ascii="Arial" w:hAnsi="Arial" w:cs="Arial"/>
          <w:sz w:val="24"/>
          <w:szCs w:val="24"/>
        </w:rPr>
        <w:t>Student name:</w:t>
      </w:r>
      <w:r w:rsidR="005D3835">
        <w:rPr>
          <w:rFonts w:ascii="Arial" w:hAnsi="Arial" w:cs="Arial"/>
          <w:sz w:val="24"/>
          <w:szCs w:val="24"/>
        </w:rPr>
        <w:t xml:space="preserve"> Georgiana </w:t>
      </w:r>
      <w:proofErr w:type="spellStart"/>
      <w:r w:rsidR="005D3835">
        <w:rPr>
          <w:rFonts w:ascii="Arial" w:hAnsi="Arial" w:cs="Arial"/>
          <w:sz w:val="24"/>
          <w:szCs w:val="24"/>
        </w:rPr>
        <w:t>Cucu</w:t>
      </w:r>
      <w:proofErr w:type="spellEnd"/>
    </w:p>
    <w:p w14:paraId="06EA7CBE" w14:textId="6738EB55" w:rsidR="005010E1" w:rsidRPr="0019763B" w:rsidRDefault="005010E1" w:rsidP="00330C09">
      <w:pPr>
        <w:spacing w:line="360" w:lineRule="auto"/>
        <w:jc w:val="center"/>
        <w:rPr>
          <w:rFonts w:ascii="Arial" w:hAnsi="Arial" w:cs="Arial"/>
          <w:sz w:val="24"/>
          <w:szCs w:val="24"/>
        </w:rPr>
      </w:pPr>
      <w:r w:rsidRPr="0019763B">
        <w:rPr>
          <w:rFonts w:ascii="Arial" w:hAnsi="Arial" w:cs="Arial"/>
          <w:sz w:val="24"/>
          <w:szCs w:val="24"/>
        </w:rPr>
        <w:t>Student id:</w:t>
      </w:r>
      <w:r w:rsidR="005D3835">
        <w:rPr>
          <w:rFonts w:ascii="Arial" w:hAnsi="Arial" w:cs="Arial"/>
          <w:sz w:val="24"/>
          <w:szCs w:val="24"/>
        </w:rPr>
        <w:t xml:space="preserve"> 2213957</w:t>
      </w:r>
    </w:p>
    <w:p w14:paraId="76C44EE9" w14:textId="77777777" w:rsidR="00B151A8" w:rsidRDefault="00B151A8" w:rsidP="00501CC3">
      <w:pPr>
        <w:spacing w:line="360" w:lineRule="auto"/>
        <w:jc w:val="both"/>
        <w:rPr>
          <w:rFonts w:ascii="Arial" w:hAnsi="Arial" w:cs="Arial"/>
          <w:sz w:val="24"/>
          <w:szCs w:val="24"/>
        </w:rPr>
      </w:pPr>
    </w:p>
    <w:p w14:paraId="0B87B7CB" w14:textId="77777777" w:rsidR="0019763B" w:rsidRDefault="0019763B" w:rsidP="00501CC3">
      <w:pPr>
        <w:spacing w:line="360" w:lineRule="auto"/>
        <w:jc w:val="both"/>
        <w:rPr>
          <w:rFonts w:ascii="Arial" w:hAnsi="Arial" w:cs="Arial"/>
          <w:sz w:val="24"/>
          <w:szCs w:val="24"/>
        </w:rPr>
      </w:pPr>
    </w:p>
    <w:p w14:paraId="29148D9B" w14:textId="77777777" w:rsidR="0019763B" w:rsidRDefault="0019763B" w:rsidP="00501CC3">
      <w:pPr>
        <w:spacing w:line="360" w:lineRule="auto"/>
        <w:jc w:val="both"/>
        <w:rPr>
          <w:rFonts w:ascii="Arial" w:hAnsi="Arial" w:cs="Arial"/>
          <w:sz w:val="24"/>
          <w:szCs w:val="24"/>
        </w:rPr>
      </w:pPr>
    </w:p>
    <w:p w14:paraId="6E9BA7ED" w14:textId="77777777" w:rsidR="0019763B" w:rsidRDefault="0019763B" w:rsidP="00501CC3">
      <w:pPr>
        <w:spacing w:line="360" w:lineRule="auto"/>
        <w:jc w:val="both"/>
        <w:rPr>
          <w:rFonts w:ascii="Arial" w:hAnsi="Arial" w:cs="Arial"/>
          <w:sz w:val="24"/>
          <w:szCs w:val="24"/>
        </w:rPr>
      </w:pPr>
    </w:p>
    <w:p w14:paraId="0B4A294B" w14:textId="77777777" w:rsidR="0019763B" w:rsidRDefault="0019763B" w:rsidP="00501CC3">
      <w:pPr>
        <w:spacing w:line="360" w:lineRule="auto"/>
        <w:jc w:val="both"/>
        <w:rPr>
          <w:rFonts w:ascii="Arial" w:hAnsi="Arial" w:cs="Arial"/>
          <w:sz w:val="24"/>
          <w:szCs w:val="24"/>
        </w:rPr>
      </w:pPr>
    </w:p>
    <w:p w14:paraId="3302E283" w14:textId="77777777" w:rsidR="0019763B" w:rsidRDefault="0019763B" w:rsidP="00501CC3">
      <w:pPr>
        <w:spacing w:line="360" w:lineRule="auto"/>
        <w:jc w:val="both"/>
        <w:rPr>
          <w:rFonts w:ascii="Arial" w:hAnsi="Arial" w:cs="Arial"/>
          <w:sz w:val="24"/>
          <w:szCs w:val="24"/>
        </w:rPr>
      </w:pPr>
    </w:p>
    <w:p w14:paraId="13101CBB" w14:textId="77777777" w:rsidR="0019763B" w:rsidRDefault="0019763B" w:rsidP="00501CC3">
      <w:pPr>
        <w:spacing w:line="360" w:lineRule="auto"/>
        <w:jc w:val="both"/>
        <w:rPr>
          <w:rFonts w:ascii="Arial" w:hAnsi="Arial" w:cs="Arial"/>
          <w:sz w:val="24"/>
          <w:szCs w:val="24"/>
        </w:rPr>
      </w:pPr>
    </w:p>
    <w:p w14:paraId="48B1F0A6" w14:textId="77777777" w:rsidR="0019763B" w:rsidRDefault="0019763B" w:rsidP="00501CC3">
      <w:pPr>
        <w:spacing w:line="360" w:lineRule="auto"/>
        <w:jc w:val="both"/>
        <w:rPr>
          <w:rFonts w:ascii="Arial" w:hAnsi="Arial" w:cs="Arial"/>
          <w:sz w:val="24"/>
          <w:szCs w:val="24"/>
        </w:rPr>
      </w:pPr>
    </w:p>
    <w:sdt>
      <w:sdtPr>
        <w:rPr>
          <w:rFonts w:asciiTheme="minorHAnsi" w:eastAsiaTheme="minorHAnsi" w:hAnsiTheme="minorHAnsi" w:cstheme="minorBidi"/>
          <w:color w:val="auto"/>
          <w:kern w:val="2"/>
          <w:sz w:val="24"/>
          <w:szCs w:val="24"/>
          <w:lang w:val="en-GB"/>
          <w14:ligatures w14:val="standardContextual"/>
        </w:rPr>
        <w:id w:val="-267232269"/>
        <w:docPartObj>
          <w:docPartGallery w:val="Table of Contents"/>
          <w:docPartUnique/>
        </w:docPartObj>
      </w:sdtPr>
      <w:sdtEndPr>
        <w:rPr>
          <w:sz w:val="22"/>
          <w:szCs w:val="22"/>
        </w:rPr>
      </w:sdtEndPr>
      <w:sdtContent>
        <w:p w14:paraId="6598D07F" w14:textId="22990108" w:rsidR="004E1815" w:rsidRPr="00AA2F9F" w:rsidRDefault="004E1815" w:rsidP="00187831">
          <w:pPr>
            <w:pStyle w:val="Titlucuprins"/>
            <w:spacing w:line="360" w:lineRule="auto"/>
            <w:jc w:val="center"/>
            <w:rPr>
              <w:rFonts w:ascii="Arial" w:hAnsi="Arial" w:cs="Arial"/>
              <w:b/>
              <w:bCs/>
              <w:color w:val="000000" w:themeColor="text1"/>
              <w:sz w:val="28"/>
              <w:szCs w:val="28"/>
            </w:rPr>
          </w:pPr>
          <w:r w:rsidRPr="00AA2F9F">
            <w:rPr>
              <w:rFonts w:ascii="Arial" w:hAnsi="Arial" w:cs="Arial"/>
              <w:b/>
              <w:bCs/>
              <w:color w:val="000000" w:themeColor="text1"/>
              <w:sz w:val="28"/>
              <w:szCs w:val="28"/>
            </w:rPr>
            <w:t>Table of Contents</w:t>
          </w:r>
          <w:r w:rsidR="00AA2F9F" w:rsidRPr="00AA2F9F">
            <w:rPr>
              <w:rFonts w:ascii="Arial" w:hAnsi="Arial" w:cs="Arial"/>
              <w:b/>
              <w:bCs/>
              <w:color w:val="000000" w:themeColor="text1"/>
              <w:sz w:val="28"/>
              <w:szCs w:val="28"/>
            </w:rPr>
            <w:t>:</w:t>
          </w:r>
        </w:p>
        <w:p w14:paraId="32839558" w14:textId="77777777" w:rsidR="004E1815" w:rsidRPr="00AA2F9F" w:rsidRDefault="004E1815" w:rsidP="00AA2F9F">
          <w:pPr>
            <w:spacing w:line="360" w:lineRule="auto"/>
            <w:jc w:val="both"/>
            <w:rPr>
              <w:rFonts w:ascii="Arial" w:hAnsi="Arial" w:cs="Arial"/>
              <w:color w:val="000000" w:themeColor="text1"/>
              <w:sz w:val="24"/>
              <w:szCs w:val="24"/>
              <w:lang w:val="en-US"/>
            </w:rPr>
          </w:pPr>
        </w:p>
        <w:p w14:paraId="7D051872" w14:textId="77777777" w:rsidR="004E1815" w:rsidRPr="00AA2F9F" w:rsidRDefault="004E1815" w:rsidP="00AA2F9F">
          <w:pPr>
            <w:pStyle w:val="Cuprins1"/>
            <w:numPr>
              <w:ilvl w:val="0"/>
              <w:numId w:val="1"/>
            </w:numPr>
            <w:spacing w:line="360" w:lineRule="auto"/>
            <w:jc w:val="both"/>
            <w:rPr>
              <w:rFonts w:ascii="Arial" w:hAnsi="Arial" w:cs="Arial"/>
              <w:color w:val="000000" w:themeColor="text1"/>
              <w:sz w:val="24"/>
              <w:szCs w:val="24"/>
            </w:rPr>
          </w:pPr>
          <w:r w:rsidRPr="00AA2F9F">
            <w:rPr>
              <w:rFonts w:ascii="Arial" w:hAnsi="Arial" w:cs="Arial"/>
              <w:color w:val="000000" w:themeColor="text1"/>
              <w:sz w:val="24"/>
              <w:szCs w:val="24"/>
            </w:rPr>
            <w:t>Introduction</w:t>
          </w:r>
          <w:r w:rsidRPr="00AA2F9F">
            <w:rPr>
              <w:rFonts w:ascii="Arial" w:hAnsi="Arial" w:cs="Arial"/>
              <w:color w:val="000000" w:themeColor="text1"/>
              <w:sz w:val="24"/>
              <w:szCs w:val="24"/>
            </w:rPr>
            <w:ptab w:relativeTo="margin" w:alignment="right" w:leader="dot"/>
          </w:r>
          <w:r w:rsidRPr="00AA2F9F">
            <w:rPr>
              <w:rFonts w:ascii="Arial" w:hAnsi="Arial" w:cs="Arial"/>
              <w:color w:val="000000" w:themeColor="text1"/>
              <w:sz w:val="24"/>
              <w:szCs w:val="24"/>
            </w:rPr>
            <w:t>3</w:t>
          </w:r>
        </w:p>
        <w:p w14:paraId="254FE7D7" w14:textId="7648FD4B" w:rsidR="004E1815" w:rsidRPr="00AA2F9F" w:rsidRDefault="00AA2F9F" w:rsidP="00AA2F9F">
          <w:pPr>
            <w:pStyle w:val="Cuprins3"/>
            <w:numPr>
              <w:ilvl w:val="0"/>
              <w:numId w:val="1"/>
            </w:numPr>
            <w:spacing w:line="360" w:lineRule="auto"/>
            <w:jc w:val="both"/>
            <w:rPr>
              <w:rFonts w:ascii="Arial" w:hAnsi="Arial" w:cs="Arial"/>
              <w:color w:val="000000" w:themeColor="text1"/>
              <w:sz w:val="24"/>
              <w:szCs w:val="24"/>
            </w:rPr>
          </w:pPr>
          <w:r w:rsidRPr="00AA2F9F">
            <w:rPr>
              <w:rFonts w:ascii="Arial" w:hAnsi="Arial" w:cs="Arial"/>
              <w:color w:val="000000" w:themeColor="text1"/>
              <w:sz w:val="24"/>
              <w:szCs w:val="24"/>
            </w:rPr>
            <w:t>Brexit</w:t>
          </w:r>
          <w:r w:rsidR="004E1815" w:rsidRPr="00AA2F9F">
            <w:rPr>
              <w:rFonts w:ascii="Arial" w:hAnsi="Arial" w:cs="Arial"/>
            </w:rPr>
            <w:ptab w:relativeTo="margin" w:alignment="right" w:leader="dot"/>
          </w:r>
          <w:r w:rsidR="004E1815" w:rsidRPr="00AA2F9F">
            <w:rPr>
              <w:rFonts w:ascii="Arial" w:hAnsi="Arial" w:cs="Arial"/>
              <w:color w:val="000000" w:themeColor="text1"/>
              <w:sz w:val="24"/>
              <w:szCs w:val="24"/>
            </w:rPr>
            <w:t>4</w:t>
          </w:r>
        </w:p>
        <w:p w14:paraId="057DD72F" w14:textId="087B692B" w:rsidR="004E1815" w:rsidRPr="00AA2F9F" w:rsidRDefault="00187831" w:rsidP="00AA2F9F">
          <w:pPr>
            <w:pStyle w:val="Cuprins2"/>
            <w:numPr>
              <w:ilvl w:val="0"/>
              <w:numId w:val="1"/>
            </w:numPr>
            <w:spacing w:line="360" w:lineRule="auto"/>
            <w:jc w:val="both"/>
            <w:rPr>
              <w:rFonts w:ascii="Arial" w:hAnsi="Arial" w:cs="Arial"/>
              <w:color w:val="000000" w:themeColor="text1"/>
              <w:sz w:val="24"/>
              <w:szCs w:val="24"/>
            </w:rPr>
          </w:pPr>
          <w:r w:rsidRPr="00AA2F9F">
            <w:rPr>
              <w:rFonts w:ascii="Arial" w:hAnsi="Arial" w:cs="Arial"/>
              <w:color w:val="000000" w:themeColor="text1"/>
              <w:sz w:val="24"/>
              <w:szCs w:val="24"/>
            </w:rPr>
            <w:t>Covid-19</w:t>
          </w:r>
          <w:r w:rsidR="004E1815" w:rsidRPr="00AA2F9F">
            <w:rPr>
              <w:rFonts w:ascii="Arial" w:hAnsi="Arial" w:cs="Arial"/>
              <w:color w:val="000000" w:themeColor="text1"/>
              <w:sz w:val="24"/>
              <w:szCs w:val="24"/>
            </w:rPr>
            <w:ptab w:relativeTo="margin" w:alignment="right" w:leader="dot"/>
          </w:r>
          <w:r w:rsidR="00C8099F">
            <w:rPr>
              <w:rFonts w:ascii="Arial" w:hAnsi="Arial" w:cs="Arial"/>
              <w:color w:val="000000" w:themeColor="text1"/>
              <w:sz w:val="24"/>
              <w:szCs w:val="24"/>
            </w:rPr>
            <w:t>5</w:t>
          </w:r>
        </w:p>
        <w:p w14:paraId="47B4E2C4" w14:textId="66B67E30" w:rsidR="004E1815" w:rsidRPr="00AA2F9F" w:rsidRDefault="00187831" w:rsidP="00AA2F9F">
          <w:pPr>
            <w:pStyle w:val="Cuprins3"/>
            <w:numPr>
              <w:ilvl w:val="0"/>
              <w:numId w:val="1"/>
            </w:numPr>
            <w:spacing w:line="360" w:lineRule="auto"/>
            <w:jc w:val="both"/>
            <w:rPr>
              <w:rFonts w:ascii="Arial" w:hAnsi="Arial" w:cs="Arial"/>
              <w:color w:val="000000" w:themeColor="text1"/>
              <w:sz w:val="24"/>
              <w:szCs w:val="24"/>
            </w:rPr>
          </w:pPr>
          <w:r w:rsidRPr="00AA2F9F">
            <w:rPr>
              <w:rFonts w:ascii="Arial" w:hAnsi="Arial" w:cs="Arial"/>
              <w:color w:val="000000" w:themeColor="text1"/>
              <w:sz w:val="24"/>
              <w:szCs w:val="24"/>
            </w:rPr>
            <w:t>SWOT analysis</w:t>
          </w:r>
          <w:r w:rsidR="004E1815" w:rsidRPr="00AA2F9F">
            <w:rPr>
              <w:rFonts w:ascii="Arial" w:hAnsi="Arial" w:cs="Arial"/>
              <w:color w:val="000000" w:themeColor="text1"/>
              <w:sz w:val="24"/>
              <w:szCs w:val="24"/>
            </w:rPr>
            <w:ptab w:relativeTo="margin" w:alignment="right" w:leader="dot"/>
          </w:r>
          <w:r w:rsidR="00C8099F">
            <w:rPr>
              <w:rFonts w:ascii="Arial" w:hAnsi="Arial" w:cs="Arial"/>
              <w:color w:val="000000" w:themeColor="text1"/>
              <w:sz w:val="24"/>
              <w:szCs w:val="24"/>
            </w:rPr>
            <w:t>5</w:t>
          </w:r>
        </w:p>
        <w:p w14:paraId="14E12810" w14:textId="528911CB" w:rsidR="00187831" w:rsidRPr="00C8099F" w:rsidRDefault="00187831" w:rsidP="00AA2F9F">
          <w:pPr>
            <w:pStyle w:val="Listparagraf"/>
            <w:numPr>
              <w:ilvl w:val="0"/>
              <w:numId w:val="1"/>
            </w:numPr>
            <w:spacing w:line="360" w:lineRule="auto"/>
            <w:jc w:val="both"/>
            <w:rPr>
              <w:rFonts w:ascii="Arial" w:hAnsi="Arial" w:cs="Arial"/>
              <w:color w:val="000000" w:themeColor="text1"/>
              <w:sz w:val="24"/>
              <w:szCs w:val="24"/>
              <w:lang w:val="en-US"/>
            </w:rPr>
          </w:pPr>
          <w:r w:rsidRPr="00AA2F9F">
            <w:rPr>
              <w:rFonts w:ascii="Arial" w:hAnsi="Arial" w:cs="Arial"/>
              <w:color w:val="000000" w:themeColor="text1"/>
              <w:sz w:val="24"/>
              <w:szCs w:val="24"/>
              <w:lang w:val="en-US"/>
            </w:rPr>
            <w:t>PESTLE analysis</w:t>
          </w:r>
          <w:r w:rsidRPr="00AA2F9F">
            <w:rPr>
              <w:rFonts w:ascii="Arial" w:hAnsi="Arial" w:cs="Arial"/>
            </w:rPr>
            <w:ptab w:relativeTo="margin" w:alignment="right" w:leader="dot"/>
          </w:r>
          <w:r w:rsidR="00C8099F">
            <w:rPr>
              <w:rFonts w:ascii="Arial" w:hAnsi="Arial" w:cs="Arial"/>
              <w:color w:val="000000" w:themeColor="text1"/>
              <w:sz w:val="24"/>
              <w:szCs w:val="24"/>
            </w:rPr>
            <w:t>6</w:t>
          </w:r>
        </w:p>
        <w:p w14:paraId="1347D88D" w14:textId="55F8B0A3" w:rsidR="00C8099F" w:rsidRPr="00AA2F9F" w:rsidRDefault="00C8099F" w:rsidP="00AA2F9F">
          <w:pPr>
            <w:pStyle w:val="Listparagraf"/>
            <w:numPr>
              <w:ilvl w:val="0"/>
              <w:numId w:val="1"/>
            </w:numPr>
            <w:spacing w:line="360" w:lineRule="auto"/>
            <w:jc w:val="both"/>
            <w:rPr>
              <w:rFonts w:ascii="Arial" w:hAnsi="Arial" w:cs="Arial"/>
              <w:color w:val="000000" w:themeColor="text1"/>
              <w:sz w:val="24"/>
              <w:szCs w:val="24"/>
              <w:lang w:val="en-US"/>
            </w:rPr>
          </w:pPr>
          <w:r>
            <w:rPr>
              <w:rFonts w:ascii="Arial" w:hAnsi="Arial" w:cs="Arial"/>
              <w:color w:val="000000" w:themeColor="text1"/>
              <w:sz w:val="24"/>
              <w:szCs w:val="24"/>
            </w:rPr>
            <w:t>Hilton response</w:t>
          </w:r>
          <w:r w:rsidRPr="00AA2F9F">
            <w:rPr>
              <w:rFonts w:ascii="Arial" w:hAnsi="Arial" w:cs="Arial"/>
              <w:color w:val="000000" w:themeColor="text1"/>
              <w:sz w:val="24"/>
              <w:szCs w:val="24"/>
            </w:rPr>
            <w:ptab w:relativeTo="margin" w:alignment="right" w:leader="dot"/>
          </w:r>
          <w:r w:rsidRPr="00AA2F9F">
            <w:rPr>
              <w:rFonts w:ascii="Arial" w:hAnsi="Arial" w:cs="Arial"/>
              <w:color w:val="000000" w:themeColor="text1"/>
              <w:sz w:val="24"/>
              <w:szCs w:val="24"/>
            </w:rPr>
            <w:t>8</w:t>
          </w:r>
        </w:p>
        <w:p w14:paraId="016C57FE" w14:textId="69840F32" w:rsidR="004E1815" w:rsidRPr="00AA2F9F" w:rsidRDefault="00187831" w:rsidP="00AA2F9F">
          <w:pPr>
            <w:pStyle w:val="Listparagraf"/>
            <w:numPr>
              <w:ilvl w:val="0"/>
              <w:numId w:val="1"/>
            </w:numPr>
            <w:spacing w:line="360" w:lineRule="auto"/>
            <w:jc w:val="both"/>
            <w:rPr>
              <w:rFonts w:ascii="Arial" w:hAnsi="Arial" w:cs="Arial"/>
              <w:color w:val="000000" w:themeColor="text1"/>
              <w:sz w:val="24"/>
              <w:szCs w:val="24"/>
            </w:rPr>
          </w:pPr>
          <w:r w:rsidRPr="00AA2F9F">
            <w:rPr>
              <w:rFonts w:ascii="Arial" w:hAnsi="Arial" w:cs="Arial"/>
              <w:color w:val="000000" w:themeColor="text1"/>
              <w:sz w:val="24"/>
              <w:szCs w:val="24"/>
            </w:rPr>
            <w:t>Recommendations</w:t>
          </w:r>
          <w:r w:rsidR="004E1815" w:rsidRPr="00AA2F9F">
            <w:rPr>
              <w:rFonts w:ascii="Arial" w:hAnsi="Arial" w:cs="Arial"/>
              <w:color w:val="000000" w:themeColor="text1"/>
              <w:sz w:val="24"/>
              <w:szCs w:val="24"/>
            </w:rPr>
            <w:ptab w:relativeTo="margin" w:alignment="right" w:leader="dot"/>
          </w:r>
          <w:r w:rsidR="00C8099F">
            <w:rPr>
              <w:rFonts w:ascii="Arial" w:hAnsi="Arial" w:cs="Arial"/>
              <w:color w:val="000000" w:themeColor="text1"/>
              <w:sz w:val="24"/>
              <w:szCs w:val="24"/>
            </w:rPr>
            <w:t>9</w:t>
          </w:r>
        </w:p>
        <w:p w14:paraId="34785622" w14:textId="76B77930" w:rsidR="004E1815" w:rsidRPr="00AA2F9F" w:rsidRDefault="00187831" w:rsidP="00AA2F9F">
          <w:pPr>
            <w:pStyle w:val="Listparagraf"/>
            <w:numPr>
              <w:ilvl w:val="0"/>
              <w:numId w:val="1"/>
            </w:numPr>
            <w:spacing w:line="360" w:lineRule="auto"/>
            <w:jc w:val="both"/>
            <w:rPr>
              <w:rFonts w:ascii="Arial" w:hAnsi="Arial" w:cs="Arial"/>
              <w:color w:val="000000" w:themeColor="text1"/>
              <w:sz w:val="24"/>
              <w:szCs w:val="24"/>
            </w:rPr>
          </w:pPr>
          <w:r w:rsidRPr="00AA2F9F">
            <w:rPr>
              <w:rFonts w:ascii="Arial" w:hAnsi="Arial" w:cs="Arial"/>
              <w:color w:val="000000" w:themeColor="text1"/>
              <w:sz w:val="24"/>
              <w:szCs w:val="24"/>
            </w:rPr>
            <w:t>Conclusion</w:t>
          </w:r>
          <w:r w:rsidR="004E1815" w:rsidRPr="00AA2F9F">
            <w:rPr>
              <w:rFonts w:ascii="Arial" w:hAnsi="Arial" w:cs="Arial"/>
              <w:color w:val="000000" w:themeColor="text1"/>
              <w:sz w:val="24"/>
              <w:szCs w:val="24"/>
            </w:rPr>
            <w:t xml:space="preserve"> </w:t>
          </w:r>
          <w:r w:rsidR="004E1815" w:rsidRPr="00AA2F9F">
            <w:rPr>
              <w:rFonts w:ascii="Arial" w:hAnsi="Arial" w:cs="Arial"/>
              <w:color w:val="000000" w:themeColor="text1"/>
              <w:sz w:val="24"/>
              <w:szCs w:val="24"/>
            </w:rPr>
            <w:ptab w:relativeTo="margin" w:alignment="right" w:leader="dot"/>
          </w:r>
          <w:r w:rsidR="00C8099F">
            <w:rPr>
              <w:rFonts w:ascii="Arial" w:hAnsi="Arial" w:cs="Arial"/>
              <w:color w:val="000000" w:themeColor="text1"/>
              <w:sz w:val="24"/>
              <w:szCs w:val="24"/>
            </w:rPr>
            <w:t>10</w:t>
          </w:r>
        </w:p>
        <w:p w14:paraId="078D2C4D" w14:textId="6143FD69" w:rsidR="004E1815" w:rsidRPr="007D1544" w:rsidRDefault="004E1815" w:rsidP="00AA2F9F">
          <w:pPr>
            <w:pStyle w:val="Listparagraf"/>
            <w:numPr>
              <w:ilvl w:val="0"/>
              <w:numId w:val="1"/>
            </w:numPr>
            <w:spacing w:line="360" w:lineRule="auto"/>
            <w:jc w:val="both"/>
            <w:rPr>
              <w:lang w:val="en-US"/>
            </w:rPr>
          </w:pPr>
          <w:r w:rsidRPr="00AA2F9F">
            <w:rPr>
              <w:rFonts w:ascii="Arial" w:hAnsi="Arial" w:cs="Arial"/>
              <w:color w:val="000000" w:themeColor="text1"/>
              <w:sz w:val="24"/>
              <w:szCs w:val="24"/>
            </w:rPr>
            <w:t xml:space="preserve">References </w:t>
          </w:r>
          <w:r w:rsidRPr="00AA2F9F">
            <w:rPr>
              <w:rFonts w:ascii="Arial" w:hAnsi="Arial" w:cs="Arial"/>
              <w:color w:val="000000" w:themeColor="text1"/>
              <w:sz w:val="24"/>
              <w:szCs w:val="24"/>
            </w:rPr>
            <w:ptab w:relativeTo="margin" w:alignment="right" w:leader="dot"/>
          </w:r>
          <w:r w:rsidR="0004358B" w:rsidRPr="00AA2F9F">
            <w:rPr>
              <w:rFonts w:ascii="Arial" w:hAnsi="Arial" w:cs="Arial"/>
              <w:color w:val="000000" w:themeColor="text1"/>
              <w:sz w:val="24"/>
              <w:szCs w:val="24"/>
            </w:rPr>
            <w:t>1</w:t>
          </w:r>
          <w:r w:rsidR="00C8099F">
            <w:rPr>
              <w:rFonts w:ascii="Arial" w:hAnsi="Arial" w:cs="Arial"/>
              <w:color w:val="000000" w:themeColor="text1"/>
              <w:sz w:val="24"/>
              <w:szCs w:val="24"/>
            </w:rPr>
            <w:t>1</w:t>
          </w:r>
        </w:p>
      </w:sdtContent>
    </w:sdt>
    <w:p w14:paraId="4DE92BB3" w14:textId="77777777" w:rsidR="004E1815" w:rsidRDefault="004E1815" w:rsidP="004E1815">
      <w:pPr>
        <w:spacing w:line="360" w:lineRule="auto"/>
        <w:jc w:val="both"/>
        <w:rPr>
          <w:rFonts w:ascii="Arial" w:hAnsi="Arial" w:cs="Arial"/>
          <w:b/>
          <w:bCs/>
          <w:sz w:val="24"/>
          <w:szCs w:val="24"/>
        </w:rPr>
      </w:pPr>
    </w:p>
    <w:p w14:paraId="256DD800" w14:textId="77777777" w:rsidR="00FA0022" w:rsidRDefault="00FA0022" w:rsidP="004E1815">
      <w:pPr>
        <w:spacing w:line="360" w:lineRule="auto"/>
        <w:jc w:val="both"/>
        <w:rPr>
          <w:rFonts w:ascii="Arial" w:hAnsi="Arial" w:cs="Arial"/>
          <w:b/>
          <w:bCs/>
          <w:sz w:val="24"/>
          <w:szCs w:val="24"/>
        </w:rPr>
      </w:pPr>
    </w:p>
    <w:p w14:paraId="755AF51C" w14:textId="77777777" w:rsidR="00FA0022" w:rsidRDefault="00FA0022" w:rsidP="004E1815">
      <w:pPr>
        <w:spacing w:line="360" w:lineRule="auto"/>
        <w:jc w:val="both"/>
        <w:rPr>
          <w:rFonts w:ascii="Arial" w:hAnsi="Arial" w:cs="Arial"/>
          <w:b/>
          <w:bCs/>
          <w:sz w:val="24"/>
          <w:szCs w:val="24"/>
        </w:rPr>
      </w:pPr>
    </w:p>
    <w:p w14:paraId="12B8E212" w14:textId="77777777" w:rsidR="00FA0022" w:rsidRDefault="00FA0022" w:rsidP="004E1815">
      <w:pPr>
        <w:spacing w:line="360" w:lineRule="auto"/>
        <w:jc w:val="both"/>
        <w:rPr>
          <w:rFonts w:ascii="Arial" w:hAnsi="Arial" w:cs="Arial"/>
          <w:b/>
          <w:bCs/>
          <w:sz w:val="24"/>
          <w:szCs w:val="24"/>
        </w:rPr>
      </w:pPr>
    </w:p>
    <w:p w14:paraId="0C7EA095" w14:textId="77777777" w:rsidR="00FA0022" w:rsidRDefault="00FA0022" w:rsidP="004E1815">
      <w:pPr>
        <w:spacing w:line="360" w:lineRule="auto"/>
        <w:jc w:val="both"/>
        <w:rPr>
          <w:rFonts w:ascii="Arial" w:hAnsi="Arial" w:cs="Arial"/>
          <w:b/>
          <w:bCs/>
          <w:sz w:val="24"/>
          <w:szCs w:val="24"/>
        </w:rPr>
      </w:pPr>
    </w:p>
    <w:p w14:paraId="536AEE63" w14:textId="77777777" w:rsidR="00FA0022" w:rsidRDefault="00FA0022" w:rsidP="004E1815">
      <w:pPr>
        <w:spacing w:line="360" w:lineRule="auto"/>
        <w:jc w:val="both"/>
        <w:rPr>
          <w:rFonts w:ascii="Arial" w:hAnsi="Arial" w:cs="Arial"/>
          <w:b/>
          <w:bCs/>
          <w:sz w:val="24"/>
          <w:szCs w:val="24"/>
        </w:rPr>
      </w:pPr>
    </w:p>
    <w:p w14:paraId="155D44CD" w14:textId="77777777" w:rsidR="00FA0022" w:rsidRDefault="00FA0022" w:rsidP="004E1815">
      <w:pPr>
        <w:spacing w:line="360" w:lineRule="auto"/>
        <w:jc w:val="both"/>
        <w:rPr>
          <w:rFonts w:ascii="Arial" w:hAnsi="Arial" w:cs="Arial"/>
          <w:b/>
          <w:bCs/>
          <w:sz w:val="24"/>
          <w:szCs w:val="24"/>
        </w:rPr>
      </w:pPr>
    </w:p>
    <w:p w14:paraId="4A1675A3" w14:textId="77777777" w:rsidR="00FA0022" w:rsidRDefault="00FA0022" w:rsidP="004E1815">
      <w:pPr>
        <w:spacing w:line="360" w:lineRule="auto"/>
        <w:jc w:val="both"/>
        <w:rPr>
          <w:rFonts w:ascii="Arial" w:hAnsi="Arial" w:cs="Arial"/>
          <w:b/>
          <w:bCs/>
          <w:sz w:val="24"/>
          <w:szCs w:val="24"/>
        </w:rPr>
      </w:pPr>
    </w:p>
    <w:p w14:paraId="0C9C41F3" w14:textId="77777777" w:rsidR="00FA0022" w:rsidRDefault="00FA0022" w:rsidP="004E1815">
      <w:pPr>
        <w:spacing w:line="360" w:lineRule="auto"/>
        <w:jc w:val="both"/>
        <w:rPr>
          <w:rFonts w:ascii="Arial" w:hAnsi="Arial" w:cs="Arial"/>
          <w:b/>
          <w:bCs/>
          <w:sz w:val="24"/>
          <w:szCs w:val="24"/>
        </w:rPr>
      </w:pPr>
    </w:p>
    <w:p w14:paraId="081DCE3D" w14:textId="77777777" w:rsidR="00FA0022" w:rsidRDefault="00FA0022" w:rsidP="004E1815">
      <w:pPr>
        <w:spacing w:line="360" w:lineRule="auto"/>
        <w:jc w:val="both"/>
        <w:rPr>
          <w:rFonts w:ascii="Arial" w:hAnsi="Arial" w:cs="Arial"/>
          <w:b/>
          <w:bCs/>
          <w:sz w:val="24"/>
          <w:szCs w:val="24"/>
        </w:rPr>
      </w:pPr>
    </w:p>
    <w:p w14:paraId="440DE07C" w14:textId="77777777" w:rsidR="00FA0022" w:rsidRDefault="00FA0022" w:rsidP="004E1815">
      <w:pPr>
        <w:spacing w:line="360" w:lineRule="auto"/>
        <w:jc w:val="both"/>
        <w:rPr>
          <w:rFonts w:ascii="Arial" w:hAnsi="Arial" w:cs="Arial"/>
          <w:b/>
          <w:bCs/>
          <w:sz w:val="24"/>
          <w:szCs w:val="24"/>
        </w:rPr>
      </w:pPr>
    </w:p>
    <w:p w14:paraId="6F9F9033" w14:textId="77777777" w:rsidR="00FA0022" w:rsidRDefault="00FA0022" w:rsidP="004E1815">
      <w:pPr>
        <w:spacing w:line="360" w:lineRule="auto"/>
        <w:jc w:val="both"/>
        <w:rPr>
          <w:rFonts w:ascii="Arial" w:hAnsi="Arial" w:cs="Arial"/>
          <w:b/>
          <w:bCs/>
          <w:sz w:val="24"/>
          <w:szCs w:val="24"/>
        </w:rPr>
      </w:pPr>
    </w:p>
    <w:p w14:paraId="44C6410A" w14:textId="77777777" w:rsidR="00AA2F9F" w:rsidRPr="00C8099F" w:rsidRDefault="00AA2F9F" w:rsidP="00C8099F">
      <w:pPr>
        <w:spacing w:line="360" w:lineRule="auto"/>
        <w:jc w:val="both"/>
        <w:rPr>
          <w:rFonts w:ascii="Arial" w:hAnsi="Arial" w:cs="Arial"/>
          <w:b/>
          <w:bCs/>
          <w:sz w:val="24"/>
          <w:szCs w:val="24"/>
        </w:rPr>
      </w:pPr>
    </w:p>
    <w:p w14:paraId="625C49E8" w14:textId="1D14FBF3" w:rsidR="00FA0022" w:rsidRPr="00C8099F" w:rsidRDefault="00AD6CD1" w:rsidP="00C8099F">
      <w:pPr>
        <w:spacing w:line="360" w:lineRule="auto"/>
        <w:jc w:val="center"/>
        <w:rPr>
          <w:rFonts w:ascii="Arial" w:hAnsi="Arial" w:cs="Arial"/>
          <w:b/>
          <w:bCs/>
          <w:sz w:val="24"/>
          <w:szCs w:val="24"/>
        </w:rPr>
      </w:pPr>
      <w:r w:rsidRPr="00C8099F">
        <w:rPr>
          <w:rFonts w:ascii="Arial" w:hAnsi="Arial" w:cs="Arial"/>
          <w:b/>
          <w:bCs/>
          <w:sz w:val="24"/>
          <w:szCs w:val="24"/>
        </w:rPr>
        <w:lastRenderedPageBreak/>
        <w:t>Is the external challenge a good or a bad?</w:t>
      </w:r>
    </w:p>
    <w:p w14:paraId="38E05D43" w14:textId="77777777" w:rsidR="00AD6CD1" w:rsidRPr="00C8099F" w:rsidRDefault="00AD6CD1" w:rsidP="00C8099F">
      <w:pPr>
        <w:spacing w:line="360" w:lineRule="auto"/>
        <w:jc w:val="center"/>
        <w:rPr>
          <w:rFonts w:ascii="Arial" w:hAnsi="Arial" w:cs="Arial"/>
          <w:b/>
          <w:bCs/>
          <w:sz w:val="24"/>
          <w:szCs w:val="24"/>
        </w:rPr>
      </w:pPr>
    </w:p>
    <w:p w14:paraId="371A1932" w14:textId="7C6354AF" w:rsidR="00330C09" w:rsidRPr="00C8099F" w:rsidRDefault="00330C09" w:rsidP="00C8099F">
      <w:pPr>
        <w:pStyle w:val="Listparagraf"/>
        <w:numPr>
          <w:ilvl w:val="0"/>
          <w:numId w:val="3"/>
        </w:numPr>
        <w:spacing w:line="360" w:lineRule="auto"/>
        <w:jc w:val="both"/>
        <w:rPr>
          <w:rFonts w:ascii="Arial" w:hAnsi="Arial" w:cs="Arial"/>
          <w:b/>
          <w:bCs/>
          <w:sz w:val="24"/>
          <w:szCs w:val="24"/>
        </w:rPr>
      </w:pPr>
      <w:r w:rsidRPr="00C8099F">
        <w:rPr>
          <w:rFonts w:ascii="Arial" w:hAnsi="Arial" w:cs="Arial"/>
          <w:b/>
          <w:bCs/>
          <w:sz w:val="24"/>
          <w:szCs w:val="24"/>
        </w:rPr>
        <w:t xml:space="preserve">Introduction </w:t>
      </w:r>
    </w:p>
    <w:p w14:paraId="778D99B1" w14:textId="3F96638B" w:rsidR="00330C09" w:rsidRPr="00C8099F" w:rsidRDefault="008F3DB0" w:rsidP="00C8099F">
      <w:pPr>
        <w:spacing w:line="360" w:lineRule="auto"/>
        <w:jc w:val="both"/>
        <w:rPr>
          <w:rFonts w:ascii="Arial" w:hAnsi="Arial" w:cs="Arial"/>
          <w:sz w:val="24"/>
          <w:szCs w:val="24"/>
        </w:rPr>
      </w:pPr>
      <w:r w:rsidRPr="00C8099F">
        <w:rPr>
          <w:rFonts w:ascii="Arial" w:hAnsi="Arial" w:cs="Arial"/>
          <w:sz w:val="24"/>
          <w:szCs w:val="24"/>
        </w:rPr>
        <w:t>The hospitality sector, known for its ever-changing and dynamic nature, is presently wrestling with various external obstacles that have a significant influence on its operational intricacies, specifically concerning the hiring and retention of personnel. This report undertakes a focused examination of these challenges as they pertain to Hilton, a renowned multinational corporation operating in the hospitality industry. An analysis is conducted to determine how technological advancements, socioeconomic shifts, the consequences of Brexit, and the COVID-19 pandemic are influencing Hilton's employee recruitment and retention strategies</w:t>
      </w:r>
      <w:r w:rsidR="009A37D5" w:rsidRPr="00C8099F">
        <w:rPr>
          <w:rFonts w:ascii="Arial" w:hAnsi="Arial" w:cs="Arial"/>
          <w:sz w:val="24"/>
          <w:szCs w:val="24"/>
        </w:rPr>
        <w:t xml:space="preserve"> (Ghani et al., 2022). </w:t>
      </w:r>
      <w:r w:rsidRPr="00C8099F">
        <w:rPr>
          <w:rFonts w:ascii="Arial" w:hAnsi="Arial" w:cs="Arial"/>
          <w:sz w:val="24"/>
          <w:szCs w:val="24"/>
        </w:rPr>
        <w:t xml:space="preserve"> Due to its expansive international reach, Hilton is positioned as a leader in adjusting to these complex transformations. Hilton, a renowned organisation recognised for its commitment to service excellence and innovation, has taken proactive measures to address these challenges by formulating and executing strategies that are designed to maintain its competitive edge in the industry</w:t>
      </w:r>
      <w:r w:rsidR="0021388C" w:rsidRPr="00C8099F">
        <w:rPr>
          <w:rFonts w:ascii="Arial" w:hAnsi="Arial" w:cs="Arial"/>
          <w:sz w:val="24"/>
          <w:szCs w:val="24"/>
        </w:rPr>
        <w:t xml:space="preserve"> (Hilton, 2019). </w:t>
      </w:r>
      <w:r w:rsidRPr="00C8099F">
        <w:rPr>
          <w:rFonts w:ascii="Arial" w:hAnsi="Arial" w:cs="Arial"/>
          <w:sz w:val="24"/>
          <w:szCs w:val="24"/>
        </w:rPr>
        <w:t xml:space="preserve"> The primary objective of this report is to analyse Hilton's approach to navigating the intricate challenges posed by the present external environment, with a specific emphasis on the consequences for its workforce management strategies.</w:t>
      </w:r>
    </w:p>
    <w:p w14:paraId="1FB8441E" w14:textId="4CDB3BD8" w:rsidR="00857D22" w:rsidRPr="00C8099F" w:rsidRDefault="00857D22" w:rsidP="00C8099F">
      <w:pPr>
        <w:spacing w:line="360" w:lineRule="auto"/>
        <w:jc w:val="both"/>
        <w:rPr>
          <w:rFonts w:ascii="Arial" w:hAnsi="Arial" w:cs="Arial"/>
          <w:sz w:val="24"/>
          <w:szCs w:val="24"/>
        </w:rPr>
      </w:pPr>
      <w:r w:rsidRPr="00C8099F">
        <w:rPr>
          <w:rFonts w:ascii="Arial" w:hAnsi="Arial" w:cs="Arial"/>
          <w:sz w:val="24"/>
          <w:szCs w:val="24"/>
        </w:rPr>
        <w:t>Hilton, a renowned entity in the international hospitality sector, embodies opulence, ingenuity, and an unwavering dedication to ensuring guest contentment. Established in 1919, Hilton has since grown to encompass more than 118 countries and manages over 6,500 properties across 18 brands, including affluent and luxury establishments. The extensive network comprises renowned hotels and resorts, including Hilton Hotels &amp; Resorts, Waldorf Astoria Hotels &amp; Resorts, and Conrad Hotels &amp; Resorts. Each of these brands provides distinctive experiences in keeping with the Hilton standard of excellence</w:t>
      </w:r>
      <w:r w:rsidR="001F4919" w:rsidRPr="00C8099F">
        <w:rPr>
          <w:rFonts w:ascii="Arial" w:hAnsi="Arial" w:cs="Arial"/>
          <w:sz w:val="24"/>
          <w:szCs w:val="24"/>
        </w:rPr>
        <w:t xml:space="preserve"> (Hilton, 2023). </w:t>
      </w:r>
      <w:r w:rsidRPr="00C8099F">
        <w:rPr>
          <w:rFonts w:ascii="Arial" w:hAnsi="Arial" w:cs="Arial"/>
          <w:sz w:val="24"/>
          <w:szCs w:val="24"/>
        </w:rPr>
        <w:t>With a history of industry firsts, including the introduction of the airport hotel concept and the development of the central reservations system, the organisation has a solid reputation for innovation. Hilton maintains its position at the forefront of innovative endeavours, particularly by utilising technology to elevate the experience of its guests. Its connected room concepts and digital key technology, for instance, revolutionise the way in which hotel visitors interact with their surroundings.</w:t>
      </w:r>
      <w:r w:rsidR="00C324DC" w:rsidRPr="00C8099F">
        <w:rPr>
          <w:rFonts w:ascii="Arial" w:hAnsi="Arial" w:cs="Arial"/>
          <w:sz w:val="24"/>
          <w:szCs w:val="24"/>
        </w:rPr>
        <w:t xml:space="preserve"> </w:t>
      </w:r>
      <w:r w:rsidR="00C324DC" w:rsidRPr="00C8099F">
        <w:rPr>
          <w:rFonts w:ascii="Arial" w:hAnsi="Arial" w:cs="Arial"/>
          <w:sz w:val="24"/>
          <w:szCs w:val="24"/>
        </w:rPr>
        <w:lastRenderedPageBreak/>
        <w:t xml:space="preserve">(Hilton, 2022). </w:t>
      </w:r>
      <w:r w:rsidRPr="00C8099F">
        <w:rPr>
          <w:rFonts w:ascii="Arial" w:hAnsi="Arial" w:cs="Arial"/>
          <w:sz w:val="24"/>
          <w:szCs w:val="24"/>
        </w:rPr>
        <w:t>Hilton's commitment to corporate responsibility and sustainability is equally noteworthy, as evidenced by its efforts to lessen its ecological footprint and foster positive community outcomes. This is demonstrated by their Travel with Purpose initiative, which seeks to substantially reduce carbon emissions and waste by 2030</w:t>
      </w:r>
      <w:r w:rsidR="008000FD" w:rsidRPr="00C8099F">
        <w:rPr>
          <w:rFonts w:ascii="Arial" w:hAnsi="Arial" w:cs="Arial"/>
          <w:sz w:val="24"/>
          <w:szCs w:val="24"/>
        </w:rPr>
        <w:t xml:space="preserve"> (McKinsey, 2020). </w:t>
      </w:r>
      <w:r w:rsidRPr="00C8099F">
        <w:rPr>
          <w:rFonts w:ascii="Arial" w:hAnsi="Arial" w:cs="Arial"/>
          <w:sz w:val="24"/>
          <w:szCs w:val="24"/>
        </w:rPr>
        <w:t>Hilton demonstrates a strong commitment to employee well-being and professional growth on an internal level, as supported by its consistent recognition as a top workplace in multiple evaluations. The organization's strategy for manage its workforce, specifically in the areas of recruitment, training, and employee retention, demonstrates a profound comprehension of the changing demands of its staff, in line with the overarching transformations occurring within the hospitality sector. Hilton's adeptness in addressing obstacles such as the COVID-19 pandemic and the repercussions of global events like Brexit and the digital revolution demonstrates the company's resiliency and flexibility in an industry that is perpetually evolving</w:t>
      </w:r>
      <w:r w:rsidR="006E254A" w:rsidRPr="00C8099F">
        <w:rPr>
          <w:rFonts w:ascii="Arial" w:hAnsi="Arial" w:cs="Arial"/>
          <w:sz w:val="24"/>
          <w:szCs w:val="24"/>
        </w:rPr>
        <w:t xml:space="preserve"> (Hilton , 2021). </w:t>
      </w:r>
    </w:p>
    <w:p w14:paraId="4A635F1E" w14:textId="77777777" w:rsidR="001A499F" w:rsidRPr="00C8099F" w:rsidRDefault="001A499F" w:rsidP="00C8099F">
      <w:pPr>
        <w:spacing w:line="360" w:lineRule="auto"/>
        <w:jc w:val="both"/>
        <w:rPr>
          <w:rFonts w:ascii="Arial" w:hAnsi="Arial" w:cs="Arial"/>
          <w:sz w:val="24"/>
          <w:szCs w:val="24"/>
        </w:rPr>
      </w:pPr>
    </w:p>
    <w:p w14:paraId="2F96EADE" w14:textId="32498A93" w:rsidR="0085504F" w:rsidRPr="00C8099F" w:rsidRDefault="00BE260F" w:rsidP="00C8099F">
      <w:pPr>
        <w:pStyle w:val="Listparagraf"/>
        <w:numPr>
          <w:ilvl w:val="0"/>
          <w:numId w:val="3"/>
        </w:numPr>
        <w:spacing w:line="360" w:lineRule="auto"/>
        <w:jc w:val="both"/>
        <w:rPr>
          <w:rFonts w:ascii="Arial" w:hAnsi="Arial" w:cs="Arial"/>
          <w:b/>
          <w:bCs/>
          <w:sz w:val="24"/>
          <w:szCs w:val="24"/>
        </w:rPr>
      </w:pPr>
      <w:r w:rsidRPr="00C8099F">
        <w:rPr>
          <w:rFonts w:ascii="Arial" w:hAnsi="Arial" w:cs="Arial"/>
          <w:b/>
          <w:bCs/>
          <w:sz w:val="24"/>
          <w:szCs w:val="24"/>
        </w:rPr>
        <w:t xml:space="preserve">Brexit  </w:t>
      </w:r>
    </w:p>
    <w:p w14:paraId="45132C9F" w14:textId="4BA42D7B" w:rsidR="008423B3" w:rsidRPr="00C8099F" w:rsidRDefault="008423B3" w:rsidP="00C8099F">
      <w:pPr>
        <w:spacing w:line="360" w:lineRule="auto"/>
        <w:jc w:val="both"/>
        <w:rPr>
          <w:rFonts w:ascii="Arial" w:hAnsi="Arial" w:cs="Arial"/>
          <w:sz w:val="24"/>
          <w:szCs w:val="24"/>
        </w:rPr>
      </w:pPr>
      <w:r w:rsidRPr="00C8099F">
        <w:rPr>
          <w:rFonts w:ascii="Arial" w:hAnsi="Arial" w:cs="Arial"/>
          <w:sz w:val="24"/>
          <w:szCs w:val="24"/>
        </w:rPr>
        <w:t>The hospitality industry in the United Kingdom has been significantly influenced by the implementation of Brexit, specifically in regards to employee recruitment and retention. This trend is particularly evident in budget hotels. The implementation of a points-based immigration system subsequent to Brexit has substantially limited the influx of prospective hotel personnel from the European Union, as a considerable number fail to satisfy the updated entry criteria. Due to this regulatory change, a significant number of EU citizens have left the sector. According to information provided by the Office for National Statistics, in the two years leading up to June 2021, approximately 100,000 European Union nationals left the Accommodation and Food Services industry in the United Kingdom.</w:t>
      </w:r>
      <w:r w:rsidR="00A95C56" w:rsidRPr="00C8099F">
        <w:rPr>
          <w:rFonts w:ascii="Arial" w:hAnsi="Arial" w:cs="Arial"/>
          <w:sz w:val="24"/>
          <w:szCs w:val="24"/>
        </w:rPr>
        <w:t xml:space="preserve"> Hotel operations have been severely impacted by this labour shortage, including Hilton, which has a significant presence in the UK market</w:t>
      </w:r>
      <w:r w:rsidR="004562D9" w:rsidRPr="00C8099F">
        <w:rPr>
          <w:rFonts w:ascii="Arial" w:hAnsi="Arial" w:cs="Arial"/>
          <w:sz w:val="24"/>
          <w:szCs w:val="24"/>
        </w:rPr>
        <w:t xml:space="preserve"> (ONS, 2021). </w:t>
      </w:r>
      <w:r w:rsidR="00A95C56" w:rsidRPr="00C8099F">
        <w:rPr>
          <w:rFonts w:ascii="Arial" w:hAnsi="Arial" w:cs="Arial"/>
          <w:sz w:val="24"/>
          <w:szCs w:val="24"/>
        </w:rPr>
        <w:t xml:space="preserve"> In addition to impacting day-to-day operations, the labour shortage has increased compensation expenses as a result of the requirement to recruit and retain personnel. In response to these difficulties, certain hotel chains, such as Whitbread, have made substantial investments in employee retention initiatives, such as salary increases and compensation programmes, according to a report by the Financial </w:t>
      </w:r>
      <w:r w:rsidR="00A95C56" w:rsidRPr="00C8099F">
        <w:rPr>
          <w:rFonts w:ascii="Arial" w:hAnsi="Arial" w:cs="Arial"/>
          <w:sz w:val="24"/>
          <w:szCs w:val="24"/>
        </w:rPr>
        <w:lastRenderedPageBreak/>
        <w:t>Times. This methodology demonstrates the magnitude of the financial and operational burden that the labour market disruptions that followed Brexit imposed on the industry, including significant players like Hilton. Strategic modifications in workforce management and recruitment approaches are imperative in order to maintain ongoing operational efficiency and profitability during the period following Brexit.</w:t>
      </w:r>
    </w:p>
    <w:p w14:paraId="032C402F" w14:textId="77777777" w:rsidR="00927D69" w:rsidRPr="00C8099F" w:rsidRDefault="00927D69" w:rsidP="00C8099F">
      <w:pPr>
        <w:spacing w:line="360" w:lineRule="auto"/>
        <w:jc w:val="both"/>
        <w:rPr>
          <w:rFonts w:ascii="Arial" w:hAnsi="Arial" w:cs="Arial"/>
          <w:sz w:val="24"/>
          <w:szCs w:val="24"/>
        </w:rPr>
      </w:pPr>
    </w:p>
    <w:p w14:paraId="5897A107" w14:textId="590F9C83" w:rsidR="00927D69" w:rsidRPr="00C8099F" w:rsidRDefault="00927D69" w:rsidP="00C8099F">
      <w:pPr>
        <w:pStyle w:val="Listparagraf"/>
        <w:numPr>
          <w:ilvl w:val="0"/>
          <w:numId w:val="3"/>
        </w:numPr>
        <w:spacing w:line="360" w:lineRule="auto"/>
        <w:jc w:val="both"/>
        <w:rPr>
          <w:rFonts w:ascii="Arial" w:hAnsi="Arial" w:cs="Arial"/>
          <w:b/>
          <w:bCs/>
          <w:sz w:val="24"/>
          <w:szCs w:val="24"/>
        </w:rPr>
      </w:pPr>
      <w:r w:rsidRPr="00C8099F">
        <w:rPr>
          <w:rFonts w:ascii="Arial" w:hAnsi="Arial" w:cs="Arial"/>
          <w:b/>
          <w:bCs/>
          <w:sz w:val="24"/>
          <w:szCs w:val="24"/>
        </w:rPr>
        <w:t>Covid-19</w:t>
      </w:r>
    </w:p>
    <w:p w14:paraId="4AFE5C30" w14:textId="2BA55314" w:rsidR="00927D69" w:rsidRPr="00C8099F" w:rsidRDefault="00A80766" w:rsidP="00C8099F">
      <w:pPr>
        <w:spacing w:line="360" w:lineRule="auto"/>
        <w:jc w:val="both"/>
        <w:rPr>
          <w:rFonts w:ascii="Arial" w:hAnsi="Arial" w:cs="Arial"/>
          <w:sz w:val="24"/>
          <w:szCs w:val="24"/>
        </w:rPr>
      </w:pPr>
      <w:r w:rsidRPr="00C8099F">
        <w:rPr>
          <w:rFonts w:ascii="Arial" w:hAnsi="Arial" w:cs="Arial"/>
          <w:sz w:val="24"/>
          <w:szCs w:val="24"/>
        </w:rPr>
        <w:t>Prominent hotels in the United Kingdom, such as Hilton, were severely impacted by the COVID-19 pandemic. As a result of the worldwide lockdown measures imposed in response to the pandemic, hotel operations ceased entirely. The aforementioned disruption is apparent in the performance metrics of the industry, as indicated by IBISWorld (2023). Revenue will decline at a compound annual growth rate (CAGR) of 3.3% from 2019 to 2024, while the number of employees will also decrease by 0.5% during the same time frame.</w:t>
      </w:r>
      <w:r w:rsidR="00EB4391" w:rsidRPr="00C8099F">
        <w:rPr>
          <w:rFonts w:ascii="Arial" w:hAnsi="Arial" w:cs="Arial"/>
          <w:sz w:val="24"/>
          <w:szCs w:val="24"/>
        </w:rPr>
        <w:t xml:space="preserve"> </w:t>
      </w:r>
      <w:r w:rsidRPr="00C8099F">
        <w:rPr>
          <w:rFonts w:ascii="Arial" w:hAnsi="Arial" w:cs="Arial"/>
          <w:sz w:val="24"/>
          <w:szCs w:val="24"/>
        </w:rPr>
        <w:t>These obstacles manifested themselves as operational impediments and workforce management concerns for Hilton. The ramifications of the pandemic were diverse, encompassing not only short-term operational elements such as room occupancy and service provision, but also more extensive strategic concerns like employee recruitment and retention. As a result of the decline in revenue and the necessity to make operational adjustments, Hilton's employment strategies were inevitably impacted, potentially resulting in workforce deployment changes or staff reductions.</w:t>
      </w:r>
      <w:r w:rsidR="00EB4391" w:rsidRPr="00C8099F">
        <w:rPr>
          <w:rFonts w:ascii="Arial" w:hAnsi="Arial" w:cs="Arial"/>
          <w:sz w:val="24"/>
          <w:szCs w:val="24"/>
        </w:rPr>
        <w:t xml:space="preserve"> </w:t>
      </w:r>
      <w:r w:rsidRPr="00C8099F">
        <w:rPr>
          <w:rFonts w:ascii="Arial" w:hAnsi="Arial" w:cs="Arial"/>
          <w:sz w:val="24"/>
          <w:szCs w:val="24"/>
        </w:rPr>
        <w:t xml:space="preserve">In light of the industry's anticipated recovery, there are indications of possible expansion from 2024 to 2029, including a projected rise in the workforce. This implies a progressive resurgence, possibly </w:t>
      </w:r>
      <w:r w:rsidR="00087ECA" w:rsidRPr="00C8099F">
        <w:rPr>
          <w:rFonts w:ascii="Arial" w:hAnsi="Arial" w:cs="Arial"/>
          <w:sz w:val="24"/>
          <w:szCs w:val="24"/>
        </w:rPr>
        <w:t>driven</w:t>
      </w:r>
      <w:r w:rsidRPr="00C8099F">
        <w:rPr>
          <w:rFonts w:ascii="Arial" w:hAnsi="Arial" w:cs="Arial"/>
          <w:sz w:val="24"/>
          <w:szCs w:val="24"/>
        </w:rPr>
        <w:t xml:space="preserve"> by the relaxation of regulations and the restoration of consumer trust in the travel and hospitality sectors. Hilton is well-positioned to capitalise on this recovery due to its robust brand and international reach</w:t>
      </w:r>
      <w:r w:rsidR="00EB4391" w:rsidRPr="00C8099F">
        <w:rPr>
          <w:rFonts w:ascii="Arial" w:hAnsi="Arial" w:cs="Arial"/>
          <w:sz w:val="24"/>
          <w:szCs w:val="24"/>
        </w:rPr>
        <w:t>. H</w:t>
      </w:r>
      <w:r w:rsidRPr="00C8099F">
        <w:rPr>
          <w:rFonts w:ascii="Arial" w:hAnsi="Arial" w:cs="Arial"/>
          <w:sz w:val="24"/>
          <w:szCs w:val="24"/>
        </w:rPr>
        <w:t>owever, it will be necessary to further adjust its workforce strategies to accommodate the changing post-pandemic environment.</w:t>
      </w:r>
    </w:p>
    <w:p w14:paraId="58736C3C" w14:textId="77777777" w:rsidR="009E6A80" w:rsidRPr="00C8099F" w:rsidRDefault="009E6A80" w:rsidP="00C8099F">
      <w:pPr>
        <w:spacing w:line="360" w:lineRule="auto"/>
        <w:jc w:val="both"/>
        <w:rPr>
          <w:rFonts w:ascii="Arial" w:hAnsi="Arial" w:cs="Arial"/>
          <w:sz w:val="24"/>
          <w:szCs w:val="24"/>
        </w:rPr>
      </w:pPr>
    </w:p>
    <w:p w14:paraId="7181B609" w14:textId="18DC2E7C" w:rsidR="009E6A80" w:rsidRPr="00C8099F" w:rsidRDefault="009E6A80" w:rsidP="00C8099F">
      <w:pPr>
        <w:pStyle w:val="Listparagraf"/>
        <w:numPr>
          <w:ilvl w:val="0"/>
          <w:numId w:val="3"/>
        </w:numPr>
        <w:spacing w:line="360" w:lineRule="auto"/>
        <w:jc w:val="both"/>
        <w:rPr>
          <w:rFonts w:ascii="Arial" w:hAnsi="Arial" w:cs="Arial"/>
          <w:b/>
          <w:bCs/>
          <w:sz w:val="24"/>
          <w:szCs w:val="24"/>
        </w:rPr>
      </w:pPr>
      <w:r w:rsidRPr="00C8099F">
        <w:rPr>
          <w:rFonts w:ascii="Arial" w:hAnsi="Arial" w:cs="Arial"/>
          <w:b/>
          <w:bCs/>
          <w:sz w:val="24"/>
          <w:szCs w:val="24"/>
        </w:rPr>
        <w:t>SWOT analysis</w:t>
      </w:r>
    </w:p>
    <w:p w14:paraId="09578668" w14:textId="6C89A99A" w:rsidR="00087ECA" w:rsidRPr="00C8099F" w:rsidRDefault="00234792" w:rsidP="00C8099F">
      <w:pPr>
        <w:spacing w:line="360" w:lineRule="auto"/>
        <w:jc w:val="both"/>
        <w:rPr>
          <w:rFonts w:ascii="Arial" w:hAnsi="Arial" w:cs="Arial"/>
          <w:b/>
          <w:bCs/>
          <w:sz w:val="24"/>
          <w:szCs w:val="24"/>
        </w:rPr>
      </w:pPr>
      <w:r w:rsidRPr="00C8099F">
        <w:rPr>
          <w:rFonts w:ascii="Arial" w:hAnsi="Arial" w:cs="Arial"/>
          <w:b/>
          <w:bCs/>
          <w:sz w:val="24"/>
          <w:szCs w:val="24"/>
        </w:rPr>
        <w:t>Strengths:</w:t>
      </w:r>
    </w:p>
    <w:p w14:paraId="420C239F" w14:textId="6D2AEB5E" w:rsidR="00234792" w:rsidRPr="00C8099F" w:rsidRDefault="0090047F" w:rsidP="00C8099F">
      <w:pPr>
        <w:spacing w:line="360" w:lineRule="auto"/>
        <w:jc w:val="both"/>
        <w:rPr>
          <w:rFonts w:ascii="Arial" w:hAnsi="Arial" w:cs="Arial"/>
          <w:sz w:val="24"/>
          <w:szCs w:val="24"/>
        </w:rPr>
      </w:pPr>
      <w:r w:rsidRPr="00C8099F">
        <w:rPr>
          <w:rFonts w:ascii="Arial" w:hAnsi="Arial" w:cs="Arial"/>
          <w:sz w:val="24"/>
          <w:szCs w:val="24"/>
        </w:rPr>
        <w:lastRenderedPageBreak/>
        <w:t>Principal assets of Hilton include its extensive network and worldwide brand recognition. Outstanding personnel are attracted to and motivated to remain with this organisation due to its robust brand recognition and global standing. Furthermore, Hilton's dedication to digital innovation fosters a progressive and dynamic workplace atmosphere, which is especially attractive to employees who are well-versed in technology.</w:t>
      </w:r>
    </w:p>
    <w:p w14:paraId="0368D591" w14:textId="013067F7" w:rsidR="0090047F" w:rsidRPr="00C8099F" w:rsidRDefault="0090047F" w:rsidP="00C8099F">
      <w:pPr>
        <w:spacing w:line="360" w:lineRule="auto"/>
        <w:jc w:val="both"/>
        <w:rPr>
          <w:rFonts w:ascii="Arial" w:hAnsi="Arial" w:cs="Arial"/>
          <w:b/>
          <w:bCs/>
          <w:sz w:val="24"/>
          <w:szCs w:val="24"/>
        </w:rPr>
      </w:pPr>
      <w:r w:rsidRPr="00C8099F">
        <w:rPr>
          <w:rFonts w:ascii="Arial" w:hAnsi="Arial" w:cs="Arial"/>
          <w:b/>
          <w:bCs/>
          <w:sz w:val="24"/>
          <w:szCs w:val="24"/>
        </w:rPr>
        <w:t>Weaknesses:</w:t>
      </w:r>
    </w:p>
    <w:p w14:paraId="5F2C7604" w14:textId="36A5DBE6" w:rsidR="0090047F" w:rsidRPr="00C8099F" w:rsidRDefault="008E0ADB" w:rsidP="00C8099F">
      <w:pPr>
        <w:spacing w:line="360" w:lineRule="auto"/>
        <w:jc w:val="both"/>
        <w:rPr>
          <w:rFonts w:ascii="Arial" w:hAnsi="Arial" w:cs="Arial"/>
          <w:sz w:val="24"/>
          <w:szCs w:val="24"/>
        </w:rPr>
      </w:pPr>
      <w:r w:rsidRPr="00C8099F">
        <w:rPr>
          <w:rFonts w:ascii="Arial" w:hAnsi="Arial" w:cs="Arial"/>
          <w:sz w:val="24"/>
          <w:szCs w:val="24"/>
        </w:rPr>
        <w:t>Hilton has experienced operational and revenue stream disruptions as a result of the COVID-19 pandemic, which may have repercussions on employee morale and perceptions of job security. Moreover, the labour shortages caused by Brexit have introduced complexities to the recruitment process, specifically with regard to the European Union, thereby posing difficulties in employing and potentially affecting the consistency and stability of Hilton's personnel.</w:t>
      </w:r>
    </w:p>
    <w:p w14:paraId="7271F979" w14:textId="1075CCC4" w:rsidR="008E0ADB" w:rsidRPr="00C8099F" w:rsidRDefault="008E0ADB" w:rsidP="00C8099F">
      <w:pPr>
        <w:spacing w:line="360" w:lineRule="auto"/>
        <w:jc w:val="both"/>
        <w:rPr>
          <w:rFonts w:ascii="Arial" w:hAnsi="Arial" w:cs="Arial"/>
          <w:b/>
          <w:bCs/>
          <w:sz w:val="24"/>
          <w:szCs w:val="24"/>
        </w:rPr>
      </w:pPr>
      <w:r w:rsidRPr="00C8099F">
        <w:rPr>
          <w:rFonts w:ascii="Arial" w:hAnsi="Arial" w:cs="Arial"/>
          <w:b/>
          <w:bCs/>
          <w:sz w:val="24"/>
          <w:szCs w:val="24"/>
        </w:rPr>
        <w:t xml:space="preserve">Opportunities: </w:t>
      </w:r>
    </w:p>
    <w:p w14:paraId="533CB7F7" w14:textId="115F4413" w:rsidR="008E0ADB" w:rsidRPr="00C8099F" w:rsidRDefault="00F76E16" w:rsidP="00C8099F">
      <w:pPr>
        <w:spacing w:line="360" w:lineRule="auto"/>
        <w:jc w:val="both"/>
        <w:rPr>
          <w:rFonts w:ascii="Arial" w:hAnsi="Arial" w:cs="Arial"/>
          <w:sz w:val="24"/>
          <w:szCs w:val="24"/>
        </w:rPr>
      </w:pPr>
      <w:r w:rsidRPr="00C8099F">
        <w:rPr>
          <w:rFonts w:ascii="Arial" w:hAnsi="Arial" w:cs="Arial"/>
          <w:sz w:val="24"/>
          <w:szCs w:val="24"/>
        </w:rPr>
        <w:t>During the phase of recovery following the pandemic, Hilton has the potential to improve employee engagement and retention. Enhancing health measures and prioritising flexible working arrangements have the potential to augment employee satisfaction. Furthermore, the expansion of domestic tourism presents Hilton with an opportunity to offer a wide range of work environments, which positively impacts employee retention and job contentment.</w:t>
      </w:r>
    </w:p>
    <w:p w14:paraId="346DB168" w14:textId="4AE892F3" w:rsidR="00F76E16" w:rsidRPr="00C8099F" w:rsidRDefault="00F76E16" w:rsidP="00C8099F">
      <w:pPr>
        <w:spacing w:line="360" w:lineRule="auto"/>
        <w:jc w:val="both"/>
        <w:rPr>
          <w:rFonts w:ascii="Arial" w:hAnsi="Arial" w:cs="Arial"/>
          <w:b/>
          <w:bCs/>
          <w:sz w:val="24"/>
          <w:szCs w:val="24"/>
        </w:rPr>
      </w:pPr>
      <w:r w:rsidRPr="00C8099F">
        <w:rPr>
          <w:rFonts w:ascii="Arial" w:hAnsi="Arial" w:cs="Arial"/>
          <w:b/>
          <w:bCs/>
          <w:sz w:val="24"/>
          <w:szCs w:val="24"/>
        </w:rPr>
        <w:t>Threats:</w:t>
      </w:r>
    </w:p>
    <w:p w14:paraId="3FBB57D4" w14:textId="7F577A98" w:rsidR="00F76E16" w:rsidRPr="00C8099F" w:rsidRDefault="00533500" w:rsidP="00C8099F">
      <w:pPr>
        <w:spacing w:line="360" w:lineRule="auto"/>
        <w:jc w:val="both"/>
        <w:rPr>
          <w:rFonts w:ascii="Arial" w:hAnsi="Arial" w:cs="Arial"/>
          <w:sz w:val="24"/>
          <w:szCs w:val="24"/>
        </w:rPr>
      </w:pPr>
      <w:r w:rsidRPr="00C8099F">
        <w:rPr>
          <w:rFonts w:ascii="Arial" w:hAnsi="Arial" w:cs="Arial"/>
          <w:sz w:val="24"/>
          <w:szCs w:val="24"/>
        </w:rPr>
        <w:t>Due to Brexit and the ongoing repercussions of the pandemic, Hilton continues to encounter labour market difficulties that threaten the availability of skilled labour. Furthermore, the intensifying rivalry from budget hotels and alternative lodging platforms such as Airbnb may place a strain on available resources, potentially compromising allocations towards employee retention and development initiatives.</w:t>
      </w:r>
    </w:p>
    <w:p w14:paraId="2BF29C48" w14:textId="77777777" w:rsidR="00533500" w:rsidRPr="00C8099F" w:rsidRDefault="00533500" w:rsidP="00C8099F">
      <w:pPr>
        <w:spacing w:line="360" w:lineRule="auto"/>
        <w:jc w:val="both"/>
        <w:rPr>
          <w:rFonts w:ascii="Arial" w:hAnsi="Arial" w:cs="Arial"/>
          <w:sz w:val="24"/>
          <w:szCs w:val="24"/>
        </w:rPr>
      </w:pPr>
    </w:p>
    <w:p w14:paraId="7741FFB4" w14:textId="5F07E40E" w:rsidR="00533500" w:rsidRPr="00C8099F" w:rsidRDefault="00533500" w:rsidP="00C8099F">
      <w:pPr>
        <w:pStyle w:val="Listparagraf"/>
        <w:numPr>
          <w:ilvl w:val="0"/>
          <w:numId w:val="3"/>
        </w:numPr>
        <w:spacing w:line="360" w:lineRule="auto"/>
        <w:jc w:val="both"/>
        <w:rPr>
          <w:rFonts w:ascii="Arial" w:hAnsi="Arial" w:cs="Arial"/>
          <w:b/>
          <w:bCs/>
          <w:sz w:val="24"/>
          <w:szCs w:val="24"/>
        </w:rPr>
      </w:pPr>
      <w:r w:rsidRPr="00C8099F">
        <w:rPr>
          <w:rFonts w:ascii="Arial" w:hAnsi="Arial" w:cs="Arial"/>
          <w:b/>
          <w:bCs/>
          <w:sz w:val="24"/>
          <w:szCs w:val="24"/>
        </w:rPr>
        <w:t>PESTLE</w:t>
      </w:r>
    </w:p>
    <w:p w14:paraId="7E3EF06A" w14:textId="4110A3BA" w:rsidR="00F76E16" w:rsidRPr="00C8099F" w:rsidRDefault="00CD1C4E" w:rsidP="00C8099F">
      <w:pPr>
        <w:spacing w:line="360" w:lineRule="auto"/>
        <w:jc w:val="both"/>
        <w:rPr>
          <w:rFonts w:ascii="Arial" w:hAnsi="Arial" w:cs="Arial"/>
          <w:b/>
          <w:bCs/>
          <w:sz w:val="24"/>
          <w:szCs w:val="24"/>
        </w:rPr>
      </w:pPr>
      <w:r w:rsidRPr="00C8099F">
        <w:rPr>
          <w:rFonts w:ascii="Arial" w:hAnsi="Arial" w:cs="Arial"/>
          <w:b/>
          <w:bCs/>
          <w:sz w:val="24"/>
          <w:szCs w:val="24"/>
        </w:rPr>
        <w:t>Political factors:</w:t>
      </w:r>
    </w:p>
    <w:p w14:paraId="1F08A6C2" w14:textId="685A370F" w:rsidR="00CD1C4E" w:rsidRPr="00C8099F" w:rsidRDefault="00592530" w:rsidP="00C8099F">
      <w:pPr>
        <w:spacing w:line="360" w:lineRule="auto"/>
        <w:jc w:val="both"/>
        <w:rPr>
          <w:rFonts w:ascii="Arial" w:hAnsi="Arial" w:cs="Arial"/>
          <w:sz w:val="24"/>
          <w:szCs w:val="24"/>
        </w:rPr>
      </w:pPr>
      <w:r w:rsidRPr="00C8099F">
        <w:rPr>
          <w:rFonts w:ascii="Arial" w:hAnsi="Arial" w:cs="Arial"/>
          <w:sz w:val="24"/>
          <w:szCs w:val="24"/>
        </w:rPr>
        <w:lastRenderedPageBreak/>
        <w:t>As a result of its reliance on EU labour, Hilton's workforce has been adversely affected by the new immigration policies brought about by Brexit. Hilton is confronted with recruitment and retention challenges as a result of the decline in EU nationals in the hospitality sector of the United Kingdom as a consequence of the transition to a points-based system; this calls for a strategic reassessment of the company's labour procurement and employment practises.</w:t>
      </w:r>
    </w:p>
    <w:p w14:paraId="471115A8" w14:textId="4F566940" w:rsidR="00CD1C4E" w:rsidRPr="00C8099F" w:rsidRDefault="00CD1C4E" w:rsidP="00C8099F">
      <w:pPr>
        <w:spacing w:line="360" w:lineRule="auto"/>
        <w:jc w:val="both"/>
        <w:rPr>
          <w:rFonts w:ascii="Arial" w:hAnsi="Arial" w:cs="Arial"/>
          <w:b/>
          <w:bCs/>
          <w:sz w:val="24"/>
          <w:szCs w:val="24"/>
        </w:rPr>
      </w:pPr>
      <w:r w:rsidRPr="00C8099F">
        <w:rPr>
          <w:rFonts w:ascii="Arial" w:hAnsi="Arial" w:cs="Arial"/>
          <w:b/>
          <w:bCs/>
          <w:sz w:val="24"/>
          <w:szCs w:val="24"/>
        </w:rPr>
        <w:t>Economic factors:</w:t>
      </w:r>
    </w:p>
    <w:p w14:paraId="7B5D07F4" w14:textId="58808CEC" w:rsidR="00592530" w:rsidRPr="00C8099F" w:rsidRDefault="00F00015" w:rsidP="00C8099F">
      <w:pPr>
        <w:spacing w:line="360" w:lineRule="auto"/>
        <w:jc w:val="both"/>
        <w:rPr>
          <w:rFonts w:ascii="Arial" w:hAnsi="Arial" w:cs="Arial"/>
          <w:sz w:val="24"/>
          <w:szCs w:val="24"/>
        </w:rPr>
      </w:pPr>
      <w:r w:rsidRPr="00C8099F">
        <w:rPr>
          <w:rFonts w:ascii="Arial" w:hAnsi="Arial" w:cs="Arial"/>
          <w:sz w:val="24"/>
          <w:szCs w:val="24"/>
        </w:rPr>
        <w:t>Hilton's revenue streams and operational expenses have been substantially impacted by the economic repercussions of the COVID-19 pandemic. The confluence of volatile economic conditions and the imperative for augmented investments in health and safety protocols possesses ramifications for the retention of personnel. In order to retain its employees, Hilton must strike a balance between competitive compensation and employment security in the face of these economic constraints.</w:t>
      </w:r>
    </w:p>
    <w:p w14:paraId="7EE1A808" w14:textId="4B0B1C88" w:rsidR="00CD1C4E" w:rsidRPr="00C8099F" w:rsidRDefault="00CD1C4E" w:rsidP="00C8099F">
      <w:pPr>
        <w:spacing w:line="360" w:lineRule="auto"/>
        <w:jc w:val="both"/>
        <w:rPr>
          <w:rFonts w:ascii="Arial" w:hAnsi="Arial" w:cs="Arial"/>
          <w:b/>
          <w:bCs/>
          <w:sz w:val="24"/>
          <w:szCs w:val="24"/>
        </w:rPr>
      </w:pPr>
      <w:r w:rsidRPr="00C8099F">
        <w:rPr>
          <w:rFonts w:ascii="Arial" w:hAnsi="Arial" w:cs="Arial"/>
          <w:b/>
          <w:bCs/>
          <w:sz w:val="24"/>
          <w:szCs w:val="24"/>
        </w:rPr>
        <w:t>Social factors:</w:t>
      </w:r>
    </w:p>
    <w:p w14:paraId="667842C4" w14:textId="73FE4153" w:rsidR="00CD1C4E" w:rsidRPr="00C8099F" w:rsidRDefault="00F00015" w:rsidP="00C8099F">
      <w:pPr>
        <w:spacing w:line="360" w:lineRule="auto"/>
        <w:jc w:val="both"/>
        <w:rPr>
          <w:rFonts w:ascii="Arial" w:hAnsi="Arial" w:cs="Arial"/>
          <w:sz w:val="24"/>
          <w:szCs w:val="24"/>
        </w:rPr>
      </w:pPr>
      <w:r w:rsidRPr="00C8099F">
        <w:rPr>
          <w:rFonts w:ascii="Arial" w:hAnsi="Arial" w:cs="Arial"/>
          <w:sz w:val="24"/>
          <w:szCs w:val="24"/>
        </w:rPr>
        <w:t>The evolving inclinations of consumers towards sustainable and responsible tourism offer Hilton a sociocultural opportunity to harmonise its brand and employee engagement approaches with these principles. Hilton can cultivate a corporate environment that prioritises sustainability and social responsibility, thereby increasing employee loyalty and satisfaction by attracting and retaining personnel who are driven by these values</w:t>
      </w:r>
      <w:r w:rsidR="007F7BC2" w:rsidRPr="00C8099F">
        <w:rPr>
          <w:rFonts w:ascii="Arial" w:hAnsi="Arial" w:cs="Arial"/>
          <w:sz w:val="24"/>
          <w:szCs w:val="24"/>
        </w:rPr>
        <w:t xml:space="preserve"> (Hilton, 2017).</w:t>
      </w:r>
    </w:p>
    <w:p w14:paraId="3C7C1694" w14:textId="6A4E8B6B" w:rsidR="00CD1C4E" w:rsidRPr="00C8099F" w:rsidRDefault="00CD1C4E" w:rsidP="00C8099F">
      <w:pPr>
        <w:spacing w:line="360" w:lineRule="auto"/>
        <w:jc w:val="both"/>
        <w:rPr>
          <w:rFonts w:ascii="Arial" w:hAnsi="Arial" w:cs="Arial"/>
          <w:b/>
          <w:bCs/>
          <w:sz w:val="24"/>
          <w:szCs w:val="24"/>
        </w:rPr>
      </w:pPr>
      <w:r w:rsidRPr="00C8099F">
        <w:rPr>
          <w:rFonts w:ascii="Arial" w:hAnsi="Arial" w:cs="Arial"/>
          <w:b/>
          <w:bCs/>
          <w:sz w:val="24"/>
          <w:szCs w:val="24"/>
        </w:rPr>
        <w:t>Technological factors:</w:t>
      </w:r>
    </w:p>
    <w:p w14:paraId="6A8751BD" w14:textId="1F405A2E" w:rsidR="00CD1C4E" w:rsidRPr="00C8099F" w:rsidRDefault="005973D5" w:rsidP="00C8099F">
      <w:pPr>
        <w:spacing w:line="360" w:lineRule="auto"/>
        <w:jc w:val="both"/>
        <w:rPr>
          <w:rFonts w:ascii="Arial" w:hAnsi="Arial" w:cs="Arial"/>
          <w:sz w:val="24"/>
          <w:szCs w:val="24"/>
        </w:rPr>
      </w:pPr>
      <w:r w:rsidRPr="00C8099F">
        <w:rPr>
          <w:rFonts w:ascii="Arial" w:hAnsi="Arial" w:cs="Arial"/>
          <w:sz w:val="24"/>
          <w:szCs w:val="24"/>
        </w:rPr>
        <w:t>Rapid technological advancement, particularly the implementation of artificial intelligence and digital platforms, necessitates that Hilton perpetually update the skills of its workforce. Investing in employee training and development to align with technological advancements serves to enhance operational efficiency and promote employee retention through the provision of opportunities for professional growth and development within the organisation</w:t>
      </w:r>
      <w:r w:rsidR="00FB2985" w:rsidRPr="00C8099F">
        <w:rPr>
          <w:rFonts w:ascii="Arial" w:hAnsi="Arial" w:cs="Arial"/>
          <w:sz w:val="24"/>
          <w:szCs w:val="24"/>
        </w:rPr>
        <w:t xml:space="preserve"> (McKinsey, 2018). </w:t>
      </w:r>
    </w:p>
    <w:p w14:paraId="14B33B1C" w14:textId="77777777" w:rsidR="00CD1C4E" w:rsidRPr="00C8099F" w:rsidRDefault="00CD1C4E" w:rsidP="00C8099F">
      <w:pPr>
        <w:spacing w:line="360" w:lineRule="auto"/>
        <w:jc w:val="both"/>
        <w:rPr>
          <w:rFonts w:ascii="Arial" w:hAnsi="Arial" w:cs="Arial"/>
          <w:b/>
          <w:bCs/>
          <w:sz w:val="24"/>
          <w:szCs w:val="24"/>
        </w:rPr>
      </w:pPr>
    </w:p>
    <w:p w14:paraId="0927E625" w14:textId="284A95E6" w:rsidR="00CD1C4E" w:rsidRPr="00C8099F" w:rsidRDefault="00CD1C4E" w:rsidP="00C8099F">
      <w:pPr>
        <w:spacing w:line="360" w:lineRule="auto"/>
        <w:jc w:val="both"/>
        <w:rPr>
          <w:rFonts w:ascii="Arial" w:hAnsi="Arial" w:cs="Arial"/>
          <w:b/>
          <w:bCs/>
          <w:sz w:val="24"/>
          <w:szCs w:val="24"/>
        </w:rPr>
      </w:pPr>
      <w:r w:rsidRPr="00C8099F">
        <w:rPr>
          <w:rFonts w:ascii="Arial" w:hAnsi="Arial" w:cs="Arial"/>
          <w:b/>
          <w:bCs/>
          <w:sz w:val="24"/>
          <w:szCs w:val="24"/>
        </w:rPr>
        <w:t>Legal factors:</w:t>
      </w:r>
    </w:p>
    <w:p w14:paraId="5D4A30BA" w14:textId="00A6E462" w:rsidR="00CD1C4E" w:rsidRPr="00C8099F" w:rsidRDefault="005973D5" w:rsidP="00C8099F">
      <w:pPr>
        <w:spacing w:line="360" w:lineRule="auto"/>
        <w:jc w:val="both"/>
        <w:rPr>
          <w:rFonts w:ascii="Arial" w:hAnsi="Arial" w:cs="Arial"/>
          <w:sz w:val="24"/>
          <w:szCs w:val="24"/>
        </w:rPr>
      </w:pPr>
      <w:r w:rsidRPr="00C8099F">
        <w:rPr>
          <w:rFonts w:ascii="Arial" w:hAnsi="Arial" w:cs="Arial"/>
          <w:sz w:val="24"/>
          <w:szCs w:val="24"/>
        </w:rPr>
        <w:lastRenderedPageBreak/>
        <w:t>Hilton is confronted with intricate legal terrains that require vigilance, encompassing health and safety regulations and employment legislation, particularly in the aftermath of the pandemic and Brexit. Adherence to these evolving legal obligations is of the utmost importance, not only to prevent legal consequences but also to preserve a secure and fair workplace atmosphere, a critical determinant in employee retention and contentment</w:t>
      </w:r>
      <w:r w:rsidR="00E841C8" w:rsidRPr="00C8099F">
        <w:rPr>
          <w:rFonts w:ascii="Arial" w:hAnsi="Arial" w:cs="Arial"/>
          <w:sz w:val="24"/>
          <w:szCs w:val="24"/>
        </w:rPr>
        <w:t xml:space="preserve"> (Code of Conduct Hilton, 2017).</w:t>
      </w:r>
    </w:p>
    <w:p w14:paraId="5A71E2C7" w14:textId="77777777" w:rsidR="00CD1C4E" w:rsidRPr="00C8099F" w:rsidRDefault="00CD1C4E" w:rsidP="00C8099F">
      <w:pPr>
        <w:spacing w:line="360" w:lineRule="auto"/>
        <w:jc w:val="both"/>
        <w:rPr>
          <w:rFonts w:ascii="Arial" w:hAnsi="Arial" w:cs="Arial"/>
          <w:b/>
          <w:bCs/>
          <w:sz w:val="24"/>
          <w:szCs w:val="24"/>
        </w:rPr>
      </w:pPr>
    </w:p>
    <w:p w14:paraId="083602CD" w14:textId="5E21850A" w:rsidR="00CD1C4E" w:rsidRPr="00C8099F" w:rsidRDefault="00CD1C4E" w:rsidP="00C8099F">
      <w:pPr>
        <w:spacing w:line="360" w:lineRule="auto"/>
        <w:jc w:val="both"/>
        <w:rPr>
          <w:rFonts w:ascii="Arial" w:hAnsi="Arial" w:cs="Arial"/>
          <w:b/>
          <w:bCs/>
          <w:sz w:val="24"/>
          <w:szCs w:val="24"/>
        </w:rPr>
      </w:pPr>
      <w:r w:rsidRPr="00C8099F">
        <w:rPr>
          <w:rFonts w:ascii="Arial" w:hAnsi="Arial" w:cs="Arial"/>
          <w:b/>
          <w:bCs/>
          <w:sz w:val="24"/>
          <w:szCs w:val="24"/>
        </w:rPr>
        <w:t>Environmental factors:</w:t>
      </w:r>
    </w:p>
    <w:p w14:paraId="726F9CBD" w14:textId="3716AF48" w:rsidR="00CD1C4E" w:rsidRPr="00C8099F" w:rsidRDefault="005973D5" w:rsidP="00C8099F">
      <w:pPr>
        <w:spacing w:line="360" w:lineRule="auto"/>
        <w:jc w:val="both"/>
        <w:rPr>
          <w:rFonts w:ascii="Arial" w:hAnsi="Arial" w:cs="Arial"/>
          <w:sz w:val="24"/>
          <w:szCs w:val="24"/>
        </w:rPr>
      </w:pPr>
      <w:r w:rsidRPr="00C8099F">
        <w:rPr>
          <w:rFonts w:ascii="Arial" w:hAnsi="Arial" w:cs="Arial"/>
          <w:sz w:val="24"/>
          <w:szCs w:val="24"/>
        </w:rPr>
        <w:t>Hilton's operational practises and employee engagement are directly influenced by the growing emphasis on environmental sustainability. Particularly for those who are environmentally conscientious, attracting and retaining employees can be significantly influenced by the implementation of eco-friendly practises. By increasing employee retention and recruiting talent, Hilton's reputation as a responsible employer can be bolstered through its dedication to minimising environmental impact</w:t>
      </w:r>
      <w:r w:rsidR="00E659AF" w:rsidRPr="00C8099F">
        <w:rPr>
          <w:rFonts w:ascii="Arial" w:hAnsi="Arial" w:cs="Arial"/>
          <w:sz w:val="24"/>
          <w:szCs w:val="24"/>
        </w:rPr>
        <w:t xml:space="preserve"> (Hilton, 2021).</w:t>
      </w:r>
    </w:p>
    <w:p w14:paraId="69B6F4C0" w14:textId="77777777" w:rsidR="008B0603" w:rsidRPr="00C8099F" w:rsidRDefault="008B0603" w:rsidP="00C8099F">
      <w:pPr>
        <w:spacing w:line="360" w:lineRule="auto"/>
        <w:jc w:val="both"/>
        <w:rPr>
          <w:rFonts w:ascii="Arial" w:hAnsi="Arial" w:cs="Arial"/>
          <w:sz w:val="24"/>
          <w:szCs w:val="24"/>
        </w:rPr>
      </w:pPr>
    </w:p>
    <w:p w14:paraId="4A79D1EB" w14:textId="130EE05F" w:rsidR="008B0603" w:rsidRPr="00C8099F" w:rsidRDefault="008B0603" w:rsidP="00C8099F">
      <w:pPr>
        <w:pStyle w:val="Listparagraf"/>
        <w:numPr>
          <w:ilvl w:val="0"/>
          <w:numId w:val="3"/>
        </w:numPr>
        <w:spacing w:line="360" w:lineRule="auto"/>
        <w:jc w:val="both"/>
        <w:rPr>
          <w:rFonts w:ascii="Arial" w:hAnsi="Arial" w:cs="Arial"/>
          <w:b/>
          <w:bCs/>
          <w:sz w:val="24"/>
          <w:szCs w:val="24"/>
        </w:rPr>
      </w:pPr>
      <w:r w:rsidRPr="00C8099F">
        <w:rPr>
          <w:rFonts w:ascii="Arial" w:hAnsi="Arial" w:cs="Arial"/>
          <w:b/>
          <w:bCs/>
          <w:sz w:val="24"/>
          <w:szCs w:val="24"/>
        </w:rPr>
        <w:t>Hilton response</w:t>
      </w:r>
    </w:p>
    <w:p w14:paraId="1D53A056" w14:textId="4267A079" w:rsidR="008B0603" w:rsidRPr="00C8099F" w:rsidRDefault="00B975C0" w:rsidP="00C8099F">
      <w:pPr>
        <w:spacing w:line="360" w:lineRule="auto"/>
        <w:jc w:val="both"/>
        <w:rPr>
          <w:rFonts w:ascii="Arial" w:hAnsi="Arial" w:cs="Arial"/>
          <w:sz w:val="24"/>
          <w:szCs w:val="24"/>
        </w:rPr>
      </w:pPr>
      <w:r w:rsidRPr="00C8099F">
        <w:rPr>
          <w:rFonts w:ascii="Arial" w:hAnsi="Arial" w:cs="Arial"/>
          <w:sz w:val="24"/>
          <w:szCs w:val="24"/>
        </w:rPr>
        <w:t xml:space="preserve">Hilton responded resolutely to the unprecedented challenges posed by the COVID-19 pandemic in order to safeguard its fundamental operations and provide assistance to its personnel. As a result of the near-stagnation in travel, many managed and franchised hotels ceased operations, and operational hotels reduced their services in response to declining occupancy rates. Hilton's corporate response encompassed substantial cost reduction and liquidity preservation measures. President and CEO of Hilton, Christopher </w:t>
      </w:r>
      <w:proofErr w:type="spellStart"/>
      <w:r w:rsidRPr="00C8099F">
        <w:rPr>
          <w:rFonts w:ascii="Arial" w:hAnsi="Arial" w:cs="Arial"/>
          <w:sz w:val="24"/>
          <w:szCs w:val="24"/>
        </w:rPr>
        <w:t>Nassetta</w:t>
      </w:r>
      <w:proofErr w:type="spellEnd"/>
      <w:r w:rsidRPr="00C8099F">
        <w:rPr>
          <w:rFonts w:ascii="Arial" w:hAnsi="Arial" w:cs="Arial"/>
          <w:sz w:val="24"/>
          <w:szCs w:val="24"/>
        </w:rPr>
        <w:t>, forwent compensation for the remainder of 2020, whereas the Executive Committee implemented a 50% reduction in compensation throughout the duration of the crisis</w:t>
      </w:r>
      <w:r w:rsidR="00DC506D" w:rsidRPr="00C8099F">
        <w:rPr>
          <w:rFonts w:ascii="Arial" w:hAnsi="Arial" w:cs="Arial"/>
          <w:sz w:val="24"/>
          <w:szCs w:val="24"/>
        </w:rPr>
        <w:t xml:space="preserve"> </w:t>
      </w:r>
      <w:r w:rsidR="00DC506D" w:rsidRPr="00C8099F">
        <w:rPr>
          <w:rFonts w:ascii="Arial" w:hAnsi="Arial" w:cs="Arial"/>
          <w:sz w:val="24"/>
          <w:szCs w:val="24"/>
          <w:shd w:val="clear" w:color="auto" w:fill="FFFFFF"/>
        </w:rPr>
        <w:t xml:space="preserve">(Stories From Hilton, 2020). </w:t>
      </w:r>
      <w:r w:rsidRPr="00C8099F">
        <w:rPr>
          <w:rFonts w:ascii="Arial" w:hAnsi="Arial" w:cs="Arial"/>
          <w:sz w:val="24"/>
          <w:szCs w:val="24"/>
        </w:rPr>
        <w:t xml:space="preserve"> A considerable number of Hilton's corporate staff members experienced schedule reductions or furloughs lasting up to ninety days beginning on April 4. Regardless of local regulations, these employees retained their health benefits and were eligible for unemployment benefits during this time. Employees of non-furloughed corporate teams were subject to a maximum 20 percent reduction in pay throughout the duration of the crisis. Hilton further reduced non-essential expenditures, such as capital outlays, </w:t>
      </w:r>
      <w:r w:rsidRPr="00C8099F">
        <w:rPr>
          <w:rFonts w:ascii="Arial" w:hAnsi="Arial" w:cs="Arial"/>
          <w:sz w:val="24"/>
          <w:szCs w:val="24"/>
        </w:rPr>
        <w:lastRenderedPageBreak/>
        <w:t>and ceased all share repurchases and dividend disbursements, with the exception of those that had been previously announced</w:t>
      </w:r>
      <w:r w:rsidR="00DC506D" w:rsidRPr="00C8099F">
        <w:rPr>
          <w:rFonts w:ascii="Arial" w:hAnsi="Arial" w:cs="Arial"/>
          <w:sz w:val="24"/>
          <w:szCs w:val="24"/>
        </w:rPr>
        <w:t xml:space="preserve"> </w:t>
      </w:r>
      <w:r w:rsidR="00DC506D" w:rsidRPr="00C8099F">
        <w:rPr>
          <w:rFonts w:ascii="Arial" w:hAnsi="Arial" w:cs="Arial"/>
          <w:sz w:val="24"/>
          <w:szCs w:val="24"/>
          <w:shd w:val="clear" w:color="auto" w:fill="FFFFFF"/>
        </w:rPr>
        <w:t xml:space="preserve">(Stories From Hilton, 2020). </w:t>
      </w:r>
      <w:r w:rsidRPr="00C8099F">
        <w:rPr>
          <w:rFonts w:ascii="Arial" w:hAnsi="Arial" w:cs="Arial"/>
          <w:sz w:val="24"/>
          <w:szCs w:val="24"/>
        </w:rPr>
        <w:t xml:space="preserve"> Christopher </w:t>
      </w:r>
      <w:proofErr w:type="spellStart"/>
      <w:r w:rsidRPr="00C8099F">
        <w:rPr>
          <w:rFonts w:ascii="Arial" w:hAnsi="Arial" w:cs="Arial"/>
          <w:sz w:val="24"/>
          <w:szCs w:val="24"/>
        </w:rPr>
        <w:t>Nassetta</w:t>
      </w:r>
      <w:proofErr w:type="spellEnd"/>
      <w:r w:rsidRPr="00C8099F">
        <w:rPr>
          <w:rFonts w:ascii="Arial" w:hAnsi="Arial" w:cs="Arial"/>
          <w:sz w:val="24"/>
          <w:szCs w:val="24"/>
        </w:rPr>
        <w:t xml:space="preserve">, the chief executive officer of Hilton, acknowledged the repercussions of Brexit on the hotel industry in London, stating that apprehension was influencing revenue figures. Despite these obstacles, Hilton's business in the United Kingdom continued to expand, albeit at a lesser rate than in the past. </w:t>
      </w:r>
      <w:proofErr w:type="spellStart"/>
      <w:r w:rsidRPr="00C8099F">
        <w:rPr>
          <w:rFonts w:ascii="Arial" w:hAnsi="Arial" w:cs="Arial"/>
          <w:sz w:val="24"/>
          <w:szCs w:val="24"/>
        </w:rPr>
        <w:t>Nassetta</w:t>
      </w:r>
      <w:proofErr w:type="spellEnd"/>
      <w:r w:rsidRPr="00C8099F">
        <w:rPr>
          <w:rFonts w:ascii="Arial" w:hAnsi="Arial" w:cs="Arial"/>
          <w:sz w:val="24"/>
          <w:szCs w:val="24"/>
        </w:rPr>
        <w:t xml:space="preserve"> noted that attributing the development slowdown in the United Kingdom to a single cause is difficult and suggested that other regions of Europe were compensating for the decline.</w:t>
      </w:r>
    </w:p>
    <w:p w14:paraId="18F6C969" w14:textId="77777777" w:rsidR="00171EF0" w:rsidRPr="00C8099F" w:rsidRDefault="00171EF0" w:rsidP="00C8099F">
      <w:pPr>
        <w:spacing w:line="360" w:lineRule="auto"/>
        <w:jc w:val="both"/>
        <w:rPr>
          <w:rFonts w:ascii="Arial" w:hAnsi="Arial" w:cs="Arial"/>
          <w:sz w:val="24"/>
          <w:szCs w:val="24"/>
        </w:rPr>
      </w:pPr>
    </w:p>
    <w:p w14:paraId="72B999AA" w14:textId="6D92FD2E" w:rsidR="00171EF0" w:rsidRPr="00C8099F" w:rsidRDefault="00171EF0" w:rsidP="00C8099F">
      <w:pPr>
        <w:pStyle w:val="Listparagraf"/>
        <w:numPr>
          <w:ilvl w:val="0"/>
          <w:numId w:val="3"/>
        </w:numPr>
        <w:spacing w:line="360" w:lineRule="auto"/>
        <w:jc w:val="both"/>
        <w:rPr>
          <w:rFonts w:ascii="Arial" w:hAnsi="Arial" w:cs="Arial"/>
          <w:b/>
          <w:bCs/>
          <w:sz w:val="24"/>
          <w:szCs w:val="24"/>
        </w:rPr>
      </w:pPr>
      <w:r w:rsidRPr="00C8099F">
        <w:rPr>
          <w:rFonts w:ascii="Arial" w:hAnsi="Arial" w:cs="Arial"/>
          <w:b/>
          <w:bCs/>
          <w:sz w:val="24"/>
          <w:szCs w:val="24"/>
        </w:rPr>
        <w:t xml:space="preserve">Recommendations </w:t>
      </w:r>
    </w:p>
    <w:p w14:paraId="50C8923B" w14:textId="21A47EB6" w:rsidR="00171EF0" w:rsidRPr="00C8099F" w:rsidRDefault="00C27754" w:rsidP="00C8099F">
      <w:pPr>
        <w:pStyle w:val="Listparagraf"/>
        <w:numPr>
          <w:ilvl w:val="0"/>
          <w:numId w:val="9"/>
        </w:numPr>
        <w:spacing w:line="360" w:lineRule="auto"/>
        <w:jc w:val="both"/>
        <w:rPr>
          <w:rFonts w:ascii="Arial" w:hAnsi="Arial" w:cs="Arial"/>
          <w:sz w:val="24"/>
          <w:szCs w:val="24"/>
        </w:rPr>
      </w:pPr>
      <w:r w:rsidRPr="00C8099F">
        <w:rPr>
          <w:rFonts w:ascii="Arial" w:hAnsi="Arial" w:cs="Arial"/>
          <w:sz w:val="24"/>
          <w:szCs w:val="24"/>
        </w:rPr>
        <w:t>Enhance endeavours aimed at fostering inclusivity and diversity at every level. Promoting equal opportunities in leadership development, career progression, and recruitment has the potential to cultivate a more inclusive work environment, thereby bolstering employee loyalty and satisfaction</w:t>
      </w:r>
      <w:r w:rsidR="003C6857" w:rsidRPr="00C8099F">
        <w:rPr>
          <w:rFonts w:ascii="Arial" w:hAnsi="Arial" w:cs="Arial"/>
          <w:sz w:val="24"/>
          <w:szCs w:val="24"/>
        </w:rPr>
        <w:t xml:space="preserve"> </w:t>
      </w:r>
      <w:r w:rsidR="003C6857" w:rsidRPr="00C8099F">
        <w:rPr>
          <w:rFonts w:ascii="Arial" w:hAnsi="Arial" w:cs="Arial"/>
          <w:sz w:val="24"/>
          <w:szCs w:val="24"/>
          <w:shd w:val="clear" w:color="auto" w:fill="FFFFFF"/>
        </w:rPr>
        <w:t>(McKinsey &amp; Company, 2020).</w:t>
      </w:r>
    </w:p>
    <w:p w14:paraId="0837212C" w14:textId="70D3AE4F" w:rsidR="00C27754" w:rsidRPr="00C8099F" w:rsidRDefault="007A37B2" w:rsidP="00C8099F">
      <w:pPr>
        <w:pStyle w:val="Listparagraf"/>
        <w:numPr>
          <w:ilvl w:val="0"/>
          <w:numId w:val="9"/>
        </w:numPr>
        <w:spacing w:line="360" w:lineRule="auto"/>
        <w:jc w:val="both"/>
        <w:rPr>
          <w:rFonts w:ascii="Arial" w:hAnsi="Arial" w:cs="Arial"/>
          <w:sz w:val="24"/>
          <w:szCs w:val="24"/>
        </w:rPr>
      </w:pPr>
      <w:r w:rsidRPr="00C8099F">
        <w:rPr>
          <w:rFonts w:ascii="Arial" w:hAnsi="Arial" w:cs="Arial"/>
          <w:sz w:val="24"/>
          <w:szCs w:val="24"/>
        </w:rPr>
        <w:t>Invest in training and development programmes on an ongoing basis. Implementing upskilling and reskilling programmes, with a particular focus on digital competencies, can foster a sense of appreciation among staff members and better prepare them to navigate the dynamic landscape of their respective fields</w:t>
      </w:r>
      <w:r w:rsidR="002F36B8" w:rsidRPr="00C8099F">
        <w:rPr>
          <w:rFonts w:ascii="Arial" w:hAnsi="Arial" w:cs="Arial"/>
          <w:sz w:val="24"/>
          <w:szCs w:val="24"/>
        </w:rPr>
        <w:t xml:space="preserve"> (</w:t>
      </w:r>
      <w:proofErr w:type="spellStart"/>
      <w:r w:rsidR="002F36B8" w:rsidRPr="00C8099F">
        <w:rPr>
          <w:rFonts w:ascii="Arial" w:hAnsi="Arial" w:cs="Arial"/>
          <w:sz w:val="24"/>
          <w:szCs w:val="24"/>
        </w:rPr>
        <w:t>Pwc</w:t>
      </w:r>
      <w:proofErr w:type="spellEnd"/>
      <w:r w:rsidR="002F36B8" w:rsidRPr="00C8099F">
        <w:rPr>
          <w:rFonts w:ascii="Arial" w:hAnsi="Arial" w:cs="Arial"/>
          <w:sz w:val="24"/>
          <w:szCs w:val="24"/>
        </w:rPr>
        <w:t xml:space="preserve">, n.d.). </w:t>
      </w:r>
    </w:p>
    <w:p w14:paraId="03903A6E" w14:textId="008887D7" w:rsidR="007A37B2" w:rsidRPr="00C8099F" w:rsidRDefault="007A37B2" w:rsidP="00C8099F">
      <w:pPr>
        <w:pStyle w:val="Listparagraf"/>
        <w:numPr>
          <w:ilvl w:val="0"/>
          <w:numId w:val="9"/>
        </w:numPr>
        <w:spacing w:line="360" w:lineRule="auto"/>
        <w:jc w:val="both"/>
        <w:rPr>
          <w:rFonts w:ascii="Arial" w:hAnsi="Arial" w:cs="Arial"/>
          <w:sz w:val="24"/>
          <w:szCs w:val="24"/>
        </w:rPr>
      </w:pPr>
      <w:r w:rsidRPr="00C8099F">
        <w:rPr>
          <w:rFonts w:ascii="Arial" w:hAnsi="Arial" w:cs="Arial"/>
          <w:sz w:val="24"/>
          <w:szCs w:val="24"/>
        </w:rPr>
        <w:t>Prioritise comprehensive employee well-being initiatives, such as flexible work schedules and mental health support, in order to meet the evolving expectations of the workplace in the aftermath of the pandemic</w:t>
      </w:r>
      <w:r w:rsidR="002F36B8" w:rsidRPr="00C8099F">
        <w:rPr>
          <w:rFonts w:ascii="Arial" w:hAnsi="Arial" w:cs="Arial"/>
          <w:sz w:val="24"/>
          <w:szCs w:val="24"/>
        </w:rPr>
        <w:t xml:space="preserve"> (ONS, 2021).</w:t>
      </w:r>
    </w:p>
    <w:p w14:paraId="3469410A" w14:textId="200A6177" w:rsidR="007A37B2" w:rsidRPr="00C8099F" w:rsidRDefault="007A37B2" w:rsidP="00C8099F">
      <w:pPr>
        <w:pStyle w:val="Listparagraf"/>
        <w:numPr>
          <w:ilvl w:val="0"/>
          <w:numId w:val="9"/>
        </w:numPr>
        <w:spacing w:line="360" w:lineRule="auto"/>
        <w:jc w:val="both"/>
        <w:rPr>
          <w:rFonts w:ascii="Arial" w:hAnsi="Arial" w:cs="Arial"/>
          <w:sz w:val="24"/>
          <w:szCs w:val="24"/>
        </w:rPr>
      </w:pPr>
      <w:r w:rsidRPr="00C8099F">
        <w:rPr>
          <w:rFonts w:ascii="Arial" w:hAnsi="Arial" w:cs="Arial"/>
          <w:sz w:val="24"/>
          <w:szCs w:val="24"/>
        </w:rPr>
        <w:t>Improve employee engagement by streamlining processes with the assistance of cutting-edge HR technologies. Greater career advancement, performance management, and feedback capabilities of digital tools may increase employee satisfaction</w:t>
      </w:r>
      <w:r w:rsidR="002F36B8" w:rsidRPr="00C8099F">
        <w:rPr>
          <w:rFonts w:ascii="Arial" w:hAnsi="Arial" w:cs="Arial"/>
          <w:sz w:val="24"/>
          <w:szCs w:val="24"/>
        </w:rPr>
        <w:t xml:space="preserve"> (CIPD, 2021).</w:t>
      </w:r>
    </w:p>
    <w:p w14:paraId="65DF01DF" w14:textId="2D16606D" w:rsidR="007A37B2" w:rsidRPr="00C8099F" w:rsidRDefault="007A37B2" w:rsidP="00C8099F">
      <w:pPr>
        <w:pStyle w:val="Listparagraf"/>
        <w:numPr>
          <w:ilvl w:val="0"/>
          <w:numId w:val="9"/>
        </w:numPr>
        <w:spacing w:line="360" w:lineRule="auto"/>
        <w:jc w:val="both"/>
        <w:rPr>
          <w:rFonts w:ascii="Arial" w:hAnsi="Arial" w:cs="Arial"/>
          <w:sz w:val="24"/>
          <w:szCs w:val="24"/>
        </w:rPr>
      </w:pPr>
      <w:r w:rsidRPr="00C8099F">
        <w:rPr>
          <w:rFonts w:ascii="Arial" w:hAnsi="Arial" w:cs="Arial"/>
          <w:sz w:val="24"/>
          <w:szCs w:val="24"/>
        </w:rPr>
        <w:t>Consistently and openly engage in dialogue with personnel. Facilitating communication regarding organisational progress and offering platforms for team member input can foster a sense of inclusion and enhance employee retention</w:t>
      </w:r>
      <w:r w:rsidR="00544420" w:rsidRPr="00C8099F">
        <w:rPr>
          <w:rFonts w:ascii="Arial" w:hAnsi="Arial" w:cs="Arial"/>
          <w:sz w:val="24"/>
          <w:szCs w:val="24"/>
        </w:rPr>
        <w:t xml:space="preserve"> </w:t>
      </w:r>
      <w:r w:rsidR="00544420" w:rsidRPr="00C8099F">
        <w:rPr>
          <w:rFonts w:ascii="Arial" w:hAnsi="Arial" w:cs="Arial"/>
          <w:sz w:val="24"/>
          <w:szCs w:val="24"/>
          <w:shd w:val="clear" w:color="auto" w:fill="FFFFFF"/>
        </w:rPr>
        <w:t>(Society for Human Resource Management, 2019).</w:t>
      </w:r>
    </w:p>
    <w:p w14:paraId="55446D81" w14:textId="6A86B7AC" w:rsidR="00171EF0" w:rsidRPr="00C8099F" w:rsidRDefault="00174F69" w:rsidP="00C8099F">
      <w:pPr>
        <w:pStyle w:val="Listparagraf"/>
        <w:numPr>
          <w:ilvl w:val="0"/>
          <w:numId w:val="9"/>
        </w:numPr>
        <w:spacing w:line="360" w:lineRule="auto"/>
        <w:jc w:val="both"/>
        <w:rPr>
          <w:rFonts w:ascii="Arial" w:hAnsi="Arial" w:cs="Arial"/>
          <w:sz w:val="24"/>
          <w:szCs w:val="24"/>
        </w:rPr>
      </w:pPr>
      <w:r w:rsidRPr="00C8099F">
        <w:rPr>
          <w:rFonts w:ascii="Arial" w:hAnsi="Arial" w:cs="Arial"/>
          <w:sz w:val="24"/>
          <w:szCs w:val="24"/>
        </w:rPr>
        <w:t xml:space="preserve">Sustain active participation in projects regarding community and social responsibility. Employee engagement in these endeavours can enhance their </w:t>
      </w:r>
      <w:r w:rsidRPr="00C8099F">
        <w:rPr>
          <w:rFonts w:ascii="Arial" w:hAnsi="Arial" w:cs="Arial"/>
          <w:sz w:val="24"/>
          <w:szCs w:val="24"/>
        </w:rPr>
        <w:lastRenderedPageBreak/>
        <w:t>sense of purpose and affiliation with the organization's overarching objectives</w:t>
      </w:r>
      <w:r w:rsidR="00255E4E" w:rsidRPr="00C8099F">
        <w:rPr>
          <w:rFonts w:ascii="Arial" w:hAnsi="Arial" w:cs="Arial"/>
          <w:sz w:val="24"/>
          <w:szCs w:val="24"/>
        </w:rPr>
        <w:t xml:space="preserve"> (CIPD, 2021).</w:t>
      </w:r>
    </w:p>
    <w:p w14:paraId="41F0E786" w14:textId="77777777" w:rsidR="00174F69" w:rsidRPr="00C8099F" w:rsidRDefault="00174F69" w:rsidP="00C8099F">
      <w:pPr>
        <w:spacing w:line="360" w:lineRule="auto"/>
        <w:jc w:val="both"/>
        <w:rPr>
          <w:rFonts w:ascii="Arial" w:hAnsi="Arial" w:cs="Arial"/>
          <w:b/>
          <w:bCs/>
          <w:sz w:val="24"/>
          <w:szCs w:val="24"/>
        </w:rPr>
      </w:pPr>
    </w:p>
    <w:p w14:paraId="06D95653" w14:textId="7A807235" w:rsidR="00171EF0" w:rsidRPr="00C8099F" w:rsidRDefault="00171EF0" w:rsidP="00C8099F">
      <w:pPr>
        <w:pStyle w:val="Listparagraf"/>
        <w:numPr>
          <w:ilvl w:val="0"/>
          <w:numId w:val="3"/>
        </w:numPr>
        <w:spacing w:line="360" w:lineRule="auto"/>
        <w:jc w:val="both"/>
        <w:rPr>
          <w:rFonts w:ascii="Arial" w:hAnsi="Arial" w:cs="Arial"/>
          <w:b/>
          <w:bCs/>
          <w:sz w:val="24"/>
          <w:szCs w:val="24"/>
        </w:rPr>
      </w:pPr>
      <w:r w:rsidRPr="00C8099F">
        <w:rPr>
          <w:rFonts w:ascii="Arial" w:hAnsi="Arial" w:cs="Arial"/>
          <w:b/>
          <w:bCs/>
          <w:sz w:val="24"/>
          <w:szCs w:val="24"/>
        </w:rPr>
        <w:t>Conclusion</w:t>
      </w:r>
    </w:p>
    <w:p w14:paraId="1FF91871" w14:textId="0AB0178D" w:rsidR="00171EF0" w:rsidRPr="00C8099F" w:rsidRDefault="00C70065" w:rsidP="00C8099F">
      <w:pPr>
        <w:spacing w:line="360" w:lineRule="auto"/>
        <w:jc w:val="both"/>
        <w:rPr>
          <w:rFonts w:ascii="Arial" w:hAnsi="Arial" w:cs="Arial"/>
          <w:sz w:val="24"/>
          <w:szCs w:val="24"/>
        </w:rPr>
      </w:pPr>
      <w:r w:rsidRPr="00C8099F">
        <w:rPr>
          <w:rFonts w:ascii="Arial" w:hAnsi="Arial" w:cs="Arial"/>
          <w:sz w:val="24"/>
          <w:szCs w:val="24"/>
        </w:rPr>
        <w:t>As a result of its strategic response to external challenges, including Brexit and the COVID-19 pandemic, Hilton has, in summary, showcased workforce management prowess and foresight. Ensuring employee well-being, sustainable practises, and technological innovation constitutes a critical element in the organization's continuous efforts to preserve its competitive advantage. In light of the substantial labour market disruptions caused by Brexit, Hilton has demonstrated fortitude through the adaptation of its recruitment and retention strategies. In the same way that it affected operations and revenue, the COVID-19 pandemic provided Hilton with a chance to strengthen its dedication to the welfare and support of its employees. Particularly in the aftermath of the pandemic, the organization's continued investment in training and development, emphasis on employee wellness initiatives, and commitment to promoting diversity and inclusion are all praiseworthy. By capitalising on state-of-the-art human resources technologies to enhance employee engagement and sustain active involvement in community and social responsibility initiatives, Hilton reinforces its dominant standing within the hospitality sector. By proactively managing employee interests and operational requirements, Hilton establishes a standard for effectively addressing intricate external challenges in the ever-changing hospitality industry.</w:t>
      </w:r>
    </w:p>
    <w:p w14:paraId="3E91DCF6" w14:textId="77777777" w:rsidR="00CD1C4E" w:rsidRPr="00C8099F" w:rsidRDefault="00CD1C4E" w:rsidP="00C8099F">
      <w:pPr>
        <w:spacing w:line="360" w:lineRule="auto"/>
        <w:jc w:val="both"/>
        <w:rPr>
          <w:rFonts w:ascii="Arial" w:hAnsi="Arial" w:cs="Arial"/>
          <w:sz w:val="24"/>
          <w:szCs w:val="24"/>
        </w:rPr>
      </w:pPr>
    </w:p>
    <w:p w14:paraId="254DA6B8" w14:textId="77777777" w:rsidR="00234792" w:rsidRPr="00C8099F" w:rsidRDefault="00234792" w:rsidP="00C8099F">
      <w:pPr>
        <w:spacing w:line="360" w:lineRule="auto"/>
        <w:jc w:val="both"/>
        <w:rPr>
          <w:rFonts w:ascii="Arial" w:hAnsi="Arial" w:cs="Arial"/>
          <w:b/>
          <w:bCs/>
          <w:sz w:val="24"/>
          <w:szCs w:val="24"/>
        </w:rPr>
      </w:pPr>
    </w:p>
    <w:p w14:paraId="278F6526" w14:textId="77777777" w:rsidR="009E6A80" w:rsidRPr="00C8099F" w:rsidRDefault="009E6A80" w:rsidP="00C8099F">
      <w:pPr>
        <w:spacing w:line="360" w:lineRule="auto"/>
        <w:jc w:val="both"/>
        <w:rPr>
          <w:rFonts w:ascii="Arial" w:hAnsi="Arial" w:cs="Arial"/>
          <w:b/>
          <w:bCs/>
          <w:sz w:val="24"/>
          <w:szCs w:val="24"/>
        </w:rPr>
      </w:pPr>
    </w:p>
    <w:p w14:paraId="50459C14" w14:textId="77777777" w:rsidR="009E6A80" w:rsidRPr="00C8099F" w:rsidRDefault="009E6A80" w:rsidP="00C8099F">
      <w:pPr>
        <w:spacing w:line="360" w:lineRule="auto"/>
        <w:ind w:left="360"/>
        <w:jc w:val="both"/>
        <w:rPr>
          <w:rFonts w:ascii="Arial" w:hAnsi="Arial" w:cs="Arial"/>
          <w:sz w:val="24"/>
          <w:szCs w:val="24"/>
        </w:rPr>
      </w:pPr>
    </w:p>
    <w:p w14:paraId="5CA7262C" w14:textId="77777777" w:rsidR="009A37D5" w:rsidRPr="00C8099F" w:rsidRDefault="009A37D5" w:rsidP="00C8099F">
      <w:pPr>
        <w:spacing w:line="360" w:lineRule="auto"/>
        <w:ind w:left="360"/>
        <w:jc w:val="both"/>
        <w:rPr>
          <w:rFonts w:ascii="Arial" w:hAnsi="Arial" w:cs="Arial"/>
          <w:sz w:val="24"/>
          <w:szCs w:val="24"/>
        </w:rPr>
      </w:pPr>
    </w:p>
    <w:p w14:paraId="54CEAD81" w14:textId="77777777" w:rsidR="009A37D5" w:rsidRPr="00C8099F" w:rsidRDefault="009A37D5" w:rsidP="00C8099F">
      <w:pPr>
        <w:spacing w:line="360" w:lineRule="auto"/>
        <w:ind w:left="360"/>
        <w:jc w:val="both"/>
        <w:rPr>
          <w:rFonts w:ascii="Arial" w:hAnsi="Arial" w:cs="Arial"/>
          <w:sz w:val="24"/>
          <w:szCs w:val="24"/>
        </w:rPr>
      </w:pPr>
    </w:p>
    <w:p w14:paraId="7C8E6BD8" w14:textId="77777777" w:rsidR="009A37D5" w:rsidRPr="00C8099F" w:rsidRDefault="009A37D5" w:rsidP="00C8099F">
      <w:pPr>
        <w:spacing w:line="360" w:lineRule="auto"/>
        <w:ind w:left="360"/>
        <w:jc w:val="both"/>
        <w:rPr>
          <w:rFonts w:ascii="Arial" w:hAnsi="Arial" w:cs="Arial"/>
          <w:sz w:val="24"/>
          <w:szCs w:val="24"/>
        </w:rPr>
      </w:pPr>
    </w:p>
    <w:p w14:paraId="7989C222" w14:textId="77777777" w:rsidR="009A37D5" w:rsidRPr="00C8099F" w:rsidRDefault="009A37D5" w:rsidP="00C8099F">
      <w:pPr>
        <w:spacing w:line="360" w:lineRule="auto"/>
        <w:ind w:left="360"/>
        <w:jc w:val="both"/>
        <w:rPr>
          <w:rFonts w:ascii="Arial" w:hAnsi="Arial" w:cs="Arial"/>
          <w:sz w:val="24"/>
          <w:szCs w:val="24"/>
        </w:rPr>
      </w:pPr>
    </w:p>
    <w:p w14:paraId="7C1BCC32" w14:textId="77777777" w:rsidR="009A37D5" w:rsidRPr="00C8099F" w:rsidRDefault="009A37D5" w:rsidP="00C8099F">
      <w:pPr>
        <w:spacing w:line="360" w:lineRule="auto"/>
        <w:ind w:left="360"/>
        <w:jc w:val="both"/>
        <w:rPr>
          <w:rFonts w:ascii="Arial" w:hAnsi="Arial" w:cs="Arial"/>
          <w:sz w:val="24"/>
          <w:szCs w:val="24"/>
        </w:rPr>
      </w:pPr>
    </w:p>
    <w:p w14:paraId="28597257" w14:textId="77777777" w:rsidR="009A37D5" w:rsidRPr="00C8099F" w:rsidRDefault="009A37D5" w:rsidP="00C8099F">
      <w:pPr>
        <w:spacing w:line="360" w:lineRule="auto"/>
        <w:ind w:left="360"/>
        <w:jc w:val="both"/>
        <w:rPr>
          <w:rFonts w:ascii="Arial" w:hAnsi="Arial" w:cs="Arial"/>
          <w:sz w:val="24"/>
          <w:szCs w:val="24"/>
        </w:rPr>
      </w:pPr>
    </w:p>
    <w:p w14:paraId="346120A3" w14:textId="43557DA2" w:rsidR="009A37D5" w:rsidRPr="00C8099F" w:rsidRDefault="00C70065" w:rsidP="00C8099F">
      <w:pPr>
        <w:pStyle w:val="Listparagraf"/>
        <w:numPr>
          <w:ilvl w:val="0"/>
          <w:numId w:val="3"/>
        </w:numPr>
        <w:spacing w:line="360" w:lineRule="auto"/>
        <w:jc w:val="both"/>
        <w:rPr>
          <w:rFonts w:ascii="Arial" w:hAnsi="Arial" w:cs="Arial"/>
          <w:b/>
          <w:bCs/>
          <w:sz w:val="24"/>
          <w:szCs w:val="24"/>
        </w:rPr>
      </w:pPr>
      <w:r w:rsidRPr="00C8099F">
        <w:rPr>
          <w:rFonts w:ascii="Arial" w:hAnsi="Arial" w:cs="Arial"/>
          <w:b/>
          <w:bCs/>
          <w:sz w:val="24"/>
          <w:szCs w:val="24"/>
        </w:rPr>
        <w:t>References</w:t>
      </w:r>
    </w:p>
    <w:p w14:paraId="4428CB98" w14:textId="77777777" w:rsidR="000C304D" w:rsidRPr="00C8099F" w:rsidRDefault="000C304D" w:rsidP="00C8099F">
      <w:pPr>
        <w:pStyle w:val="NormalWeb"/>
        <w:spacing w:before="0" w:beforeAutospacing="0" w:after="0" w:afterAutospacing="0" w:line="360" w:lineRule="auto"/>
        <w:rPr>
          <w:rFonts w:ascii="Arial" w:hAnsi="Arial" w:cs="Arial"/>
        </w:rPr>
      </w:pPr>
      <w:r w:rsidRPr="00C8099F">
        <w:rPr>
          <w:rFonts w:ascii="Arial" w:hAnsi="Arial" w:cs="Arial"/>
        </w:rPr>
        <w:t xml:space="preserve">CIPD (2021). ADDRESSING SKILLS AND LABOUR SHORTAGES POST-BREXIT Report. Available at: </w:t>
      </w:r>
      <w:hyperlink r:id="rId8" w:history="1">
        <w:r w:rsidRPr="00C8099F">
          <w:rPr>
            <w:rStyle w:val="Hyperlink"/>
            <w:rFonts w:ascii="Arial" w:hAnsi="Arial" w:cs="Arial"/>
            <w:color w:val="auto"/>
          </w:rPr>
          <w:t>https://www.cipd.org/globalassets/media/knowledge/knowledge-hub/reports/addressing-skills-labour-shortages-post-brexit_tcm18-102313.pdf</w:t>
        </w:r>
      </w:hyperlink>
    </w:p>
    <w:p w14:paraId="56DE5BDB" w14:textId="77777777" w:rsidR="000C304D" w:rsidRPr="00C8099F" w:rsidRDefault="000C304D" w:rsidP="00C8099F">
      <w:pPr>
        <w:pStyle w:val="NormalWeb"/>
        <w:spacing w:before="0" w:beforeAutospacing="0" w:after="0" w:afterAutospacing="0" w:line="360" w:lineRule="auto"/>
        <w:rPr>
          <w:rFonts w:ascii="Arial" w:hAnsi="Arial" w:cs="Arial"/>
        </w:rPr>
      </w:pPr>
    </w:p>
    <w:p w14:paraId="5BA72CED" w14:textId="5C3D55E9" w:rsidR="00255E4E" w:rsidRPr="00C8099F" w:rsidRDefault="00255E4E" w:rsidP="00C8099F">
      <w:pPr>
        <w:pStyle w:val="NormalWeb"/>
        <w:spacing w:before="0" w:beforeAutospacing="0" w:after="0" w:afterAutospacing="0" w:line="360" w:lineRule="auto"/>
        <w:rPr>
          <w:rFonts w:ascii="Arial" w:hAnsi="Arial" w:cs="Arial"/>
        </w:rPr>
      </w:pPr>
      <w:r w:rsidRPr="00C8099F">
        <w:rPr>
          <w:rFonts w:ascii="Arial" w:hAnsi="Arial" w:cs="Arial"/>
        </w:rPr>
        <w:t>CIPD (2021). </w:t>
      </w:r>
      <w:r w:rsidRPr="00C8099F">
        <w:rPr>
          <w:rFonts w:ascii="Arial" w:hAnsi="Arial" w:cs="Arial"/>
          <w:i/>
          <w:iCs/>
        </w:rPr>
        <w:t>EMPLOYEE ENGAGEMENT</w:t>
      </w:r>
      <w:r w:rsidRPr="00C8099F">
        <w:rPr>
          <w:rFonts w:ascii="Arial" w:hAnsi="Arial" w:cs="Arial"/>
        </w:rPr>
        <w:t xml:space="preserve">. [online] Available at: </w:t>
      </w:r>
      <w:hyperlink r:id="rId9" w:history="1">
        <w:r w:rsidRPr="00C8099F">
          <w:rPr>
            <w:rStyle w:val="Hyperlink"/>
            <w:rFonts w:ascii="Arial" w:hAnsi="Arial" w:cs="Arial"/>
            <w:color w:val="auto"/>
          </w:rPr>
          <w:t>https://www.cipd.org/globalassets/media/knowledge/knowledge-hub/evidence-reviews/employee-engagement-discussion-report_tcm18-89598.pdf</w:t>
        </w:r>
      </w:hyperlink>
      <w:r w:rsidRPr="00C8099F">
        <w:rPr>
          <w:rFonts w:ascii="Arial" w:hAnsi="Arial" w:cs="Arial"/>
        </w:rPr>
        <w:t>.</w:t>
      </w:r>
    </w:p>
    <w:p w14:paraId="5BEC1699" w14:textId="77777777" w:rsidR="00E841C8" w:rsidRPr="00C8099F" w:rsidRDefault="00E841C8" w:rsidP="00C8099F">
      <w:pPr>
        <w:pStyle w:val="NormalWeb"/>
        <w:spacing w:before="0" w:beforeAutospacing="0" w:after="0" w:afterAutospacing="0" w:line="360" w:lineRule="auto"/>
        <w:rPr>
          <w:rFonts w:ascii="Arial" w:hAnsi="Arial" w:cs="Arial"/>
        </w:rPr>
      </w:pPr>
    </w:p>
    <w:p w14:paraId="2C7EDC8F" w14:textId="572A6861" w:rsidR="00E841C8" w:rsidRPr="00C8099F" w:rsidRDefault="00E841C8" w:rsidP="00C8099F">
      <w:pPr>
        <w:pStyle w:val="NormalWeb"/>
        <w:spacing w:before="0" w:beforeAutospacing="0" w:after="0" w:afterAutospacing="0" w:line="360" w:lineRule="auto"/>
        <w:rPr>
          <w:rFonts w:ascii="Arial" w:hAnsi="Arial" w:cs="Arial"/>
        </w:rPr>
      </w:pPr>
      <w:r w:rsidRPr="00C8099F">
        <w:rPr>
          <w:rFonts w:ascii="Arial" w:hAnsi="Arial" w:cs="Arial"/>
        </w:rPr>
        <w:t>Code of Conduct HILTON. (2017). Available at: https://ir.hilton.com/~/media/Files/H/Hilton-Worldwide-IR-V3/committee-composition/HW-Code-Of-Conduct-OCT2015-L26.pdf.</w:t>
      </w:r>
    </w:p>
    <w:p w14:paraId="679365BF" w14:textId="77777777" w:rsidR="00255E4E" w:rsidRPr="00C8099F" w:rsidRDefault="00255E4E" w:rsidP="00C8099F">
      <w:pPr>
        <w:pStyle w:val="NormalWeb"/>
        <w:spacing w:before="0" w:beforeAutospacing="0" w:after="0" w:afterAutospacing="0" w:line="360" w:lineRule="auto"/>
        <w:rPr>
          <w:rFonts w:ascii="Arial" w:hAnsi="Arial" w:cs="Arial"/>
        </w:rPr>
      </w:pPr>
    </w:p>
    <w:p w14:paraId="324F1E6D" w14:textId="6C1759D6" w:rsidR="009A37D5" w:rsidRPr="00C8099F" w:rsidRDefault="009A37D5" w:rsidP="00C8099F">
      <w:pPr>
        <w:pStyle w:val="NormalWeb"/>
        <w:spacing w:before="0" w:beforeAutospacing="0" w:after="0" w:afterAutospacing="0" w:line="360" w:lineRule="auto"/>
        <w:rPr>
          <w:rFonts w:ascii="Arial" w:hAnsi="Arial" w:cs="Arial"/>
        </w:rPr>
      </w:pPr>
      <w:r w:rsidRPr="00C8099F">
        <w:rPr>
          <w:rFonts w:ascii="Arial" w:hAnsi="Arial" w:cs="Arial"/>
        </w:rPr>
        <w:t>Ghani, B., Zada, M., Memon, K.R., Ullah, R., Khattak, A., Han, H., Ariza-Montes, A. and Araya-Castillo, L. (2022). Challenges and Strategies for Employee Retention in the Hospitality Industry: A Review. </w:t>
      </w:r>
      <w:r w:rsidRPr="00C8099F">
        <w:rPr>
          <w:rFonts w:ascii="Arial" w:hAnsi="Arial" w:cs="Arial"/>
          <w:i/>
          <w:iCs/>
        </w:rPr>
        <w:t>Sustainability</w:t>
      </w:r>
      <w:r w:rsidRPr="00C8099F">
        <w:rPr>
          <w:rFonts w:ascii="Arial" w:hAnsi="Arial" w:cs="Arial"/>
        </w:rPr>
        <w:t>, [online] 14(5), p.2885. doi:https://doi.org/10.3390/su14052885.</w:t>
      </w:r>
    </w:p>
    <w:p w14:paraId="7D493F42" w14:textId="77777777" w:rsidR="007F7BC2" w:rsidRPr="00C8099F" w:rsidRDefault="007F7BC2" w:rsidP="00C8099F">
      <w:pPr>
        <w:pStyle w:val="NormalWeb"/>
        <w:spacing w:before="0" w:beforeAutospacing="0" w:after="0" w:afterAutospacing="0" w:line="360" w:lineRule="auto"/>
        <w:rPr>
          <w:rFonts w:ascii="Arial" w:hAnsi="Arial" w:cs="Arial"/>
        </w:rPr>
      </w:pPr>
    </w:p>
    <w:p w14:paraId="4C0578AA" w14:textId="23FF5835" w:rsidR="007F7BC2" w:rsidRPr="00C8099F" w:rsidRDefault="007F7BC2" w:rsidP="00C8099F">
      <w:pPr>
        <w:pStyle w:val="NormalWeb"/>
        <w:spacing w:before="0" w:beforeAutospacing="0" w:after="0" w:afterAutospacing="0" w:line="360" w:lineRule="auto"/>
        <w:rPr>
          <w:rFonts w:ascii="Arial" w:hAnsi="Arial" w:cs="Arial"/>
        </w:rPr>
      </w:pPr>
      <w:r w:rsidRPr="00C8099F">
        <w:rPr>
          <w:rFonts w:ascii="Arial" w:hAnsi="Arial" w:cs="Arial"/>
        </w:rPr>
        <w:t>Hilton (2017). Welcome to more sustainable travel -where responsibility and hospitality meet. Available at: https://esg.hilton.com/wp-content/uploads/sites/3/2018/05/Hilton-Corporate-Responsibility-2017-1-1.pdf.</w:t>
      </w:r>
    </w:p>
    <w:p w14:paraId="46F8AA0D" w14:textId="77777777" w:rsidR="0021388C" w:rsidRPr="00C8099F" w:rsidRDefault="0021388C" w:rsidP="00C8099F">
      <w:pPr>
        <w:pStyle w:val="NormalWeb"/>
        <w:spacing w:before="0" w:beforeAutospacing="0" w:after="0" w:afterAutospacing="0" w:line="360" w:lineRule="auto"/>
        <w:rPr>
          <w:rFonts w:ascii="Arial" w:hAnsi="Arial" w:cs="Arial"/>
        </w:rPr>
      </w:pPr>
    </w:p>
    <w:p w14:paraId="56799CEA" w14:textId="3A9178D2" w:rsidR="0021388C" w:rsidRPr="00C8099F" w:rsidRDefault="0021388C" w:rsidP="00C8099F">
      <w:pPr>
        <w:pStyle w:val="NormalWeb"/>
        <w:spacing w:before="0" w:beforeAutospacing="0" w:after="0" w:afterAutospacing="0" w:line="360" w:lineRule="auto"/>
        <w:rPr>
          <w:rFonts w:ascii="Arial" w:hAnsi="Arial" w:cs="Arial"/>
        </w:rPr>
      </w:pPr>
      <w:r w:rsidRPr="00C8099F">
        <w:rPr>
          <w:rFonts w:ascii="Arial" w:hAnsi="Arial" w:cs="Arial"/>
        </w:rPr>
        <w:t>Hilton (2019). </w:t>
      </w:r>
      <w:r w:rsidRPr="00C8099F">
        <w:rPr>
          <w:rFonts w:ascii="Arial" w:hAnsi="Arial" w:cs="Arial"/>
          <w:i/>
          <w:iCs/>
        </w:rPr>
        <w:t>Hilton Performance Advantage</w:t>
      </w:r>
      <w:r w:rsidRPr="00C8099F">
        <w:rPr>
          <w:rFonts w:ascii="Arial" w:hAnsi="Arial" w:cs="Arial"/>
        </w:rPr>
        <w:t xml:space="preserve">. [online] Hilton.com. Available at: </w:t>
      </w:r>
      <w:hyperlink r:id="rId10" w:history="1">
        <w:r w:rsidR="001F4919" w:rsidRPr="00C8099F">
          <w:rPr>
            <w:rStyle w:val="Hyperlink"/>
            <w:rFonts w:ascii="Arial" w:hAnsi="Arial" w:cs="Arial"/>
            <w:color w:val="auto"/>
          </w:rPr>
          <w:t>https://www.hilton.com/en/corporate/development/hilton-performance-advantage/</w:t>
        </w:r>
      </w:hyperlink>
      <w:r w:rsidRPr="00C8099F">
        <w:rPr>
          <w:rFonts w:ascii="Arial" w:hAnsi="Arial" w:cs="Arial"/>
        </w:rPr>
        <w:t>.</w:t>
      </w:r>
    </w:p>
    <w:p w14:paraId="20E142B3" w14:textId="77777777" w:rsidR="00C324DC" w:rsidRPr="00C8099F" w:rsidRDefault="00C324DC" w:rsidP="00C8099F">
      <w:pPr>
        <w:pStyle w:val="NormalWeb"/>
        <w:spacing w:before="0" w:beforeAutospacing="0" w:after="0" w:afterAutospacing="0" w:line="360" w:lineRule="auto"/>
        <w:rPr>
          <w:rFonts w:ascii="Arial" w:hAnsi="Arial" w:cs="Arial"/>
        </w:rPr>
      </w:pPr>
    </w:p>
    <w:p w14:paraId="5AF008BB" w14:textId="7F61CF98" w:rsidR="007F6C04" w:rsidRPr="00C8099F" w:rsidRDefault="007F6C04" w:rsidP="00C8099F">
      <w:pPr>
        <w:pStyle w:val="NormalWeb"/>
        <w:spacing w:before="0" w:beforeAutospacing="0" w:after="0" w:afterAutospacing="0" w:line="360" w:lineRule="auto"/>
        <w:rPr>
          <w:rFonts w:ascii="Arial" w:hAnsi="Arial" w:cs="Arial"/>
        </w:rPr>
      </w:pPr>
      <w:r w:rsidRPr="00C8099F">
        <w:rPr>
          <w:rFonts w:ascii="Arial" w:hAnsi="Arial" w:cs="Arial"/>
        </w:rPr>
        <w:t>Hilton (2021). </w:t>
      </w:r>
      <w:r w:rsidRPr="00C8099F">
        <w:rPr>
          <w:rFonts w:ascii="Arial" w:hAnsi="Arial" w:cs="Arial"/>
          <w:i/>
          <w:iCs/>
        </w:rPr>
        <w:t>Hilton 2021 Annual Report</w:t>
      </w:r>
      <w:r w:rsidRPr="00C8099F">
        <w:rPr>
          <w:rFonts w:ascii="Arial" w:hAnsi="Arial" w:cs="Arial"/>
        </w:rPr>
        <w:t xml:space="preserve">. [online] www.corporatereport.com. Available at: </w:t>
      </w:r>
      <w:hyperlink r:id="rId11" w:history="1">
        <w:r w:rsidRPr="00C8099F">
          <w:rPr>
            <w:rStyle w:val="Hyperlink"/>
            <w:rFonts w:ascii="Arial" w:hAnsi="Arial" w:cs="Arial"/>
            <w:color w:val="auto"/>
          </w:rPr>
          <w:t>https://www.corporatereport.com/hilton/2021/ar/</w:t>
        </w:r>
      </w:hyperlink>
      <w:r w:rsidRPr="00C8099F">
        <w:rPr>
          <w:rFonts w:ascii="Arial" w:hAnsi="Arial" w:cs="Arial"/>
        </w:rPr>
        <w:t>.</w:t>
      </w:r>
    </w:p>
    <w:p w14:paraId="52AD9D16" w14:textId="77777777" w:rsidR="007F6C04" w:rsidRPr="00C8099F" w:rsidRDefault="007F6C04" w:rsidP="00C8099F">
      <w:pPr>
        <w:pStyle w:val="NormalWeb"/>
        <w:spacing w:before="0" w:beforeAutospacing="0" w:after="0" w:afterAutospacing="0" w:line="360" w:lineRule="auto"/>
        <w:rPr>
          <w:rFonts w:ascii="Arial" w:hAnsi="Arial" w:cs="Arial"/>
        </w:rPr>
      </w:pPr>
    </w:p>
    <w:p w14:paraId="3504AEDF" w14:textId="2E090F5A" w:rsidR="00C324DC" w:rsidRPr="00C8099F" w:rsidRDefault="00C324DC" w:rsidP="00C8099F">
      <w:pPr>
        <w:pStyle w:val="NormalWeb"/>
        <w:spacing w:before="0" w:beforeAutospacing="0" w:after="0" w:afterAutospacing="0" w:line="360" w:lineRule="auto"/>
        <w:rPr>
          <w:rFonts w:ascii="Arial" w:hAnsi="Arial" w:cs="Arial"/>
        </w:rPr>
      </w:pPr>
      <w:r w:rsidRPr="00C8099F">
        <w:rPr>
          <w:rFonts w:ascii="Arial" w:hAnsi="Arial" w:cs="Arial"/>
        </w:rPr>
        <w:t>Hilton (2022). </w:t>
      </w:r>
      <w:r w:rsidRPr="00C8099F">
        <w:rPr>
          <w:rFonts w:ascii="Arial" w:hAnsi="Arial" w:cs="Arial"/>
          <w:i/>
          <w:iCs/>
        </w:rPr>
        <w:t>Hilton 2022 Year in Review</w:t>
      </w:r>
      <w:r w:rsidRPr="00C8099F">
        <w:rPr>
          <w:rFonts w:ascii="Arial" w:hAnsi="Arial" w:cs="Arial"/>
        </w:rPr>
        <w:t>. [online] Stories From Hilton. Available at: https://stories.hilton.com/2022-annual-report.</w:t>
      </w:r>
    </w:p>
    <w:p w14:paraId="59B4F7E2" w14:textId="77777777" w:rsidR="001F4919" w:rsidRPr="00C8099F" w:rsidRDefault="001F4919" w:rsidP="00C8099F">
      <w:pPr>
        <w:pStyle w:val="NormalWeb"/>
        <w:spacing w:before="0" w:beforeAutospacing="0" w:after="0" w:afterAutospacing="0" w:line="360" w:lineRule="auto"/>
        <w:rPr>
          <w:rFonts w:ascii="Arial" w:hAnsi="Arial" w:cs="Arial"/>
        </w:rPr>
      </w:pPr>
    </w:p>
    <w:p w14:paraId="5149F85C" w14:textId="12545034" w:rsidR="001F4919" w:rsidRPr="00C8099F" w:rsidRDefault="001F4919" w:rsidP="00C8099F">
      <w:pPr>
        <w:pStyle w:val="NormalWeb"/>
        <w:spacing w:before="0" w:beforeAutospacing="0" w:after="0" w:afterAutospacing="0" w:line="360" w:lineRule="auto"/>
        <w:rPr>
          <w:rFonts w:ascii="Arial" w:hAnsi="Arial" w:cs="Arial"/>
        </w:rPr>
      </w:pPr>
      <w:r w:rsidRPr="00C8099F">
        <w:rPr>
          <w:rFonts w:ascii="Arial" w:hAnsi="Arial" w:cs="Arial"/>
        </w:rPr>
        <w:t>Hilton (2023). </w:t>
      </w:r>
      <w:r w:rsidRPr="00C8099F">
        <w:rPr>
          <w:rFonts w:ascii="Arial" w:hAnsi="Arial" w:cs="Arial"/>
          <w:i/>
          <w:iCs/>
        </w:rPr>
        <w:t>Hilton Brands | Global Hospitality Company</w:t>
      </w:r>
      <w:r w:rsidRPr="00C8099F">
        <w:rPr>
          <w:rFonts w:ascii="Arial" w:hAnsi="Arial" w:cs="Arial"/>
        </w:rPr>
        <w:t xml:space="preserve">. [online] Hilton.com. Available at: </w:t>
      </w:r>
      <w:hyperlink r:id="rId12" w:history="1">
        <w:r w:rsidR="008000FD" w:rsidRPr="00C8099F">
          <w:rPr>
            <w:rStyle w:val="Hyperlink"/>
            <w:rFonts w:ascii="Arial" w:hAnsi="Arial" w:cs="Arial"/>
            <w:color w:val="auto"/>
          </w:rPr>
          <w:t>https://www.hilton.com/en/corporate/</w:t>
        </w:r>
      </w:hyperlink>
      <w:r w:rsidRPr="00C8099F">
        <w:rPr>
          <w:rFonts w:ascii="Arial" w:hAnsi="Arial" w:cs="Arial"/>
        </w:rPr>
        <w:t>.</w:t>
      </w:r>
    </w:p>
    <w:p w14:paraId="0FA617FA" w14:textId="77777777" w:rsidR="00FB2985" w:rsidRPr="00C8099F" w:rsidRDefault="00FB2985" w:rsidP="00C8099F">
      <w:pPr>
        <w:pStyle w:val="NormalWeb"/>
        <w:spacing w:before="0" w:beforeAutospacing="0" w:after="0" w:afterAutospacing="0" w:line="360" w:lineRule="auto"/>
        <w:rPr>
          <w:rFonts w:ascii="Arial" w:hAnsi="Arial" w:cs="Arial"/>
        </w:rPr>
      </w:pPr>
    </w:p>
    <w:p w14:paraId="02CD9C4F" w14:textId="3B20D7D4" w:rsidR="00FB2985" w:rsidRPr="00C8099F" w:rsidRDefault="00FB2985" w:rsidP="00C8099F">
      <w:pPr>
        <w:pStyle w:val="NormalWeb"/>
        <w:spacing w:before="0" w:beforeAutospacing="0" w:after="0" w:afterAutospacing="0" w:line="360" w:lineRule="auto"/>
        <w:rPr>
          <w:rFonts w:ascii="Arial" w:hAnsi="Arial" w:cs="Arial"/>
        </w:rPr>
      </w:pPr>
      <w:r w:rsidRPr="00C8099F">
        <w:rPr>
          <w:rFonts w:ascii="Arial" w:hAnsi="Arial" w:cs="Arial"/>
        </w:rPr>
        <w:t>McKinsey (2018). </w:t>
      </w:r>
      <w:r w:rsidRPr="00C8099F">
        <w:rPr>
          <w:rFonts w:ascii="Arial" w:hAnsi="Arial" w:cs="Arial"/>
          <w:i/>
          <w:iCs/>
        </w:rPr>
        <w:t>Skill shift: Automation and the future of the workforce</w:t>
      </w:r>
      <w:r w:rsidRPr="00C8099F">
        <w:rPr>
          <w:rFonts w:ascii="Arial" w:hAnsi="Arial" w:cs="Arial"/>
        </w:rPr>
        <w:t>. [online] McKinsey &amp; Company. Available at: https://www.mckinsey.com/featured-insights/future-of-work/skill-shift-automation-and-the-future-of-the-workforce.</w:t>
      </w:r>
    </w:p>
    <w:p w14:paraId="0F9DB847" w14:textId="77777777" w:rsidR="008000FD" w:rsidRPr="00C8099F" w:rsidRDefault="008000FD" w:rsidP="00C8099F">
      <w:pPr>
        <w:pStyle w:val="NormalWeb"/>
        <w:spacing w:before="0" w:beforeAutospacing="0" w:after="0" w:afterAutospacing="0" w:line="360" w:lineRule="auto"/>
        <w:rPr>
          <w:rFonts w:ascii="Arial" w:hAnsi="Arial" w:cs="Arial"/>
        </w:rPr>
      </w:pPr>
    </w:p>
    <w:p w14:paraId="242A1FF1" w14:textId="487C5EA1" w:rsidR="008000FD" w:rsidRPr="00C8099F" w:rsidRDefault="008000FD" w:rsidP="00C8099F">
      <w:pPr>
        <w:pStyle w:val="NormalWeb"/>
        <w:spacing w:before="0" w:beforeAutospacing="0" w:after="0" w:afterAutospacing="0" w:line="360" w:lineRule="auto"/>
        <w:rPr>
          <w:rFonts w:ascii="Arial" w:hAnsi="Arial" w:cs="Arial"/>
        </w:rPr>
      </w:pPr>
      <w:r w:rsidRPr="00C8099F">
        <w:rPr>
          <w:rFonts w:ascii="Arial" w:hAnsi="Arial" w:cs="Arial"/>
        </w:rPr>
        <w:t xml:space="preserve">McKinsey (2020). </w:t>
      </w:r>
      <w:r w:rsidR="00087CB3" w:rsidRPr="00C8099F">
        <w:rPr>
          <w:rFonts w:ascii="Arial" w:hAnsi="Arial" w:cs="Arial"/>
        </w:rPr>
        <w:t xml:space="preserve">The travel turned upside down. [online] Available at: </w:t>
      </w:r>
      <w:hyperlink r:id="rId13" w:history="1">
        <w:r w:rsidR="00087CB3" w:rsidRPr="00C8099F">
          <w:rPr>
            <w:rStyle w:val="Hyperlink"/>
            <w:rFonts w:ascii="Arial" w:hAnsi="Arial" w:cs="Arial"/>
            <w:color w:val="auto"/>
          </w:rPr>
          <w:t>https://www.mckinsey.com/~/media/mckinsey/industries/travel%20logistics%20and%20infrastructure/our%20insights/the%20travel%20industry%20turned%20upside%20down%20insights%20analysis%20and%20actions%20for%20travel%20executives/the-travel-industry-turned-upside-down-insights-analysis-and-actions-for-travel-executives.pdf</w:t>
        </w:r>
      </w:hyperlink>
    </w:p>
    <w:p w14:paraId="5A50ECF1" w14:textId="77777777" w:rsidR="003C6857" w:rsidRPr="00C8099F" w:rsidRDefault="003C6857" w:rsidP="00C8099F">
      <w:pPr>
        <w:pStyle w:val="NormalWeb"/>
        <w:spacing w:before="0" w:beforeAutospacing="0" w:after="0" w:afterAutospacing="0" w:line="360" w:lineRule="auto"/>
        <w:rPr>
          <w:rFonts w:ascii="Arial" w:hAnsi="Arial" w:cs="Arial"/>
        </w:rPr>
      </w:pPr>
    </w:p>
    <w:p w14:paraId="6BAEE4D1" w14:textId="5939E2B6" w:rsidR="009D0969" w:rsidRPr="00C8099F" w:rsidRDefault="003C6857" w:rsidP="00C8099F">
      <w:pPr>
        <w:pStyle w:val="NormalWeb"/>
        <w:spacing w:before="0" w:beforeAutospacing="0" w:after="0" w:afterAutospacing="0" w:line="360" w:lineRule="auto"/>
        <w:rPr>
          <w:rFonts w:ascii="Arial" w:hAnsi="Arial" w:cs="Arial"/>
        </w:rPr>
      </w:pPr>
      <w:r w:rsidRPr="00C8099F">
        <w:rPr>
          <w:rFonts w:ascii="Arial" w:hAnsi="Arial" w:cs="Arial"/>
        </w:rPr>
        <w:t>McKinsey &amp; Company (2020). </w:t>
      </w:r>
      <w:r w:rsidRPr="00C8099F">
        <w:rPr>
          <w:rFonts w:ascii="Arial" w:hAnsi="Arial" w:cs="Arial"/>
          <w:i/>
          <w:iCs/>
        </w:rPr>
        <w:t>Diversity wins How inclusion matters</w:t>
      </w:r>
      <w:r w:rsidRPr="00C8099F">
        <w:rPr>
          <w:rFonts w:ascii="Arial" w:hAnsi="Arial" w:cs="Arial"/>
        </w:rPr>
        <w:t xml:space="preserve">. [online] Available at: </w:t>
      </w:r>
      <w:hyperlink r:id="rId14" w:history="1">
        <w:r w:rsidR="000C304D" w:rsidRPr="00C8099F">
          <w:rPr>
            <w:rStyle w:val="Hyperlink"/>
            <w:rFonts w:ascii="Arial" w:hAnsi="Arial" w:cs="Arial"/>
            <w:color w:val="auto"/>
          </w:rPr>
          <w:t>https://www.mckinsey.com/~/media/McKinsey/Featured%20Insights/Diversity%20and%20Inclusion/Diversity%20wins%20How%20inclusion%20matters/Diversity-wins-How-inclusion-matters-vF.pdf</w:t>
        </w:r>
      </w:hyperlink>
      <w:r w:rsidRPr="00C8099F">
        <w:rPr>
          <w:rFonts w:ascii="Arial" w:hAnsi="Arial" w:cs="Arial"/>
        </w:rPr>
        <w:t>.</w:t>
      </w:r>
    </w:p>
    <w:p w14:paraId="539B26E6" w14:textId="77777777" w:rsidR="000C304D" w:rsidRPr="00C8099F" w:rsidRDefault="000C304D" w:rsidP="00C8099F">
      <w:pPr>
        <w:pStyle w:val="NormalWeb"/>
        <w:spacing w:before="0" w:beforeAutospacing="0" w:after="0" w:afterAutospacing="0" w:line="360" w:lineRule="auto"/>
        <w:rPr>
          <w:rFonts w:ascii="Arial" w:hAnsi="Arial" w:cs="Arial"/>
        </w:rPr>
      </w:pPr>
    </w:p>
    <w:p w14:paraId="507625C7" w14:textId="7F1B4519" w:rsidR="009D0969" w:rsidRPr="00C8099F" w:rsidRDefault="009D0969" w:rsidP="00C8099F">
      <w:pPr>
        <w:pStyle w:val="NormalWeb"/>
        <w:spacing w:before="0" w:beforeAutospacing="0" w:after="0" w:afterAutospacing="0" w:line="360" w:lineRule="auto"/>
        <w:rPr>
          <w:rFonts w:ascii="Arial" w:hAnsi="Arial" w:cs="Arial"/>
        </w:rPr>
      </w:pPr>
      <w:r w:rsidRPr="00C8099F">
        <w:rPr>
          <w:rFonts w:ascii="Arial" w:hAnsi="Arial" w:cs="Arial"/>
        </w:rPr>
        <w:t xml:space="preserve">ONS (2021). </w:t>
      </w:r>
      <w:r w:rsidRPr="00C8099F">
        <w:rPr>
          <w:rFonts w:ascii="Arial" w:hAnsi="Arial" w:cs="Arial"/>
          <w:i/>
          <w:iCs/>
        </w:rPr>
        <w:t>Coronavirus and its impact on UK hospitality - Office for National Statistics</w:t>
      </w:r>
      <w:r w:rsidRPr="00C8099F">
        <w:rPr>
          <w:rFonts w:ascii="Arial" w:hAnsi="Arial" w:cs="Arial"/>
        </w:rPr>
        <w:t xml:space="preserve">. [online] Available at: </w:t>
      </w:r>
      <w:hyperlink r:id="rId15" w:history="1">
        <w:r w:rsidRPr="00C8099F">
          <w:rPr>
            <w:rStyle w:val="Hyperlink"/>
            <w:rFonts w:ascii="Arial" w:hAnsi="Arial" w:cs="Arial"/>
            <w:color w:val="auto"/>
          </w:rPr>
          <w:t>https://www.ons.gov.uk/businessindustryandtrade/business/activitysizeandlocation/articles/coronavirusanditsimpactonukhospitality/january2020tojune2021/previous/v1</w:t>
        </w:r>
      </w:hyperlink>
    </w:p>
    <w:p w14:paraId="513B7BE8" w14:textId="77777777" w:rsidR="002F36B8" w:rsidRPr="00C8099F" w:rsidRDefault="002F36B8" w:rsidP="00C8099F">
      <w:pPr>
        <w:pStyle w:val="NormalWeb"/>
        <w:spacing w:before="0" w:beforeAutospacing="0" w:after="0" w:afterAutospacing="0" w:line="360" w:lineRule="auto"/>
        <w:rPr>
          <w:rFonts w:ascii="Arial" w:hAnsi="Arial" w:cs="Arial"/>
        </w:rPr>
      </w:pPr>
    </w:p>
    <w:p w14:paraId="1F370434" w14:textId="68CED81E" w:rsidR="002F36B8" w:rsidRPr="00C8099F" w:rsidRDefault="002F36B8" w:rsidP="00C8099F">
      <w:pPr>
        <w:pStyle w:val="NormalWeb"/>
        <w:spacing w:before="0" w:beforeAutospacing="0" w:after="0" w:afterAutospacing="0" w:line="360" w:lineRule="auto"/>
        <w:rPr>
          <w:rFonts w:ascii="Arial" w:hAnsi="Arial" w:cs="Arial"/>
        </w:rPr>
      </w:pPr>
      <w:r w:rsidRPr="00C8099F">
        <w:rPr>
          <w:rFonts w:ascii="Arial" w:hAnsi="Arial" w:cs="Arial"/>
        </w:rPr>
        <w:t>PricewaterhouseCoopers (n.d.). </w:t>
      </w:r>
      <w:r w:rsidRPr="00C8099F">
        <w:rPr>
          <w:rFonts w:ascii="Arial" w:hAnsi="Arial" w:cs="Arial"/>
          <w:i/>
          <w:iCs/>
        </w:rPr>
        <w:t>New world. New skills.</w:t>
      </w:r>
      <w:r w:rsidRPr="00C8099F">
        <w:rPr>
          <w:rFonts w:ascii="Arial" w:hAnsi="Arial" w:cs="Arial"/>
        </w:rPr>
        <w:t xml:space="preserve"> [online] PwC. Available at: </w:t>
      </w:r>
      <w:hyperlink r:id="rId16" w:history="1">
        <w:r w:rsidR="00150A27" w:rsidRPr="00C8099F">
          <w:rPr>
            <w:rStyle w:val="Hyperlink"/>
            <w:rFonts w:ascii="Arial" w:hAnsi="Arial" w:cs="Arial"/>
            <w:color w:val="auto"/>
          </w:rPr>
          <w:t>https://www.pwc.com/gx/en/issues/upskilling.html</w:t>
        </w:r>
      </w:hyperlink>
      <w:r w:rsidRPr="00C8099F">
        <w:rPr>
          <w:rFonts w:ascii="Arial" w:hAnsi="Arial" w:cs="Arial"/>
        </w:rPr>
        <w:t>.</w:t>
      </w:r>
    </w:p>
    <w:p w14:paraId="055E64E3" w14:textId="77777777" w:rsidR="00150A27" w:rsidRPr="00C8099F" w:rsidRDefault="00150A27" w:rsidP="00C8099F">
      <w:pPr>
        <w:pStyle w:val="NormalWeb"/>
        <w:spacing w:before="0" w:beforeAutospacing="0" w:after="0" w:afterAutospacing="0" w:line="360" w:lineRule="auto"/>
        <w:rPr>
          <w:rFonts w:ascii="Arial" w:hAnsi="Arial" w:cs="Arial"/>
        </w:rPr>
      </w:pPr>
    </w:p>
    <w:p w14:paraId="7794311F" w14:textId="32513358" w:rsidR="00150A27" w:rsidRPr="00C8099F" w:rsidRDefault="00150A27" w:rsidP="00C8099F">
      <w:pPr>
        <w:pStyle w:val="NormalWeb"/>
        <w:spacing w:before="0" w:beforeAutospacing="0" w:after="0" w:afterAutospacing="0" w:line="360" w:lineRule="auto"/>
        <w:rPr>
          <w:rFonts w:ascii="Arial" w:hAnsi="Arial" w:cs="Arial"/>
        </w:rPr>
      </w:pPr>
      <w:r w:rsidRPr="00C8099F">
        <w:rPr>
          <w:rFonts w:ascii="Arial" w:hAnsi="Arial" w:cs="Arial"/>
        </w:rPr>
        <w:t>Society for Human Resource Management (2019). </w:t>
      </w:r>
      <w:r w:rsidRPr="00C8099F">
        <w:rPr>
          <w:rFonts w:ascii="Arial" w:hAnsi="Arial" w:cs="Arial"/>
          <w:i/>
          <w:iCs/>
        </w:rPr>
        <w:t>Developing and Sustaining High-Performance Work Teams</w:t>
      </w:r>
      <w:r w:rsidRPr="00C8099F">
        <w:rPr>
          <w:rFonts w:ascii="Arial" w:hAnsi="Arial" w:cs="Arial"/>
        </w:rPr>
        <w:t xml:space="preserve">. [online] SHRM. Available at: </w:t>
      </w:r>
      <w:hyperlink r:id="rId17" w:history="1">
        <w:r w:rsidR="00DC506D" w:rsidRPr="00C8099F">
          <w:rPr>
            <w:rStyle w:val="Hyperlink"/>
            <w:rFonts w:ascii="Arial" w:hAnsi="Arial" w:cs="Arial"/>
            <w:color w:val="auto"/>
          </w:rPr>
          <w:t>https://www.shrm.org/resourcesandtools/tools-and-samples/toolkits/pages/developingandsustaininghigh-performanceworkteams.aspx</w:t>
        </w:r>
      </w:hyperlink>
      <w:r w:rsidRPr="00C8099F">
        <w:rPr>
          <w:rFonts w:ascii="Arial" w:hAnsi="Arial" w:cs="Arial"/>
        </w:rPr>
        <w:t>.</w:t>
      </w:r>
    </w:p>
    <w:p w14:paraId="122B5E4B" w14:textId="77777777" w:rsidR="00DC506D" w:rsidRPr="00C8099F" w:rsidRDefault="00DC506D" w:rsidP="00C8099F">
      <w:pPr>
        <w:pStyle w:val="NormalWeb"/>
        <w:spacing w:before="0" w:beforeAutospacing="0" w:after="0" w:afterAutospacing="0" w:line="360" w:lineRule="auto"/>
        <w:rPr>
          <w:rFonts w:ascii="Arial" w:hAnsi="Arial" w:cs="Arial"/>
        </w:rPr>
      </w:pPr>
    </w:p>
    <w:p w14:paraId="1CB666F8" w14:textId="77777777" w:rsidR="00B0379F" w:rsidRPr="00C8099F" w:rsidRDefault="00B0379F" w:rsidP="00C8099F">
      <w:pPr>
        <w:pStyle w:val="NormalWeb"/>
        <w:spacing w:before="0" w:beforeAutospacing="0" w:after="0" w:afterAutospacing="0" w:line="360" w:lineRule="auto"/>
        <w:rPr>
          <w:rFonts w:ascii="Arial" w:hAnsi="Arial" w:cs="Arial"/>
        </w:rPr>
      </w:pPr>
      <w:r w:rsidRPr="00C8099F">
        <w:rPr>
          <w:rFonts w:ascii="Arial" w:hAnsi="Arial" w:cs="Arial"/>
        </w:rPr>
        <w:lastRenderedPageBreak/>
        <w:t>Stories From Hilton. (2020). </w:t>
      </w:r>
      <w:r w:rsidRPr="00C8099F">
        <w:rPr>
          <w:rFonts w:ascii="Arial" w:hAnsi="Arial" w:cs="Arial"/>
          <w:i/>
          <w:iCs/>
        </w:rPr>
        <w:t>Hilton Corporate Response to COVID</w:t>
      </w:r>
      <w:r w:rsidRPr="00C8099F">
        <w:rPr>
          <w:rFonts w:ascii="Arial" w:hAnsi="Arial" w:cs="Arial"/>
          <w:i/>
          <w:iCs/>
        </w:rPr>
        <w:noBreakHyphen/>
        <w:t>19</w:t>
      </w:r>
      <w:r w:rsidRPr="00C8099F">
        <w:rPr>
          <w:rFonts w:ascii="Arial" w:hAnsi="Arial" w:cs="Arial"/>
        </w:rPr>
        <w:t>. [online] Available at: https://stories.hilton.com/releases/hilton-corporate-response-to-covid19.</w:t>
      </w:r>
    </w:p>
    <w:p w14:paraId="1C98F324" w14:textId="77777777" w:rsidR="00B0379F" w:rsidRDefault="00B0379F" w:rsidP="00B0379F">
      <w:pPr>
        <w:pStyle w:val="NormalWeb"/>
        <w:rPr>
          <w:rFonts w:ascii="Calibri" w:hAnsi="Calibri" w:cs="Calibri"/>
          <w:color w:val="000000"/>
          <w:sz w:val="27"/>
          <w:szCs w:val="27"/>
        </w:rPr>
      </w:pPr>
      <w:r>
        <w:rPr>
          <w:rFonts w:ascii="Calibri" w:hAnsi="Calibri" w:cs="Calibri"/>
          <w:color w:val="000000"/>
          <w:sz w:val="27"/>
          <w:szCs w:val="27"/>
        </w:rPr>
        <w:t>‌</w:t>
      </w:r>
    </w:p>
    <w:p w14:paraId="77085423" w14:textId="77777777" w:rsidR="00DC506D" w:rsidRDefault="00DC506D" w:rsidP="00150A27">
      <w:pPr>
        <w:pStyle w:val="NormalWeb"/>
        <w:spacing w:before="0" w:beforeAutospacing="0" w:after="0" w:afterAutospacing="0" w:line="360" w:lineRule="atLeast"/>
        <w:rPr>
          <w:rFonts w:ascii="Calibri" w:hAnsi="Calibri" w:cs="Calibri"/>
          <w:color w:val="000000"/>
          <w:sz w:val="27"/>
          <w:szCs w:val="27"/>
        </w:rPr>
      </w:pPr>
    </w:p>
    <w:p w14:paraId="0B2D7444" w14:textId="77777777" w:rsidR="00150A27" w:rsidRDefault="00150A27" w:rsidP="00150A27">
      <w:pPr>
        <w:pStyle w:val="NormalWeb"/>
        <w:rPr>
          <w:rFonts w:ascii="Calibri" w:hAnsi="Calibri" w:cs="Calibri"/>
          <w:color w:val="000000"/>
          <w:sz w:val="27"/>
          <w:szCs w:val="27"/>
        </w:rPr>
      </w:pPr>
      <w:r>
        <w:rPr>
          <w:rFonts w:ascii="Calibri" w:hAnsi="Calibri" w:cs="Calibri"/>
          <w:color w:val="000000"/>
          <w:sz w:val="27"/>
          <w:szCs w:val="27"/>
        </w:rPr>
        <w:t>‌</w:t>
      </w:r>
    </w:p>
    <w:p w14:paraId="375C9F46" w14:textId="77777777" w:rsidR="00150A27" w:rsidRDefault="00150A27" w:rsidP="002F36B8">
      <w:pPr>
        <w:pStyle w:val="NormalWeb"/>
        <w:spacing w:before="0" w:beforeAutospacing="0" w:after="0" w:afterAutospacing="0" w:line="360" w:lineRule="atLeast"/>
        <w:rPr>
          <w:rFonts w:ascii="Calibri" w:hAnsi="Calibri" w:cs="Calibri"/>
          <w:color w:val="000000"/>
          <w:sz w:val="27"/>
          <w:szCs w:val="27"/>
        </w:rPr>
      </w:pPr>
    </w:p>
    <w:p w14:paraId="1CA90C72" w14:textId="77777777" w:rsidR="002F36B8" w:rsidRDefault="002F36B8" w:rsidP="002F36B8">
      <w:pPr>
        <w:pStyle w:val="NormalWeb"/>
        <w:rPr>
          <w:rFonts w:ascii="Calibri" w:hAnsi="Calibri" w:cs="Calibri"/>
          <w:color w:val="000000"/>
          <w:sz w:val="27"/>
          <w:szCs w:val="27"/>
        </w:rPr>
      </w:pPr>
      <w:r>
        <w:rPr>
          <w:rFonts w:ascii="Calibri" w:hAnsi="Calibri" w:cs="Calibri"/>
          <w:color w:val="000000"/>
          <w:sz w:val="27"/>
          <w:szCs w:val="27"/>
        </w:rPr>
        <w:t>‌</w:t>
      </w:r>
    </w:p>
    <w:p w14:paraId="020F9E8D" w14:textId="77777777" w:rsidR="002F36B8" w:rsidRDefault="002F36B8" w:rsidP="001F4919">
      <w:pPr>
        <w:pStyle w:val="NormalWeb"/>
        <w:spacing w:before="0" w:beforeAutospacing="0" w:after="0" w:afterAutospacing="0" w:line="360" w:lineRule="atLeast"/>
        <w:rPr>
          <w:rFonts w:ascii="Calibri" w:hAnsi="Calibri" w:cs="Calibri"/>
          <w:color w:val="000000"/>
          <w:sz w:val="27"/>
          <w:szCs w:val="27"/>
        </w:rPr>
      </w:pPr>
    </w:p>
    <w:p w14:paraId="5D5EAE7A" w14:textId="77777777" w:rsidR="00087CB3" w:rsidRDefault="00087CB3" w:rsidP="001F4919">
      <w:pPr>
        <w:pStyle w:val="NormalWeb"/>
        <w:spacing w:before="0" w:beforeAutospacing="0" w:after="0" w:afterAutospacing="0" w:line="360" w:lineRule="atLeast"/>
        <w:rPr>
          <w:rFonts w:ascii="Calibri" w:hAnsi="Calibri" w:cs="Calibri"/>
          <w:color w:val="000000"/>
          <w:sz w:val="27"/>
          <w:szCs w:val="27"/>
        </w:rPr>
      </w:pPr>
    </w:p>
    <w:p w14:paraId="1DC9BAAA" w14:textId="77777777" w:rsidR="001F4919" w:rsidRDefault="001F4919" w:rsidP="001F4919">
      <w:pPr>
        <w:pStyle w:val="NormalWeb"/>
        <w:rPr>
          <w:rFonts w:ascii="Calibri" w:hAnsi="Calibri" w:cs="Calibri"/>
          <w:color w:val="000000"/>
          <w:sz w:val="27"/>
          <w:szCs w:val="27"/>
        </w:rPr>
      </w:pPr>
      <w:r>
        <w:rPr>
          <w:rFonts w:ascii="Calibri" w:hAnsi="Calibri" w:cs="Calibri"/>
          <w:color w:val="000000"/>
          <w:sz w:val="27"/>
          <w:szCs w:val="27"/>
        </w:rPr>
        <w:t>‌</w:t>
      </w:r>
    </w:p>
    <w:p w14:paraId="3D996698" w14:textId="0CED38EA" w:rsidR="001F4919" w:rsidRDefault="001F4919" w:rsidP="0021388C">
      <w:pPr>
        <w:pStyle w:val="NormalWeb"/>
        <w:spacing w:before="0" w:beforeAutospacing="0" w:after="0" w:afterAutospacing="0" w:line="360" w:lineRule="atLeast"/>
        <w:rPr>
          <w:rFonts w:ascii="Calibri" w:hAnsi="Calibri" w:cs="Calibri"/>
          <w:color w:val="000000"/>
          <w:sz w:val="27"/>
          <w:szCs w:val="27"/>
        </w:rPr>
      </w:pPr>
    </w:p>
    <w:p w14:paraId="128590B5" w14:textId="77777777" w:rsidR="0021388C" w:rsidRDefault="0021388C" w:rsidP="0021388C">
      <w:pPr>
        <w:pStyle w:val="NormalWeb"/>
        <w:rPr>
          <w:rFonts w:ascii="Calibri" w:hAnsi="Calibri" w:cs="Calibri"/>
          <w:color w:val="000000"/>
          <w:sz w:val="27"/>
          <w:szCs w:val="27"/>
        </w:rPr>
      </w:pPr>
      <w:r>
        <w:rPr>
          <w:rFonts w:ascii="Calibri" w:hAnsi="Calibri" w:cs="Calibri"/>
          <w:color w:val="000000"/>
          <w:sz w:val="27"/>
          <w:szCs w:val="27"/>
        </w:rPr>
        <w:t>‌</w:t>
      </w:r>
    </w:p>
    <w:p w14:paraId="48FC9FCB" w14:textId="77777777" w:rsidR="0021388C" w:rsidRDefault="0021388C" w:rsidP="009A37D5">
      <w:pPr>
        <w:pStyle w:val="NormalWeb"/>
        <w:spacing w:before="0" w:beforeAutospacing="0" w:after="0" w:afterAutospacing="0" w:line="360" w:lineRule="atLeast"/>
        <w:rPr>
          <w:rFonts w:ascii="Calibri" w:hAnsi="Calibri" w:cs="Calibri"/>
          <w:color w:val="000000"/>
          <w:sz w:val="27"/>
          <w:szCs w:val="27"/>
        </w:rPr>
      </w:pPr>
    </w:p>
    <w:p w14:paraId="204F1118" w14:textId="77777777" w:rsidR="009A37D5" w:rsidRDefault="009A37D5" w:rsidP="009A37D5">
      <w:pPr>
        <w:pStyle w:val="NormalWeb"/>
        <w:rPr>
          <w:rFonts w:ascii="Calibri" w:hAnsi="Calibri" w:cs="Calibri"/>
          <w:color w:val="000000"/>
          <w:sz w:val="27"/>
          <w:szCs w:val="27"/>
        </w:rPr>
      </w:pPr>
      <w:r>
        <w:rPr>
          <w:rFonts w:ascii="Calibri" w:hAnsi="Calibri" w:cs="Calibri"/>
          <w:color w:val="000000"/>
          <w:sz w:val="27"/>
          <w:szCs w:val="27"/>
        </w:rPr>
        <w:t>‌</w:t>
      </w:r>
    </w:p>
    <w:p w14:paraId="3356A928" w14:textId="77777777" w:rsidR="009A37D5" w:rsidRPr="009E6A80" w:rsidRDefault="009A37D5" w:rsidP="009E6A80">
      <w:pPr>
        <w:spacing w:line="360" w:lineRule="auto"/>
        <w:ind w:left="360"/>
        <w:jc w:val="both"/>
        <w:rPr>
          <w:rFonts w:ascii="Arial" w:hAnsi="Arial" w:cs="Arial"/>
          <w:color w:val="000000" w:themeColor="text1"/>
          <w:sz w:val="24"/>
          <w:szCs w:val="24"/>
        </w:rPr>
      </w:pPr>
    </w:p>
    <w:sectPr w:rsidR="009A37D5" w:rsidRPr="009E6A80">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D7B03F" w14:textId="77777777" w:rsidR="009A7A7E" w:rsidRDefault="009A7A7E" w:rsidP="00501CC3">
      <w:pPr>
        <w:spacing w:after="0" w:line="240" w:lineRule="auto"/>
      </w:pPr>
      <w:r>
        <w:separator/>
      </w:r>
    </w:p>
  </w:endnote>
  <w:endnote w:type="continuationSeparator" w:id="0">
    <w:p w14:paraId="03DACD89" w14:textId="77777777" w:rsidR="009A7A7E" w:rsidRDefault="009A7A7E" w:rsidP="00501C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4751119"/>
      <w:docPartObj>
        <w:docPartGallery w:val="Page Numbers (Bottom of Page)"/>
        <w:docPartUnique/>
      </w:docPartObj>
    </w:sdtPr>
    <w:sdtEndPr>
      <w:rPr>
        <w:noProof/>
      </w:rPr>
    </w:sdtEndPr>
    <w:sdtContent>
      <w:p w14:paraId="2A4676AE" w14:textId="7CFD23FB" w:rsidR="00501CC3" w:rsidRDefault="00501CC3">
        <w:pPr>
          <w:pStyle w:val="Subsol"/>
          <w:jc w:val="right"/>
        </w:pPr>
        <w:r>
          <w:fldChar w:fldCharType="begin"/>
        </w:r>
        <w:r>
          <w:instrText xml:space="preserve"> PAGE   \* MERGEFORMAT </w:instrText>
        </w:r>
        <w:r>
          <w:fldChar w:fldCharType="separate"/>
        </w:r>
        <w:r>
          <w:rPr>
            <w:noProof/>
          </w:rPr>
          <w:t>2</w:t>
        </w:r>
        <w:r>
          <w:rPr>
            <w:noProof/>
          </w:rPr>
          <w:fldChar w:fldCharType="end"/>
        </w:r>
      </w:p>
    </w:sdtContent>
  </w:sdt>
  <w:p w14:paraId="6F25AC47" w14:textId="77777777" w:rsidR="00501CC3" w:rsidRDefault="00501CC3">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351B57" w14:textId="77777777" w:rsidR="009A7A7E" w:rsidRDefault="009A7A7E" w:rsidP="00501CC3">
      <w:pPr>
        <w:spacing w:after="0" w:line="240" w:lineRule="auto"/>
      </w:pPr>
      <w:r>
        <w:separator/>
      </w:r>
    </w:p>
  </w:footnote>
  <w:footnote w:type="continuationSeparator" w:id="0">
    <w:p w14:paraId="56DA4076" w14:textId="77777777" w:rsidR="009A7A7E" w:rsidRDefault="009A7A7E" w:rsidP="00501C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457BC"/>
    <w:multiLevelType w:val="multilevel"/>
    <w:tmpl w:val="644E904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210206C2"/>
    <w:multiLevelType w:val="hybridMultilevel"/>
    <w:tmpl w:val="379E3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B03FEB"/>
    <w:multiLevelType w:val="hybridMultilevel"/>
    <w:tmpl w:val="327C17DC"/>
    <w:lvl w:ilvl="0" w:tplc="D03050E4">
      <w:start w:val="1"/>
      <w:numFmt w:val="decimal"/>
      <w:lvlText w:val="%1."/>
      <w:lvlJc w:val="left"/>
      <w:pPr>
        <w:ind w:left="927" w:hanging="360"/>
      </w:pPr>
      <w:rPr>
        <w:rFonts w:ascii="Arial" w:hAnsi="Arial" w:cs="Arial" w:hint="default"/>
        <w:b/>
        <w:bCs w:val="0"/>
        <w:sz w:val="24"/>
        <w:szCs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5B31FE0"/>
    <w:multiLevelType w:val="hybridMultilevel"/>
    <w:tmpl w:val="2ADEE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C76B9F"/>
    <w:multiLevelType w:val="multilevel"/>
    <w:tmpl w:val="8CE00044"/>
    <w:lvl w:ilvl="0">
      <w:start w:val="3"/>
      <w:numFmt w:val="decimal"/>
      <w:lvlText w:val="%1."/>
      <w:lvlJc w:val="left"/>
      <w:pPr>
        <w:ind w:left="683" w:hanging="400"/>
      </w:pPr>
      <w:rPr>
        <w:rFonts w:ascii="Arial" w:hAnsi="Arial" w:cs="Arial" w:hint="default"/>
        <w:sz w:val="24"/>
        <w:szCs w:val="24"/>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 w15:restartNumberingAfterBreak="0">
    <w:nsid w:val="4A9B6A70"/>
    <w:multiLevelType w:val="multilevel"/>
    <w:tmpl w:val="A4EC853A"/>
    <w:lvl w:ilvl="0">
      <w:start w:val="2"/>
      <w:numFmt w:val="decimal"/>
      <w:lvlText w:val="%1."/>
      <w:lvlJc w:val="left"/>
      <w:pPr>
        <w:ind w:left="683" w:hanging="400"/>
      </w:pPr>
      <w:rPr>
        <w:rFonts w:ascii="Arial" w:hAnsi="Arial" w:cs="Arial" w:hint="default"/>
        <w:sz w:val="24"/>
        <w:szCs w:val="24"/>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 w15:restartNumberingAfterBreak="0">
    <w:nsid w:val="61C04AF3"/>
    <w:multiLevelType w:val="multilevel"/>
    <w:tmpl w:val="411C4732"/>
    <w:lvl w:ilvl="0">
      <w:start w:val="2"/>
      <w:numFmt w:val="decimal"/>
      <w:lvlText w:val="%1."/>
      <w:lvlJc w:val="left"/>
      <w:pPr>
        <w:ind w:left="400" w:hanging="400"/>
      </w:pPr>
      <w:rPr>
        <w:rFonts w:hint="default"/>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7" w15:restartNumberingAfterBreak="0">
    <w:nsid w:val="6F4F0B6A"/>
    <w:multiLevelType w:val="hybridMultilevel"/>
    <w:tmpl w:val="AF1C7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A30637"/>
    <w:multiLevelType w:val="multilevel"/>
    <w:tmpl w:val="644E904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1618565422">
    <w:abstractNumId w:val="2"/>
  </w:num>
  <w:num w:numId="2" w16cid:durableId="1718890793">
    <w:abstractNumId w:val="4"/>
  </w:num>
  <w:num w:numId="3" w16cid:durableId="1855413211">
    <w:abstractNumId w:val="8"/>
  </w:num>
  <w:num w:numId="4" w16cid:durableId="447430474">
    <w:abstractNumId w:val="0"/>
  </w:num>
  <w:num w:numId="5" w16cid:durableId="1259674976">
    <w:abstractNumId w:val="6"/>
  </w:num>
  <w:num w:numId="6" w16cid:durableId="83839671">
    <w:abstractNumId w:val="1"/>
  </w:num>
  <w:num w:numId="7" w16cid:durableId="1881436827">
    <w:abstractNumId w:val="7"/>
  </w:num>
  <w:num w:numId="8" w16cid:durableId="176509058">
    <w:abstractNumId w:val="5"/>
  </w:num>
  <w:num w:numId="9" w16cid:durableId="15453858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6"/>
  <w:proofState w:spelling="clean"/>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CC3"/>
    <w:rsid w:val="0004358B"/>
    <w:rsid w:val="00087CB3"/>
    <w:rsid w:val="00087ECA"/>
    <w:rsid w:val="000C304D"/>
    <w:rsid w:val="000C3C1C"/>
    <w:rsid w:val="00144B79"/>
    <w:rsid w:val="00150A27"/>
    <w:rsid w:val="00153D74"/>
    <w:rsid w:val="001600BD"/>
    <w:rsid w:val="00171EF0"/>
    <w:rsid w:val="00174F69"/>
    <w:rsid w:val="00187831"/>
    <w:rsid w:val="0019763B"/>
    <w:rsid w:val="00197917"/>
    <w:rsid w:val="001A499F"/>
    <w:rsid w:val="001E1528"/>
    <w:rsid w:val="001E64B1"/>
    <w:rsid w:val="001F4919"/>
    <w:rsid w:val="001F5263"/>
    <w:rsid w:val="00201050"/>
    <w:rsid w:val="0021388C"/>
    <w:rsid w:val="00223EE1"/>
    <w:rsid w:val="00234792"/>
    <w:rsid w:val="00255E4E"/>
    <w:rsid w:val="00261711"/>
    <w:rsid w:val="002A1936"/>
    <w:rsid w:val="002A44B8"/>
    <w:rsid w:val="002B1CEF"/>
    <w:rsid w:val="002F36B8"/>
    <w:rsid w:val="00301D5C"/>
    <w:rsid w:val="00330C09"/>
    <w:rsid w:val="0033227D"/>
    <w:rsid w:val="0034224A"/>
    <w:rsid w:val="003667E8"/>
    <w:rsid w:val="0037506C"/>
    <w:rsid w:val="00393A3A"/>
    <w:rsid w:val="003B5202"/>
    <w:rsid w:val="003C6857"/>
    <w:rsid w:val="003E3809"/>
    <w:rsid w:val="003E5B89"/>
    <w:rsid w:val="00406620"/>
    <w:rsid w:val="004562D9"/>
    <w:rsid w:val="004A20CC"/>
    <w:rsid w:val="004C3287"/>
    <w:rsid w:val="004E1815"/>
    <w:rsid w:val="004E7293"/>
    <w:rsid w:val="004F4256"/>
    <w:rsid w:val="005010E1"/>
    <w:rsid w:val="00501CC3"/>
    <w:rsid w:val="00533500"/>
    <w:rsid w:val="00542025"/>
    <w:rsid w:val="00544420"/>
    <w:rsid w:val="00592530"/>
    <w:rsid w:val="005973D5"/>
    <w:rsid w:val="005A6AAF"/>
    <w:rsid w:val="005D3835"/>
    <w:rsid w:val="00671AFD"/>
    <w:rsid w:val="006776F5"/>
    <w:rsid w:val="00690A5D"/>
    <w:rsid w:val="006E254A"/>
    <w:rsid w:val="006E46BF"/>
    <w:rsid w:val="00734FB4"/>
    <w:rsid w:val="00737C07"/>
    <w:rsid w:val="00791AB1"/>
    <w:rsid w:val="007A37B2"/>
    <w:rsid w:val="007E4614"/>
    <w:rsid w:val="007E7A76"/>
    <w:rsid w:val="007F6C04"/>
    <w:rsid w:val="007F7BC2"/>
    <w:rsid w:val="008000FD"/>
    <w:rsid w:val="00801CC7"/>
    <w:rsid w:val="00804C61"/>
    <w:rsid w:val="00811D7C"/>
    <w:rsid w:val="008145DF"/>
    <w:rsid w:val="008423B3"/>
    <w:rsid w:val="00847EA3"/>
    <w:rsid w:val="0085504F"/>
    <w:rsid w:val="00857D22"/>
    <w:rsid w:val="0086420E"/>
    <w:rsid w:val="008A4811"/>
    <w:rsid w:val="008B0603"/>
    <w:rsid w:val="008E0ADB"/>
    <w:rsid w:val="008E0D46"/>
    <w:rsid w:val="008F3DB0"/>
    <w:rsid w:val="0090047F"/>
    <w:rsid w:val="00927D69"/>
    <w:rsid w:val="009A37D5"/>
    <w:rsid w:val="009A7A7E"/>
    <w:rsid w:val="009D0969"/>
    <w:rsid w:val="009E6A80"/>
    <w:rsid w:val="009E7F1E"/>
    <w:rsid w:val="009F72DC"/>
    <w:rsid w:val="00A26E08"/>
    <w:rsid w:val="00A61C52"/>
    <w:rsid w:val="00A75D1C"/>
    <w:rsid w:val="00A80766"/>
    <w:rsid w:val="00A95C56"/>
    <w:rsid w:val="00AA2F9F"/>
    <w:rsid w:val="00AB5F53"/>
    <w:rsid w:val="00AC7F44"/>
    <w:rsid w:val="00AD6CD1"/>
    <w:rsid w:val="00AE2E7D"/>
    <w:rsid w:val="00AE3F48"/>
    <w:rsid w:val="00B0379F"/>
    <w:rsid w:val="00B151A8"/>
    <w:rsid w:val="00B517B1"/>
    <w:rsid w:val="00B54895"/>
    <w:rsid w:val="00B71384"/>
    <w:rsid w:val="00B975C0"/>
    <w:rsid w:val="00BA15A3"/>
    <w:rsid w:val="00BC2F2E"/>
    <w:rsid w:val="00BE260F"/>
    <w:rsid w:val="00BF563E"/>
    <w:rsid w:val="00BF5AAA"/>
    <w:rsid w:val="00C06B5D"/>
    <w:rsid w:val="00C27754"/>
    <w:rsid w:val="00C324DC"/>
    <w:rsid w:val="00C3461D"/>
    <w:rsid w:val="00C60B66"/>
    <w:rsid w:val="00C70065"/>
    <w:rsid w:val="00C8099F"/>
    <w:rsid w:val="00C92EFE"/>
    <w:rsid w:val="00CD1C4E"/>
    <w:rsid w:val="00CE7325"/>
    <w:rsid w:val="00CF2E86"/>
    <w:rsid w:val="00D2124C"/>
    <w:rsid w:val="00D51775"/>
    <w:rsid w:val="00D90EBA"/>
    <w:rsid w:val="00DC506D"/>
    <w:rsid w:val="00DE6F05"/>
    <w:rsid w:val="00DE7849"/>
    <w:rsid w:val="00E237AD"/>
    <w:rsid w:val="00E659AF"/>
    <w:rsid w:val="00E75F65"/>
    <w:rsid w:val="00E841C8"/>
    <w:rsid w:val="00EB4391"/>
    <w:rsid w:val="00EC2368"/>
    <w:rsid w:val="00EC47AF"/>
    <w:rsid w:val="00F00015"/>
    <w:rsid w:val="00F206C0"/>
    <w:rsid w:val="00F328C2"/>
    <w:rsid w:val="00F66ECA"/>
    <w:rsid w:val="00F76E16"/>
    <w:rsid w:val="00F91940"/>
    <w:rsid w:val="00FA0022"/>
    <w:rsid w:val="00FA7FD0"/>
    <w:rsid w:val="00FB2985"/>
    <w:rsid w:val="00FC7DE2"/>
    <w:rsid w:val="00FC7FED"/>
    <w:rsid w:val="00FE46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7E449"/>
  <w15:chartTrackingRefBased/>
  <w15:docId w15:val="{6C710AB8-C283-488B-85DA-80ECE450E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10E1"/>
  </w:style>
  <w:style w:type="paragraph" w:styleId="Titlu1">
    <w:name w:val="heading 1"/>
    <w:basedOn w:val="Normal"/>
    <w:next w:val="Normal"/>
    <w:link w:val="Titlu1Caracter"/>
    <w:uiPriority w:val="9"/>
    <w:qFormat/>
    <w:rsid w:val="004E181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501CC3"/>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501CC3"/>
  </w:style>
  <w:style w:type="paragraph" w:styleId="Subsol">
    <w:name w:val="footer"/>
    <w:basedOn w:val="Normal"/>
    <w:link w:val="SubsolCaracter"/>
    <w:uiPriority w:val="99"/>
    <w:unhideWhenUsed/>
    <w:rsid w:val="00501CC3"/>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501CC3"/>
  </w:style>
  <w:style w:type="paragraph" w:styleId="Listparagraf">
    <w:name w:val="List Paragraph"/>
    <w:basedOn w:val="Normal"/>
    <w:uiPriority w:val="34"/>
    <w:qFormat/>
    <w:rsid w:val="004E1815"/>
    <w:pPr>
      <w:ind w:left="720"/>
      <w:contextualSpacing/>
    </w:pPr>
  </w:style>
  <w:style w:type="character" w:customStyle="1" w:styleId="Titlu1Caracter">
    <w:name w:val="Titlu 1 Caracter"/>
    <w:basedOn w:val="Fontdeparagrafimplicit"/>
    <w:link w:val="Titlu1"/>
    <w:uiPriority w:val="9"/>
    <w:rsid w:val="004E1815"/>
    <w:rPr>
      <w:rFonts w:asciiTheme="majorHAnsi" w:eastAsiaTheme="majorEastAsia" w:hAnsiTheme="majorHAnsi" w:cstheme="majorBidi"/>
      <w:color w:val="2F5496" w:themeColor="accent1" w:themeShade="BF"/>
      <w:sz w:val="32"/>
      <w:szCs w:val="32"/>
    </w:rPr>
  </w:style>
  <w:style w:type="paragraph" w:styleId="Titlucuprins">
    <w:name w:val="TOC Heading"/>
    <w:basedOn w:val="Titlu1"/>
    <w:next w:val="Normal"/>
    <w:uiPriority w:val="39"/>
    <w:unhideWhenUsed/>
    <w:qFormat/>
    <w:rsid w:val="004E1815"/>
    <w:pPr>
      <w:outlineLvl w:val="9"/>
    </w:pPr>
    <w:rPr>
      <w:kern w:val="0"/>
      <w:lang w:val="en-US"/>
      <w14:ligatures w14:val="none"/>
    </w:rPr>
  </w:style>
  <w:style w:type="paragraph" w:styleId="Cuprins2">
    <w:name w:val="toc 2"/>
    <w:basedOn w:val="Normal"/>
    <w:next w:val="Normal"/>
    <w:autoRedefine/>
    <w:uiPriority w:val="39"/>
    <w:unhideWhenUsed/>
    <w:rsid w:val="004E1815"/>
    <w:pPr>
      <w:spacing w:after="100"/>
      <w:ind w:left="220"/>
    </w:pPr>
    <w:rPr>
      <w:rFonts w:eastAsiaTheme="minorEastAsia" w:cs="Times New Roman"/>
      <w:kern w:val="0"/>
      <w:lang w:val="en-US"/>
      <w14:ligatures w14:val="none"/>
    </w:rPr>
  </w:style>
  <w:style w:type="paragraph" w:styleId="Cuprins1">
    <w:name w:val="toc 1"/>
    <w:basedOn w:val="Normal"/>
    <w:next w:val="Normal"/>
    <w:autoRedefine/>
    <w:uiPriority w:val="39"/>
    <w:unhideWhenUsed/>
    <w:rsid w:val="004E1815"/>
    <w:pPr>
      <w:spacing w:after="100"/>
    </w:pPr>
    <w:rPr>
      <w:rFonts w:eastAsiaTheme="minorEastAsia" w:cs="Times New Roman"/>
      <w:kern w:val="0"/>
      <w:lang w:val="en-US"/>
      <w14:ligatures w14:val="none"/>
    </w:rPr>
  </w:style>
  <w:style w:type="paragraph" w:styleId="Cuprins3">
    <w:name w:val="toc 3"/>
    <w:basedOn w:val="Normal"/>
    <w:next w:val="Normal"/>
    <w:autoRedefine/>
    <w:uiPriority w:val="39"/>
    <w:unhideWhenUsed/>
    <w:rsid w:val="004E1815"/>
    <w:pPr>
      <w:spacing w:after="100"/>
      <w:ind w:left="440"/>
    </w:pPr>
    <w:rPr>
      <w:rFonts w:eastAsiaTheme="minorEastAsia" w:cs="Times New Roman"/>
      <w:kern w:val="0"/>
      <w:lang w:val="en-US"/>
      <w14:ligatures w14:val="none"/>
    </w:rPr>
  </w:style>
  <w:style w:type="paragraph" w:styleId="NormalWeb">
    <w:name w:val="Normal (Web)"/>
    <w:basedOn w:val="Normal"/>
    <w:uiPriority w:val="99"/>
    <w:unhideWhenUsed/>
    <w:rsid w:val="0026171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table" w:styleId="Tabelgril">
    <w:name w:val="Table Grid"/>
    <w:basedOn w:val="TabelNormal"/>
    <w:uiPriority w:val="39"/>
    <w:rsid w:val="001600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C60B66"/>
    <w:rPr>
      <w:color w:val="0563C1" w:themeColor="hyperlink"/>
      <w:u w:val="single"/>
    </w:rPr>
  </w:style>
  <w:style w:type="character" w:styleId="MeniuneNerezolvat">
    <w:name w:val="Unresolved Mention"/>
    <w:basedOn w:val="Fontdeparagrafimplicit"/>
    <w:uiPriority w:val="99"/>
    <w:semiHidden/>
    <w:unhideWhenUsed/>
    <w:rsid w:val="00C60B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239475">
      <w:bodyDiv w:val="1"/>
      <w:marLeft w:val="0"/>
      <w:marRight w:val="0"/>
      <w:marTop w:val="0"/>
      <w:marBottom w:val="0"/>
      <w:divBdr>
        <w:top w:val="none" w:sz="0" w:space="0" w:color="auto"/>
        <w:left w:val="none" w:sz="0" w:space="0" w:color="auto"/>
        <w:bottom w:val="none" w:sz="0" w:space="0" w:color="auto"/>
        <w:right w:val="none" w:sz="0" w:space="0" w:color="auto"/>
      </w:divBdr>
    </w:div>
    <w:div w:id="61031151">
      <w:bodyDiv w:val="1"/>
      <w:marLeft w:val="0"/>
      <w:marRight w:val="0"/>
      <w:marTop w:val="0"/>
      <w:marBottom w:val="0"/>
      <w:divBdr>
        <w:top w:val="none" w:sz="0" w:space="0" w:color="auto"/>
        <w:left w:val="none" w:sz="0" w:space="0" w:color="auto"/>
        <w:bottom w:val="none" w:sz="0" w:space="0" w:color="auto"/>
        <w:right w:val="none" w:sz="0" w:space="0" w:color="auto"/>
      </w:divBdr>
    </w:div>
    <w:div w:id="93668148">
      <w:bodyDiv w:val="1"/>
      <w:marLeft w:val="0"/>
      <w:marRight w:val="0"/>
      <w:marTop w:val="0"/>
      <w:marBottom w:val="0"/>
      <w:divBdr>
        <w:top w:val="none" w:sz="0" w:space="0" w:color="auto"/>
        <w:left w:val="none" w:sz="0" w:space="0" w:color="auto"/>
        <w:bottom w:val="none" w:sz="0" w:space="0" w:color="auto"/>
        <w:right w:val="none" w:sz="0" w:space="0" w:color="auto"/>
      </w:divBdr>
    </w:div>
    <w:div w:id="113451945">
      <w:bodyDiv w:val="1"/>
      <w:marLeft w:val="0"/>
      <w:marRight w:val="0"/>
      <w:marTop w:val="0"/>
      <w:marBottom w:val="0"/>
      <w:divBdr>
        <w:top w:val="none" w:sz="0" w:space="0" w:color="auto"/>
        <w:left w:val="none" w:sz="0" w:space="0" w:color="auto"/>
        <w:bottom w:val="none" w:sz="0" w:space="0" w:color="auto"/>
        <w:right w:val="none" w:sz="0" w:space="0" w:color="auto"/>
      </w:divBdr>
    </w:div>
    <w:div w:id="129717159">
      <w:bodyDiv w:val="1"/>
      <w:marLeft w:val="0"/>
      <w:marRight w:val="0"/>
      <w:marTop w:val="0"/>
      <w:marBottom w:val="0"/>
      <w:divBdr>
        <w:top w:val="none" w:sz="0" w:space="0" w:color="auto"/>
        <w:left w:val="none" w:sz="0" w:space="0" w:color="auto"/>
        <w:bottom w:val="none" w:sz="0" w:space="0" w:color="auto"/>
        <w:right w:val="none" w:sz="0" w:space="0" w:color="auto"/>
      </w:divBdr>
    </w:div>
    <w:div w:id="214897610">
      <w:bodyDiv w:val="1"/>
      <w:marLeft w:val="0"/>
      <w:marRight w:val="0"/>
      <w:marTop w:val="0"/>
      <w:marBottom w:val="0"/>
      <w:divBdr>
        <w:top w:val="none" w:sz="0" w:space="0" w:color="auto"/>
        <w:left w:val="none" w:sz="0" w:space="0" w:color="auto"/>
        <w:bottom w:val="none" w:sz="0" w:space="0" w:color="auto"/>
        <w:right w:val="none" w:sz="0" w:space="0" w:color="auto"/>
      </w:divBdr>
    </w:div>
    <w:div w:id="362481971">
      <w:bodyDiv w:val="1"/>
      <w:marLeft w:val="0"/>
      <w:marRight w:val="0"/>
      <w:marTop w:val="0"/>
      <w:marBottom w:val="0"/>
      <w:divBdr>
        <w:top w:val="none" w:sz="0" w:space="0" w:color="auto"/>
        <w:left w:val="none" w:sz="0" w:space="0" w:color="auto"/>
        <w:bottom w:val="none" w:sz="0" w:space="0" w:color="auto"/>
        <w:right w:val="none" w:sz="0" w:space="0" w:color="auto"/>
      </w:divBdr>
    </w:div>
    <w:div w:id="386729988">
      <w:bodyDiv w:val="1"/>
      <w:marLeft w:val="0"/>
      <w:marRight w:val="0"/>
      <w:marTop w:val="0"/>
      <w:marBottom w:val="0"/>
      <w:divBdr>
        <w:top w:val="none" w:sz="0" w:space="0" w:color="auto"/>
        <w:left w:val="none" w:sz="0" w:space="0" w:color="auto"/>
        <w:bottom w:val="none" w:sz="0" w:space="0" w:color="auto"/>
        <w:right w:val="none" w:sz="0" w:space="0" w:color="auto"/>
      </w:divBdr>
    </w:div>
    <w:div w:id="507981449">
      <w:bodyDiv w:val="1"/>
      <w:marLeft w:val="0"/>
      <w:marRight w:val="0"/>
      <w:marTop w:val="0"/>
      <w:marBottom w:val="0"/>
      <w:divBdr>
        <w:top w:val="none" w:sz="0" w:space="0" w:color="auto"/>
        <w:left w:val="none" w:sz="0" w:space="0" w:color="auto"/>
        <w:bottom w:val="none" w:sz="0" w:space="0" w:color="auto"/>
        <w:right w:val="none" w:sz="0" w:space="0" w:color="auto"/>
      </w:divBdr>
    </w:div>
    <w:div w:id="550507280">
      <w:bodyDiv w:val="1"/>
      <w:marLeft w:val="0"/>
      <w:marRight w:val="0"/>
      <w:marTop w:val="0"/>
      <w:marBottom w:val="0"/>
      <w:divBdr>
        <w:top w:val="none" w:sz="0" w:space="0" w:color="auto"/>
        <w:left w:val="none" w:sz="0" w:space="0" w:color="auto"/>
        <w:bottom w:val="none" w:sz="0" w:space="0" w:color="auto"/>
        <w:right w:val="none" w:sz="0" w:space="0" w:color="auto"/>
      </w:divBdr>
    </w:div>
    <w:div w:id="628390266">
      <w:bodyDiv w:val="1"/>
      <w:marLeft w:val="0"/>
      <w:marRight w:val="0"/>
      <w:marTop w:val="0"/>
      <w:marBottom w:val="0"/>
      <w:divBdr>
        <w:top w:val="none" w:sz="0" w:space="0" w:color="auto"/>
        <w:left w:val="none" w:sz="0" w:space="0" w:color="auto"/>
        <w:bottom w:val="none" w:sz="0" w:space="0" w:color="auto"/>
        <w:right w:val="none" w:sz="0" w:space="0" w:color="auto"/>
      </w:divBdr>
    </w:div>
    <w:div w:id="763769985">
      <w:bodyDiv w:val="1"/>
      <w:marLeft w:val="0"/>
      <w:marRight w:val="0"/>
      <w:marTop w:val="0"/>
      <w:marBottom w:val="0"/>
      <w:divBdr>
        <w:top w:val="none" w:sz="0" w:space="0" w:color="auto"/>
        <w:left w:val="none" w:sz="0" w:space="0" w:color="auto"/>
        <w:bottom w:val="none" w:sz="0" w:space="0" w:color="auto"/>
        <w:right w:val="none" w:sz="0" w:space="0" w:color="auto"/>
      </w:divBdr>
    </w:div>
    <w:div w:id="774129763">
      <w:bodyDiv w:val="1"/>
      <w:marLeft w:val="0"/>
      <w:marRight w:val="0"/>
      <w:marTop w:val="0"/>
      <w:marBottom w:val="0"/>
      <w:divBdr>
        <w:top w:val="none" w:sz="0" w:space="0" w:color="auto"/>
        <w:left w:val="none" w:sz="0" w:space="0" w:color="auto"/>
        <w:bottom w:val="none" w:sz="0" w:space="0" w:color="auto"/>
        <w:right w:val="none" w:sz="0" w:space="0" w:color="auto"/>
      </w:divBdr>
    </w:div>
    <w:div w:id="809639359">
      <w:bodyDiv w:val="1"/>
      <w:marLeft w:val="0"/>
      <w:marRight w:val="0"/>
      <w:marTop w:val="0"/>
      <w:marBottom w:val="0"/>
      <w:divBdr>
        <w:top w:val="none" w:sz="0" w:space="0" w:color="auto"/>
        <w:left w:val="none" w:sz="0" w:space="0" w:color="auto"/>
        <w:bottom w:val="none" w:sz="0" w:space="0" w:color="auto"/>
        <w:right w:val="none" w:sz="0" w:space="0" w:color="auto"/>
      </w:divBdr>
    </w:div>
    <w:div w:id="826635298">
      <w:bodyDiv w:val="1"/>
      <w:marLeft w:val="0"/>
      <w:marRight w:val="0"/>
      <w:marTop w:val="0"/>
      <w:marBottom w:val="0"/>
      <w:divBdr>
        <w:top w:val="none" w:sz="0" w:space="0" w:color="auto"/>
        <w:left w:val="none" w:sz="0" w:space="0" w:color="auto"/>
        <w:bottom w:val="none" w:sz="0" w:space="0" w:color="auto"/>
        <w:right w:val="none" w:sz="0" w:space="0" w:color="auto"/>
      </w:divBdr>
    </w:div>
    <w:div w:id="870192125">
      <w:bodyDiv w:val="1"/>
      <w:marLeft w:val="0"/>
      <w:marRight w:val="0"/>
      <w:marTop w:val="0"/>
      <w:marBottom w:val="0"/>
      <w:divBdr>
        <w:top w:val="none" w:sz="0" w:space="0" w:color="auto"/>
        <w:left w:val="none" w:sz="0" w:space="0" w:color="auto"/>
        <w:bottom w:val="none" w:sz="0" w:space="0" w:color="auto"/>
        <w:right w:val="none" w:sz="0" w:space="0" w:color="auto"/>
      </w:divBdr>
    </w:div>
    <w:div w:id="909852141">
      <w:bodyDiv w:val="1"/>
      <w:marLeft w:val="0"/>
      <w:marRight w:val="0"/>
      <w:marTop w:val="0"/>
      <w:marBottom w:val="0"/>
      <w:divBdr>
        <w:top w:val="none" w:sz="0" w:space="0" w:color="auto"/>
        <w:left w:val="none" w:sz="0" w:space="0" w:color="auto"/>
        <w:bottom w:val="none" w:sz="0" w:space="0" w:color="auto"/>
        <w:right w:val="none" w:sz="0" w:space="0" w:color="auto"/>
      </w:divBdr>
    </w:div>
    <w:div w:id="959409822">
      <w:bodyDiv w:val="1"/>
      <w:marLeft w:val="0"/>
      <w:marRight w:val="0"/>
      <w:marTop w:val="0"/>
      <w:marBottom w:val="0"/>
      <w:divBdr>
        <w:top w:val="none" w:sz="0" w:space="0" w:color="auto"/>
        <w:left w:val="none" w:sz="0" w:space="0" w:color="auto"/>
        <w:bottom w:val="none" w:sz="0" w:space="0" w:color="auto"/>
        <w:right w:val="none" w:sz="0" w:space="0" w:color="auto"/>
      </w:divBdr>
    </w:div>
    <w:div w:id="1149781817">
      <w:bodyDiv w:val="1"/>
      <w:marLeft w:val="0"/>
      <w:marRight w:val="0"/>
      <w:marTop w:val="0"/>
      <w:marBottom w:val="0"/>
      <w:divBdr>
        <w:top w:val="none" w:sz="0" w:space="0" w:color="auto"/>
        <w:left w:val="none" w:sz="0" w:space="0" w:color="auto"/>
        <w:bottom w:val="none" w:sz="0" w:space="0" w:color="auto"/>
        <w:right w:val="none" w:sz="0" w:space="0" w:color="auto"/>
      </w:divBdr>
    </w:div>
    <w:div w:id="1313145179">
      <w:bodyDiv w:val="1"/>
      <w:marLeft w:val="0"/>
      <w:marRight w:val="0"/>
      <w:marTop w:val="0"/>
      <w:marBottom w:val="0"/>
      <w:divBdr>
        <w:top w:val="none" w:sz="0" w:space="0" w:color="auto"/>
        <w:left w:val="none" w:sz="0" w:space="0" w:color="auto"/>
        <w:bottom w:val="none" w:sz="0" w:space="0" w:color="auto"/>
        <w:right w:val="none" w:sz="0" w:space="0" w:color="auto"/>
      </w:divBdr>
    </w:div>
    <w:div w:id="1430933541">
      <w:bodyDiv w:val="1"/>
      <w:marLeft w:val="0"/>
      <w:marRight w:val="0"/>
      <w:marTop w:val="0"/>
      <w:marBottom w:val="0"/>
      <w:divBdr>
        <w:top w:val="none" w:sz="0" w:space="0" w:color="auto"/>
        <w:left w:val="none" w:sz="0" w:space="0" w:color="auto"/>
        <w:bottom w:val="none" w:sz="0" w:space="0" w:color="auto"/>
        <w:right w:val="none" w:sz="0" w:space="0" w:color="auto"/>
      </w:divBdr>
    </w:div>
    <w:div w:id="1479692756">
      <w:bodyDiv w:val="1"/>
      <w:marLeft w:val="0"/>
      <w:marRight w:val="0"/>
      <w:marTop w:val="0"/>
      <w:marBottom w:val="0"/>
      <w:divBdr>
        <w:top w:val="none" w:sz="0" w:space="0" w:color="auto"/>
        <w:left w:val="none" w:sz="0" w:space="0" w:color="auto"/>
        <w:bottom w:val="none" w:sz="0" w:space="0" w:color="auto"/>
        <w:right w:val="none" w:sz="0" w:space="0" w:color="auto"/>
      </w:divBdr>
    </w:div>
    <w:div w:id="1779331997">
      <w:bodyDiv w:val="1"/>
      <w:marLeft w:val="0"/>
      <w:marRight w:val="0"/>
      <w:marTop w:val="0"/>
      <w:marBottom w:val="0"/>
      <w:divBdr>
        <w:top w:val="none" w:sz="0" w:space="0" w:color="auto"/>
        <w:left w:val="none" w:sz="0" w:space="0" w:color="auto"/>
        <w:bottom w:val="none" w:sz="0" w:space="0" w:color="auto"/>
        <w:right w:val="none" w:sz="0" w:space="0" w:color="auto"/>
      </w:divBdr>
    </w:div>
    <w:div w:id="2026663863">
      <w:bodyDiv w:val="1"/>
      <w:marLeft w:val="0"/>
      <w:marRight w:val="0"/>
      <w:marTop w:val="0"/>
      <w:marBottom w:val="0"/>
      <w:divBdr>
        <w:top w:val="none" w:sz="0" w:space="0" w:color="auto"/>
        <w:left w:val="none" w:sz="0" w:space="0" w:color="auto"/>
        <w:bottom w:val="none" w:sz="0" w:space="0" w:color="auto"/>
        <w:right w:val="none" w:sz="0" w:space="0" w:color="auto"/>
      </w:divBdr>
    </w:div>
    <w:div w:id="2122339509">
      <w:bodyDiv w:val="1"/>
      <w:marLeft w:val="0"/>
      <w:marRight w:val="0"/>
      <w:marTop w:val="0"/>
      <w:marBottom w:val="0"/>
      <w:divBdr>
        <w:top w:val="none" w:sz="0" w:space="0" w:color="auto"/>
        <w:left w:val="none" w:sz="0" w:space="0" w:color="auto"/>
        <w:bottom w:val="none" w:sz="0" w:space="0" w:color="auto"/>
        <w:right w:val="none" w:sz="0" w:space="0" w:color="auto"/>
      </w:divBdr>
    </w:div>
    <w:div w:id="2137137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globalassets/media/knowledge/knowledge-hub/reports/addressing-skills-labour-shortages-post-brexit_tcm18-102313.pdf" TargetMode="External"/><Relationship Id="rId13" Type="http://schemas.openxmlformats.org/officeDocument/2006/relationships/hyperlink" Target="https://www.mckinsey.com/~/media/mckinsey/industries/travel%20logistics%20and%20infrastructure/our%20insights/the%20travel%20industry%20turned%20upside%20down%20insights%20analysis%20and%20actions%20for%20travel%20executives/the-travel-industry-turned-upside-down-insights-analysis-and-actions-for-travel-executives.pdf"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hilton.com/en/corporate/" TargetMode="External"/><Relationship Id="rId17" Type="http://schemas.openxmlformats.org/officeDocument/2006/relationships/hyperlink" Target="https://www.shrm.org/resourcesandtools/tools-and-samples/toolkits/pages/developingandsustaininghigh-performanceworkteams.aspx" TargetMode="External"/><Relationship Id="rId2" Type="http://schemas.openxmlformats.org/officeDocument/2006/relationships/numbering" Target="numbering.xml"/><Relationship Id="rId16" Type="http://schemas.openxmlformats.org/officeDocument/2006/relationships/hyperlink" Target="https://www.pwc.com/gx/en/issues/upskilling.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rporatereport.com/hilton/2021/ar/" TargetMode="External"/><Relationship Id="rId5" Type="http://schemas.openxmlformats.org/officeDocument/2006/relationships/webSettings" Target="webSettings.xml"/><Relationship Id="rId15" Type="http://schemas.openxmlformats.org/officeDocument/2006/relationships/hyperlink" Target="https://www.ons.gov.uk/businessindustryandtrade/business/activitysizeandlocation/articles/coronavirusanditsimpactonukhospitality/january2020tojune2021/previous/v1" TargetMode="External"/><Relationship Id="rId10" Type="http://schemas.openxmlformats.org/officeDocument/2006/relationships/hyperlink" Target="https://www.hilton.com/en/corporate/development/hilton-performance-advantag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cipd.org/globalassets/media/knowledge/knowledge-hub/evidence-reviews/employee-engagement-discussion-report_tcm18-89598.pdf" TargetMode="External"/><Relationship Id="rId14" Type="http://schemas.openxmlformats.org/officeDocument/2006/relationships/hyperlink" Target="https://www.mckinsey.com/~/media/McKinsey/Featured%20Insights/Diversity%20and%20Inclusion/Diversity%20wins%20How%20inclusion%20matters/Diversity-wins-How-inclusion-matters-vF.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B2D016-7307-471D-AAE1-A3281D40BCD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13</Pages>
  <Words>3240</Words>
  <Characters>18792</Characters>
  <Application>Microsoft Office Word</Application>
  <DocSecurity>0</DocSecurity>
  <Lines>156</Lines>
  <Paragraphs>43</Paragraphs>
  <ScaleCrop>false</ScaleCrop>
  <Company/>
  <LinksUpToDate>false</LinksUpToDate>
  <CharactersWithSpaces>21989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Georgiana Cucu (2213957)</cp:lastModifiedBy>
  <cp:revision>147</cp:revision>
  <dcterms:created xsi:type="dcterms:W3CDTF">2023-11-13T20:38:00Z</dcterms:created>
  <dcterms:modified xsi:type="dcterms:W3CDTF">2023-11-13T23:57:00Z</dcterms:modified>
</cp:coreProperties>
</file>